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2583_7370918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0258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2587_73709187">
            <w:r>
              <w:rPr>
                <w:webHidden/>
                <w:rStyle w:val="IndexLink"/>
                <w:rtl w:val="true"/>
              </w:rPr>
              <w:t>تتمة كتاب الحدود و التعزيرات</w:t>
            </w:r>
            <w:r>
              <w:rPr>
                <w:rStyle w:val="IndexLink"/>
                <w:rtl w:val="true"/>
              </w:rPr>
              <w:tab/>
            </w:r>
            <w:r>
              <w:rPr>
                <w:rStyle w:val="IndexLink"/>
              </w:rPr>
              <w:t>10</w:t>
            </w:r>
          </w:hyperlink>
        </w:p>
        <w:p>
          <w:pPr>
            <w:pStyle w:val="Contents3"/>
            <w:tabs>
              <w:tab w:val="clear" w:pos="8459"/>
              <w:tab w:val="right" w:pos="9026" w:leader="dot"/>
            </w:tabs>
            <w:rPr/>
          </w:pPr>
          <w:hyperlink w:anchor="__RefHeading___Toc1102589_73709187">
            <w:r>
              <w:rPr>
                <w:webHidden/>
                <w:rStyle w:val="IndexLink"/>
                <w:rtl w:val="true"/>
              </w:rPr>
              <w:t>الفصل الثاني في اللواط و السحق و القيادة</w:t>
            </w:r>
            <w:r>
              <w:rPr>
                <w:rStyle w:val="IndexLink"/>
                <w:rtl w:val="true"/>
              </w:rPr>
              <w:tab/>
            </w:r>
            <w:r>
              <w:rPr>
                <w:rStyle w:val="IndexLink"/>
              </w:rPr>
              <w:t>10</w:t>
            </w:r>
          </w:hyperlink>
        </w:p>
        <w:p>
          <w:pPr>
            <w:pStyle w:val="Contents4"/>
            <w:tabs>
              <w:tab w:val="clear" w:pos="8176"/>
              <w:tab w:val="right" w:pos="9026" w:leader="dot"/>
            </w:tabs>
            <w:rPr/>
          </w:pPr>
          <w:hyperlink w:anchor="__RefHeading___Toc1102591_73709187">
            <w:r>
              <w:rPr>
                <w:webHidden/>
                <w:rStyle w:val="IndexLink"/>
                <w:rtl w:val="true"/>
              </w:rPr>
              <w:t>في اللواط</w:t>
            </w:r>
            <w:r>
              <w:rPr>
                <w:rStyle w:val="IndexLink"/>
                <w:rtl w:val="true"/>
              </w:rPr>
              <w:tab/>
            </w:r>
            <w:r>
              <w:rPr>
                <w:rStyle w:val="IndexLink"/>
              </w:rPr>
              <w:t>10</w:t>
            </w:r>
          </w:hyperlink>
        </w:p>
        <w:p>
          <w:pPr>
            <w:pStyle w:val="Contents4"/>
            <w:tabs>
              <w:tab w:val="clear" w:pos="8176"/>
              <w:tab w:val="right" w:pos="9026" w:leader="dot"/>
            </w:tabs>
            <w:rPr/>
          </w:pPr>
          <w:hyperlink w:anchor="__RefHeading___Toc1102593_73709187">
            <w:r>
              <w:rPr>
                <w:webHidden/>
                <w:rStyle w:val="IndexLink"/>
                <w:rtl w:val="true"/>
              </w:rPr>
              <w:t>السحق</w:t>
            </w:r>
            <w:r>
              <w:rPr>
                <w:rStyle w:val="IndexLink"/>
                <w:rtl w:val="true"/>
              </w:rPr>
              <w:tab/>
            </w:r>
            <w:r>
              <w:rPr>
                <w:rStyle w:val="IndexLink"/>
              </w:rPr>
              <w:t>24</w:t>
            </w:r>
          </w:hyperlink>
        </w:p>
        <w:p>
          <w:pPr>
            <w:pStyle w:val="Contents5"/>
            <w:tabs>
              <w:tab w:val="clear" w:pos="7892"/>
              <w:tab w:val="right" w:pos="9026" w:leader="dot"/>
            </w:tabs>
            <w:rPr/>
          </w:pPr>
          <w:hyperlink w:anchor="__RefHeading___Toc1102595_7370918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102597_73709187">
            <w:r>
              <w:rPr>
                <w:webHidden/>
                <w:rStyle w:val="IndexLink"/>
                <w:rtl w:val="true"/>
              </w:rPr>
              <w:t>مسألتان</w:t>
            </w:r>
            <w:r>
              <w:rPr>
                <w:rStyle w:val="IndexLink"/>
                <w:rtl w:val="true"/>
              </w:rPr>
              <w:tab/>
            </w:r>
            <w:r>
              <w:rPr>
                <w:rStyle w:val="IndexLink"/>
              </w:rPr>
              <w:t>29</w:t>
            </w:r>
          </w:hyperlink>
        </w:p>
        <w:p>
          <w:pPr>
            <w:pStyle w:val="Contents6"/>
            <w:tabs>
              <w:tab w:val="clear" w:pos="7609"/>
              <w:tab w:val="right" w:pos="9026" w:leader="dot"/>
            </w:tabs>
            <w:rPr/>
          </w:pPr>
          <w:hyperlink w:anchor="__RefHeading___Toc1102599_73709187">
            <w:r>
              <w:rPr>
                <w:webHidden/>
                <w:rStyle w:val="IndexLink"/>
                <w:rtl w:val="true"/>
              </w:rPr>
              <w:t>الأولى لا كفالة في حدّ</w:t>
            </w:r>
            <w:r>
              <w:rPr>
                <w:rStyle w:val="IndexLink"/>
                <w:rtl w:val="true"/>
              </w:rPr>
              <w:tab/>
            </w:r>
            <w:r>
              <w:rPr>
                <w:rStyle w:val="IndexLink"/>
              </w:rPr>
              <w:t>29</w:t>
            </w:r>
          </w:hyperlink>
        </w:p>
        <w:p>
          <w:pPr>
            <w:pStyle w:val="Contents6"/>
            <w:tabs>
              <w:tab w:val="clear" w:pos="7609"/>
              <w:tab w:val="right" w:pos="9026" w:leader="dot"/>
            </w:tabs>
            <w:rPr/>
          </w:pPr>
          <w:hyperlink w:anchor="__RefHeading___Toc1102601_73709187">
            <w:r>
              <w:rPr>
                <w:webHidden/>
                <w:rStyle w:val="IndexLink"/>
                <w:rtl w:val="true"/>
              </w:rPr>
              <w:t>الثانية</w:t>
            </w:r>
            <w:r>
              <w:rPr>
                <w:rStyle w:val="IndexLink"/>
                <w:rtl w:val="true"/>
              </w:rPr>
              <w:t>:</w:t>
            </w:r>
            <w:r>
              <w:rPr>
                <w:rStyle w:val="IndexLink"/>
                <w:rtl w:val="true"/>
              </w:rPr>
              <w:t>لو وطئ زوجته،فساحقت بكراً</w:t>
            </w:r>
            <w:r>
              <w:rPr>
                <w:rStyle w:val="IndexLink"/>
                <w:rtl w:val="true"/>
              </w:rPr>
              <w:tab/>
            </w:r>
            <w:r>
              <w:rPr>
                <w:rStyle w:val="IndexLink"/>
              </w:rPr>
              <w:t>30</w:t>
            </w:r>
          </w:hyperlink>
        </w:p>
        <w:p>
          <w:pPr>
            <w:pStyle w:val="Contents4"/>
            <w:tabs>
              <w:tab w:val="clear" w:pos="8176"/>
              <w:tab w:val="right" w:pos="9026" w:leader="dot"/>
            </w:tabs>
            <w:rPr/>
          </w:pPr>
          <w:hyperlink w:anchor="__RefHeading___Toc1102603_73709187">
            <w:r>
              <w:rPr>
                <w:webHidden/>
                <w:rStyle w:val="IndexLink"/>
                <w:rtl w:val="true"/>
              </w:rPr>
              <w:t>القيادة</w:t>
            </w:r>
            <w:r>
              <w:rPr>
                <w:rStyle w:val="IndexLink"/>
                <w:rtl w:val="true"/>
              </w:rPr>
              <w:tab/>
            </w:r>
            <w:r>
              <w:rPr>
                <w:rStyle w:val="IndexLink"/>
              </w:rPr>
              <w:t>32</w:t>
            </w:r>
          </w:hyperlink>
        </w:p>
        <w:p>
          <w:pPr>
            <w:pStyle w:val="Contents3"/>
            <w:tabs>
              <w:tab w:val="clear" w:pos="8459"/>
              <w:tab w:val="right" w:pos="9026" w:leader="dot"/>
            </w:tabs>
            <w:rPr/>
          </w:pPr>
          <w:hyperlink w:anchor="__RefHeading___Toc1102605_73709187">
            <w:r>
              <w:rPr>
                <w:webHidden/>
                <w:rStyle w:val="IndexLink"/>
                <w:rtl w:val="true"/>
              </w:rPr>
              <w:t>الفصل الثالث في حدّ القذف</w:t>
            </w:r>
            <w:r>
              <w:rPr>
                <w:rStyle w:val="IndexLink"/>
                <w:rtl w:val="true"/>
              </w:rPr>
              <w:tab/>
            </w:r>
            <w:r>
              <w:rPr>
                <w:rStyle w:val="IndexLink"/>
              </w:rPr>
              <w:t>36</w:t>
            </w:r>
          </w:hyperlink>
        </w:p>
        <w:p>
          <w:pPr>
            <w:pStyle w:val="Contents4"/>
            <w:tabs>
              <w:tab w:val="clear" w:pos="8176"/>
              <w:tab w:val="right" w:pos="9026" w:leader="dot"/>
            </w:tabs>
            <w:rPr/>
          </w:pPr>
          <w:hyperlink w:anchor="__RefHeading___Toc1102607_73709187">
            <w:r>
              <w:rPr>
                <w:webHidden/>
                <w:rStyle w:val="IndexLink"/>
                <w:rtl w:val="true"/>
              </w:rPr>
              <w:t>الأول في الموجب</w:t>
            </w:r>
            <w:r>
              <w:rPr>
                <w:rStyle w:val="IndexLink"/>
                <w:rtl w:val="true"/>
              </w:rPr>
              <w:tab/>
            </w:r>
            <w:r>
              <w:rPr>
                <w:rStyle w:val="IndexLink"/>
              </w:rPr>
              <w:t>36</w:t>
            </w:r>
          </w:hyperlink>
        </w:p>
        <w:p>
          <w:pPr>
            <w:pStyle w:val="Contents4"/>
            <w:tabs>
              <w:tab w:val="clear" w:pos="8176"/>
              <w:tab w:val="right" w:pos="9026" w:leader="dot"/>
            </w:tabs>
            <w:rPr/>
          </w:pPr>
          <w:hyperlink w:anchor="__RefHeading___Toc1102609_73709187">
            <w:r>
              <w:rPr>
                <w:webHidden/>
                <w:rStyle w:val="IndexLink"/>
                <w:rtl w:val="true"/>
              </w:rPr>
              <w:t>الثاني في المقذوف</w:t>
            </w:r>
            <w:r>
              <w:rPr>
                <w:rStyle w:val="IndexLink"/>
                <w:rtl w:val="true"/>
              </w:rPr>
              <w:tab/>
            </w:r>
            <w:r>
              <w:rPr>
                <w:rStyle w:val="IndexLink"/>
              </w:rPr>
              <w:t>48</w:t>
            </w:r>
          </w:hyperlink>
        </w:p>
        <w:p>
          <w:pPr>
            <w:pStyle w:val="Contents4"/>
            <w:tabs>
              <w:tab w:val="clear" w:pos="8176"/>
              <w:tab w:val="right" w:pos="9026" w:leader="dot"/>
            </w:tabs>
            <w:rPr/>
          </w:pPr>
          <w:hyperlink w:anchor="__RefHeading___Toc1102611_73709187">
            <w:r>
              <w:rPr>
                <w:webHidden/>
                <w:rStyle w:val="IndexLink"/>
                <w:rtl w:val="true"/>
              </w:rPr>
              <w:t>الثالث في الأحكام</w:t>
            </w:r>
            <w:r>
              <w:rPr>
                <w:rStyle w:val="IndexLink"/>
                <w:rtl w:val="true"/>
              </w:rPr>
              <w:tab/>
            </w:r>
            <w:r>
              <w:rPr>
                <w:rStyle w:val="IndexLink"/>
              </w:rPr>
              <w:t>51</w:t>
            </w:r>
          </w:hyperlink>
        </w:p>
        <w:p>
          <w:pPr>
            <w:pStyle w:val="Contents4"/>
            <w:tabs>
              <w:tab w:val="clear" w:pos="8176"/>
              <w:tab w:val="right" w:pos="9026" w:leader="dot"/>
            </w:tabs>
            <w:rPr/>
          </w:pPr>
          <w:hyperlink w:anchor="__RefHeading___Toc1102613_73709187">
            <w:r>
              <w:rPr>
                <w:webHidden/>
                <w:rStyle w:val="IndexLink"/>
                <w:rtl w:val="true"/>
              </w:rPr>
              <w:t>الرابع في اللواحق</w:t>
            </w:r>
            <w:r>
              <w:rPr>
                <w:rStyle w:val="IndexLink"/>
                <w:rtl w:val="true"/>
              </w:rPr>
              <w:tab/>
            </w:r>
            <w:r>
              <w:rPr>
                <w:rStyle w:val="IndexLink"/>
              </w:rPr>
              <w:t>59</w:t>
            </w:r>
          </w:hyperlink>
        </w:p>
        <w:p>
          <w:pPr>
            <w:pStyle w:val="Contents5"/>
            <w:tabs>
              <w:tab w:val="clear" w:pos="7892"/>
              <w:tab w:val="right" w:pos="9026" w:leader="dot"/>
            </w:tabs>
            <w:rPr/>
          </w:pPr>
          <w:hyperlink w:anchor="__RefHeading___Toc1102615_73709187">
            <w:r>
              <w:rPr>
                <w:webHidden/>
                <w:rStyle w:val="IndexLink"/>
                <w:rtl w:val="true"/>
              </w:rPr>
              <w:t>الأولى يقتل من سبّ النبيّ ص</w:t>
            </w:r>
            <w:r>
              <w:rPr>
                <w:rStyle w:val="IndexLink"/>
                <w:rtl w:val="true"/>
              </w:rPr>
              <w:tab/>
            </w:r>
            <w:r>
              <w:rPr>
                <w:rStyle w:val="IndexLink"/>
              </w:rPr>
              <w:t>59</w:t>
            </w:r>
          </w:hyperlink>
        </w:p>
        <w:p>
          <w:pPr>
            <w:pStyle w:val="Contents5"/>
            <w:tabs>
              <w:tab w:val="clear" w:pos="7892"/>
              <w:tab w:val="right" w:pos="9026" w:leader="dot"/>
            </w:tabs>
            <w:rPr/>
          </w:pPr>
          <w:hyperlink w:anchor="__RefHeading___Toc1102617_73709187">
            <w:r>
              <w:rPr>
                <w:webHidden/>
                <w:rStyle w:val="IndexLink"/>
                <w:rtl w:val="true"/>
              </w:rPr>
              <w:t>الثانية يقتل مدّعي النبوّة</w:t>
            </w:r>
            <w:r>
              <w:rPr>
                <w:rStyle w:val="IndexLink"/>
                <w:rtl w:val="true"/>
              </w:rPr>
              <w:tab/>
            </w:r>
            <w:r>
              <w:rPr>
                <w:rStyle w:val="IndexLink"/>
              </w:rPr>
              <w:t>62</w:t>
            </w:r>
          </w:hyperlink>
        </w:p>
        <w:p>
          <w:pPr>
            <w:pStyle w:val="Contents5"/>
            <w:tabs>
              <w:tab w:val="clear" w:pos="7892"/>
              <w:tab w:val="right" w:pos="9026" w:leader="dot"/>
            </w:tabs>
            <w:rPr/>
          </w:pPr>
          <w:hyperlink w:anchor="__RefHeading___Toc1102619_73709187">
            <w:r>
              <w:rPr>
                <w:webHidden/>
                <w:rStyle w:val="IndexLink"/>
                <w:rtl w:val="true"/>
              </w:rPr>
              <w:t>الثالثة يقتل الساحر إذا كان مسلماً</w:t>
            </w:r>
            <w:r>
              <w:rPr>
                <w:rStyle w:val="IndexLink"/>
                <w:rtl w:val="true"/>
              </w:rPr>
              <w:tab/>
            </w:r>
            <w:r>
              <w:rPr>
                <w:rStyle w:val="IndexLink"/>
              </w:rPr>
              <w:t>63</w:t>
            </w:r>
          </w:hyperlink>
        </w:p>
        <w:p>
          <w:pPr>
            <w:pStyle w:val="Contents5"/>
            <w:tabs>
              <w:tab w:val="clear" w:pos="7892"/>
              <w:tab w:val="right" w:pos="9026" w:leader="dot"/>
            </w:tabs>
            <w:rPr/>
          </w:pPr>
          <w:hyperlink w:anchor="__RefHeading___Toc1102621_73709187">
            <w:r>
              <w:rPr>
                <w:webHidden/>
                <w:rStyle w:val="IndexLink"/>
                <w:rtl w:val="true"/>
              </w:rPr>
              <w:t>الرابعة يكره أن يزاد في تأديب الصبي</w:t>
            </w:r>
            <w:r>
              <w:rPr>
                <w:rStyle w:val="IndexLink"/>
                <w:rtl w:val="true"/>
              </w:rPr>
              <w:tab/>
            </w:r>
            <w:r>
              <w:rPr>
                <w:rStyle w:val="IndexLink"/>
              </w:rPr>
              <w:t>64</w:t>
            </w:r>
          </w:hyperlink>
        </w:p>
        <w:p>
          <w:pPr>
            <w:pStyle w:val="Contents5"/>
            <w:tabs>
              <w:tab w:val="clear" w:pos="7892"/>
              <w:tab w:val="right" w:pos="9026" w:leader="dot"/>
            </w:tabs>
            <w:rPr/>
          </w:pPr>
          <w:hyperlink w:anchor="__RefHeading___Toc1102623_73709187">
            <w:r>
              <w:rPr>
                <w:webHidden/>
                <w:rStyle w:val="IndexLink"/>
                <w:rtl w:val="true"/>
              </w:rPr>
              <w:t>الخامسة يعزَّر من قذف عبده أو أمته</w:t>
            </w:r>
            <w:r>
              <w:rPr>
                <w:rStyle w:val="IndexLink"/>
                <w:rtl w:val="true"/>
              </w:rPr>
              <w:tab/>
            </w:r>
            <w:r>
              <w:rPr>
                <w:rStyle w:val="IndexLink"/>
              </w:rPr>
              <w:t>66</w:t>
            </w:r>
          </w:hyperlink>
        </w:p>
        <w:p>
          <w:pPr>
            <w:pStyle w:val="Contents3"/>
            <w:tabs>
              <w:tab w:val="clear" w:pos="8459"/>
              <w:tab w:val="right" w:pos="9026" w:leader="dot"/>
            </w:tabs>
            <w:rPr/>
          </w:pPr>
          <w:hyperlink w:anchor="__RefHeading___Toc1102625_73709187">
            <w:r>
              <w:rPr>
                <w:webHidden/>
                <w:rStyle w:val="IndexLink"/>
                <w:rtl w:val="true"/>
              </w:rPr>
              <w:t>الفصل الرابع في حدّ المسكر</w:t>
            </w:r>
            <w:r>
              <w:rPr>
                <w:rStyle w:val="IndexLink"/>
                <w:rtl w:val="true"/>
              </w:rPr>
              <w:tab/>
            </w:r>
            <w:r>
              <w:rPr>
                <w:rStyle w:val="IndexLink"/>
              </w:rPr>
              <w:t>69</w:t>
            </w:r>
          </w:hyperlink>
        </w:p>
        <w:p>
          <w:pPr>
            <w:pStyle w:val="Contents4"/>
            <w:tabs>
              <w:tab w:val="clear" w:pos="8176"/>
              <w:tab w:val="right" w:pos="9026" w:leader="dot"/>
            </w:tabs>
            <w:rPr/>
          </w:pPr>
          <w:hyperlink w:anchor="__RefHeading___Toc1102627_73709187">
            <w:r>
              <w:rPr>
                <w:webHidden/>
                <w:rStyle w:val="IndexLink"/>
                <w:rtl w:val="true"/>
              </w:rPr>
              <w:t>الأول في الموجب</w:t>
            </w:r>
            <w:r>
              <w:rPr>
                <w:rStyle w:val="IndexLink"/>
                <w:rtl w:val="true"/>
              </w:rPr>
              <w:tab/>
            </w:r>
            <w:r>
              <w:rPr>
                <w:rStyle w:val="IndexLink"/>
              </w:rPr>
              <w:t>69</w:t>
            </w:r>
          </w:hyperlink>
        </w:p>
        <w:p>
          <w:pPr>
            <w:pStyle w:val="Contents4"/>
            <w:tabs>
              <w:tab w:val="clear" w:pos="8176"/>
              <w:tab w:val="right" w:pos="9026" w:leader="dot"/>
            </w:tabs>
            <w:rPr/>
          </w:pPr>
          <w:hyperlink w:anchor="__RefHeading___Toc1102629_73709187">
            <w:r>
              <w:rPr>
                <w:webHidden/>
                <w:rStyle w:val="IndexLink"/>
                <w:rtl w:val="true"/>
              </w:rPr>
              <w:t>الثاني في الحدّ</w:t>
            </w:r>
            <w:r>
              <w:rPr>
                <w:rStyle w:val="IndexLink"/>
                <w:rtl w:val="true"/>
              </w:rPr>
              <w:tab/>
            </w:r>
            <w:r>
              <w:rPr>
                <w:rStyle w:val="IndexLink"/>
              </w:rPr>
              <w:t>74</w:t>
            </w:r>
          </w:hyperlink>
        </w:p>
        <w:p>
          <w:pPr>
            <w:pStyle w:val="Contents4"/>
            <w:tabs>
              <w:tab w:val="clear" w:pos="8176"/>
              <w:tab w:val="right" w:pos="9026" w:leader="dot"/>
            </w:tabs>
            <w:rPr/>
          </w:pPr>
          <w:hyperlink w:anchor="__RefHeading___Toc1102631_73709187">
            <w:r>
              <w:rPr>
                <w:webHidden/>
                <w:rStyle w:val="IndexLink"/>
                <w:rtl w:val="true"/>
              </w:rPr>
              <w:t>الثالث في الأحكام و فيه مسائل</w:t>
            </w:r>
            <w:r>
              <w:rPr>
                <w:rStyle w:val="IndexLink"/>
                <w:rtl w:val="true"/>
              </w:rPr>
              <w:tab/>
            </w:r>
            <w:r>
              <w:rPr>
                <w:rStyle w:val="IndexLink"/>
              </w:rPr>
              <w:t>80</w:t>
            </w:r>
          </w:hyperlink>
        </w:p>
        <w:p>
          <w:pPr>
            <w:pStyle w:val="Contents5"/>
            <w:tabs>
              <w:tab w:val="clear" w:pos="7892"/>
              <w:tab w:val="right" w:pos="9026" w:leader="dot"/>
            </w:tabs>
            <w:rPr/>
          </w:pPr>
          <w:hyperlink w:anchor="__RefHeading___Toc1102633_73709187">
            <w:r>
              <w:rPr>
                <w:webHidden/>
                <w:rStyle w:val="IndexLink"/>
                <w:rtl w:val="true"/>
              </w:rPr>
              <w:t>الأولى لو شهد واحد</w:t>
            </w:r>
            <w:r>
              <w:rPr>
                <w:rStyle w:val="IndexLink"/>
                <w:rtl w:val="true"/>
              </w:rPr>
              <w:tab/>
            </w:r>
            <w:r>
              <w:rPr>
                <w:rStyle w:val="IndexLink"/>
              </w:rPr>
              <w:t>80</w:t>
            </w:r>
          </w:hyperlink>
        </w:p>
        <w:p>
          <w:pPr>
            <w:pStyle w:val="Contents5"/>
            <w:tabs>
              <w:tab w:val="clear" w:pos="7892"/>
              <w:tab w:val="right" w:pos="9026" w:leader="dot"/>
            </w:tabs>
            <w:rPr/>
          </w:pPr>
          <w:hyperlink w:anchor="__RefHeading___Toc1102635_73709187">
            <w:r>
              <w:rPr>
                <w:webHidden/>
                <w:rStyle w:val="IndexLink"/>
                <w:rtl w:val="true"/>
              </w:rPr>
              <w:t>الثانية من شربها مستحلا</w:t>
            </w:r>
            <w:r>
              <w:rPr>
                <w:rStyle w:val="IndexLink"/>
                <w:rtl w:val="true"/>
              </w:rPr>
              <w:tab/>
            </w:r>
            <w:r>
              <w:rPr>
                <w:rStyle w:val="IndexLink"/>
              </w:rPr>
              <w:t>81</w:t>
            </w:r>
          </w:hyperlink>
        </w:p>
        <w:p>
          <w:pPr>
            <w:pStyle w:val="Contents5"/>
            <w:tabs>
              <w:tab w:val="clear" w:pos="7892"/>
              <w:tab w:val="right" w:pos="9026" w:leader="dot"/>
            </w:tabs>
            <w:rPr/>
          </w:pPr>
          <w:hyperlink w:anchor="__RefHeading___Toc1102637_73709187">
            <w:r>
              <w:rPr>
                <w:webHidden/>
                <w:rStyle w:val="IndexLink"/>
                <w:rtl w:val="true"/>
              </w:rPr>
              <w:t>الثالثة من باع الخمر مستحلا استُتيب</w:t>
            </w:r>
            <w:r>
              <w:rPr>
                <w:rStyle w:val="IndexLink"/>
                <w:rtl w:val="true"/>
              </w:rPr>
              <w:tab/>
            </w:r>
            <w:r>
              <w:rPr>
                <w:rStyle w:val="IndexLink"/>
              </w:rPr>
              <w:t>84</w:t>
            </w:r>
          </w:hyperlink>
        </w:p>
        <w:p>
          <w:pPr>
            <w:pStyle w:val="Contents5"/>
            <w:tabs>
              <w:tab w:val="clear" w:pos="7892"/>
              <w:tab w:val="right" w:pos="9026" w:leader="dot"/>
            </w:tabs>
            <w:rPr/>
          </w:pPr>
          <w:hyperlink w:anchor="__RefHeading___Toc1102639_73709187">
            <w:r>
              <w:rPr>
                <w:webHidden/>
                <w:rStyle w:val="IndexLink"/>
                <w:rtl w:val="true"/>
              </w:rPr>
              <w:t>الرابعة لو تاب قبل قيام البيّنة</w:t>
            </w:r>
            <w:r>
              <w:rPr>
                <w:rStyle w:val="IndexLink"/>
                <w:rtl w:val="true"/>
              </w:rPr>
              <w:tab/>
            </w:r>
            <w:r>
              <w:rPr>
                <w:rStyle w:val="IndexLink"/>
              </w:rPr>
              <w:t>85</w:t>
            </w:r>
          </w:hyperlink>
        </w:p>
        <w:p>
          <w:pPr>
            <w:pStyle w:val="Contents3"/>
            <w:tabs>
              <w:tab w:val="clear" w:pos="8459"/>
              <w:tab w:val="right" w:pos="9026" w:leader="dot"/>
            </w:tabs>
            <w:rPr/>
          </w:pPr>
          <w:hyperlink w:anchor="__RefHeading___Toc1102641_73709187">
            <w:r>
              <w:rPr>
                <w:webHidden/>
                <w:rStyle w:val="IndexLink"/>
                <w:rtl w:val="true"/>
              </w:rPr>
              <w:t>الفصل الخامس في حدّ السرقة</w:t>
            </w:r>
            <w:r>
              <w:rPr>
                <w:rStyle w:val="IndexLink"/>
                <w:rtl w:val="true"/>
              </w:rPr>
              <w:tab/>
            </w:r>
            <w:r>
              <w:rPr>
                <w:rStyle w:val="IndexLink"/>
              </w:rPr>
              <w:t>88</w:t>
            </w:r>
          </w:hyperlink>
        </w:p>
        <w:p>
          <w:pPr>
            <w:pStyle w:val="Contents4"/>
            <w:tabs>
              <w:tab w:val="clear" w:pos="8176"/>
              <w:tab w:val="right" w:pos="9026" w:leader="dot"/>
            </w:tabs>
            <w:rPr/>
          </w:pPr>
          <w:hyperlink w:anchor="__RefHeading___Toc1102643_73709187">
            <w:r>
              <w:rPr>
                <w:webHidden/>
                <w:rStyle w:val="IndexLink"/>
                <w:rtl w:val="true"/>
              </w:rPr>
              <w:t>الأول في السارق</w:t>
            </w:r>
            <w:r>
              <w:rPr>
                <w:rStyle w:val="IndexLink"/>
                <w:rtl w:val="true"/>
              </w:rPr>
              <w:tab/>
            </w:r>
            <w:r>
              <w:rPr>
                <w:rStyle w:val="IndexLink"/>
              </w:rPr>
              <w:t>88</w:t>
            </w:r>
          </w:hyperlink>
        </w:p>
        <w:p>
          <w:pPr>
            <w:pStyle w:val="Contents4"/>
            <w:tabs>
              <w:tab w:val="clear" w:pos="8176"/>
              <w:tab w:val="right" w:pos="9026" w:leader="dot"/>
            </w:tabs>
            <w:rPr/>
          </w:pPr>
          <w:hyperlink w:anchor="__RefHeading___Toc1102645_73709187">
            <w:r>
              <w:rPr>
                <w:webHidden/>
                <w:rStyle w:val="IndexLink"/>
                <w:rtl w:val="true"/>
              </w:rPr>
              <w:t>الثاني في المسروق</w:t>
            </w:r>
            <w:r>
              <w:rPr>
                <w:rStyle w:val="IndexLink"/>
                <w:rtl w:val="true"/>
              </w:rPr>
              <w:tab/>
            </w:r>
            <w:r>
              <w:rPr>
                <w:rStyle w:val="IndexLink"/>
              </w:rPr>
              <w:t>103</w:t>
            </w:r>
          </w:hyperlink>
        </w:p>
        <w:p>
          <w:pPr>
            <w:pStyle w:val="Contents4"/>
            <w:tabs>
              <w:tab w:val="clear" w:pos="8176"/>
              <w:tab w:val="right" w:pos="9026" w:leader="dot"/>
            </w:tabs>
            <w:rPr/>
          </w:pPr>
          <w:hyperlink w:anchor="__RefHeading___Toc1102647_73709187">
            <w:r>
              <w:rPr>
                <w:webHidden/>
                <w:rStyle w:val="IndexLink"/>
                <w:rtl w:val="true"/>
              </w:rPr>
              <w:t>الثالث يثبت الموجب بالإقرار مرّتين،أو بشهادة عدلين</w:t>
            </w:r>
            <w:r>
              <w:rPr>
                <w:rStyle w:val="IndexLink"/>
                <w:rtl w:val="true"/>
              </w:rPr>
              <w:tab/>
            </w:r>
            <w:r>
              <w:rPr>
                <w:rStyle w:val="IndexLink"/>
              </w:rPr>
              <w:t>125</w:t>
            </w:r>
          </w:hyperlink>
        </w:p>
        <w:p>
          <w:pPr>
            <w:pStyle w:val="Contents4"/>
            <w:tabs>
              <w:tab w:val="clear" w:pos="8176"/>
              <w:tab w:val="right" w:pos="9026" w:leader="dot"/>
            </w:tabs>
            <w:rPr/>
          </w:pPr>
          <w:hyperlink w:anchor="__RefHeading___Toc1102649_73709187">
            <w:r>
              <w:rPr>
                <w:webHidden/>
                <w:rStyle w:val="IndexLink"/>
                <w:rtl w:val="true"/>
              </w:rPr>
              <w:t>الحدّ</w:t>
            </w:r>
            <w:r>
              <w:rPr>
                <w:rStyle w:val="IndexLink"/>
                <w:rtl w:val="true"/>
              </w:rPr>
              <w:tab/>
            </w:r>
            <w:r>
              <w:rPr>
                <w:rStyle w:val="IndexLink"/>
              </w:rPr>
              <w:t>135</w:t>
            </w:r>
          </w:hyperlink>
        </w:p>
        <w:p>
          <w:pPr>
            <w:pStyle w:val="Contents4"/>
            <w:tabs>
              <w:tab w:val="clear" w:pos="8176"/>
              <w:tab w:val="right" w:pos="9026" w:leader="dot"/>
            </w:tabs>
            <w:rPr/>
          </w:pPr>
          <w:hyperlink w:anchor="__RefHeading___Toc1102651_73709187">
            <w:r>
              <w:rPr>
                <w:webHidden/>
                <w:rStyle w:val="IndexLink"/>
                <w:rtl w:val="true"/>
              </w:rPr>
              <w:t>الخامس في اللواحق،و فيه مسائل</w:t>
            </w:r>
            <w:r>
              <w:rPr>
                <w:rStyle w:val="IndexLink"/>
                <w:rtl w:val="true"/>
              </w:rPr>
              <w:tab/>
            </w:r>
            <w:r>
              <w:rPr>
                <w:rStyle w:val="IndexLink"/>
              </w:rPr>
              <w:t>149</w:t>
            </w:r>
          </w:hyperlink>
        </w:p>
        <w:p>
          <w:pPr>
            <w:pStyle w:val="Contents5"/>
            <w:tabs>
              <w:tab w:val="clear" w:pos="7892"/>
              <w:tab w:val="right" w:pos="9026" w:leader="dot"/>
            </w:tabs>
            <w:rPr/>
          </w:pPr>
          <w:hyperlink w:anchor="__RefHeading___Toc1102653_73709187">
            <w:r>
              <w:rPr>
                <w:webHidden/>
                <w:rStyle w:val="IndexLink"/>
                <w:rtl w:val="true"/>
              </w:rPr>
              <w:t>الأولى إذا سرق اثنان نصاباً</w:t>
            </w:r>
            <w:r>
              <w:rPr>
                <w:rStyle w:val="IndexLink"/>
                <w:rtl w:val="true"/>
              </w:rPr>
              <w:tab/>
            </w:r>
            <w:r>
              <w:rPr>
                <w:rStyle w:val="IndexLink"/>
              </w:rPr>
              <w:t>149</w:t>
            </w:r>
          </w:hyperlink>
        </w:p>
        <w:p>
          <w:pPr>
            <w:pStyle w:val="Contents5"/>
            <w:tabs>
              <w:tab w:val="clear" w:pos="7892"/>
              <w:tab w:val="right" w:pos="9026" w:leader="dot"/>
            </w:tabs>
            <w:rPr/>
          </w:pPr>
          <w:hyperlink w:anchor="__RefHeading___Toc1102655_73709187">
            <w:r>
              <w:rPr>
                <w:webHidden/>
                <w:rStyle w:val="IndexLink"/>
                <w:rtl w:val="true"/>
              </w:rPr>
              <w:t>الثانية لو قامت الحجة بالسرقة</w:t>
            </w:r>
            <w:r>
              <w:rPr>
                <w:rStyle w:val="IndexLink"/>
                <w:rtl w:val="true"/>
              </w:rPr>
              <w:tab/>
            </w:r>
            <w:r>
              <w:rPr>
                <w:rStyle w:val="IndexLink"/>
              </w:rPr>
              <w:t>150</w:t>
            </w:r>
          </w:hyperlink>
        </w:p>
        <w:p>
          <w:pPr>
            <w:pStyle w:val="Contents5"/>
            <w:tabs>
              <w:tab w:val="clear" w:pos="7892"/>
              <w:tab w:val="right" w:pos="9026" w:leader="dot"/>
            </w:tabs>
            <w:rPr/>
          </w:pPr>
          <w:hyperlink w:anchor="__RefHeading___Toc1102657_73709187">
            <w:r>
              <w:rPr>
                <w:webHidden/>
                <w:rStyle w:val="IndexLink"/>
                <w:rtl w:val="true"/>
              </w:rPr>
              <w:t>الثالثة قطع السارق موقوف</w:t>
            </w:r>
            <w:r>
              <w:rPr>
                <w:rStyle w:val="IndexLink"/>
                <w:rtl w:val="true"/>
              </w:rPr>
              <w:tab/>
            </w:r>
            <w:r>
              <w:rPr>
                <w:rStyle w:val="IndexLink"/>
              </w:rPr>
              <w:t>152</w:t>
            </w:r>
          </w:hyperlink>
        </w:p>
        <w:p>
          <w:pPr>
            <w:pStyle w:val="Contents3"/>
            <w:tabs>
              <w:tab w:val="clear" w:pos="8459"/>
              <w:tab w:val="right" w:pos="9026" w:leader="dot"/>
            </w:tabs>
            <w:rPr/>
          </w:pPr>
          <w:hyperlink w:anchor="__RefHeading___Toc1102659_73709187">
            <w:r>
              <w:rPr>
                <w:webHidden/>
                <w:rStyle w:val="IndexLink"/>
                <w:rtl w:val="true"/>
              </w:rPr>
              <w:t>الفصل السادس في المحارب</w:t>
            </w:r>
            <w:r>
              <w:rPr>
                <w:rStyle w:val="IndexLink"/>
                <w:rtl w:val="true"/>
              </w:rPr>
              <w:tab/>
            </w:r>
            <w:r>
              <w:rPr>
                <w:rStyle w:val="IndexLink"/>
              </w:rPr>
              <w:t>154</w:t>
            </w:r>
          </w:hyperlink>
        </w:p>
        <w:p>
          <w:pPr>
            <w:pStyle w:val="Contents3"/>
            <w:tabs>
              <w:tab w:val="clear" w:pos="8459"/>
              <w:tab w:val="right" w:pos="9026" w:leader="dot"/>
            </w:tabs>
            <w:rPr/>
          </w:pPr>
          <w:hyperlink w:anchor="__RefHeading___Toc1102661_73709187">
            <w:r>
              <w:rPr>
                <w:webHidden/>
                <w:rStyle w:val="IndexLink"/>
                <w:rtl w:val="true"/>
              </w:rPr>
              <w:t>الفصل السابع في إتيان البهائم و وطء الأموات،و ما يتبعه</w:t>
            </w:r>
            <w:r>
              <w:rPr>
                <w:rStyle w:val="IndexLink"/>
                <w:rtl w:val="true"/>
              </w:rPr>
              <w:tab/>
            </w:r>
            <w:r>
              <w:rPr>
                <w:rStyle w:val="IndexLink"/>
              </w:rPr>
              <w:t>173</w:t>
            </w:r>
          </w:hyperlink>
        </w:p>
        <w:p>
          <w:pPr>
            <w:pStyle w:val="Contents2"/>
            <w:tabs>
              <w:tab w:val="clear" w:pos="8743"/>
              <w:tab w:val="right" w:pos="9026" w:leader="dot"/>
            </w:tabs>
            <w:rPr/>
          </w:pPr>
          <w:hyperlink w:anchor="__RefHeading___Toc1102663_73709187">
            <w:r>
              <w:rPr>
                <w:webHidden/>
                <w:rStyle w:val="IndexLink"/>
                <w:rtl w:val="true"/>
              </w:rPr>
              <w:t>كتاب القصاص</w:t>
            </w:r>
            <w:r>
              <w:rPr>
                <w:rStyle w:val="IndexLink"/>
                <w:rtl w:val="true"/>
              </w:rPr>
              <w:tab/>
            </w:r>
            <w:r>
              <w:rPr>
                <w:rStyle w:val="IndexLink"/>
              </w:rPr>
              <w:t>186</w:t>
            </w:r>
          </w:hyperlink>
        </w:p>
        <w:p>
          <w:pPr>
            <w:pStyle w:val="Contents3"/>
            <w:tabs>
              <w:tab w:val="clear" w:pos="8459"/>
              <w:tab w:val="right" w:pos="9026" w:leader="dot"/>
            </w:tabs>
            <w:rPr/>
          </w:pPr>
          <w:hyperlink w:anchor="__RefHeading___Toc1102665_73709187">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102667_73709187">
            <w:r>
              <w:rPr>
                <w:webHidden/>
                <w:rStyle w:val="IndexLink"/>
                <w:rtl w:val="true"/>
              </w:rPr>
              <w:t>القسم الأول في قصاص النفس</w:t>
            </w:r>
            <w:r>
              <w:rPr>
                <w:rStyle w:val="IndexLink"/>
                <w:rtl w:val="true"/>
              </w:rPr>
              <w:t>(</w:t>
            </w:r>
            <w:r>
              <w:rPr>
                <w:rStyle w:val="IndexLink"/>
                <w:rtl w:val="true"/>
              </w:rPr>
              <w:t>القود</w:t>
            </w:r>
            <w:r>
              <w:rPr>
                <w:rStyle w:val="IndexLink"/>
                <w:rtl w:val="true"/>
              </w:rPr>
              <w:t>)</w:t>
              <w:tab/>
            </w:r>
            <w:r>
              <w:rPr>
                <w:rStyle w:val="IndexLink"/>
              </w:rPr>
              <w:t>186</w:t>
            </w:r>
          </w:hyperlink>
        </w:p>
        <w:p>
          <w:pPr>
            <w:pStyle w:val="Contents4"/>
            <w:tabs>
              <w:tab w:val="clear" w:pos="8176"/>
              <w:tab w:val="right" w:pos="9026" w:leader="dot"/>
            </w:tabs>
            <w:rPr/>
          </w:pPr>
          <w:hyperlink w:anchor="__RefHeading___Toc1102669_73709187">
            <w:r>
              <w:rPr>
                <w:webHidden/>
                <w:rStyle w:val="IndexLink"/>
                <w:rtl w:val="true"/>
              </w:rPr>
              <w:t>الموجب</w:t>
            </w:r>
            <w:r>
              <w:rPr>
                <w:rStyle w:val="IndexLink"/>
                <w:rtl w:val="true"/>
              </w:rPr>
              <w:tab/>
            </w:r>
            <w:r>
              <w:rPr>
                <w:rStyle w:val="IndexLink"/>
              </w:rPr>
              <w:t>186</w:t>
            </w:r>
          </w:hyperlink>
        </w:p>
        <w:p>
          <w:pPr>
            <w:pStyle w:val="Contents5"/>
            <w:tabs>
              <w:tab w:val="clear" w:pos="7892"/>
              <w:tab w:val="right" w:pos="9026" w:leader="dot"/>
            </w:tabs>
            <w:rPr/>
          </w:pPr>
          <w:hyperlink w:anchor="__RefHeading___Toc1102671_7370918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02673_73709187">
            <w:r>
              <w:rPr>
                <w:webHidden/>
                <w:rStyle w:val="IndexLink"/>
                <w:rtl w:val="true"/>
              </w:rPr>
              <w:t>مسائل من الاشتراك</w:t>
            </w:r>
            <w:r>
              <w:rPr>
                <w:rStyle w:val="IndexLink"/>
                <w:rtl w:val="true"/>
              </w:rPr>
              <w:tab/>
            </w:r>
            <w:r>
              <w:rPr>
                <w:rStyle w:val="IndexLink"/>
              </w:rPr>
              <w:t>201</w:t>
            </w:r>
          </w:hyperlink>
        </w:p>
        <w:p>
          <w:pPr>
            <w:pStyle w:val="Contents6"/>
            <w:tabs>
              <w:tab w:val="clear" w:pos="7609"/>
              <w:tab w:val="right" w:pos="9026" w:leader="dot"/>
            </w:tabs>
            <w:rPr/>
          </w:pPr>
          <w:hyperlink w:anchor="__RefHeading___Toc1102675_73709187">
            <w:r>
              <w:rPr>
                <w:webHidden/>
                <w:rStyle w:val="IndexLink"/>
                <w:rtl w:val="true"/>
              </w:rPr>
              <w:t>الأولى لو اشترك جماعة في قتل حرٍّ مسلم</w:t>
            </w:r>
            <w:r>
              <w:rPr>
                <w:rStyle w:val="IndexLink"/>
                <w:rtl w:val="true"/>
              </w:rPr>
              <w:tab/>
            </w:r>
            <w:r>
              <w:rPr>
                <w:rStyle w:val="IndexLink"/>
              </w:rPr>
              <w:t>201</w:t>
            </w:r>
          </w:hyperlink>
        </w:p>
        <w:p>
          <w:pPr>
            <w:pStyle w:val="Contents6"/>
            <w:tabs>
              <w:tab w:val="clear" w:pos="7609"/>
              <w:tab w:val="right" w:pos="9026" w:leader="dot"/>
            </w:tabs>
            <w:rPr/>
          </w:pPr>
          <w:hyperlink w:anchor="__RefHeading___Toc1102677_73709187">
            <w:r>
              <w:rPr>
                <w:webHidden/>
                <w:rStyle w:val="IndexLink"/>
                <w:rtl w:val="true"/>
              </w:rPr>
              <w:t>الثانية يقتصّ من الجماعة في الأطراف</w:t>
            </w:r>
            <w:r>
              <w:rPr>
                <w:rStyle w:val="IndexLink"/>
                <w:rtl w:val="true"/>
              </w:rPr>
              <w:tab/>
            </w:r>
            <w:r>
              <w:rPr>
                <w:rStyle w:val="IndexLink"/>
              </w:rPr>
              <w:t>203</w:t>
            </w:r>
          </w:hyperlink>
        </w:p>
        <w:p>
          <w:pPr>
            <w:pStyle w:val="Contents6"/>
            <w:tabs>
              <w:tab w:val="clear" w:pos="7609"/>
              <w:tab w:val="right" w:pos="9026" w:leader="dot"/>
            </w:tabs>
            <w:rPr/>
          </w:pPr>
          <w:hyperlink w:anchor="__RefHeading___Toc1102679_73709187">
            <w:r>
              <w:rPr>
                <w:webHidden/>
                <w:rStyle w:val="IndexLink"/>
                <w:rtl w:val="true"/>
              </w:rPr>
              <w:t>الثالثة لو اشتركت في قتله امرأتان</w:t>
            </w:r>
            <w:r>
              <w:rPr>
                <w:rStyle w:val="IndexLink"/>
                <w:rtl w:val="true"/>
              </w:rPr>
              <w:tab/>
            </w:r>
            <w:r>
              <w:rPr>
                <w:rStyle w:val="IndexLink"/>
              </w:rPr>
              <w:t>204</w:t>
            </w:r>
          </w:hyperlink>
        </w:p>
        <w:p>
          <w:pPr>
            <w:pStyle w:val="Contents6"/>
            <w:tabs>
              <w:tab w:val="clear" w:pos="7609"/>
              <w:tab w:val="right" w:pos="9026" w:leader="dot"/>
            </w:tabs>
            <w:rPr/>
          </w:pPr>
          <w:hyperlink w:anchor="__RefHeading___Toc1102681_73709187">
            <w:r>
              <w:rPr>
                <w:webHidden/>
                <w:rStyle w:val="IndexLink"/>
                <w:rtl w:val="true"/>
              </w:rPr>
              <w:t>الرابعة لو اشترك حرّ و عبد</w:t>
            </w:r>
            <w:r>
              <w:rPr>
                <w:rStyle w:val="IndexLink"/>
                <w:rtl w:val="true"/>
              </w:rPr>
              <w:tab/>
            </w:r>
            <w:r>
              <w:rPr>
                <w:rStyle w:val="IndexLink"/>
              </w:rPr>
              <w:t>207</w:t>
            </w:r>
          </w:hyperlink>
        </w:p>
        <w:p>
          <w:pPr>
            <w:pStyle w:val="Contents4"/>
            <w:tabs>
              <w:tab w:val="clear" w:pos="8176"/>
              <w:tab w:val="right" w:pos="9026" w:leader="dot"/>
            </w:tabs>
            <w:rPr/>
          </w:pPr>
          <w:hyperlink w:anchor="__RefHeading___Toc1102683_73709187">
            <w:r>
              <w:rPr>
                <w:webHidden/>
                <w:rStyle w:val="IndexLink"/>
                <w:rtl w:val="true"/>
              </w:rPr>
              <w:t>القول</w:t>
            </w:r>
            <w:r>
              <w:rPr>
                <w:rStyle w:val="IndexLink"/>
                <w:rtl w:val="true"/>
              </w:rPr>
              <w:t>:</w:t>
            </w:r>
            <w:r>
              <w:rPr>
                <w:rStyle w:val="IndexLink"/>
                <w:rtl w:val="true"/>
              </w:rPr>
              <w:t>في الشرائط المعتبرة في القصاص</w:t>
            </w:r>
            <w:r>
              <w:rPr>
                <w:rStyle w:val="IndexLink"/>
                <w:rtl w:val="true"/>
              </w:rPr>
              <w:tab/>
            </w:r>
            <w:r>
              <w:rPr>
                <w:rStyle w:val="IndexLink"/>
              </w:rPr>
              <w:t>212</w:t>
            </w:r>
          </w:hyperlink>
        </w:p>
        <w:p>
          <w:pPr>
            <w:pStyle w:val="Contents5"/>
            <w:tabs>
              <w:tab w:val="clear" w:pos="7892"/>
              <w:tab w:val="right" w:pos="9026" w:leader="dot"/>
            </w:tabs>
            <w:rPr/>
          </w:pPr>
          <w:hyperlink w:anchor="__RefHeading___Toc1102685_73709187">
            <w:r>
              <w:rPr>
                <w:webHidden/>
                <w:rStyle w:val="IndexLink"/>
                <w:rtl w:val="true"/>
              </w:rPr>
              <w:t>الأوّل الحرّية</w:t>
            </w:r>
            <w:r>
              <w:rPr>
                <w:rStyle w:val="IndexLink"/>
                <w:rtl w:val="true"/>
              </w:rPr>
              <w:tab/>
            </w:r>
            <w:r>
              <w:rPr>
                <w:rStyle w:val="IndexLink"/>
              </w:rPr>
              <w:t>212</w:t>
            </w:r>
          </w:hyperlink>
        </w:p>
        <w:p>
          <w:pPr>
            <w:pStyle w:val="Contents6"/>
            <w:tabs>
              <w:tab w:val="clear" w:pos="7609"/>
              <w:tab w:val="right" w:pos="9026" w:leader="dot"/>
            </w:tabs>
            <w:rPr/>
          </w:pPr>
          <w:hyperlink w:anchor="__RefHeading___Toc1102687_7370918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102689_73709187">
            <w:r>
              <w:rPr>
                <w:webHidden/>
                <w:rStyle w:val="IndexLink"/>
                <w:rtl w:val="true"/>
              </w:rPr>
              <w:t>مسائل</w:t>
            </w:r>
            <w:r>
              <w:rPr>
                <w:rStyle w:val="IndexLink"/>
                <w:rtl w:val="true"/>
              </w:rPr>
              <w:tab/>
            </w:r>
            <w:r>
              <w:rPr>
                <w:rStyle w:val="IndexLink"/>
              </w:rPr>
              <w:t>237</w:t>
            </w:r>
          </w:hyperlink>
        </w:p>
        <w:p>
          <w:pPr>
            <w:pStyle w:val="Contents6"/>
            <w:tabs>
              <w:tab w:val="clear" w:pos="7609"/>
              <w:tab w:val="right" w:pos="9026" w:leader="dot"/>
            </w:tabs>
            <w:rPr/>
          </w:pPr>
          <w:hyperlink w:anchor="__RefHeading___Toc1102691_73709187">
            <w:r>
              <w:rPr>
                <w:webHidden/>
                <w:rStyle w:val="IndexLink"/>
                <w:rtl w:val="true"/>
              </w:rPr>
              <w:t>الأولى لو قتل الحرّ حرّين</w:t>
            </w:r>
            <w:r>
              <w:rPr>
                <w:rStyle w:val="IndexLink"/>
                <w:rtl w:val="true"/>
              </w:rPr>
              <w:tab/>
            </w:r>
            <w:r>
              <w:rPr>
                <w:rStyle w:val="IndexLink"/>
              </w:rPr>
              <w:t>237</w:t>
            </w:r>
          </w:hyperlink>
        </w:p>
        <w:p>
          <w:pPr>
            <w:pStyle w:val="Contents6"/>
            <w:tabs>
              <w:tab w:val="clear" w:pos="7609"/>
              <w:tab w:val="right" w:pos="9026" w:leader="dot"/>
            </w:tabs>
            <w:rPr/>
          </w:pPr>
          <w:hyperlink w:anchor="__RefHeading___Toc1102693_73709187">
            <w:r>
              <w:rPr>
                <w:webHidden/>
                <w:rStyle w:val="IndexLink"/>
                <w:rtl w:val="true"/>
              </w:rPr>
              <w:t>الثانية لو قطع يمين رجلين</w:t>
            </w:r>
            <w:r>
              <w:rPr>
                <w:rStyle w:val="IndexLink"/>
                <w:rtl w:val="true"/>
              </w:rPr>
              <w:tab/>
            </w:r>
            <w:r>
              <w:rPr>
                <w:rStyle w:val="IndexLink"/>
              </w:rPr>
              <w:t>240</w:t>
            </w:r>
          </w:hyperlink>
        </w:p>
        <w:p>
          <w:pPr>
            <w:pStyle w:val="Contents6"/>
            <w:tabs>
              <w:tab w:val="clear" w:pos="7609"/>
              <w:tab w:val="right" w:pos="9026" w:leader="dot"/>
            </w:tabs>
            <w:rPr/>
          </w:pPr>
          <w:hyperlink w:anchor="__RefHeading___Toc1102695_73709187">
            <w:r>
              <w:rPr>
                <w:webHidden/>
                <w:rStyle w:val="IndexLink"/>
                <w:rtl w:val="true"/>
              </w:rPr>
              <w:t>الثالثة إذا قتل العبد حرّا عمداً فأعتقه</w:t>
            </w:r>
            <w:r>
              <w:rPr>
                <w:rStyle w:val="IndexLink"/>
                <w:rtl w:val="true"/>
              </w:rPr>
              <w:tab/>
            </w:r>
            <w:r>
              <w:rPr>
                <w:rStyle w:val="IndexLink"/>
              </w:rPr>
              <w:t>242</w:t>
            </w:r>
          </w:hyperlink>
        </w:p>
        <w:p>
          <w:pPr>
            <w:pStyle w:val="Contents5"/>
            <w:tabs>
              <w:tab w:val="clear" w:pos="7892"/>
              <w:tab w:val="right" w:pos="9026" w:leader="dot"/>
            </w:tabs>
            <w:rPr/>
          </w:pPr>
          <w:hyperlink w:anchor="__RefHeading___Toc1102697_73709187">
            <w:r>
              <w:rPr>
                <w:webHidden/>
                <w:rStyle w:val="IndexLink"/>
                <w:rtl w:val="true"/>
              </w:rPr>
              <w:t>الشرط الثاني الدين</w:t>
            </w:r>
            <w:r>
              <w:rPr>
                <w:rStyle w:val="IndexLink"/>
                <w:rtl w:val="true"/>
              </w:rPr>
              <w:tab/>
            </w:r>
            <w:r>
              <w:rPr>
                <w:rStyle w:val="IndexLink"/>
              </w:rPr>
              <w:t>245</w:t>
            </w:r>
          </w:hyperlink>
        </w:p>
        <w:p>
          <w:pPr>
            <w:pStyle w:val="Contents5"/>
            <w:tabs>
              <w:tab w:val="clear" w:pos="7892"/>
              <w:tab w:val="right" w:pos="9026" w:leader="dot"/>
            </w:tabs>
            <w:rPr/>
          </w:pPr>
          <w:hyperlink w:anchor="__RefHeading___Toc1102699_73709187">
            <w:r>
              <w:rPr>
                <w:webHidden/>
                <w:rStyle w:val="IndexLink"/>
                <w:rtl w:val="true"/>
              </w:rPr>
              <w:t>الشرط الثالث أن لا يكون القاتل أباً</w:t>
            </w:r>
            <w:r>
              <w:rPr>
                <w:rStyle w:val="IndexLink"/>
                <w:rtl w:val="true"/>
              </w:rPr>
              <w:tab/>
            </w:r>
            <w:r>
              <w:rPr>
                <w:rStyle w:val="IndexLink"/>
              </w:rPr>
              <w:t>253</w:t>
            </w:r>
          </w:hyperlink>
        </w:p>
        <w:p>
          <w:pPr>
            <w:pStyle w:val="Contents5"/>
            <w:tabs>
              <w:tab w:val="clear" w:pos="7892"/>
              <w:tab w:val="right" w:pos="9026" w:leader="dot"/>
            </w:tabs>
            <w:rPr/>
          </w:pPr>
          <w:hyperlink w:anchor="__RefHeading___Toc1102701_73709187">
            <w:r>
              <w:rPr>
                <w:webHidden/>
                <w:rStyle w:val="IndexLink"/>
                <w:rtl w:val="true"/>
              </w:rPr>
              <w:t>الشرط الرابع كمال العقل</w:t>
            </w:r>
            <w:r>
              <w:rPr>
                <w:rStyle w:val="IndexLink"/>
                <w:rtl w:val="true"/>
              </w:rPr>
              <w:tab/>
            </w:r>
            <w:r>
              <w:rPr>
                <w:rStyle w:val="IndexLink"/>
              </w:rPr>
              <w:t>256</w:t>
            </w:r>
          </w:hyperlink>
        </w:p>
        <w:p>
          <w:pPr>
            <w:pStyle w:val="Contents5"/>
            <w:tabs>
              <w:tab w:val="clear" w:pos="7892"/>
              <w:tab w:val="right" w:pos="9026" w:leader="dot"/>
            </w:tabs>
            <w:rPr/>
          </w:pPr>
          <w:hyperlink w:anchor="__RefHeading___Toc1102703_73709187">
            <w:r>
              <w:rPr>
                <w:webHidden/>
                <w:rStyle w:val="IndexLink"/>
                <w:rtl w:val="true"/>
              </w:rPr>
              <w:t>الشرط الخامس أن يكون المقتول محقون الدم</w:t>
            </w:r>
            <w:r>
              <w:rPr>
                <w:rStyle w:val="IndexLink"/>
                <w:rtl w:val="true"/>
              </w:rPr>
              <w:tab/>
            </w:r>
            <w:r>
              <w:rPr>
                <w:rStyle w:val="IndexLink"/>
              </w:rPr>
              <w:t>268</w:t>
            </w:r>
          </w:hyperlink>
        </w:p>
        <w:p>
          <w:pPr>
            <w:pStyle w:val="Contents4"/>
            <w:tabs>
              <w:tab w:val="clear" w:pos="8176"/>
              <w:tab w:val="right" w:pos="9026" w:leader="dot"/>
            </w:tabs>
            <w:rPr/>
          </w:pPr>
          <w:hyperlink w:anchor="__RefHeading___Toc1102705_73709187">
            <w:r>
              <w:rPr>
                <w:webHidden/>
                <w:rStyle w:val="IndexLink"/>
                <w:rtl w:val="true"/>
              </w:rPr>
              <w:t>القول</w:t>
            </w:r>
            <w:r>
              <w:rPr>
                <w:rStyle w:val="IndexLink"/>
                <w:rtl w:val="true"/>
              </w:rPr>
              <w:t>:</w:t>
            </w:r>
            <w:r>
              <w:rPr>
                <w:rStyle w:val="IndexLink"/>
                <w:rtl w:val="true"/>
              </w:rPr>
              <w:t>فيما يثبت به</w:t>
            </w:r>
            <w:r>
              <w:rPr>
                <w:rStyle w:val="IndexLink"/>
                <w:rtl w:val="true"/>
              </w:rPr>
              <w:tab/>
            </w:r>
            <w:r>
              <w:rPr>
                <w:rStyle w:val="IndexLink"/>
              </w:rPr>
              <w:t>269</w:t>
            </w:r>
          </w:hyperlink>
        </w:p>
        <w:p>
          <w:pPr>
            <w:pStyle w:val="Contents5"/>
            <w:tabs>
              <w:tab w:val="clear" w:pos="7892"/>
              <w:tab w:val="right" w:pos="9026" w:leader="dot"/>
            </w:tabs>
            <w:rPr/>
          </w:pPr>
          <w:hyperlink w:anchor="__RefHeading___Toc1102707_73709187">
            <w:r>
              <w:rPr>
                <w:webHidden/>
                <w:rStyle w:val="IndexLink"/>
                <w:rtl w:val="true"/>
              </w:rPr>
              <w:t>الإقرار</w:t>
            </w:r>
            <w:r>
              <w:rPr>
                <w:rStyle w:val="IndexLink"/>
                <w:rtl w:val="true"/>
              </w:rPr>
              <w:tab/>
            </w:r>
            <w:r>
              <w:rPr>
                <w:rStyle w:val="IndexLink"/>
              </w:rPr>
              <w:t>269</w:t>
            </w:r>
          </w:hyperlink>
        </w:p>
        <w:p>
          <w:pPr>
            <w:pStyle w:val="Contents5"/>
            <w:tabs>
              <w:tab w:val="clear" w:pos="7892"/>
              <w:tab w:val="right" w:pos="9026" w:leader="dot"/>
            </w:tabs>
            <w:rPr/>
          </w:pPr>
          <w:hyperlink w:anchor="__RefHeading___Toc1102709_73709187">
            <w:r>
              <w:rPr>
                <w:webHidden/>
                <w:rStyle w:val="IndexLink"/>
                <w:rtl w:val="true"/>
              </w:rPr>
              <w:t>البيّنة</w:t>
            </w:r>
            <w:r>
              <w:rPr>
                <w:rStyle w:val="IndexLink"/>
                <w:rtl w:val="true"/>
              </w:rPr>
              <w:tab/>
            </w:r>
            <w:r>
              <w:rPr>
                <w:rStyle w:val="IndexLink"/>
              </w:rPr>
              <w:t>272</w:t>
            </w:r>
          </w:hyperlink>
        </w:p>
        <w:p>
          <w:pPr>
            <w:pStyle w:val="Contents6"/>
            <w:tabs>
              <w:tab w:val="clear" w:pos="7609"/>
              <w:tab w:val="right" w:pos="9026" w:leader="dot"/>
            </w:tabs>
            <w:rPr/>
          </w:pPr>
          <w:hyperlink w:anchor="__RefHeading___Toc1102711_7370918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102713_73709187">
            <w:r>
              <w:rPr>
                <w:webHidden/>
                <w:rStyle w:val="IndexLink"/>
                <w:rtl w:val="true"/>
              </w:rPr>
              <w:t>مسائل</w:t>
            </w:r>
            <w:r>
              <w:rPr>
                <w:rStyle w:val="IndexLink"/>
                <w:rtl w:val="true"/>
              </w:rPr>
              <w:tab/>
            </w:r>
            <w:r>
              <w:rPr>
                <w:rStyle w:val="IndexLink"/>
              </w:rPr>
              <w:t>277</w:t>
            </w:r>
          </w:hyperlink>
        </w:p>
        <w:p>
          <w:pPr>
            <w:pStyle w:val="Contents6"/>
            <w:tabs>
              <w:tab w:val="clear" w:pos="7609"/>
              <w:tab w:val="right" w:pos="9026" w:leader="dot"/>
            </w:tabs>
            <w:rPr/>
          </w:pPr>
          <w:hyperlink w:anchor="__RefHeading___Toc1102715_73709187">
            <w:r>
              <w:rPr>
                <w:webHidden/>
                <w:rStyle w:val="IndexLink"/>
                <w:rtl w:val="true"/>
              </w:rPr>
              <w:t>الأولى قيل يحبس المتهم بالدم ستة أيام</w:t>
            </w:r>
            <w:r>
              <w:rPr>
                <w:rStyle w:val="IndexLink"/>
                <w:rtl w:val="true"/>
              </w:rPr>
              <w:tab/>
            </w:r>
            <w:r>
              <w:rPr>
                <w:rStyle w:val="IndexLink"/>
              </w:rPr>
              <w:t>277</w:t>
            </w:r>
          </w:hyperlink>
        </w:p>
        <w:p>
          <w:pPr>
            <w:pStyle w:val="Contents6"/>
            <w:tabs>
              <w:tab w:val="clear" w:pos="7609"/>
              <w:tab w:val="right" w:pos="9026" w:leader="dot"/>
            </w:tabs>
            <w:rPr/>
          </w:pPr>
          <w:hyperlink w:anchor="__RefHeading___Toc1102717_73709187">
            <w:r>
              <w:rPr>
                <w:webHidden/>
                <w:rStyle w:val="IndexLink"/>
                <w:rtl w:val="true"/>
              </w:rPr>
              <w:t>الثانية لو قتل و ادّعى أنّه وجد المقتول مع امرأته</w:t>
            </w:r>
            <w:r>
              <w:rPr>
                <w:rStyle w:val="IndexLink"/>
                <w:rtl w:val="true"/>
              </w:rPr>
              <w:tab/>
            </w:r>
            <w:r>
              <w:rPr>
                <w:rStyle w:val="IndexLink"/>
              </w:rPr>
              <w:t>280</w:t>
            </w:r>
          </w:hyperlink>
        </w:p>
        <w:p>
          <w:pPr>
            <w:pStyle w:val="Contents6"/>
            <w:tabs>
              <w:tab w:val="clear" w:pos="7609"/>
              <w:tab w:val="right" w:pos="9026" w:leader="dot"/>
            </w:tabs>
            <w:rPr/>
          </w:pPr>
          <w:hyperlink w:anchor="__RefHeading___Toc1102719_73709187">
            <w:r>
              <w:rPr>
                <w:webHidden/>
                <w:rStyle w:val="IndexLink"/>
                <w:rtl w:val="true"/>
              </w:rPr>
              <w:t>الثالثة خطأ الحاكم في القتل و الجرح على بيت المال</w:t>
            </w:r>
            <w:r>
              <w:rPr>
                <w:rStyle w:val="IndexLink"/>
                <w:rtl w:val="true"/>
              </w:rPr>
              <w:tab/>
            </w:r>
            <w:r>
              <w:rPr>
                <w:rStyle w:val="IndexLink"/>
              </w:rPr>
              <w:t>281</w:t>
            </w:r>
          </w:hyperlink>
        </w:p>
        <w:p>
          <w:pPr>
            <w:pStyle w:val="Contents5"/>
            <w:tabs>
              <w:tab w:val="clear" w:pos="7892"/>
              <w:tab w:val="right" w:pos="9026" w:leader="dot"/>
            </w:tabs>
            <w:rPr/>
          </w:pPr>
          <w:hyperlink w:anchor="__RefHeading___Toc1102721_73709187">
            <w:r>
              <w:rPr>
                <w:webHidden/>
                <w:rStyle w:val="IndexLink"/>
                <w:rtl w:val="true"/>
              </w:rPr>
              <w:t>القَسامة</w:t>
            </w:r>
            <w:r>
              <w:rPr>
                <w:rStyle w:val="IndexLink"/>
                <w:rtl w:val="true"/>
              </w:rPr>
              <w:tab/>
            </w:r>
            <w:r>
              <w:rPr>
                <w:rStyle w:val="IndexLink"/>
              </w:rPr>
              <w:t>283</w:t>
            </w:r>
          </w:hyperlink>
        </w:p>
        <w:p>
          <w:pPr>
            <w:pStyle w:val="Contents4"/>
            <w:tabs>
              <w:tab w:val="clear" w:pos="8176"/>
              <w:tab w:val="right" w:pos="9026" w:leader="dot"/>
            </w:tabs>
            <w:rPr/>
          </w:pPr>
          <w:hyperlink w:anchor="__RefHeading___Toc1102723_73709187">
            <w:r>
              <w:rPr>
                <w:webHidden/>
                <w:rStyle w:val="IndexLink"/>
                <w:rtl w:val="true"/>
              </w:rPr>
              <w:t>القول في كيفيّة الاستيفاء</w:t>
            </w:r>
            <w:r>
              <w:rPr>
                <w:rStyle w:val="IndexLink"/>
                <w:rtl w:val="true"/>
              </w:rPr>
              <w:tab/>
            </w:r>
            <w:r>
              <w:rPr>
                <w:rStyle w:val="IndexLink"/>
              </w:rPr>
              <w:t>301</w:t>
            </w:r>
          </w:hyperlink>
        </w:p>
        <w:p>
          <w:pPr>
            <w:pStyle w:val="Contents5"/>
            <w:tabs>
              <w:tab w:val="clear" w:pos="7892"/>
              <w:tab w:val="right" w:pos="9026" w:leader="dot"/>
            </w:tabs>
            <w:rPr/>
          </w:pPr>
          <w:hyperlink w:anchor="__RefHeading___Toc1102725_7370918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02727_73709187">
            <w:r>
              <w:rPr>
                <w:webHidden/>
                <w:rStyle w:val="IndexLink"/>
                <w:rtl w:val="true"/>
              </w:rPr>
              <w:t>و هنا مسائل</w:t>
            </w:r>
            <w:r>
              <w:rPr>
                <w:rStyle w:val="IndexLink"/>
                <w:rtl w:val="true"/>
              </w:rPr>
              <w:tab/>
            </w:r>
            <w:r>
              <w:rPr>
                <w:rStyle w:val="IndexLink"/>
              </w:rPr>
              <w:t>311</w:t>
            </w:r>
          </w:hyperlink>
        </w:p>
        <w:p>
          <w:pPr>
            <w:pStyle w:val="Contents6"/>
            <w:tabs>
              <w:tab w:val="clear" w:pos="7609"/>
              <w:tab w:val="right" w:pos="9026" w:leader="dot"/>
            </w:tabs>
            <w:rPr/>
          </w:pPr>
          <w:hyperlink w:anchor="__RefHeading___Toc1102729_73709187">
            <w:r>
              <w:rPr>
                <w:webHidden/>
                <w:rStyle w:val="IndexLink"/>
                <w:rtl w:val="true"/>
              </w:rPr>
              <w:t>الأولى لو اختار بعض الأولياء الدية</w:t>
            </w:r>
            <w:r>
              <w:rPr>
                <w:rStyle w:val="IndexLink"/>
                <w:rtl w:val="true"/>
              </w:rPr>
              <w:tab/>
            </w:r>
            <w:r>
              <w:rPr>
                <w:rStyle w:val="IndexLink"/>
              </w:rPr>
              <w:t>311</w:t>
            </w:r>
          </w:hyperlink>
        </w:p>
        <w:p>
          <w:pPr>
            <w:pStyle w:val="Contents6"/>
            <w:tabs>
              <w:tab w:val="clear" w:pos="7609"/>
              <w:tab w:val="right" w:pos="9026" w:leader="dot"/>
            </w:tabs>
            <w:rPr/>
          </w:pPr>
          <w:hyperlink w:anchor="__RefHeading___Toc1102731_73709187">
            <w:r>
              <w:rPr>
                <w:webHidden/>
                <w:rStyle w:val="IndexLink"/>
                <w:rtl w:val="true"/>
              </w:rPr>
              <w:t>الثانية لو فرّ القاتل حتى مات</w:t>
            </w:r>
            <w:r>
              <w:rPr>
                <w:rStyle w:val="IndexLink"/>
                <w:rtl w:val="true"/>
              </w:rPr>
              <w:tab/>
            </w:r>
            <w:r>
              <w:rPr>
                <w:rStyle w:val="IndexLink"/>
              </w:rPr>
              <w:t>314</w:t>
            </w:r>
          </w:hyperlink>
        </w:p>
        <w:p>
          <w:pPr>
            <w:pStyle w:val="Contents6"/>
            <w:tabs>
              <w:tab w:val="clear" w:pos="7609"/>
              <w:tab w:val="right" w:pos="9026" w:leader="dot"/>
            </w:tabs>
            <w:rPr/>
          </w:pPr>
          <w:hyperlink w:anchor="__RefHeading___Toc1102733_73709187">
            <w:r>
              <w:rPr>
                <w:webHidden/>
                <w:rStyle w:val="IndexLink"/>
                <w:rtl w:val="true"/>
              </w:rPr>
              <w:t>الثالثة لو قتل واحد رجلين أو رجالاً عمداً قتل بهم</w:t>
            </w:r>
            <w:r>
              <w:rPr>
                <w:rStyle w:val="IndexLink"/>
                <w:rtl w:val="true"/>
              </w:rPr>
              <w:tab/>
            </w:r>
            <w:r>
              <w:rPr>
                <w:rStyle w:val="IndexLink"/>
              </w:rPr>
              <w:t>316</w:t>
            </w:r>
          </w:hyperlink>
        </w:p>
        <w:p>
          <w:pPr>
            <w:pStyle w:val="Contents6"/>
            <w:tabs>
              <w:tab w:val="clear" w:pos="7609"/>
              <w:tab w:val="right" w:pos="9026" w:leader="dot"/>
            </w:tabs>
            <w:rPr/>
          </w:pPr>
          <w:hyperlink w:anchor="__RefHeading___Toc1102735_73709187">
            <w:r>
              <w:rPr>
                <w:webHidden/>
                <w:rStyle w:val="IndexLink"/>
                <w:rtl w:val="true"/>
              </w:rPr>
              <w:t>الرابعة إذا ضرب الوليّ الجاني و تركه ظنّاً أنّه مات</w:t>
            </w:r>
            <w:r>
              <w:rPr>
                <w:rStyle w:val="IndexLink"/>
                <w:rtl w:val="true"/>
              </w:rPr>
              <w:tab/>
            </w:r>
            <w:r>
              <w:rPr>
                <w:rStyle w:val="IndexLink"/>
              </w:rPr>
              <w:t>317</w:t>
            </w:r>
          </w:hyperlink>
        </w:p>
        <w:p>
          <w:pPr>
            <w:pStyle w:val="Contents3"/>
            <w:tabs>
              <w:tab w:val="clear" w:pos="8459"/>
              <w:tab w:val="right" w:pos="9026" w:leader="dot"/>
            </w:tabs>
            <w:rPr/>
          </w:pPr>
          <w:hyperlink w:anchor="__RefHeading___Toc1102737_73709187">
            <w:r>
              <w:rPr>
                <w:webHidden/>
                <w:rStyle w:val="IndexLink"/>
                <w:rtl w:val="true"/>
              </w:rPr>
              <w:t>القسم الثاني في قصاص الطرف</w:t>
            </w:r>
            <w:r>
              <w:rPr>
                <w:rStyle w:val="IndexLink"/>
                <w:rtl w:val="true"/>
              </w:rPr>
              <w:tab/>
            </w:r>
            <w:r>
              <w:rPr>
                <w:rStyle w:val="IndexLink"/>
              </w:rPr>
              <w:t>324</w:t>
            </w:r>
          </w:hyperlink>
        </w:p>
        <w:p>
          <w:pPr>
            <w:pStyle w:val="Contents2"/>
            <w:tabs>
              <w:tab w:val="clear" w:pos="8743"/>
              <w:tab w:val="right" w:pos="9026" w:leader="dot"/>
            </w:tabs>
            <w:rPr/>
          </w:pPr>
          <w:hyperlink w:anchor="__RefHeading___Toc1102739_73709187">
            <w:r>
              <w:rPr>
                <w:webHidden/>
                <w:rStyle w:val="IndexLink"/>
                <w:rtl w:val="true"/>
              </w:rPr>
              <w:t>كتاب الديات</w:t>
            </w:r>
            <w:r>
              <w:rPr>
                <w:rStyle w:val="IndexLink"/>
                <w:rtl w:val="true"/>
              </w:rPr>
              <w:tab/>
            </w:r>
            <w:r>
              <w:rPr>
                <w:rStyle w:val="IndexLink"/>
              </w:rPr>
              <w:t>348</w:t>
            </w:r>
          </w:hyperlink>
        </w:p>
        <w:p>
          <w:pPr>
            <w:pStyle w:val="Contents3"/>
            <w:tabs>
              <w:tab w:val="clear" w:pos="8459"/>
              <w:tab w:val="right" w:pos="9026" w:leader="dot"/>
            </w:tabs>
            <w:rPr/>
          </w:pPr>
          <w:hyperlink w:anchor="__RefHeading___Toc1102741_73709187">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102743_73709187">
            <w:r>
              <w:rPr>
                <w:webHidden/>
                <w:rStyle w:val="IndexLink"/>
                <w:rtl w:val="true"/>
              </w:rPr>
              <w:t>النظر الأول أقسام القتل و مقادير الديات</w:t>
            </w:r>
            <w:r>
              <w:rPr>
                <w:rStyle w:val="IndexLink"/>
                <w:rtl w:val="true"/>
              </w:rPr>
              <w:tab/>
            </w:r>
            <w:r>
              <w:rPr>
                <w:rStyle w:val="IndexLink"/>
              </w:rPr>
              <w:t>348</w:t>
            </w:r>
          </w:hyperlink>
        </w:p>
        <w:p>
          <w:pPr>
            <w:pStyle w:val="Contents4"/>
            <w:tabs>
              <w:tab w:val="clear" w:pos="8176"/>
              <w:tab w:val="right" w:pos="9026" w:leader="dot"/>
            </w:tabs>
            <w:rPr/>
          </w:pPr>
          <w:hyperlink w:anchor="__RefHeading___Toc1102745_73709187">
            <w:r>
              <w:rPr>
                <w:webHidden/>
                <w:rStyle w:val="IndexLink"/>
                <w:rtl w:val="true"/>
              </w:rPr>
              <w:t>أقسام القتل</w:t>
            </w:r>
            <w:r>
              <w:rPr>
                <w:rStyle w:val="IndexLink"/>
                <w:rtl w:val="true"/>
              </w:rPr>
              <w:tab/>
            </w:r>
            <w:r>
              <w:rPr>
                <w:rStyle w:val="IndexLink"/>
              </w:rPr>
              <w:t>348</w:t>
            </w:r>
          </w:hyperlink>
        </w:p>
        <w:p>
          <w:pPr>
            <w:pStyle w:val="Contents4"/>
            <w:tabs>
              <w:tab w:val="clear" w:pos="8176"/>
              <w:tab w:val="right" w:pos="9026" w:leader="dot"/>
            </w:tabs>
            <w:rPr/>
          </w:pPr>
          <w:hyperlink w:anchor="__RefHeading___Toc1102747_73709187">
            <w:r>
              <w:rPr>
                <w:webHidden/>
                <w:rStyle w:val="IndexLink"/>
                <w:rtl w:val="true"/>
              </w:rPr>
              <w:t>مقادير الديات</w:t>
            </w:r>
            <w:r>
              <w:rPr>
                <w:rStyle w:val="IndexLink"/>
                <w:rtl w:val="true"/>
              </w:rPr>
              <w:tab/>
            </w:r>
            <w:r>
              <w:rPr>
                <w:rStyle w:val="IndexLink"/>
              </w:rPr>
              <w:t>349</w:t>
            </w:r>
          </w:hyperlink>
        </w:p>
        <w:p>
          <w:pPr>
            <w:pStyle w:val="Contents3"/>
            <w:tabs>
              <w:tab w:val="clear" w:pos="8459"/>
              <w:tab w:val="right" w:pos="9026" w:leader="dot"/>
            </w:tabs>
            <w:rPr/>
          </w:pPr>
          <w:hyperlink w:anchor="__RefHeading___Toc1102749_73709187">
            <w:r>
              <w:rPr>
                <w:webHidden/>
                <w:rStyle w:val="IndexLink"/>
                <w:rtl w:val="true"/>
              </w:rPr>
              <w:t>النظر الثاني في موجبات الضمان</w:t>
            </w:r>
            <w:r>
              <w:rPr>
                <w:rStyle w:val="IndexLink"/>
                <w:rtl w:val="true"/>
              </w:rPr>
              <w:tab/>
            </w:r>
            <w:r>
              <w:rPr>
                <w:rStyle w:val="IndexLink"/>
              </w:rPr>
              <w:t>379</w:t>
            </w:r>
          </w:hyperlink>
        </w:p>
        <w:p>
          <w:pPr>
            <w:pStyle w:val="Contents4"/>
            <w:tabs>
              <w:tab w:val="clear" w:pos="8176"/>
              <w:tab w:val="right" w:pos="9026" w:leader="dot"/>
            </w:tabs>
            <w:rPr/>
          </w:pPr>
          <w:hyperlink w:anchor="__RefHeading___Toc1102751_73709187">
            <w:r>
              <w:rPr>
                <w:webHidden/>
                <w:rStyle w:val="IndexLink"/>
                <w:rtl w:val="true"/>
              </w:rPr>
              <w:t>البحث الأول عن المباشرة</w:t>
            </w:r>
            <w:r>
              <w:rPr>
                <w:rStyle w:val="IndexLink"/>
                <w:rtl w:val="true"/>
              </w:rPr>
              <w:tab/>
            </w:r>
            <w:r>
              <w:rPr>
                <w:rStyle w:val="IndexLink"/>
              </w:rPr>
              <w:t>379</w:t>
            </w:r>
          </w:hyperlink>
        </w:p>
        <w:p>
          <w:pPr>
            <w:pStyle w:val="Contents5"/>
            <w:tabs>
              <w:tab w:val="clear" w:pos="7892"/>
              <w:tab w:val="right" w:pos="9026" w:leader="dot"/>
            </w:tabs>
            <w:rPr/>
          </w:pPr>
          <w:hyperlink w:anchor="__RefHeading___Toc1102753_7370918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02755_73709187">
            <w:r>
              <w:rPr>
                <w:webHidden/>
                <w:rStyle w:val="IndexLink"/>
                <w:rtl w:val="true"/>
              </w:rPr>
              <w:t>و من اللواحق مسائل</w:t>
            </w:r>
            <w:r>
              <w:rPr>
                <w:rStyle w:val="IndexLink"/>
                <w:rtl w:val="true"/>
              </w:rPr>
              <w:tab/>
            </w:r>
            <w:r>
              <w:rPr>
                <w:rStyle w:val="IndexLink"/>
              </w:rPr>
              <w:t>398</w:t>
            </w:r>
          </w:hyperlink>
        </w:p>
        <w:p>
          <w:pPr>
            <w:pStyle w:val="Contents6"/>
            <w:tabs>
              <w:tab w:val="clear" w:pos="7609"/>
              <w:tab w:val="right" w:pos="9026" w:leader="dot"/>
            </w:tabs>
            <w:rPr/>
          </w:pPr>
          <w:hyperlink w:anchor="__RefHeading___Toc1102757_73709187">
            <w:r>
              <w:rPr>
                <w:webHidden/>
                <w:rStyle w:val="IndexLink"/>
                <w:rtl w:val="true"/>
              </w:rPr>
              <w:t>الأولى من دعا غيره فأخرجه من منزله ليلاً ضمنه</w:t>
            </w:r>
            <w:r>
              <w:rPr>
                <w:rStyle w:val="IndexLink"/>
                <w:rtl w:val="true"/>
              </w:rPr>
              <w:tab/>
            </w:r>
            <w:r>
              <w:rPr>
                <w:rStyle w:val="IndexLink"/>
              </w:rPr>
              <w:t>398</w:t>
            </w:r>
          </w:hyperlink>
        </w:p>
        <w:p>
          <w:pPr>
            <w:pStyle w:val="Contents6"/>
            <w:tabs>
              <w:tab w:val="clear" w:pos="7609"/>
              <w:tab w:val="right" w:pos="9026" w:leader="dot"/>
            </w:tabs>
            <w:rPr/>
          </w:pPr>
          <w:hyperlink w:anchor="__RefHeading___Toc1102759_73709187">
            <w:r>
              <w:rPr>
                <w:webHidden/>
                <w:rStyle w:val="IndexLink"/>
                <w:rtl w:val="true"/>
              </w:rPr>
              <w:t>الثانية لو عادت الظئر بالطفل</w:t>
            </w:r>
            <w:r>
              <w:rPr>
                <w:rStyle w:val="IndexLink"/>
                <w:rtl w:val="true"/>
              </w:rPr>
              <w:tab/>
            </w:r>
            <w:r>
              <w:rPr>
                <w:rStyle w:val="IndexLink"/>
              </w:rPr>
              <w:t>403</w:t>
            </w:r>
          </w:hyperlink>
        </w:p>
        <w:p>
          <w:pPr>
            <w:pStyle w:val="Contents6"/>
            <w:tabs>
              <w:tab w:val="clear" w:pos="7609"/>
              <w:tab w:val="right" w:pos="9026" w:leader="dot"/>
            </w:tabs>
            <w:rPr/>
          </w:pPr>
          <w:hyperlink w:anchor="__RefHeading___Toc1102761_73709187">
            <w:r>
              <w:rPr>
                <w:webHidden/>
                <w:rStyle w:val="IndexLink"/>
                <w:rtl w:val="true"/>
              </w:rPr>
              <w:t>الثالثة لو دخل لصّ فجمع متاعاً و وطئ صاحبة المنزل قهراً</w:t>
            </w:r>
            <w:r>
              <w:rPr>
                <w:rStyle w:val="IndexLink"/>
                <w:rtl w:val="true"/>
              </w:rPr>
              <w:tab/>
            </w:r>
            <w:r>
              <w:rPr>
                <w:rStyle w:val="IndexLink"/>
              </w:rPr>
              <w:t>404</w:t>
            </w:r>
          </w:hyperlink>
        </w:p>
        <w:p>
          <w:pPr>
            <w:pStyle w:val="Contents6"/>
            <w:tabs>
              <w:tab w:val="clear" w:pos="7609"/>
              <w:tab w:val="right" w:pos="9026" w:leader="dot"/>
            </w:tabs>
            <w:rPr/>
          </w:pPr>
          <w:hyperlink w:anchor="__RefHeading___Toc1102763_73709187">
            <w:r>
              <w:rPr>
                <w:webHidden/>
                <w:rStyle w:val="IndexLink"/>
                <w:rtl w:val="true"/>
              </w:rPr>
              <w:t>الرابعة لو شرب أربعة فسكروا فوجد جريحان و قتيلان</w:t>
            </w:r>
            <w:r>
              <w:rPr>
                <w:rStyle w:val="IndexLink"/>
                <w:rtl w:val="true"/>
              </w:rPr>
              <w:tab/>
            </w:r>
            <w:r>
              <w:rPr>
                <w:rStyle w:val="IndexLink"/>
              </w:rPr>
              <w:t>406</w:t>
            </w:r>
          </w:hyperlink>
        </w:p>
        <w:p>
          <w:pPr>
            <w:pStyle w:val="Contents4"/>
            <w:tabs>
              <w:tab w:val="clear" w:pos="8176"/>
              <w:tab w:val="right" w:pos="9026" w:leader="dot"/>
            </w:tabs>
            <w:rPr/>
          </w:pPr>
          <w:hyperlink w:anchor="__RefHeading___Toc1102765_73709187">
            <w:r>
              <w:rPr>
                <w:webHidden/>
                <w:rStyle w:val="IndexLink"/>
                <w:rtl w:val="true"/>
              </w:rPr>
              <w:t>البحث الثاني في التسبيب</w:t>
            </w:r>
            <w:r>
              <w:rPr>
                <w:rStyle w:val="IndexLink"/>
                <w:rtl w:val="true"/>
              </w:rPr>
              <w:tab/>
            </w:r>
            <w:r>
              <w:rPr>
                <w:rStyle w:val="IndexLink"/>
              </w:rPr>
              <w:t>410</w:t>
            </w:r>
          </w:hyperlink>
        </w:p>
        <w:p>
          <w:pPr>
            <w:pStyle w:val="Contents4"/>
            <w:tabs>
              <w:tab w:val="clear" w:pos="8176"/>
              <w:tab w:val="right" w:pos="9026" w:leader="dot"/>
            </w:tabs>
            <w:rPr/>
          </w:pPr>
          <w:hyperlink w:anchor="__RefHeading___Toc1102767_73709187">
            <w:r>
              <w:rPr>
                <w:webHidden/>
                <w:rStyle w:val="IndexLink"/>
                <w:rtl w:val="true"/>
              </w:rPr>
              <w:t>البحث الثالث في تزاحم الموجبات</w:t>
            </w:r>
            <w:r>
              <w:rPr>
                <w:rStyle w:val="IndexLink"/>
                <w:rtl w:val="true"/>
              </w:rPr>
              <w:tab/>
            </w:r>
            <w:r>
              <w:rPr>
                <w:rStyle w:val="IndexLink"/>
              </w:rPr>
              <w:t>424</w:t>
            </w:r>
          </w:hyperlink>
        </w:p>
        <w:p>
          <w:pPr>
            <w:pStyle w:val="Contents3"/>
            <w:tabs>
              <w:tab w:val="clear" w:pos="8459"/>
              <w:tab w:val="right" w:pos="9026" w:leader="dot"/>
            </w:tabs>
            <w:rPr/>
          </w:pPr>
          <w:hyperlink w:anchor="__RefHeading___Toc1102769_73709187">
            <w:r>
              <w:rPr>
                <w:webHidden/>
                <w:rStyle w:val="IndexLink"/>
                <w:rtl w:val="true"/>
              </w:rPr>
              <w:t>النظر الثالث في الجناية على الأطراف</w:t>
            </w:r>
            <w:r>
              <w:rPr>
                <w:rStyle w:val="IndexLink"/>
                <w:rtl w:val="true"/>
              </w:rPr>
              <w:tab/>
            </w:r>
            <w:r>
              <w:rPr>
                <w:rStyle w:val="IndexLink"/>
              </w:rPr>
              <w:t>429</w:t>
            </w:r>
          </w:hyperlink>
        </w:p>
        <w:p>
          <w:pPr>
            <w:pStyle w:val="Contents4"/>
            <w:tabs>
              <w:tab w:val="clear" w:pos="8176"/>
              <w:tab w:val="right" w:pos="9026" w:leader="dot"/>
            </w:tabs>
            <w:rPr/>
          </w:pPr>
          <w:hyperlink w:anchor="__RefHeading___Toc1102771_7370918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102773_73709187">
            <w:r>
              <w:rPr>
                <w:webHidden/>
                <w:rStyle w:val="IndexLink"/>
                <w:rtl w:val="true"/>
              </w:rPr>
              <w:t>الأوّل في ديات الأعضاء</w:t>
            </w:r>
            <w:r>
              <w:rPr>
                <w:rStyle w:val="IndexLink"/>
                <w:rtl w:val="true"/>
              </w:rPr>
              <w:tab/>
            </w:r>
            <w:r>
              <w:rPr>
                <w:rStyle w:val="IndexLink"/>
              </w:rPr>
              <w:t>429</w:t>
            </w:r>
          </w:hyperlink>
        </w:p>
        <w:p>
          <w:pPr>
            <w:pStyle w:val="Contents5"/>
            <w:tabs>
              <w:tab w:val="clear" w:pos="7892"/>
              <w:tab w:val="right" w:pos="9026" w:leader="dot"/>
            </w:tabs>
            <w:rPr/>
          </w:pPr>
          <w:hyperlink w:anchor="__RefHeading___Toc1102775_7370918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02777_73709187">
            <w:r>
              <w:rPr>
                <w:webHidden/>
                <w:rStyle w:val="IndexLink"/>
                <w:rtl w:val="true"/>
              </w:rPr>
              <w:t>مسائل</w:t>
            </w:r>
            <w:r>
              <w:rPr>
                <w:rStyle w:val="IndexLink"/>
                <w:rtl w:val="true"/>
              </w:rPr>
              <w:tab/>
            </w:r>
            <w:r>
              <w:rPr>
                <w:rStyle w:val="IndexLink"/>
              </w:rPr>
              <w:t>492</w:t>
            </w:r>
          </w:hyperlink>
        </w:p>
        <w:p>
          <w:pPr>
            <w:pStyle w:val="Contents6"/>
            <w:tabs>
              <w:tab w:val="clear" w:pos="7609"/>
              <w:tab w:val="right" w:pos="9026" w:leader="dot"/>
            </w:tabs>
            <w:rPr/>
          </w:pPr>
          <w:hyperlink w:anchor="__RefHeading___Toc1102779_73709187">
            <w:r>
              <w:rPr>
                <w:webHidden/>
                <w:rStyle w:val="IndexLink"/>
                <w:rtl w:val="true"/>
              </w:rPr>
              <w:t>الأولى دية كسر الضلع خمسة و عشرون ديناراً</w:t>
            </w:r>
            <w:r>
              <w:rPr>
                <w:rStyle w:val="IndexLink"/>
                <w:rtl w:val="true"/>
              </w:rPr>
              <w:tab/>
            </w:r>
            <w:r>
              <w:rPr>
                <w:rStyle w:val="IndexLink"/>
              </w:rPr>
              <w:t>492</w:t>
            </w:r>
          </w:hyperlink>
        </w:p>
        <w:p>
          <w:pPr>
            <w:pStyle w:val="Contents6"/>
            <w:tabs>
              <w:tab w:val="clear" w:pos="7609"/>
              <w:tab w:val="right" w:pos="9026" w:leader="dot"/>
            </w:tabs>
            <w:rPr/>
          </w:pPr>
          <w:hyperlink w:anchor="__RefHeading___Toc1102781_73709187">
            <w:r>
              <w:rPr>
                <w:webHidden/>
                <w:rStyle w:val="IndexLink"/>
                <w:rtl w:val="true"/>
              </w:rPr>
              <w:t>الثانية لو كسر بعصوص الإنسان أو عجانه</w:t>
            </w:r>
            <w:r>
              <w:rPr>
                <w:rStyle w:val="IndexLink"/>
                <w:rtl w:val="true"/>
              </w:rPr>
              <w:tab/>
            </w:r>
            <w:r>
              <w:rPr>
                <w:rStyle w:val="IndexLink"/>
              </w:rPr>
              <w:t>493</w:t>
            </w:r>
          </w:hyperlink>
        </w:p>
        <w:p>
          <w:pPr>
            <w:pStyle w:val="Contents6"/>
            <w:tabs>
              <w:tab w:val="clear" w:pos="7609"/>
              <w:tab w:val="right" w:pos="9026" w:leader="dot"/>
            </w:tabs>
            <w:rPr/>
          </w:pPr>
          <w:hyperlink w:anchor="__RefHeading___Toc1102783_73709187">
            <w:r>
              <w:rPr>
                <w:webHidden/>
                <w:rStyle w:val="IndexLink"/>
                <w:rtl w:val="true"/>
              </w:rPr>
              <w:t>الثالثة قال الشيخان في كسر عظم من عضو خمس دية ذلك العضو</w:t>
            </w:r>
            <w:r>
              <w:rPr>
                <w:rStyle w:val="IndexLink"/>
                <w:rtl w:val="true"/>
              </w:rPr>
              <w:tab/>
            </w:r>
            <w:r>
              <w:rPr>
                <w:rStyle w:val="IndexLink"/>
              </w:rPr>
              <w:t>494</w:t>
            </w:r>
          </w:hyperlink>
        </w:p>
        <w:p>
          <w:pPr>
            <w:pStyle w:val="Contents6"/>
            <w:tabs>
              <w:tab w:val="clear" w:pos="7609"/>
              <w:tab w:val="right" w:pos="9026" w:leader="dot"/>
            </w:tabs>
            <w:rPr/>
          </w:pPr>
          <w:hyperlink w:anchor="__RefHeading___Toc1102785_73709187">
            <w:r>
              <w:rPr>
                <w:webHidden/>
                <w:rStyle w:val="IndexLink"/>
                <w:rtl w:val="true"/>
              </w:rPr>
              <w:t>الرابعة قال بعض الأصحاب في الترقوة إذا كسرت</w:t>
            </w:r>
            <w:r>
              <w:rPr>
                <w:rStyle w:val="IndexLink"/>
                <w:rtl w:val="true"/>
              </w:rPr>
              <w:tab/>
            </w:r>
            <w:r>
              <w:rPr>
                <w:rStyle w:val="IndexLink"/>
              </w:rPr>
              <w:t>498</w:t>
            </w:r>
          </w:hyperlink>
        </w:p>
        <w:p>
          <w:pPr>
            <w:pStyle w:val="Contents6"/>
            <w:tabs>
              <w:tab w:val="clear" w:pos="7609"/>
              <w:tab w:val="right" w:pos="9026" w:leader="dot"/>
            </w:tabs>
            <w:rPr/>
          </w:pPr>
          <w:hyperlink w:anchor="__RefHeading___Toc1102787_73709187">
            <w:r>
              <w:rPr>
                <w:webHidden/>
                <w:rStyle w:val="IndexLink"/>
                <w:rtl w:val="true"/>
              </w:rPr>
              <w:t>الخامسة روي</w:t>
            </w:r>
            <w:r>
              <w:rPr>
                <w:rStyle w:val="IndexLink"/>
                <w:rtl w:val="true"/>
              </w:rPr>
              <w:t>:</w:t>
            </w:r>
            <w:r>
              <w:rPr>
                <w:rStyle w:val="IndexLink"/>
                <w:rtl w:val="true"/>
              </w:rPr>
              <w:t>أنّ من داس بطن إنسان حتى أحدث</w:t>
            </w:r>
            <w:r>
              <w:rPr>
                <w:rStyle w:val="IndexLink"/>
                <w:rtl w:val="true"/>
              </w:rPr>
              <w:tab/>
            </w:r>
            <w:r>
              <w:rPr>
                <w:rStyle w:val="IndexLink"/>
              </w:rPr>
              <w:t>499</w:t>
            </w:r>
          </w:hyperlink>
        </w:p>
        <w:p>
          <w:pPr>
            <w:pStyle w:val="Contents6"/>
            <w:tabs>
              <w:tab w:val="clear" w:pos="7609"/>
              <w:tab w:val="right" w:pos="9026" w:leader="dot"/>
            </w:tabs>
            <w:rPr/>
          </w:pPr>
          <w:hyperlink w:anchor="__RefHeading___Toc1102789_73709187">
            <w:r>
              <w:rPr>
                <w:webHidden/>
                <w:rStyle w:val="IndexLink"/>
                <w:rtl w:val="true"/>
              </w:rPr>
              <w:t>السادسة من افتضّ بكراً بإصبعه</w:t>
            </w:r>
            <w:r>
              <w:rPr>
                <w:rStyle w:val="IndexLink"/>
                <w:rtl w:val="true"/>
              </w:rPr>
              <w:tab/>
            </w:r>
            <w:r>
              <w:rPr>
                <w:rStyle w:val="IndexLink"/>
              </w:rPr>
              <w:t>501</w:t>
            </w:r>
          </w:hyperlink>
        </w:p>
        <w:p>
          <w:pPr>
            <w:pStyle w:val="Contents4"/>
            <w:tabs>
              <w:tab w:val="clear" w:pos="8176"/>
              <w:tab w:val="right" w:pos="9026" w:leader="dot"/>
            </w:tabs>
            <w:rPr/>
          </w:pPr>
          <w:hyperlink w:anchor="__RefHeading___Toc1102791_73709187">
            <w:r>
              <w:rPr>
                <w:webHidden/>
                <w:rStyle w:val="IndexLink"/>
                <w:rtl w:val="true"/>
              </w:rPr>
              <w:t>المقصد الثاني في الجناية على المنافع</w:t>
            </w:r>
            <w:r>
              <w:rPr>
                <w:rStyle w:val="IndexLink"/>
                <w:rtl w:val="true"/>
              </w:rPr>
              <w:tab/>
            </w:r>
            <w:r>
              <w:rPr>
                <w:rStyle w:val="IndexLink"/>
              </w:rPr>
              <w:t>504</w:t>
            </w:r>
          </w:hyperlink>
        </w:p>
        <w:p>
          <w:pPr>
            <w:pStyle w:val="Contents4"/>
            <w:tabs>
              <w:tab w:val="clear" w:pos="8176"/>
              <w:tab w:val="right" w:pos="9026" w:leader="dot"/>
            </w:tabs>
            <w:rPr/>
          </w:pPr>
          <w:hyperlink w:anchor="__RefHeading___Toc1102793_73709187">
            <w:r>
              <w:rPr>
                <w:webHidden/>
                <w:rStyle w:val="IndexLink"/>
                <w:rtl w:val="true"/>
              </w:rPr>
              <w:t>المقصد الثالث في الشجاج و الجراح</w:t>
            </w:r>
            <w:r>
              <w:rPr>
                <w:rStyle w:val="IndexLink"/>
                <w:rtl w:val="true"/>
              </w:rPr>
              <w:tab/>
            </w:r>
            <w:r>
              <w:rPr>
                <w:rStyle w:val="IndexLink"/>
              </w:rPr>
              <w:t>515</w:t>
            </w:r>
          </w:hyperlink>
        </w:p>
        <w:p>
          <w:pPr>
            <w:pStyle w:val="Contents5"/>
            <w:tabs>
              <w:tab w:val="clear" w:pos="7892"/>
              <w:tab w:val="right" w:pos="9026" w:leader="dot"/>
            </w:tabs>
            <w:rPr/>
          </w:pPr>
          <w:hyperlink w:anchor="__RefHeading___Toc1102795_73709187">
            <w:r>
              <w:rPr>
                <w:webHidden/>
                <w:rStyle w:val="IndexLink"/>
                <w:rtl w:val="true"/>
              </w:rPr>
              <w:t>الشجاج ثمان</w:t>
            </w:r>
            <w:r>
              <w:rPr>
                <w:rStyle w:val="IndexLink"/>
                <w:rtl w:val="true"/>
              </w:rPr>
              <w:tab/>
            </w:r>
            <w:r>
              <w:rPr>
                <w:rStyle w:val="IndexLink"/>
              </w:rPr>
              <w:t>515</w:t>
            </w:r>
          </w:hyperlink>
        </w:p>
        <w:p>
          <w:pPr>
            <w:pStyle w:val="Contents6"/>
            <w:tabs>
              <w:tab w:val="clear" w:pos="7609"/>
              <w:tab w:val="right" w:pos="9026" w:leader="dot"/>
            </w:tabs>
            <w:rPr/>
          </w:pPr>
          <w:hyperlink w:anchor="__RefHeading___Toc1102797_73709187">
            <w:r>
              <w:rPr>
                <w:webHidden/>
                <w:rStyle w:val="IndexLink"/>
                <w:rtl w:val="true"/>
              </w:rPr>
              <w:t>الحارصة</w:t>
            </w:r>
            <w:r>
              <w:rPr>
                <w:rStyle w:val="IndexLink"/>
                <w:rtl w:val="true"/>
              </w:rPr>
              <w:tab/>
            </w:r>
            <w:r>
              <w:rPr>
                <w:rStyle w:val="IndexLink"/>
              </w:rPr>
              <w:t>515</w:t>
            </w:r>
          </w:hyperlink>
        </w:p>
        <w:p>
          <w:pPr>
            <w:pStyle w:val="Contents6"/>
            <w:tabs>
              <w:tab w:val="clear" w:pos="7609"/>
              <w:tab w:val="right" w:pos="9026" w:leader="dot"/>
            </w:tabs>
            <w:rPr/>
          </w:pPr>
          <w:hyperlink w:anchor="__RefHeading___Toc1102799_73709187">
            <w:r>
              <w:rPr>
                <w:webHidden/>
                <w:rStyle w:val="IndexLink"/>
                <w:rtl w:val="true"/>
              </w:rPr>
              <w:t>الدامية</w:t>
            </w:r>
            <w:r>
              <w:rPr>
                <w:rStyle w:val="IndexLink"/>
                <w:rtl w:val="true"/>
              </w:rPr>
              <w:tab/>
            </w:r>
            <w:r>
              <w:rPr>
                <w:rStyle w:val="IndexLink"/>
              </w:rPr>
              <w:t>517</w:t>
            </w:r>
          </w:hyperlink>
        </w:p>
        <w:p>
          <w:pPr>
            <w:pStyle w:val="Contents6"/>
            <w:tabs>
              <w:tab w:val="clear" w:pos="7609"/>
              <w:tab w:val="right" w:pos="9026" w:leader="dot"/>
            </w:tabs>
            <w:rPr/>
          </w:pPr>
          <w:hyperlink w:anchor="__RefHeading___Toc1102801_73709187">
            <w:r>
              <w:rPr>
                <w:webHidden/>
                <w:rStyle w:val="IndexLink"/>
                <w:rtl w:val="true"/>
              </w:rPr>
              <w:t>المتلاحمة</w:t>
            </w:r>
            <w:r>
              <w:rPr>
                <w:rStyle w:val="IndexLink"/>
                <w:rtl w:val="true"/>
              </w:rPr>
              <w:tab/>
            </w:r>
            <w:r>
              <w:rPr>
                <w:rStyle w:val="IndexLink"/>
              </w:rPr>
              <w:t>518</w:t>
            </w:r>
          </w:hyperlink>
        </w:p>
        <w:p>
          <w:pPr>
            <w:pStyle w:val="Contents6"/>
            <w:tabs>
              <w:tab w:val="clear" w:pos="7609"/>
              <w:tab w:val="right" w:pos="9026" w:leader="dot"/>
            </w:tabs>
            <w:rPr/>
          </w:pPr>
          <w:hyperlink w:anchor="__RefHeading___Toc1102803_73709187">
            <w:r>
              <w:rPr>
                <w:webHidden/>
                <w:rStyle w:val="IndexLink"/>
                <w:rtl w:val="true"/>
              </w:rPr>
              <w:t>السِّمحاق</w:t>
            </w:r>
            <w:r>
              <w:rPr>
                <w:rStyle w:val="IndexLink"/>
                <w:rtl w:val="true"/>
              </w:rPr>
              <w:tab/>
            </w:r>
            <w:r>
              <w:rPr>
                <w:rStyle w:val="IndexLink"/>
              </w:rPr>
              <w:t>519</w:t>
            </w:r>
          </w:hyperlink>
        </w:p>
        <w:p>
          <w:pPr>
            <w:pStyle w:val="Contents6"/>
            <w:tabs>
              <w:tab w:val="clear" w:pos="7609"/>
              <w:tab w:val="right" w:pos="9026" w:leader="dot"/>
            </w:tabs>
            <w:rPr/>
          </w:pPr>
          <w:hyperlink w:anchor="__RefHeading___Toc1102805_73709187">
            <w:r>
              <w:rPr>
                <w:webHidden/>
                <w:rStyle w:val="IndexLink"/>
                <w:rtl w:val="true"/>
              </w:rPr>
              <w:t>الموضحة</w:t>
            </w:r>
            <w:r>
              <w:rPr>
                <w:rStyle w:val="IndexLink"/>
                <w:rtl w:val="true"/>
              </w:rPr>
              <w:tab/>
            </w:r>
            <w:r>
              <w:rPr>
                <w:rStyle w:val="IndexLink"/>
              </w:rPr>
              <w:t>520</w:t>
            </w:r>
          </w:hyperlink>
        </w:p>
        <w:p>
          <w:pPr>
            <w:pStyle w:val="Contents6"/>
            <w:tabs>
              <w:tab w:val="clear" w:pos="7609"/>
              <w:tab w:val="right" w:pos="9026" w:leader="dot"/>
            </w:tabs>
            <w:rPr/>
          </w:pPr>
          <w:hyperlink w:anchor="__RefHeading___Toc1102807_73709187">
            <w:r>
              <w:rPr>
                <w:webHidden/>
                <w:rStyle w:val="IndexLink"/>
                <w:rtl w:val="true"/>
              </w:rPr>
              <w:t>الهاشمة</w:t>
            </w:r>
            <w:r>
              <w:rPr>
                <w:rStyle w:val="IndexLink"/>
                <w:rtl w:val="true"/>
              </w:rPr>
              <w:tab/>
            </w:r>
            <w:r>
              <w:rPr>
                <w:rStyle w:val="IndexLink"/>
              </w:rPr>
              <w:t>521</w:t>
            </w:r>
          </w:hyperlink>
        </w:p>
        <w:p>
          <w:pPr>
            <w:pStyle w:val="Contents6"/>
            <w:tabs>
              <w:tab w:val="clear" w:pos="7609"/>
              <w:tab w:val="right" w:pos="9026" w:leader="dot"/>
            </w:tabs>
            <w:rPr/>
          </w:pPr>
          <w:hyperlink w:anchor="__RefHeading___Toc1102809_73709187">
            <w:r>
              <w:rPr>
                <w:webHidden/>
                <w:rStyle w:val="IndexLink"/>
                <w:rtl w:val="true"/>
              </w:rPr>
              <w:t>المنقّلة</w:t>
            </w:r>
            <w:r>
              <w:rPr>
                <w:rStyle w:val="IndexLink"/>
                <w:rtl w:val="true"/>
              </w:rPr>
              <w:tab/>
            </w:r>
            <w:r>
              <w:rPr>
                <w:rStyle w:val="IndexLink"/>
              </w:rPr>
              <w:t>521</w:t>
            </w:r>
          </w:hyperlink>
        </w:p>
        <w:p>
          <w:pPr>
            <w:pStyle w:val="Contents6"/>
            <w:tabs>
              <w:tab w:val="clear" w:pos="7609"/>
              <w:tab w:val="right" w:pos="9026" w:leader="dot"/>
            </w:tabs>
            <w:rPr/>
          </w:pPr>
          <w:hyperlink w:anchor="__RefHeading___Toc1102811_73709187">
            <w:r>
              <w:rPr>
                <w:webHidden/>
                <w:rStyle w:val="IndexLink"/>
                <w:rtl w:val="true"/>
              </w:rPr>
              <w:t>المأمومة</w:t>
            </w:r>
            <w:r>
              <w:rPr>
                <w:rStyle w:val="IndexLink"/>
                <w:rtl w:val="true"/>
              </w:rPr>
              <w:tab/>
            </w:r>
            <w:r>
              <w:rPr>
                <w:rStyle w:val="IndexLink"/>
              </w:rPr>
              <w:t>522</w:t>
            </w:r>
          </w:hyperlink>
        </w:p>
        <w:p>
          <w:pPr>
            <w:pStyle w:val="Contents6"/>
            <w:tabs>
              <w:tab w:val="clear" w:pos="7609"/>
              <w:tab w:val="right" w:pos="9026" w:leader="dot"/>
            </w:tabs>
            <w:rPr/>
          </w:pPr>
          <w:hyperlink w:anchor="__RefHeading___Toc1102813_73709187">
            <w:r>
              <w:rPr>
                <w:webHidden/>
                <w:rStyle w:val="IndexLink"/>
                <w:rtl w:val="true"/>
              </w:rPr>
              <w:t>الجائفة</w:t>
            </w:r>
            <w:r>
              <w:rPr>
                <w:rStyle w:val="IndexLink"/>
                <w:rtl w:val="true"/>
              </w:rPr>
              <w:tab/>
            </w:r>
            <w:r>
              <w:rPr>
                <w:rStyle w:val="IndexLink"/>
              </w:rPr>
              <w:t>525</w:t>
            </w:r>
          </w:hyperlink>
        </w:p>
        <w:p>
          <w:pPr>
            <w:pStyle w:val="Contents5"/>
            <w:tabs>
              <w:tab w:val="clear" w:pos="7892"/>
              <w:tab w:val="right" w:pos="9026" w:leader="dot"/>
            </w:tabs>
            <w:rPr/>
          </w:pPr>
          <w:hyperlink w:anchor="__RefHeading___Toc1102815_73709187">
            <w:r>
              <w:rPr>
                <w:webHidden/>
                <w:rStyle w:val="IndexLink"/>
                <w:rtl w:val="true"/>
              </w:rPr>
              <w:t>مسائل</w:t>
            </w:r>
            <w:r>
              <w:rPr>
                <w:rStyle w:val="IndexLink"/>
                <w:rtl w:val="true"/>
              </w:rPr>
              <w:tab/>
            </w:r>
            <w:r>
              <w:rPr>
                <w:rStyle w:val="IndexLink"/>
              </w:rPr>
              <w:t>526</w:t>
            </w:r>
          </w:hyperlink>
        </w:p>
        <w:p>
          <w:pPr>
            <w:pStyle w:val="Contents6"/>
            <w:tabs>
              <w:tab w:val="clear" w:pos="7609"/>
              <w:tab w:val="right" w:pos="9026" w:leader="dot"/>
            </w:tabs>
            <w:rPr/>
          </w:pPr>
          <w:hyperlink w:anchor="__RefHeading___Toc1102817_73709187">
            <w:r>
              <w:rPr>
                <w:webHidden/>
                <w:rStyle w:val="IndexLink"/>
                <w:rtl w:val="true"/>
              </w:rPr>
              <w:t>الأولى دية النافذة في الأنف</w:t>
            </w:r>
            <w:r>
              <w:rPr>
                <w:rStyle w:val="IndexLink"/>
                <w:rtl w:val="true"/>
              </w:rPr>
              <w:tab/>
            </w:r>
            <w:r>
              <w:rPr>
                <w:rStyle w:val="IndexLink"/>
              </w:rPr>
              <w:t>526</w:t>
            </w:r>
          </w:hyperlink>
        </w:p>
        <w:p>
          <w:pPr>
            <w:pStyle w:val="Contents6"/>
            <w:tabs>
              <w:tab w:val="clear" w:pos="7609"/>
              <w:tab w:val="right" w:pos="9026" w:leader="dot"/>
            </w:tabs>
            <w:rPr/>
          </w:pPr>
          <w:hyperlink w:anchor="__RefHeading___Toc1102819_73709187">
            <w:r>
              <w:rPr>
                <w:webHidden/>
                <w:rStyle w:val="IndexLink"/>
                <w:rtl w:val="true"/>
              </w:rPr>
              <w:t>الثانية في شقّ الشفتين</w:t>
            </w:r>
            <w:r>
              <w:rPr>
                <w:rStyle w:val="IndexLink"/>
                <w:rtl w:val="true"/>
              </w:rPr>
              <w:tab/>
            </w:r>
            <w:r>
              <w:rPr>
                <w:rStyle w:val="IndexLink"/>
              </w:rPr>
              <w:t>528</w:t>
            </w:r>
          </w:hyperlink>
        </w:p>
        <w:p>
          <w:pPr>
            <w:pStyle w:val="Contents6"/>
            <w:tabs>
              <w:tab w:val="clear" w:pos="7609"/>
              <w:tab w:val="right" w:pos="9026" w:leader="dot"/>
            </w:tabs>
            <w:rPr/>
          </w:pPr>
          <w:hyperlink w:anchor="__RefHeading___Toc1102821_73709187">
            <w:r>
              <w:rPr>
                <w:webHidden/>
                <w:rStyle w:val="IndexLink"/>
                <w:rtl w:val="true"/>
              </w:rPr>
              <w:t>الثالثة إذا نفذت نافذة في شيء من أطراف الرجل</w:t>
            </w:r>
            <w:r>
              <w:rPr>
                <w:rStyle w:val="IndexLink"/>
                <w:rtl w:val="true"/>
              </w:rPr>
              <w:tab/>
            </w:r>
            <w:r>
              <w:rPr>
                <w:rStyle w:val="IndexLink"/>
              </w:rPr>
              <w:t>528</w:t>
            </w:r>
          </w:hyperlink>
        </w:p>
        <w:p>
          <w:pPr>
            <w:pStyle w:val="Contents6"/>
            <w:tabs>
              <w:tab w:val="clear" w:pos="7609"/>
              <w:tab w:val="right" w:pos="9026" w:leader="dot"/>
            </w:tabs>
            <w:rPr/>
          </w:pPr>
          <w:hyperlink w:anchor="__RefHeading___Toc1102823_73709187">
            <w:r>
              <w:rPr>
                <w:webHidden/>
                <w:rStyle w:val="IndexLink"/>
                <w:rtl w:val="true"/>
              </w:rPr>
              <w:t>الرابعة في احمرار الوجه بالجناية</w:t>
            </w:r>
            <w:r>
              <w:rPr>
                <w:rStyle w:val="IndexLink"/>
                <w:rtl w:val="true"/>
              </w:rPr>
              <w:tab/>
            </w:r>
            <w:r>
              <w:rPr>
                <w:rStyle w:val="IndexLink"/>
              </w:rPr>
              <w:t>531</w:t>
            </w:r>
          </w:hyperlink>
        </w:p>
        <w:p>
          <w:pPr>
            <w:pStyle w:val="Contents6"/>
            <w:tabs>
              <w:tab w:val="clear" w:pos="7609"/>
              <w:tab w:val="right" w:pos="9026" w:leader="dot"/>
            </w:tabs>
            <w:rPr/>
          </w:pPr>
          <w:hyperlink w:anchor="__RefHeading___Toc1102825_73709187">
            <w:r>
              <w:rPr>
                <w:webHidden/>
                <w:rStyle w:val="IndexLink"/>
                <w:rtl w:val="true"/>
              </w:rPr>
              <w:t>الخامسة كل عضو له دية مقدّرة ففي شلله</w:t>
            </w:r>
            <w:r>
              <w:rPr>
                <w:rStyle w:val="IndexLink"/>
                <w:rtl w:val="true"/>
              </w:rPr>
              <w:tab/>
            </w:r>
            <w:r>
              <w:rPr>
                <w:rStyle w:val="IndexLink"/>
              </w:rPr>
              <w:t>533</w:t>
            </w:r>
          </w:hyperlink>
        </w:p>
        <w:p>
          <w:pPr>
            <w:pStyle w:val="Contents6"/>
            <w:tabs>
              <w:tab w:val="clear" w:pos="7609"/>
              <w:tab w:val="right" w:pos="9026" w:leader="dot"/>
            </w:tabs>
            <w:rPr/>
          </w:pPr>
          <w:hyperlink w:anchor="__RefHeading___Toc1102827_73709187">
            <w:r>
              <w:rPr>
                <w:webHidden/>
                <w:rStyle w:val="IndexLink"/>
                <w:rtl w:val="true"/>
              </w:rPr>
              <w:t>السادسة دية الشجاج في الرأس و الوجه سواء</w:t>
            </w:r>
            <w:r>
              <w:rPr>
                <w:rStyle w:val="IndexLink"/>
                <w:rtl w:val="true"/>
              </w:rPr>
              <w:tab/>
            </w:r>
            <w:r>
              <w:rPr>
                <w:rStyle w:val="IndexLink"/>
              </w:rPr>
              <w:t>534</w:t>
            </w:r>
          </w:hyperlink>
        </w:p>
        <w:p>
          <w:pPr>
            <w:pStyle w:val="Contents6"/>
            <w:tabs>
              <w:tab w:val="clear" w:pos="7609"/>
              <w:tab w:val="right" w:pos="9026" w:leader="dot"/>
            </w:tabs>
            <w:rPr/>
          </w:pPr>
          <w:hyperlink w:anchor="__RefHeading___Toc1102829_73709187">
            <w:r>
              <w:rPr>
                <w:webHidden/>
                <w:rStyle w:val="IndexLink"/>
                <w:rtl w:val="true"/>
              </w:rPr>
              <w:t>السابعة كلّ ما فيه من الرجل ديته</w:t>
            </w:r>
            <w:r>
              <w:rPr>
                <w:rStyle w:val="IndexLink"/>
                <w:rtl w:val="true"/>
              </w:rPr>
              <w:tab/>
            </w:r>
            <w:r>
              <w:rPr>
                <w:rStyle w:val="IndexLink"/>
              </w:rPr>
              <w:t>536</w:t>
            </w:r>
          </w:hyperlink>
        </w:p>
        <w:p>
          <w:pPr>
            <w:pStyle w:val="Contents6"/>
            <w:tabs>
              <w:tab w:val="clear" w:pos="7609"/>
              <w:tab w:val="right" w:pos="9026" w:leader="dot"/>
            </w:tabs>
            <w:rPr/>
          </w:pPr>
          <w:hyperlink w:anchor="__RefHeading___Toc1102831_73709187">
            <w:r>
              <w:rPr>
                <w:webHidden/>
                <w:rStyle w:val="IndexLink"/>
                <w:rtl w:val="true"/>
              </w:rPr>
              <w:t>الثامنة من لا وليّ له فالإمام</w:t>
            </w:r>
            <w:r>
              <w:rPr>
                <w:rStyle w:val="IndexLink"/>
                <w:rtl w:val="true"/>
              </w:rPr>
              <w:t>(</w:t>
            </w:r>
            <w:r>
              <w:rPr>
                <w:rStyle w:val="IndexLink"/>
                <w:rtl w:val="true"/>
              </w:rPr>
              <w:t>عليه السّلام</w:t>
            </w:r>
            <w:r>
              <w:rPr>
                <w:rStyle w:val="IndexLink"/>
                <w:rtl w:val="true"/>
              </w:rPr>
              <w:t>)</w:t>
            </w:r>
            <w:r>
              <w:rPr>
                <w:rStyle w:val="IndexLink"/>
                <w:rtl w:val="true"/>
              </w:rPr>
              <w:t>وليّ دمه</w:t>
            </w:r>
            <w:r>
              <w:rPr>
                <w:rStyle w:val="IndexLink"/>
                <w:rtl w:val="true"/>
              </w:rPr>
              <w:tab/>
            </w:r>
            <w:r>
              <w:rPr>
                <w:rStyle w:val="IndexLink"/>
              </w:rPr>
              <w:t>539</w:t>
            </w:r>
          </w:hyperlink>
        </w:p>
        <w:p>
          <w:pPr>
            <w:pStyle w:val="Contents3"/>
            <w:tabs>
              <w:tab w:val="clear" w:pos="8459"/>
              <w:tab w:val="right" w:pos="9026" w:leader="dot"/>
            </w:tabs>
            <w:rPr/>
          </w:pPr>
          <w:hyperlink w:anchor="__RefHeading___Toc1102833_73709187">
            <w:r>
              <w:rPr>
                <w:webHidden/>
                <w:rStyle w:val="IndexLink"/>
                <w:rtl w:val="true"/>
              </w:rPr>
              <w:t>النظر الرابع في اللواحق و هي أربع</w:t>
            </w:r>
            <w:r>
              <w:rPr>
                <w:rStyle w:val="IndexLink"/>
                <w:rtl w:val="true"/>
              </w:rPr>
              <w:tab/>
            </w:r>
            <w:r>
              <w:rPr>
                <w:rStyle w:val="IndexLink"/>
              </w:rPr>
              <w:t>541</w:t>
            </w:r>
          </w:hyperlink>
        </w:p>
        <w:p>
          <w:pPr>
            <w:pStyle w:val="Contents4"/>
            <w:tabs>
              <w:tab w:val="clear" w:pos="8176"/>
              <w:tab w:val="right" w:pos="9026" w:leader="dot"/>
            </w:tabs>
            <w:rPr/>
          </w:pPr>
          <w:hyperlink w:anchor="__RefHeading___Toc1102835_73709187">
            <w:r>
              <w:rPr>
                <w:webHidden/>
                <w:rStyle w:val="IndexLink"/>
                <w:rtl w:val="true"/>
              </w:rPr>
              <w:t>الأولى دية الجنين الحرّ المسلم</w:t>
            </w:r>
            <w:r>
              <w:rPr>
                <w:rStyle w:val="IndexLink"/>
                <w:rtl w:val="true"/>
              </w:rPr>
              <w:tab/>
            </w:r>
            <w:r>
              <w:rPr>
                <w:rStyle w:val="IndexLink"/>
              </w:rPr>
              <w:t>541</w:t>
            </w:r>
          </w:hyperlink>
        </w:p>
        <w:p>
          <w:pPr>
            <w:pStyle w:val="Contents4"/>
            <w:tabs>
              <w:tab w:val="clear" w:pos="8176"/>
              <w:tab w:val="right" w:pos="9026" w:leader="dot"/>
            </w:tabs>
            <w:rPr/>
          </w:pPr>
          <w:hyperlink w:anchor="__RefHeading___Toc1102837_73709187">
            <w:r>
              <w:rPr>
                <w:webHidden/>
                <w:rStyle w:val="IndexLink"/>
                <w:rtl w:val="true"/>
              </w:rPr>
              <w:t>الثانية في الجناية على الحيوان</w:t>
            </w:r>
            <w:r>
              <w:rPr>
                <w:rStyle w:val="IndexLink"/>
                <w:rtl w:val="true"/>
              </w:rPr>
              <w:tab/>
            </w:r>
            <w:r>
              <w:rPr>
                <w:rStyle w:val="IndexLink"/>
              </w:rPr>
              <w:t>555</w:t>
            </w:r>
          </w:hyperlink>
        </w:p>
        <w:p>
          <w:pPr>
            <w:pStyle w:val="Contents5"/>
            <w:tabs>
              <w:tab w:val="clear" w:pos="7892"/>
              <w:tab w:val="right" w:pos="9026" w:leader="dot"/>
            </w:tabs>
            <w:rPr/>
          </w:pPr>
          <w:hyperlink w:anchor="__RefHeading___Toc1102839_73709187">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1102841_73709187">
            <w:r>
              <w:rPr>
                <w:webHidden/>
                <w:rStyle w:val="IndexLink"/>
                <w:rtl w:val="true"/>
              </w:rPr>
              <w:t>مسائل</w:t>
            </w:r>
            <w:r>
              <w:rPr>
                <w:rStyle w:val="IndexLink"/>
                <w:rtl w:val="true"/>
              </w:rPr>
              <w:tab/>
            </w:r>
            <w:r>
              <w:rPr>
                <w:rStyle w:val="IndexLink"/>
              </w:rPr>
              <w:t>563</w:t>
            </w:r>
          </w:hyperlink>
        </w:p>
        <w:p>
          <w:pPr>
            <w:pStyle w:val="Contents6"/>
            <w:tabs>
              <w:tab w:val="clear" w:pos="7609"/>
              <w:tab w:val="right" w:pos="9026" w:leader="dot"/>
            </w:tabs>
            <w:rPr/>
          </w:pPr>
          <w:hyperlink w:anchor="__RefHeading___Toc1102843_73709187">
            <w:r>
              <w:rPr>
                <w:webHidden/>
                <w:rStyle w:val="IndexLink"/>
                <w:rtl w:val="true"/>
              </w:rPr>
              <w:t>الأولى قضى علي</w:t>
            </w:r>
            <w:r>
              <w:rPr>
                <w:rStyle w:val="IndexLink"/>
                <w:rtl w:val="true"/>
              </w:rPr>
              <w:t>(</w:t>
            </w:r>
            <w:r>
              <w:rPr>
                <w:rStyle w:val="IndexLink"/>
                <w:rtl w:val="true"/>
              </w:rPr>
              <w:t>عليه السّلام</w:t>
            </w:r>
            <w:r>
              <w:rPr>
                <w:rStyle w:val="IndexLink"/>
                <w:rtl w:val="true"/>
              </w:rPr>
              <w:t>)</w:t>
            </w:r>
            <w:r>
              <w:rPr>
                <w:rStyle w:val="IndexLink"/>
                <w:rtl w:val="true"/>
              </w:rPr>
              <w:t>في بعير بين أربعة عقله أحدهم</w:t>
            </w:r>
            <w:r>
              <w:rPr>
                <w:rStyle w:val="IndexLink"/>
                <w:rtl w:val="true"/>
              </w:rPr>
              <w:tab/>
            </w:r>
            <w:r>
              <w:rPr>
                <w:rStyle w:val="IndexLink"/>
              </w:rPr>
              <w:t>563</w:t>
            </w:r>
          </w:hyperlink>
        </w:p>
        <w:p>
          <w:pPr>
            <w:pStyle w:val="Contents6"/>
            <w:tabs>
              <w:tab w:val="clear" w:pos="7609"/>
              <w:tab w:val="right" w:pos="9026" w:leader="dot"/>
            </w:tabs>
            <w:rPr/>
          </w:pPr>
          <w:hyperlink w:anchor="__RefHeading___Toc1102845_73709187">
            <w:r>
              <w:rPr>
                <w:webHidden/>
                <w:rStyle w:val="IndexLink"/>
                <w:rtl w:val="true"/>
              </w:rPr>
              <w:t>الثانية في جنين البهيمة عشر قيمتها</w:t>
            </w:r>
            <w:r>
              <w:rPr>
                <w:rStyle w:val="IndexLink"/>
                <w:rtl w:val="true"/>
              </w:rPr>
              <w:tab/>
            </w:r>
            <w:r>
              <w:rPr>
                <w:rStyle w:val="IndexLink"/>
              </w:rPr>
              <w:t>564</w:t>
            </w:r>
          </w:hyperlink>
        </w:p>
        <w:p>
          <w:pPr>
            <w:pStyle w:val="Contents6"/>
            <w:tabs>
              <w:tab w:val="clear" w:pos="7609"/>
              <w:tab w:val="right" w:pos="9026" w:leader="dot"/>
            </w:tabs>
            <w:rPr/>
          </w:pPr>
          <w:hyperlink w:anchor="__RefHeading___Toc1102847_73709187">
            <w:r>
              <w:rPr>
                <w:webHidden/>
                <w:rStyle w:val="IndexLink"/>
                <w:rtl w:val="true"/>
              </w:rPr>
              <w:t>الثالثة روى السكوني لا يضمّن ما أفسدته البهائم نهاراً</w:t>
            </w:r>
            <w:r>
              <w:rPr>
                <w:rStyle w:val="IndexLink"/>
                <w:rtl w:val="true"/>
              </w:rPr>
              <w:tab/>
            </w:r>
            <w:r>
              <w:rPr>
                <w:rStyle w:val="IndexLink"/>
              </w:rPr>
              <w:t>565</w:t>
            </w:r>
          </w:hyperlink>
        </w:p>
        <w:p>
          <w:pPr>
            <w:pStyle w:val="Contents4"/>
            <w:tabs>
              <w:tab w:val="clear" w:pos="8176"/>
              <w:tab w:val="right" w:pos="9026" w:leader="dot"/>
            </w:tabs>
            <w:rPr/>
          </w:pPr>
          <w:hyperlink w:anchor="__RefHeading___Toc1102849_73709187">
            <w:r>
              <w:rPr>
                <w:webHidden/>
                <w:rStyle w:val="IndexLink"/>
                <w:rtl w:val="true"/>
              </w:rPr>
              <w:t>الثالثة في كفّارة القتل</w:t>
            </w:r>
            <w:r>
              <w:rPr>
                <w:rStyle w:val="IndexLink"/>
                <w:rtl w:val="true"/>
              </w:rPr>
              <w:tab/>
            </w:r>
            <w:r>
              <w:rPr>
                <w:rStyle w:val="IndexLink"/>
              </w:rPr>
              <w:t>568</w:t>
            </w:r>
          </w:hyperlink>
        </w:p>
        <w:p>
          <w:pPr>
            <w:pStyle w:val="Contents4"/>
            <w:tabs>
              <w:tab w:val="clear" w:pos="8176"/>
              <w:tab w:val="right" w:pos="9026" w:leader="dot"/>
            </w:tabs>
            <w:rPr/>
          </w:pPr>
          <w:hyperlink w:anchor="__RefHeading___Toc1102851_73709187">
            <w:r>
              <w:rPr>
                <w:webHidden/>
                <w:rStyle w:val="IndexLink"/>
                <w:rtl w:val="true"/>
              </w:rPr>
              <w:t>الرابعة في العاقلة</w:t>
            </w:r>
            <w:r>
              <w:rPr>
                <w:rStyle w:val="IndexLink"/>
                <w:rtl w:val="true"/>
              </w:rPr>
              <w:tab/>
            </w:r>
            <w:r>
              <w:rPr>
                <w:rStyle w:val="IndexLink"/>
              </w:rPr>
              <w:t>573</w:t>
            </w:r>
          </w:hyperlink>
        </w:p>
        <w:p>
          <w:pPr>
            <w:pStyle w:val="Contents5"/>
            <w:tabs>
              <w:tab w:val="clear" w:pos="7892"/>
              <w:tab w:val="right" w:pos="9026" w:leader="dot"/>
            </w:tabs>
            <w:rPr/>
          </w:pPr>
          <w:hyperlink w:anchor="__RefHeading___Toc1102853_73709187">
            <w:r>
              <w:rPr>
                <w:webHidden/>
                <w:rStyle w:val="IndexLink"/>
                <w:rtl w:val="true"/>
              </w:rPr>
              <w:t>الأمر الأول المحل</w:t>
            </w:r>
            <w:r>
              <w:rPr>
                <w:rStyle w:val="IndexLink"/>
                <w:rtl w:val="true"/>
              </w:rPr>
              <w:tab/>
            </w:r>
            <w:r>
              <w:rPr>
                <w:rStyle w:val="IndexLink"/>
              </w:rPr>
              <w:t>573</w:t>
            </w:r>
          </w:hyperlink>
        </w:p>
        <w:p>
          <w:pPr>
            <w:pStyle w:val="Contents5"/>
            <w:tabs>
              <w:tab w:val="clear" w:pos="7892"/>
              <w:tab w:val="right" w:pos="9026" w:leader="dot"/>
            </w:tabs>
            <w:rPr/>
          </w:pPr>
          <w:hyperlink w:anchor="__RefHeading___Toc1102855_73709187">
            <w:r>
              <w:rPr>
                <w:webHidden/>
                <w:rStyle w:val="IndexLink"/>
                <w:rtl w:val="true"/>
              </w:rPr>
              <w:t>الأمر الثاني في كيفية التقسيط</w:t>
            </w:r>
            <w:r>
              <w:rPr>
                <w:rStyle w:val="IndexLink"/>
                <w:rtl w:val="true"/>
              </w:rPr>
              <w:tab/>
            </w:r>
            <w:r>
              <w:rPr>
                <w:rStyle w:val="IndexLink"/>
              </w:rPr>
              <w:t>587</w:t>
            </w:r>
          </w:hyperlink>
        </w:p>
        <w:p>
          <w:pPr>
            <w:pStyle w:val="Contents5"/>
            <w:tabs>
              <w:tab w:val="clear" w:pos="7892"/>
              <w:tab w:val="right" w:pos="9026" w:leader="dot"/>
            </w:tabs>
            <w:rPr/>
          </w:pPr>
          <w:hyperlink w:anchor="__RefHeading___Toc1102857_73709187">
            <w:r>
              <w:rPr>
                <w:webHidden/>
                <w:rStyle w:val="IndexLink"/>
                <w:rtl w:val="true"/>
              </w:rPr>
              <w:t>الأمر الثالث في اللواحق و هي مسائل ثلاث</w:t>
            </w:r>
            <w:r>
              <w:rPr>
                <w:rStyle w:val="IndexLink"/>
                <w:rtl w:val="true"/>
              </w:rPr>
              <w:tab/>
            </w:r>
            <w:r>
              <w:rPr>
                <w:rStyle w:val="IndexLink"/>
              </w:rPr>
              <w:t>589</w:t>
            </w:r>
          </w:hyperlink>
        </w:p>
        <w:p>
          <w:pPr>
            <w:pStyle w:val="Contents6"/>
            <w:tabs>
              <w:tab w:val="clear" w:pos="7609"/>
              <w:tab w:val="right" w:pos="9026" w:leader="dot"/>
            </w:tabs>
            <w:rPr/>
          </w:pPr>
          <w:hyperlink w:anchor="__RefHeading___Toc1102859_73709187">
            <w:r>
              <w:rPr>
                <w:webHidden/>
                <w:rStyle w:val="IndexLink"/>
                <w:rtl w:val="true"/>
              </w:rPr>
              <w:t>الأولى لو قتل الأب ولده عمداً</w:t>
            </w:r>
            <w:r>
              <w:rPr>
                <w:rStyle w:val="IndexLink"/>
                <w:rtl w:val="true"/>
              </w:rPr>
              <w:tab/>
            </w:r>
            <w:r>
              <w:rPr>
                <w:rStyle w:val="IndexLink"/>
              </w:rPr>
              <w:t>589</w:t>
            </w:r>
          </w:hyperlink>
        </w:p>
        <w:p>
          <w:pPr>
            <w:pStyle w:val="Contents6"/>
            <w:tabs>
              <w:tab w:val="clear" w:pos="7609"/>
              <w:tab w:val="right" w:pos="9026" w:leader="dot"/>
            </w:tabs>
            <w:rPr/>
          </w:pPr>
          <w:hyperlink w:anchor="__RefHeading___Toc1102861_73709187">
            <w:r>
              <w:rPr>
                <w:webHidden/>
                <w:rStyle w:val="IndexLink"/>
                <w:rtl w:val="true"/>
              </w:rPr>
              <w:t>الثانية لا تعقل العاقلة عمداً</w:t>
            </w:r>
            <w:r>
              <w:rPr>
                <w:rStyle w:val="IndexLink"/>
                <w:rtl w:val="true"/>
              </w:rPr>
              <w:tab/>
            </w:r>
            <w:r>
              <w:rPr>
                <w:rStyle w:val="IndexLink"/>
              </w:rPr>
              <w:t>591</w:t>
            </w:r>
          </w:hyperlink>
        </w:p>
        <w:p>
          <w:pPr>
            <w:pStyle w:val="Contents6"/>
            <w:tabs>
              <w:tab w:val="clear" w:pos="7609"/>
              <w:tab w:val="right" w:pos="9026" w:leader="dot"/>
            </w:tabs>
            <w:rPr/>
          </w:pPr>
          <w:hyperlink w:anchor="__RefHeading___Toc1102863_73709187">
            <w:r>
              <w:rPr>
                <w:webHidden/>
                <w:rStyle w:val="IndexLink"/>
                <w:rtl w:val="true"/>
              </w:rPr>
              <w:t>الثالثة لا تعقل العاقلة بهيمة</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9_90586"/>
      <w:bookmarkStart w:id="1" w:name="pg11409_90586"/>
      <w:bookmarkEnd w:id="1"/>
    </w:p>
    <w:p>
      <w:pPr>
        <w:pStyle w:val="Heading2"/>
        <w:numPr>
          <w:ilvl w:val="1"/>
          <w:numId w:val="1"/>
        </w:numPr>
        <w:rPr/>
      </w:pPr>
      <w:bookmarkStart w:id="2" w:name="pg11409_90586"/>
      <w:bookmarkStart w:id="3" w:name="__RefHeading___Toc1102583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258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09_90590"/>
      <w:bookmarkStart w:id="8" w:name="pg11409_90590"/>
      <w:bookmarkEnd w:id="8"/>
    </w:p>
    <w:p>
      <w:pPr>
        <w:pStyle w:val="Heading2"/>
        <w:numPr>
          <w:ilvl w:val="1"/>
          <w:numId w:val="1"/>
        </w:numPr>
        <w:rPr/>
      </w:pPr>
      <w:bookmarkStart w:id="9" w:name="pg11409_90590"/>
      <w:bookmarkStart w:id="10" w:name="__RefHeading___Toc1102587_73709187"/>
      <w:bookmarkStart w:id="11" w:name="_Toc3"/>
      <w:bookmarkEnd w:id="9"/>
      <w:bookmarkEnd w:id="10"/>
      <w:r>
        <w:rPr>
          <w:rtl w:val="true"/>
        </w:rPr>
        <w:t>تتمة كتاب الحدود و التعزيرات</w:t>
      </w:r>
      <w:bookmarkEnd w:id="11"/>
    </w:p>
    <w:p>
      <w:pPr>
        <w:pStyle w:val="Heading3"/>
        <w:numPr>
          <w:ilvl w:val="2"/>
          <w:numId w:val="1"/>
        </w:numPr>
        <w:rPr/>
      </w:pPr>
      <w:bookmarkStart w:id="12" w:name="__RefHeading___Toc1102589_73709187"/>
      <w:bookmarkStart w:id="13" w:name="_Toc4"/>
      <w:bookmarkEnd w:id="12"/>
      <w:r>
        <w:rPr>
          <w:rtl w:val="true"/>
        </w:rPr>
        <w:t>الفصل الثاني في اللواط و السحق و القيادة</w:t>
      </w:r>
      <w:bookmarkEnd w:id="13"/>
    </w:p>
    <w:p>
      <w:pPr>
        <w:pStyle w:val="Heading4"/>
        <w:numPr>
          <w:ilvl w:val="3"/>
          <w:numId w:val="1"/>
        </w:numPr>
        <w:rPr/>
      </w:pPr>
      <w:bookmarkStart w:id="14" w:name="__RefHeading___Toc1102591_73709187"/>
      <w:bookmarkStart w:id="15" w:name="_Toc5"/>
      <w:bookmarkEnd w:id="14"/>
      <w:r>
        <w:rPr>
          <w:rtl w:val="true"/>
        </w:rPr>
        <w:t>في اللواط</w:t>
      </w:r>
      <w:bookmarkEnd w:id="15"/>
    </w:p>
    <w:p>
      <w:pPr>
        <w:pStyle w:val="BookText"/>
        <w:rPr/>
      </w:pPr>
      <w:r>
        <w:rPr>
          <w:rFonts w:ascii="Amiri" w:hAnsi="Amiri" w:eastAsia="Amiri" w:cs="Amiri"/>
          <w:color w:val="111111"/>
          <w:sz w:val="28"/>
          <w:sz w:val="28"/>
          <w:szCs w:val="28"/>
          <w:rtl w:val="true"/>
          <w:lang w:bidi="ar-SA"/>
        </w:rPr>
        <w:t>الفصل الثاني في بيان حدّ اللواط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الذكران بعضهم بعضاً،و اشتقاقه من فعل قوم لوط؛ و السحق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دلك فرج المرأة بفرج اخرى؛ و القيادة و سيأتي أنّها الجمع بين فاعلي هذه الفواحش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بالإقرار بإدخال الذكر في دبره و لو بمقدار الحشفة،و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ظاهرهم الاتّفاق على ذلك و إن اكتفوا ببعضها في تحريم امّه و أُخته و بنته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حالة كونه أربعاً بلا خلاف أجده؛ للعموم و لو في الجملة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ملأ من أصحابه،إذ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المؤمنين،إنّي أوقبت على غلام،فطهّرني،فقال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 xml:space="preserve">امض إلى منزلك،لعلّ مراراً </w:t>
      </w:r>
      <w:r>
        <w:rPr>
          <w:rStyle w:val="FootnoteAnchor"/>
          <w:rtl w:val="true"/>
        </w:rPr>
        <w:footnoteReference w:id="4"/>
      </w:r>
      <w:r>
        <w:rPr>
          <w:rFonts w:ascii="Amiri" w:hAnsi="Amiri" w:eastAsia="Amiri" w:cs="Amiri"/>
          <w:color w:val="111111"/>
          <w:sz w:val="28"/>
          <w:sz w:val="28"/>
          <w:szCs w:val="28"/>
          <w:rtl w:val="true"/>
          <w:lang w:bidi="ar-SA"/>
        </w:rPr>
        <w:t>هاج بك،فلمّا كان من غد عاد إليه،فقال له مثل ذلك،فأجابه كذلك،إلى أن فعل ذلك أربع مرّات،فلمّا كان الرابعة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في مثلك بثلاثة أحكام فاختر أيّهنّ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
      </w:r>
      <w:r>
        <w:rPr>
          <w:rFonts w:ascii="Amiri" w:hAnsi="Amiri" w:eastAsia="Amiri" w:cs="Amiri"/>
          <w:color w:val="111111"/>
          <w:sz w:val="28"/>
          <w:sz w:val="28"/>
          <w:szCs w:val="28"/>
          <w:rtl w:val="true"/>
          <w:lang w:bidi="ar-SA"/>
        </w:rPr>
        <w:t xml:space="preserve">،و سيأتي باقية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أقرّ دون ذلك عُزّر كما قالوه؛ لإقراره على نفسه بالفسق؛ و لم أعرف دليل الكلّية،مع منافاة الحكم هنا لظاهر الصحيحة السابقة، حيث لم ينقل فيها التعزير في الإقرارات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بالبلوغ،و كمال العقل و الاختيار، و الحرّية،فاعلاً كان المقرّ أو مفعولاً كما في سائر 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يقرّ،بل شهد عليه أربعة رجال عدول ثبت اللواط أيضاً،بلا خلاف،كما في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يثبت بشهادة النساء و لو ثلاثاً منضمّات مع الرجال؛ لعموم النصوص بعدم قبول شهادتهنّ في الحدود </w:t>
      </w:r>
      <w:r>
        <w:rPr>
          <w:rStyle w:val="FootnoteAnchor"/>
          <w:rtl w:val="true"/>
        </w:rPr>
        <w:footnoteReference w:id="7"/>
      </w:r>
      <w:r>
        <w:rPr>
          <w:rFonts w:ascii="IRNazanin" w:hAnsi="IRNazanin" w:eastAsia="IRNazanin"/>
          <w:color w:val="111111"/>
          <w:sz w:val="28"/>
          <w:sz w:val="28"/>
          <w:szCs w:val="28"/>
          <w:rtl w:val="true"/>
          <w:lang w:bidi="fa-IR"/>
        </w:rPr>
        <w:t xml:space="preserve">،خرج منه الزناء على بعض الوجوه للنصوص </w:t>
      </w:r>
      <w:r>
        <w:rPr>
          <w:rStyle w:val="FootnoteAnchor"/>
          <w:rtl w:val="true"/>
        </w:rPr>
        <w:footnoteReference w:id="8"/>
      </w:r>
      <w:r>
        <w:rPr>
          <w:rFonts w:ascii="Amiri" w:hAnsi="Amiri" w:eastAsia="Amiri" w:cs="Amiri"/>
          <w:color w:val="111111"/>
          <w:sz w:val="28"/>
          <w:sz w:val="28"/>
          <w:szCs w:val="28"/>
          <w:rtl w:val="true"/>
          <w:lang w:bidi="ar-SA"/>
        </w:rPr>
        <w:t>،و بقي ما نحن فيه داخلاً فيه؛ لاختصاصها بالزناء، و لا موجب للتعدية أصلاً بعد كون القياس حراماً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كانوا أي الشهود دون ذلك العدد أي الأربع بأن كانوا ثلاثة فما دون و لو مع النساء حُدُّوا بلا خلاف؛ للفرية،كما في الزناء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يقتل الموقب خاصّة لو لاط بصغير أو مجنون بلا خلاف؛ للعموم،و خصوص ما يأتي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يؤدّب الصغير و كذا المجنون إن كان ممّن يشعر بالتأديب كما قيل </w:t>
      </w:r>
      <w:r>
        <w:rPr>
          <w:rStyle w:val="FootnoteAnchor"/>
          <w:rtl w:val="true"/>
        </w:rPr>
        <w:footnoteReference w:id="9"/>
      </w:r>
      <w:r>
        <w:rPr>
          <w:rFonts w:ascii="Amiri" w:hAnsi="Amiri" w:eastAsia="Amiri" w:cs="Amiri"/>
          <w:color w:val="111111"/>
          <w:sz w:val="28"/>
          <w:sz w:val="28"/>
          <w:szCs w:val="28"/>
          <w:rtl w:val="true"/>
          <w:lang w:bidi="ar-SA"/>
        </w:rPr>
        <w:t>و بتأديب الصغير 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بامرأة و زوجها قد لاط بابنها من غيره و ثقبه و شهد عليه الشهود بذلك،فأمر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بالسيف حتى قتل،و ضرب الغلام دون الحدّ،و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كنت مدركاً لقتلتك؛ لإمكانك إيّاه من نفسك بثقبك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الخبر المتضمّن لقتل الغلام باللواط </w:t>
      </w:r>
      <w:r>
        <w:rPr>
          <w:rStyle w:val="FootnoteAnchor"/>
          <w:rtl w:val="true"/>
        </w:rPr>
        <w:footnoteReference w:id="11"/>
      </w:r>
      <w:r>
        <w:rPr>
          <w:rFonts w:ascii="Amiri" w:hAnsi="Amiri" w:eastAsia="Amiri" w:cs="Amiri"/>
          <w:color w:val="111111"/>
          <w:sz w:val="28"/>
          <w:sz w:val="28"/>
          <w:szCs w:val="28"/>
          <w:rtl w:val="true"/>
          <w:lang w:bidi="ar-SA"/>
        </w:rPr>
        <w:t>،فمع قصور سنده، و مخالفته الإجماع و الأُصول،محمول على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بالغين قُتِلا إجماعاً؛ للعموم،و الخبر المزبور بعد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يقتل اللاطي أو يجلد لو لاط بعبده و يؤدّب هو إن كان صغيراً،و يقتل أيضاً إن كان بالغاً؛ للعموم،مع عدم تعقّل فرق في الموطوء بين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العبد الإكراه من مولاه عليه دُرئ عنه الحدّ دون المولى؛ لقيام القرينة على ذلك،و لأنّه شبهة محتملة فيدرأ بها الحدّ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انسحاب الحكم فيما لو ادّعى الإكراه من غير مولاه مع </w:t>
      </w:r>
    </w:p>
    <w:p>
      <w:pPr>
        <w:pStyle w:val="BookText"/>
        <w:rPr/>
      </w:pPr>
      <w:r>
        <w:rPr>
          <w:rFonts w:ascii="Amiri" w:hAnsi="Amiri" w:eastAsia="Amiri" w:cs="Amiri"/>
          <w:color w:val="111111"/>
          <w:sz w:val="28"/>
          <w:sz w:val="28"/>
          <w:szCs w:val="28"/>
          <w:rtl w:val="true"/>
          <w:lang w:bidi="ar-SA"/>
        </w:rPr>
        <w:t xml:space="preserve">إمكانه،و كذا في كلّ من ادّعاه معه،كما صرّح به جماعة </w:t>
      </w:r>
      <w:r>
        <w:rPr>
          <w:rStyle w:val="FootnoteAnchor"/>
          <w:rtl w:val="true"/>
        </w:rPr>
        <w:footnoteReference w:id="12"/>
      </w:r>
      <w:r>
        <w:rPr>
          <w:rFonts w:ascii="Amiri" w:hAnsi="Amiri" w:eastAsia="Amiri" w:cs="Amiri"/>
          <w:color w:val="111111"/>
          <w:sz w:val="28"/>
          <w:sz w:val="28"/>
          <w:szCs w:val="28"/>
          <w:rtl w:val="true"/>
          <w:lang w:bidi="ar-SA"/>
        </w:rPr>
        <w:t>لعموم درء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لاط الذمّي بمسلم،قتل و إن لم يوقب بلا خلاف في الظاهر؛ لهتكه حرمة الإسلام،و هو أشدّ من الزناء بالمسلمة،فيشمله فحوى ما دلّ على قتله بزناه بها </w:t>
      </w:r>
      <w:r>
        <w:rPr>
          <w:rStyle w:val="FootnoteAnchor"/>
          <w:rtl w:val="true"/>
        </w:rPr>
        <w:footnoteReference w:id="13"/>
      </w:r>
      <w:r>
        <w:rPr>
          <w:rFonts w:ascii="Amiri" w:hAnsi="Amiri" w:eastAsia="Amiri" w:cs="Amiri"/>
          <w:color w:val="111111"/>
          <w:sz w:val="28"/>
          <w:sz w:val="28"/>
          <w:szCs w:val="28"/>
          <w:rtl w:val="true"/>
          <w:lang w:bidi="ar-SA"/>
        </w:rPr>
        <w:t>،مضافاً إلى عموم النصوص الآتية بأنّ حدّ اللوطي حدّ الزاني،فكما أنّ حدّ الذمّي الزاني بها ذلك،فليكن هو حدّه هنا أيضاً، و سيأتي أنّ المراد باللوطي فيها غير الموقب،فتدلّ على الموقب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الحربيّ أولى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لاط الذمّي بمثله،فللإمام الإقامة للحدّ عليه أو دفعه إلى أهل ملّته،ليقيموا عليه حدّهم كما في سائر القضايا؛ و مرّ مستنده في الزناء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موجَب الإيقاب القتل للفاعل و المفعول إذا كان كلّ منهما بالغاً عاقلاً عالماً و يستوي فيه كلّ موقِب و موقَب،حتى العبد و غير المحصن،بلا خلاف على الظاهر،المصرَّح به في السرائر </w:t>
      </w:r>
      <w:r>
        <w:rPr>
          <w:rStyle w:val="FootnoteAnchor"/>
          <w:rtl w:val="true"/>
        </w:rPr>
        <w:footnoteReference w:id="14"/>
      </w:r>
      <w:r>
        <w:rPr>
          <w:rFonts w:ascii="Amiri" w:hAnsi="Amiri" w:eastAsia="Amiri" w:cs="Amiri"/>
          <w:color w:val="111111"/>
          <w:sz w:val="28"/>
          <w:sz w:val="28"/>
          <w:szCs w:val="28"/>
          <w:rtl w:val="true"/>
          <w:lang w:bidi="ar-SA"/>
        </w:rPr>
        <w:t xml:space="preserve">،بل ظاهرهم الإجماع عليه،كما في جملة من العبائر،و منها الانتصار و الغنية </w:t>
      </w:r>
      <w:r>
        <w:rPr>
          <w:rStyle w:val="FootnoteAnchor"/>
          <w:rtl w:val="true"/>
        </w:rPr>
        <w:footnoteReference w:id="1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الآتي إلى جملة منها الإشارة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بإزائها نصوص أُخر،دالّة على أنّ حدّ اللوطي حدّ الزاني،إن </w:t>
      </w:r>
    </w:p>
    <w:p>
      <w:pPr>
        <w:pStyle w:val="BookText"/>
        <w:rPr/>
      </w:pPr>
      <w:r>
        <w:rPr>
          <w:rFonts w:ascii="Amiri" w:hAnsi="Amiri" w:eastAsia="Amiri" w:cs="Amiri"/>
          <w:color w:val="111111"/>
          <w:sz w:val="28"/>
          <w:sz w:val="28"/>
          <w:szCs w:val="28"/>
          <w:rtl w:val="true"/>
          <w:lang w:bidi="ar-SA"/>
        </w:rPr>
        <w:t xml:space="preserve">كان قد أحصن رجم،و إلّا جلد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أنّها شاذّة لا عامل بها،موافقة للتقيّة،كما صرّح به شيخ الطائفة </w:t>
      </w:r>
      <w:r>
        <w:rPr>
          <w:rStyle w:val="FootnoteAnchor"/>
          <w:rtl w:val="true"/>
        </w:rPr>
        <w:footnoteReference w:id="17"/>
      </w:r>
      <w:r>
        <w:rPr>
          <w:rFonts w:ascii="Amiri" w:hAnsi="Amiri" w:eastAsia="Amiri" w:cs="Amiri"/>
          <w:color w:val="111111"/>
          <w:sz w:val="28"/>
          <w:sz w:val="28"/>
          <w:szCs w:val="28"/>
          <w:rtl w:val="true"/>
          <w:lang w:bidi="ar-SA"/>
        </w:rPr>
        <w:t xml:space="preserve">،حاملاً لها عليها تارة،و أُخرى على غير الإيقاب؛ لتسميته لواطاً أيضاً اتّفاقاً،بل يستفاد من بعض الروايات </w:t>
      </w:r>
      <w:r>
        <w:rPr>
          <w:rStyle w:val="FootnoteAnchor"/>
          <w:rtl w:val="true"/>
        </w:rPr>
        <w:footnoteReference w:id="18"/>
      </w:r>
      <w:r>
        <w:rPr>
          <w:rFonts w:ascii="Amiri" w:hAnsi="Amiri" w:eastAsia="Amiri" w:cs="Amiri"/>
          <w:color w:val="111111"/>
          <w:sz w:val="28"/>
          <w:sz w:val="28"/>
          <w:szCs w:val="28"/>
          <w:rtl w:val="true"/>
          <w:lang w:bidi="ar-SA"/>
        </w:rPr>
        <w:t>كونه المراد باللوطي الوارد في النصوص حكمه من القتل و غيره،و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جملةً منها لا يقبل الحمل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ثقب و كان محصناً رجم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 القريب منه بابن أبي عمير،المجمع على تصحيح ما يصحّ عنه في الذي يوقب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الرجم إن كان محصناً،و عليه الجلد إن لم يكن محصناً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حملها على التقيّة خاصّة،كما صرّح به الشيخ أيضاً،فقال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 ما قدّمناه من حمله على التقيّة،لا غير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الأول أيضاً،لكنّه أجاب عنه بوجه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تقييد ذلك بكونه محصناً إنّما يدلّ من حيث دليل الخطاب على أنّه إذا لم يكن محصناً لم يكن عليه ذلك،و قد ينصرف عنه لدليل،و قد قدّمنا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الأخبار المزبورة زيادةً على ما مضى ضعف أكثرها سنداً،و اختصاصها بالفاعل دون المفعول،فلم يتعرّض في أكثرها لحكمه،بل في بعضها أنّ حدّه القتل،ففيه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أتى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إن كان محصناً القتل،و إن لم يكن محصناً فعليه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على المؤتى؟قال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القتل على كلّ حال،محصناً كان أو غير محصن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يظهر ضعف ما اختاره بعض متأخّري متأخّري الأصحاب من اشتراط الإيقاب و الإحصان جميعاً في قتل الفاعل أو رجمه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يُحَدّ المجنون مطلقاً و لو كان فاعلاً على الأصحّ الأشهر، بل عليه عامّة من تأخّر،و في الغنية الإجماع عليه </w:t>
      </w:r>
      <w:r>
        <w:rPr>
          <w:rStyle w:val="FootnoteAnchor"/>
          <w:rtl w:val="true"/>
        </w:rPr>
        <w:footnoteReference w:id="23"/>
      </w:r>
      <w:r>
        <w:rPr>
          <w:rFonts w:ascii="Amiri" w:hAnsi="Amiri" w:eastAsia="Amiri" w:cs="Amiri"/>
          <w:color w:val="111111"/>
          <w:sz w:val="28"/>
          <w:sz w:val="28"/>
          <w:szCs w:val="28"/>
          <w:rtl w:val="true"/>
          <w:lang w:bidi="ar-SA"/>
        </w:rPr>
        <w:t xml:space="preserve">و هو الحجّة،مضافاً إلى ما مرّ في زناه من الأدلّة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لمن مرّ ثمّة،فيحدّ كما لو زنى </w:t>
      </w:r>
      <w:r>
        <w:rPr>
          <w:rStyle w:val="FootnoteAnchor"/>
          <w:rtl w:val="true"/>
        </w:rPr>
        <w:footnoteReference w:id="25"/>
      </w:r>
      <w:r>
        <w:rPr>
          <w:rFonts w:ascii="IRNazanin" w:hAnsi="IRNazanin" w:eastAsia="IRNazanin"/>
          <w:color w:val="111111"/>
          <w:sz w:val="28"/>
          <w:sz w:val="28"/>
          <w:szCs w:val="28"/>
          <w:rtl w:val="true"/>
          <w:lang w:bidi="fa-IR"/>
        </w:rPr>
        <w:t>للفحوى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يمنع بمنع المقيس عليه جدّاً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مخيّر في قتل الموقب،بين قتله بالسيف و رجمه، و إلقائه من جدار عال يموت به و إحراقه بالنار حيّاً،و إلقاء جدار عليه،كما ذكره الشيخان </w:t>
      </w:r>
      <w:r>
        <w:rPr>
          <w:rStyle w:val="FootnoteAnchor"/>
          <w:rtl w:val="true"/>
        </w:rPr>
        <w:footnoteReference w:id="26"/>
      </w:r>
      <w:r>
        <w:rPr>
          <w:rFonts w:ascii="Amiri" w:hAnsi="Amiri" w:eastAsia="Amiri" w:cs="Amiri"/>
          <w:color w:val="111111"/>
          <w:sz w:val="28"/>
          <w:sz w:val="28"/>
          <w:szCs w:val="28"/>
          <w:rtl w:val="true"/>
          <w:lang w:bidi="ar-SA"/>
        </w:rPr>
        <w:t xml:space="preserve">و الأكثر،و نفى عنه الخلاف في السرائر </w:t>
      </w:r>
      <w:r>
        <w:rPr>
          <w:rStyle w:val="FootnoteAnchor"/>
          <w:rtl w:val="true"/>
        </w:rPr>
        <w:footnoteReference w:id="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عليه الإجماع في الغنية </w:t>
      </w:r>
      <w:r>
        <w:rPr>
          <w:rStyle w:val="FootnoteAnchor"/>
          <w:rtl w:val="true"/>
        </w:rPr>
        <w:footnoteReference w:id="28"/>
      </w:r>
      <w:r>
        <w:rPr>
          <w:rFonts w:ascii="Amiri" w:hAnsi="Amiri" w:eastAsia="Amiri" w:cs="Amiri"/>
          <w:color w:val="111111"/>
          <w:sz w:val="28"/>
          <w:sz w:val="28"/>
          <w:szCs w:val="28"/>
          <w:rtl w:val="true"/>
          <w:lang w:bidi="ar-SA"/>
        </w:rPr>
        <w:t xml:space="preserve">،و كذا في الانتصار </w:t>
      </w:r>
      <w:r>
        <w:rPr>
          <w:rStyle w:val="FootnoteAnchor"/>
          <w:rtl w:val="true"/>
        </w:rPr>
        <w:footnoteReference w:id="29"/>
      </w:r>
      <w:r>
        <w:rPr>
          <w:rFonts w:ascii="Amiri" w:hAnsi="Amiri" w:eastAsia="Amiri" w:cs="Amiri"/>
          <w:color w:val="111111"/>
          <w:sz w:val="28"/>
          <w:sz w:val="28"/>
          <w:szCs w:val="28"/>
          <w:rtl w:val="true"/>
          <w:lang w:bidi="ar-SA"/>
        </w:rPr>
        <w:t xml:space="preserve">،إلا أنّه لم يذكر الإحراق،و هو ظاهر المسالك أيضاً </w:t>
      </w:r>
      <w:r>
        <w:rPr>
          <w:rStyle w:val="FootnoteAnchor"/>
          <w:rtl w:val="true"/>
        </w:rPr>
        <w:footnoteReference w:id="30"/>
      </w:r>
      <w:r>
        <w:rPr>
          <w:rFonts w:ascii="Amiri" w:hAnsi="Amiri" w:eastAsia="Amiri" w:cs="Amiri"/>
          <w:color w:val="111111"/>
          <w:sz w:val="28"/>
          <w:sz w:val="28"/>
          <w:szCs w:val="28"/>
          <w:rtl w:val="true"/>
          <w:lang w:bidi="ar-SA"/>
        </w:rPr>
        <w:t>إلّا أنّه لم يذكر الأخير في متعلّق التخيير؛ و هو الحجّة،مضافاً إلى المعتبرة بعد 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الحسن الوارد فيمن أقرّ بالإيقاب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مثلك ثلاثة أحكام،فاختر أيّهنّ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بالسيف في عنقك بالغة ما بلغت،أو إهدارك من جبل مشدود اليدين و الرجلين،أو إحراق بالنار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رجم بالكوفة رجلاً كان يؤتى في دبره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ذنب لم يعص اللّه تعالى به إلّا امّة من الأُمم،فصنع اللّه تعالى بها ما ذكر في كتابه من رجمهم بالحجارة، فارجموهم كما فعله اللّه عزّ و جلّ بهم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كلامه كلام النساء،و مشيه مشي النساء، و يمكّن من نفسه فينكح كما ينكح النساء،فارجموه و لا تستحيوه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إلقاء الجدار عليه،فقيل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خبراً </w:t>
      </w:r>
      <w:r>
        <w:rPr>
          <w:rStyle w:val="FootnoteAnchor"/>
          <w:rtl w:val="true"/>
        </w:rPr>
        <w:footnoteReference w:id="36"/>
      </w:r>
      <w:r>
        <w:rPr>
          <w:rFonts w:ascii="Amiri" w:hAnsi="Amiri" w:eastAsia="Amiri" w:cs="Amiri"/>
          <w:color w:val="111111"/>
          <w:sz w:val="28"/>
          <w:sz w:val="28"/>
          <w:szCs w:val="28"/>
          <w:rtl w:val="true"/>
          <w:lang w:bidi="ar-SA"/>
        </w:rPr>
        <w:t xml:space="preserve">مرويّاً عن مولانا الرضا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الأسانيد أو ضعفها منجبر بالعمل،و كذا الدلالة؛ مع أنّ في التخيير جمعاً بينها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نافى مفهوم العدد في الحسنة التخيير بين الرجم و إلقاء الجدار عليه أيضاً،إلّا أنّه لا يعترض به المنطوق ؛ مع أنّ ظاهرها كون التخيير إلى المحدود دون الإمام،و هو خلاف ما ذكره الأصحاب و شهد به بعض الروايات،كالخبر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خالد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اتي برجل يؤتى في دبره،فاستشار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 بالنار،فإنّ العرب لا ترى القتل شيئاً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يضمّ الإحراق إلى غيره من العقوبات الأُخر بأن يقتل بالسيف أو الرجم أو الرمي به أو عليه،ثم يحرق،بلا خلاف فيه على الظاهر،المصرّح به في السرائر </w:t>
      </w:r>
      <w:r>
        <w:rPr>
          <w:rStyle w:val="FootnoteAnchor"/>
          <w:rtl w:val="true"/>
        </w:rPr>
        <w:footnoteReference w:id="39"/>
      </w:r>
      <w:r>
        <w:rPr>
          <w:rFonts w:ascii="Amiri" w:hAnsi="Amiri" w:eastAsia="Amiri" w:cs="Amiri"/>
          <w:color w:val="111111"/>
          <w:sz w:val="28"/>
          <w:sz w:val="28"/>
          <w:szCs w:val="28"/>
          <w:rtl w:val="true"/>
          <w:lang w:bidi="ar-SA"/>
        </w:rPr>
        <w:t>،زيادةً في الردع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40"/>
      </w:r>
      <w:r>
        <w:rPr>
          <w:rFonts w:ascii="Amiri" w:hAnsi="Amiri" w:eastAsia="Amiri" w:cs="Amiri"/>
          <w:color w:val="111111"/>
          <w:sz w:val="28"/>
          <w:sz w:val="28"/>
          <w:szCs w:val="28"/>
          <w:rtl w:val="true"/>
          <w:lang w:bidi="ar-SA"/>
        </w:rPr>
        <w:t xml:space="preserve">و غيره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بقتل الذي أُخذ في زمن عمر،ثم قال بعد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له عقوبة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بِطُنّ </w:t>
      </w:r>
      <w:r>
        <w:rPr>
          <w:rStyle w:val="FootnoteAnchor"/>
          <w:rtl w:val="true"/>
        </w:rPr>
        <w:footnoteReference w:id="42"/>
      </w:r>
      <w:r>
        <w:rPr>
          <w:rFonts w:ascii="IRNazanin" w:hAnsi="IRNazanin" w:eastAsia="IRNazanin"/>
          <w:color w:val="111111"/>
          <w:sz w:val="28"/>
          <w:sz w:val="28"/>
          <w:szCs w:val="28"/>
          <w:rtl w:val="true"/>
          <w:lang w:bidi="fa-IR"/>
        </w:rPr>
        <w:t>من حطب،فدعا به،ثم أخرجه فأحرقه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يوقب كالمفخّذ و الفاعل بين الأليتين فحدّه مائة جلدة مطلقاً و لو كان محصناً على الأصحّ الأشهر،بل عليه عامّة من تأخّر، و في صريح الانتصار و ظاهر الغنية الإجماع عليه </w:t>
      </w:r>
      <w:r>
        <w:rPr>
          <w:rStyle w:val="FootnoteAnchor"/>
          <w:rtl w:val="true"/>
        </w:rPr>
        <w:footnoteReference w:id="43"/>
      </w:r>
      <w:r>
        <w:rPr>
          <w:rFonts w:ascii="Amiri" w:hAnsi="Amiri" w:eastAsia="Amiri" w:cs="Amiri"/>
          <w:color w:val="111111"/>
          <w:sz w:val="28"/>
          <w:sz w:val="28"/>
          <w:szCs w:val="28"/>
          <w:rtl w:val="true"/>
          <w:lang w:bidi="ar-SA"/>
        </w:rPr>
        <w:t>و هو الحجّة،مضافاً إلى أصالة البراءة،و الشكّ في وجوب الزائد،فيدرأ به؛ للشبهة،و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يفعل بالرجل،فقال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دون الثقب فالحدّ،و إن كان ثقب أُقيم قائماً ثم ضرب بالسيف</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الظاهر أنّ المراد بالحدّ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للنهاية و القاضي و ابن حمزة </w:t>
      </w:r>
      <w:r>
        <w:rPr>
          <w:rStyle w:val="FootnoteAnchor"/>
          <w:rtl w:val="true"/>
        </w:rPr>
        <w:footnoteReference w:id="45"/>
      </w:r>
      <w:r>
        <w:rPr>
          <w:rFonts w:ascii="Amiri" w:hAnsi="Amiri" w:eastAsia="Amiri" w:cs="Amiri"/>
          <w:color w:val="111111"/>
          <w:sz w:val="28"/>
          <w:sz w:val="28"/>
          <w:szCs w:val="28"/>
          <w:rtl w:val="true"/>
          <w:lang w:bidi="ar-SA"/>
        </w:rPr>
        <w:t>في المحصن،فالقتل؛ جمعاً بين النصوص المتقدّمة،بحمل ما دلّ منها على القتل مطلقاً على الموقب، و ما دلّ منها على التفصيل بين المحصن و غيره على غيره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حسن،لولا قوّة احتمال ورود الأخيرة للتقيّة،كما يرشد إليه تصريح جملة منها معتبرة بالتفصيل أيضاً في الموقب،مع ضعف أسانيد غيرها،و تبادر الموقب من اللوطي فيها،و عدم مكافأتها للنصوص التي </w:t>
      </w:r>
    </w:p>
    <w:p>
      <w:pPr>
        <w:pStyle w:val="BookText"/>
        <w:rPr/>
      </w:pPr>
      <w:r>
        <w:rPr>
          <w:rFonts w:ascii="IRNazanin" w:hAnsi="IRNazanin" w:eastAsia="IRNazanin"/>
          <w:color w:val="111111"/>
          <w:sz w:val="28"/>
          <w:sz w:val="28"/>
          <w:szCs w:val="28"/>
          <w:rtl w:val="true"/>
          <w:lang w:bidi="fa-IR"/>
        </w:rPr>
        <w:t>تقابلها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للإسكافي و الصدوقين </w:t>
      </w:r>
      <w:r>
        <w:rPr>
          <w:rStyle w:val="FootnoteAnchor"/>
          <w:rtl w:val="true"/>
        </w:rPr>
        <w:footnoteReference w:id="46"/>
      </w:r>
      <w:r>
        <w:rPr>
          <w:rFonts w:ascii="Amiri" w:hAnsi="Amiri" w:eastAsia="Amiri" w:cs="Amiri"/>
          <w:color w:val="111111"/>
          <w:sz w:val="28"/>
          <w:sz w:val="28"/>
          <w:szCs w:val="28"/>
          <w:rtl w:val="true"/>
          <w:lang w:bidi="ar-SA"/>
        </w:rPr>
        <w:t>،فأوجبوا القتل فيه مطلقاً و لو لم يكن محصناً،فإنّهم فرضوه فيه،و جعلوا الإيقاب هو الكفر باللّه تعالى؛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اللواط،فقال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الموقب،فقال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الكفر بما أنزل اللّه تعالى على نبيّه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ضعف سنده معارض بالخبر الذي مرّ سنداً للأكثر؛ للتصريح فيه بأنّ غير الموقب يحدّ و الموقب يقتل،و هو و إن شابه الأول في السند،إلّا أنّه منجبر بالأصل و العمل،فحينئذٍ ينبغي طرحه أو حمله على المستحلّ،فتأمّل ،أو المبالغة في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الأقوال يستوي فيه أي في الجلد مائة الفاعل و المفعول،و الحرّ و العبد و المسلم و الكافر إن لاط بمثله لا بمسلم؛ لوجوب قتله حينئذ؛ لهتكه حرمة الإسلام و إهانته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ينتصف حدّ العبد هنا كما ينتصف في زناه،بلا خلاف،بل في الغنية و عن نكت الإرشاد </w:t>
      </w:r>
      <w:r>
        <w:rPr>
          <w:rStyle w:val="FootnoteAnchor"/>
          <w:rtl w:val="true"/>
        </w:rPr>
        <w:footnoteReference w:id="48"/>
      </w:r>
      <w:r>
        <w:rPr>
          <w:rFonts w:ascii="Amiri" w:hAnsi="Amiri" w:eastAsia="Amiri" w:cs="Amiri"/>
          <w:color w:val="111111"/>
          <w:sz w:val="28"/>
          <w:sz w:val="28"/>
          <w:szCs w:val="28"/>
          <w:rtl w:val="true"/>
          <w:lang w:bidi="ar-SA"/>
        </w:rPr>
        <w:t>أنّ عليه إجماع الأصحاب؛ و هو الحجّة، المؤيّدة بإطلاق الرواية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تكرّر من غير الموقب اللواط ثلاثاً مع تكرار الحدّ بعد كلّ مرّة قتل في المرّة الرابعة،على الأشبه الأشهر،بل عليه عامّة من تأخّر،و في الغنية الإجماع عليه </w:t>
      </w:r>
      <w:r>
        <w:rPr>
          <w:rStyle w:val="FootnoteAnchor"/>
          <w:rtl w:val="true"/>
        </w:rPr>
        <w:footnoteReference w:id="49"/>
      </w:r>
      <w:r>
        <w:rPr>
          <w:rFonts w:ascii="Amiri" w:hAnsi="Amiri" w:eastAsia="Amiri" w:cs="Amiri"/>
          <w:color w:val="111111"/>
          <w:sz w:val="28"/>
          <w:sz w:val="28"/>
          <w:szCs w:val="28"/>
          <w:rtl w:val="true"/>
          <w:lang w:bidi="ar-SA"/>
        </w:rPr>
        <w:t xml:space="preserve">و هو الحجّة،مضافاً إلى </w:t>
      </w:r>
    </w:p>
    <w:p>
      <w:pPr>
        <w:pStyle w:val="BookText"/>
        <w:rPr/>
      </w:pPr>
      <w:r>
        <w:rPr>
          <w:rFonts w:ascii="Amiri" w:hAnsi="Amiri" w:eastAsia="Amiri" w:cs="Amiri"/>
          <w:color w:val="111111"/>
          <w:sz w:val="28"/>
          <w:sz w:val="28"/>
          <w:szCs w:val="28"/>
          <w:rtl w:val="true"/>
          <w:lang w:bidi="ar-SA"/>
        </w:rPr>
        <w:t xml:space="preserve">ما يظهر منها و من جماعة </w:t>
      </w:r>
      <w:r>
        <w:rPr>
          <w:rStyle w:val="FootnoteAnchor"/>
          <w:rtl w:val="true"/>
        </w:rPr>
        <w:footnoteReference w:id="50"/>
      </w:r>
      <w:r>
        <w:rPr>
          <w:rFonts w:ascii="Amiri" w:hAnsi="Amiri" w:eastAsia="Amiri" w:cs="Amiri"/>
          <w:color w:val="111111"/>
          <w:sz w:val="28"/>
          <w:sz w:val="28"/>
          <w:szCs w:val="28"/>
          <w:rtl w:val="true"/>
          <w:lang w:bidi="ar-SA"/>
        </w:rPr>
        <w:t>مساواته مع الزاني في ذلك،و أنّ كلّ من قال بالقتل في الرابعة ثمّة قال به في المسألة،و من قال به ثمّة في الثالثة قال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الإجماع على عدم الفرق بين المسألتين،حتى أنّ شيخنا في الروضة استدلّ للقتل في الرابعة هنا بالرواية </w:t>
      </w:r>
      <w:r>
        <w:rPr>
          <w:rStyle w:val="FootnoteAnchor"/>
          <w:rtl w:val="true"/>
        </w:rPr>
        <w:footnoteReference w:id="51"/>
      </w:r>
      <w:r>
        <w:rPr>
          <w:rFonts w:ascii="Amiri" w:hAnsi="Amiri" w:eastAsia="Amiri" w:cs="Amiri"/>
          <w:color w:val="111111"/>
          <w:sz w:val="28"/>
          <w:sz w:val="28"/>
          <w:szCs w:val="28"/>
          <w:rtl w:val="true"/>
          <w:lang w:bidi="ar-SA"/>
        </w:rPr>
        <w:t xml:space="preserve">الدالّة عليه في تلك المسألة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حينئذ،فهذا الإجماع أقوى دليل على الحكم هنا و إن اختصّ مورد الرواية التي استدلّ بها بالزناء،و لولاه لكان القول بالفرق متّجهاً؛ لعموم الصحيح بقتل أصحاب الكبائر في الثالثة </w:t>
      </w:r>
      <w:r>
        <w:rPr>
          <w:rStyle w:val="FootnoteAnchor"/>
          <w:rtl w:val="true"/>
        </w:rPr>
        <w:footnoteReference w:id="53"/>
      </w:r>
      <w:r>
        <w:rPr>
          <w:rFonts w:ascii="Amiri" w:hAnsi="Amiri" w:eastAsia="Amiri" w:cs="Amiri"/>
          <w:color w:val="111111"/>
          <w:sz w:val="28"/>
          <w:sz w:val="28"/>
          <w:szCs w:val="28"/>
          <w:rtl w:val="true"/>
          <w:lang w:bidi="ar-SA"/>
        </w:rPr>
        <w:t>،مع خلوّه هنا لما عرفت عن المعارض،إلّا أنّ الإجماع المنقول المعتضد بفتوى الأكثر،و بما دلّ على درء الحدود بالشبهة الحاصلة هنا من جهة الخلاف بلا شبهة كافٍ في تخصيص الصحيحة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يعزّر المجتمعان تحت إزار واحد حال كونهما مجرّدين و لا رحم أي لا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لا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يراه الحاكم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من ثلاثين سوطاً إلى تسعة و تسعين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الكلام في </w:t>
      </w:r>
    </w:p>
    <w:p>
      <w:pPr>
        <w:pStyle w:val="BookText"/>
        <w:rPr/>
      </w:pPr>
      <w:r>
        <w:rPr>
          <w:rFonts w:ascii="Amiri" w:hAnsi="Amiri" w:eastAsia="Amiri" w:cs="Amiri"/>
          <w:color w:val="111111"/>
          <w:sz w:val="28"/>
          <w:sz w:val="28"/>
          <w:szCs w:val="28"/>
          <w:rtl w:val="true"/>
          <w:lang w:bidi="ar-SA"/>
        </w:rPr>
        <w:t xml:space="preserve">المسألة مستوفى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التقييد بنفي الرحميّة و الضرورة لم يوجد في أكثر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ينام مع الرجل في لحاف واحد،فقال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 ثلاثين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إيماء إليه،لكنّه مع قصور السند يشكل في الأول بأنّ مطلق الرحم لا يوجب تجويز ذلك،فالأولى ترك التقييد به،أو التقييد بكون الفعل محرّماً ،و فيه غنى عن التقييد بالضرورة و التجرّد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وجه لاعتبار الأخير أصلاً،حيث يحصل التحريم بالاجتماع الذي هو مناط التعزير من دونه،و لعلّه لذا خلا أكثر النصوص من اعتباره،و بعض النصوص المتعرّض له غير صريح في التقييد به،لكنّه ظاهر فيه،مع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رجلين في لحاف واحد مجرّدين جلدهما حدّ الزاني مائة جلدة،و كذلك المرأتان إذا وجدتا في لحاف واحد مجرّدتين جلدهما كلّ واحدة مائة جلدة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صريحه ككثير من النصوص </w:t>
      </w:r>
      <w:r>
        <w:rPr>
          <w:rStyle w:val="FootnoteAnchor"/>
          <w:rtl w:val="true"/>
        </w:rPr>
        <w:footnoteReference w:id="58"/>
      </w:r>
      <w:r>
        <w:rPr>
          <w:rFonts w:ascii="Amiri" w:hAnsi="Amiri" w:eastAsia="Amiri" w:cs="Amiri"/>
          <w:color w:val="111111"/>
          <w:sz w:val="28"/>
          <w:sz w:val="28"/>
          <w:szCs w:val="28"/>
          <w:rtl w:val="true"/>
          <w:lang w:bidi="ar-SA"/>
        </w:rPr>
        <w:t xml:space="preserve">عدم الفرق في المجتمعين بين كونهما رجلين أو امرأتين،و في جملة أُخرى منها عدمه في المجتمعين </w:t>
      </w:r>
    </w:p>
    <w:p>
      <w:pPr>
        <w:pStyle w:val="BookText"/>
        <w:rPr/>
      </w:pPr>
      <w:r>
        <w:rPr>
          <w:rFonts w:ascii="Amiri" w:hAnsi="Amiri" w:eastAsia="Amiri" w:cs="Amiri"/>
          <w:color w:val="111111"/>
          <w:sz w:val="28"/>
          <w:sz w:val="28"/>
          <w:szCs w:val="28"/>
          <w:rtl w:val="true"/>
          <w:lang w:bidi="ar-SA"/>
        </w:rPr>
        <w:t xml:space="preserve">ذكراً و أُنثى </w:t>
      </w:r>
      <w:r>
        <w:rPr>
          <w:rStyle w:val="FootnoteAnchor"/>
          <w:rtl w:val="true"/>
        </w:rPr>
        <w:footnoteReference w:id="59"/>
      </w:r>
      <w:r>
        <w:rPr>
          <w:rFonts w:ascii="Amiri" w:hAnsi="Amiri" w:eastAsia="Amiri" w:cs="Amiri"/>
          <w:color w:val="111111"/>
          <w:sz w:val="28"/>
          <w:sz w:val="28"/>
          <w:szCs w:val="28"/>
          <w:rtl w:val="true"/>
          <w:lang w:bidi="ar-SA"/>
        </w:rPr>
        <w:t xml:space="preserve">،فلا وجه لتقييد المجتمعين بالذكرين،كما يوجد في كلام بعض أصحابنا </w:t>
      </w:r>
      <w:r>
        <w:rPr>
          <w:rStyle w:val="FootnoteAnchor"/>
          <w:rtl w:val="true"/>
        </w:rPr>
        <w:footnoteReference w:id="60"/>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تكرّر الاجتماع المحرّم مع تكرار التعزير،حُدّا في المرّة الثالثة كما عن النهاية و الحلّي و القاضي و ابن سعيد و في القواعد و التحرير و الإرشاد </w:t>
      </w:r>
      <w:r>
        <w:rPr>
          <w:rStyle w:val="FootnoteAnchor"/>
          <w:rtl w:val="true"/>
        </w:rPr>
        <w:footnoteReference w:id="61"/>
      </w:r>
      <w:r>
        <w:rPr>
          <w:rFonts w:ascii="Amiri" w:hAnsi="Amiri" w:eastAsia="Amiri" w:cs="Amiri"/>
          <w:color w:val="111111"/>
          <w:sz w:val="28"/>
          <w:sz w:val="28"/>
          <w:szCs w:val="28"/>
          <w:rtl w:val="true"/>
          <w:lang w:bidi="ar-SA"/>
        </w:rPr>
        <w:t xml:space="preserve">و مستندهم غير واضح،عدا ما سيأتي من الخبر الناطق بذلك في المرأتين </w:t>
      </w:r>
      <w:r>
        <w:rPr>
          <w:rStyle w:val="FootnoteAnchor"/>
          <w:rtl w:val="true"/>
        </w:rPr>
        <w:footnoteReference w:id="62"/>
      </w:r>
      <w:r>
        <w:rPr>
          <w:rFonts w:ascii="Amiri" w:hAnsi="Amiri" w:eastAsia="Amiri" w:cs="Amiri"/>
          <w:color w:val="111111"/>
          <w:sz w:val="28"/>
          <w:sz w:val="28"/>
          <w:szCs w:val="28"/>
          <w:rtl w:val="true"/>
          <w:lang w:bidi="ar-SA"/>
        </w:rPr>
        <w:t xml:space="preserve">،و هو مع أخصّيته عن المدّعى </w:t>
      </w:r>
      <w:r>
        <w:rPr>
          <w:rStyle w:val="FootnoteAnchor"/>
          <w:rtl w:val="true"/>
        </w:rPr>
        <w:footnoteReference w:id="63"/>
      </w:r>
      <w:r>
        <w:rPr>
          <w:rFonts w:ascii="Amiri" w:hAnsi="Amiri" w:eastAsia="Amiri" w:cs="Amiri"/>
          <w:color w:val="111111"/>
          <w:sz w:val="28"/>
          <w:sz w:val="28"/>
          <w:szCs w:val="28"/>
          <w:rtl w:val="true"/>
          <w:lang w:bidi="ar-SA"/>
        </w:rPr>
        <w:t xml:space="preserve">متضمّن لما لا يقولون به،كما سيأتي إن شاء اللّه تعالى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عادا ثلاثاً و عُزّرا بعد كلّ مرّة،قتلا في الرابعة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يعزَّر من قبّل غلاماً بشهوة من غير رأفة،بلا خلاف أجده؛ لأنّه فعل محرّماً،فيستحقّ فاعله التعزير مطلقاً،كغيره من المحرّمات،بل الأمر فيه آكد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قبّل غلاماً بشهوة لعنته ملائكة السماء، و ملائكة الأرضين،و ملائكة الرحمة،و ملائكة الغضب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غلاماً بشهوة ألجمه اللّه تعالى بلجام من نار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المحرم و الأجنبي؛ لإطلاق الدليل،و إن قيّده الأكثر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ورود القيد في كلامهم مورد الغالب؛ لأظهريّة الشهوة فيه،و إلّا فلا وجه له،كما صرّح به شيخنا الشهيد الثاني </w:t>
      </w:r>
      <w:r>
        <w:rPr>
          <w:rStyle w:val="FootnoteAnchor"/>
          <w:rtl w:val="true"/>
        </w:rPr>
        <w:footnoteReference w:id="68"/>
      </w:r>
      <w:r>
        <w:rPr>
          <w:rFonts w:ascii="Amiri" w:hAnsi="Amiri" w:eastAsia="Amiri" w:cs="Amiri"/>
          <w:color w:val="111111"/>
          <w:sz w:val="28"/>
          <w:sz w:val="28"/>
          <w:szCs w:val="28"/>
          <w:rtl w:val="true"/>
          <w:lang w:bidi="ar-SA"/>
        </w:rPr>
        <w:t xml:space="preserve">،بل مناط التعزير في المحرم آكد،كما صرّح به المقدّس الأردبيلي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عموم المناط يظهر عدم الفرق أيضاً بين الصغير و الصغيرة،بل و لا بين الرجل و المرأة،كما يستفاد من إطلاقهم التعزير في التقبيل و المضاجعة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الوجه في ذكر المسألة على حدة بعد دخولها في عموم تلك المسألة،إلّا أن تخصّ بالمرأة،و لكن لا وجه له بعد عموم المناط 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قبّل غلاماً بشهوة،قال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مائة سوط</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شاذّ،و ربما حمل على التغليظ؛ لمكان الإحرام،كما صرّح به الأصحاب عموماً،و الحلّي في المقام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حسن،لولا أنّ المشهور اشتراط عدم بلوغ التعزير الحدّ،و لذا إنّ الحلّي لم يصرّح في مورد الخبر بأكثر من التغليظ</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احترز بالشهوة عمّا يكون برأفة،أو صداقة دنياويّة،أو عادة عرفيّة، </w:t>
      </w:r>
      <w:bookmarkStart w:id="16" w:name="pg11409_90604"/>
    </w:p>
    <w:p>
      <w:pPr>
        <w:pStyle w:val="BookText"/>
        <w:rPr/>
      </w:pPr>
      <w:bookmarkEnd w:id="16"/>
      <w:r>
        <w:rPr>
          <w:rFonts w:ascii="Amiri" w:hAnsi="Amiri" w:eastAsia="Amiri" w:cs="Amiri"/>
          <w:color w:val="111111"/>
          <w:sz w:val="28"/>
          <w:sz w:val="28"/>
          <w:szCs w:val="28"/>
          <w:rtl w:val="true"/>
          <w:lang w:bidi="ar-SA"/>
        </w:rPr>
        <w:t>فإنّه لا حرج في ذلك و لا إثم،كما صرّح به الحلّي،قال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قد روي </w:t>
      </w:r>
      <w:r>
        <w:rPr>
          <w:rStyle w:val="FootnoteAnchor"/>
          <w:rtl w:val="true"/>
        </w:rPr>
        <w:footnoteReference w:id="72"/>
      </w:r>
      <w:r>
        <w:rPr>
          <w:rFonts w:ascii="Amiri" w:hAnsi="Amiri" w:eastAsia="Amiri" w:cs="Amiri"/>
          <w:color w:val="111111"/>
          <w:sz w:val="28"/>
          <w:sz w:val="28"/>
          <w:szCs w:val="28"/>
          <w:rtl w:val="true"/>
          <w:lang w:bidi="ar-SA"/>
        </w:rPr>
        <w:t xml:space="preserve">استحباب تقبيل القادم من مكّة بغير خلاف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102593_73709187"/>
      <w:bookmarkStart w:id="18" w:name="_Toc6"/>
      <w:bookmarkEnd w:id="17"/>
      <w:r>
        <w:rPr>
          <w:rtl w:val="true"/>
        </w:rPr>
        <w:t>السحق</w:t>
      </w:r>
      <w:bookmarkEnd w:id="18"/>
    </w:p>
    <w:p>
      <w:pPr>
        <w:pStyle w:val="Heading5"/>
        <w:numPr>
          <w:ilvl w:val="4"/>
          <w:numId w:val="1"/>
        </w:numPr>
        <w:rPr/>
      </w:pPr>
      <w:bookmarkStart w:id="19" w:name="__RefHeading___Toc1102595_7370918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يثبت السحق بما يثبت به اللواط بلا خلاف؛ لعموم المنزلة الواردة في بعض الأخبار،كالمرويّ في مكارم الأخلاق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السحق في النساء بمنزلة اللواط في الرجال</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نحوه المرسل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فيه مائة جلدة مطلقاً حرّة كانت أو أمة،محصنة أو غير محصنة و يستوي في ذلك الفاعلة و المفعولة بلا خلاف في شيء من ذلك أجده،إلّا في جلد المحصنة مائة،فقد اختلفوا فيه،و المشهور ذلك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في المسالك </w:t>
      </w:r>
      <w:r>
        <w:rPr>
          <w:rStyle w:val="FootnoteAnchor"/>
          <w:rtl w:val="true"/>
        </w:rPr>
        <w:footnoteReference w:id="76"/>
      </w:r>
      <w:r>
        <w:rPr>
          <w:rFonts w:ascii="Amiri" w:hAnsi="Amiri" w:eastAsia="Amiri" w:cs="Amiri"/>
          <w:color w:val="111111"/>
          <w:sz w:val="28"/>
          <w:sz w:val="28"/>
          <w:szCs w:val="28"/>
          <w:rtl w:val="true"/>
          <w:lang w:bidi="ar-SA"/>
        </w:rPr>
        <w:t xml:space="preserve">،بل ظاهره أنّه مذهب المتأخّرين كافّة، كما هو الظاهر،و ظاهر الانتصار بل صريحه أنّ عليه إجماع الإمامية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للأصل،و ظاهر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،فلو كان فيه رجم لزم الإخبار بالخاصّ عن العام،و هو باطل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 المرسل المرويّ عن بعض الكتب،عن مولانا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السحق في النساء كاللواط في الرجال،و لكن فيه جلد مائة؛ لأنّه ليس فيه إيلاج</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ضعف السند مجبور بالشهرة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في النهاية و القاضي و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تُرجَم مع الإحصان </w:t>
      </w:r>
      <w:r>
        <w:rPr>
          <w:rStyle w:val="FootnoteAnchor"/>
          <w:rtl w:val="true"/>
        </w:rPr>
        <w:footnoteReference w:id="80"/>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بأنّه أعمّ من الرجم،فيحمل على الجلد جمعاً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لرجحان ما تقدّم من وجوه عديدة،منها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الصراحة في بعضه دون هذا؛ لعدم صراحته،و احتماله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الخبر المرويّ في الاحتجاج عن مولانا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الفاحشة المبيّنة التي إذا فعلت ذلك يجوز لبعلها أن يخرجها عن بيته في أيّام عدّتها،فقال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السحق،و ليست بالزناء؛ لأنّها إذا زنت يقام عليها الحدّ،و ليس لمن أراد تزويجها أن يمتنع من العقد عليها لأجل الحدّ الذي أُقيم عليها،و أمّا إذا ساحقت فيجب عليها الرجم، و الرجم هو الخزي،و من أمر اللّه تعالى برجمها ليس لأحد أن يقربها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بامرأتين كانتا تتساحقان، فدعا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بالنطع،فأمر بهما فأُحرقتا بالنار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الذبّ عنهما بقصور السند،و أعمّية الثاني من المطلب، و تضمّن الأول لما لا يقول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ضعفهما و لو سلما عن جميع </w:t>
      </w:r>
    </w:p>
    <w:p>
      <w:pPr>
        <w:pStyle w:val="BookText"/>
        <w:rPr/>
      </w:pPr>
      <w:r>
        <w:rPr>
          <w:rFonts w:ascii="Amiri" w:hAnsi="Amiri" w:eastAsia="Amiri" w:cs="Amiri"/>
          <w:color w:val="111111"/>
          <w:sz w:val="28"/>
          <w:sz w:val="28"/>
          <w:szCs w:val="28"/>
          <w:rtl w:val="true"/>
          <w:lang w:bidi="ar-SA"/>
        </w:rPr>
        <w:t>ذلك عن المقاومة لما مرّ؛ لرجحانه بعمل الأكثر،بل عامّة من تأخّر كما سبق،و به يجاب عن النصوص الآتية في المسألة الثانية و إن تضمّنت الصحيح و غيره و نصّت برجم المحصنة،مع احتمالها الاختصاص بمورد تلك المسألة،إلّا أنّه خلاف ظاهر الجماعة،فالمسألة لذلك لا تخلو عن شبهة،إلّا أنّ درء الحدود بها يوجب المصير إلى الجلد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يستفاد من الروضة أنّ به أخباراً صحيحة،حيث قال في المسألة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الموطوءة؛ استناداً إلى رواية ضعيفة السند، مخالفة لما دلّ على عدم رجم المساحقة مطلقاً من الأخبار الصحيحة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دعواه ضعف سند رواية الرجم مع الإحصان،و صحّة ما دلّ على عدمه مطلقاً غريبة،بل الأمر بالعكس كما عرفته،و هو ظاهر الجماعة،حتى هو في المسالك </w:t>
      </w:r>
      <w:r>
        <w:rPr>
          <w:rStyle w:val="FootnoteAnchor"/>
          <w:rtl w:val="true"/>
        </w:rPr>
        <w:footnoteReference w:id="86"/>
      </w:r>
      <w:r>
        <w:rPr>
          <w:rFonts w:ascii="Amiri" w:hAnsi="Amiri" w:eastAsia="Amiri" w:cs="Amiri"/>
          <w:color w:val="111111"/>
          <w:sz w:val="28"/>
          <w:sz w:val="28"/>
          <w:szCs w:val="28"/>
          <w:rtl w:val="true"/>
          <w:lang w:bidi="ar-SA"/>
        </w:rPr>
        <w:t>،و لأجله مال فيه إلى هذا القول،و يشبه أن يكون ذلك منه غفلة،فلا يمكن أن يتّخذ ما ادّعاه من الأخبار الصحيحة حجّة أو معاضدة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لم يدّع ضعف سند رواية الرجم أمكن ذلك باحتمال وقوفه على تلك الأخبار و إن بعد،حيث لم نقف عليها،و لم يتعرّض لها و لو إشارةً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دعواه ذلك أوجبت عدم الإمكان؛ لما عرفت،سيّما مع اعتضاده بما ذكرناه هنا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تقتل المساحقة مطلقاً في الرابعة مع تكرّر الحدّ ثلاثاً على الأظهر الأشهر،بل عليه عامّة من تأخّر،حتى بعض من أوجب القتل في </w:t>
      </w:r>
    </w:p>
    <w:p>
      <w:pPr>
        <w:pStyle w:val="BookText"/>
        <w:rPr/>
      </w:pPr>
      <w:r>
        <w:rPr>
          <w:rFonts w:ascii="Amiri" w:hAnsi="Amiri" w:eastAsia="Amiri" w:cs="Amiri"/>
          <w:color w:val="111111"/>
          <w:sz w:val="28"/>
          <w:sz w:val="28"/>
          <w:szCs w:val="28"/>
          <w:rtl w:val="true"/>
          <w:lang w:bidi="ar-SA"/>
        </w:rPr>
        <w:t>الثالثة في الزناء و اللواط،كالشهيد في اللمعة،بل يفهم من الروضة عدم ظهور خلاف منهم هنا في القتل في الرابعة،حيث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ظاهرهم هنا عدم الخلاف،و إن حكمنا بقتل الزاني و اللائط في الثالثة،كما اتّفق في عبارة المصنّف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ظاهر جماعة منهم كالحلّي في السرائر،و الفاضل في المختلف </w:t>
      </w:r>
      <w:r>
        <w:rPr>
          <w:rStyle w:val="FootnoteAnchor"/>
          <w:rtl w:val="true"/>
        </w:rPr>
        <w:footnoteReference w:id="88"/>
      </w:r>
      <w:r>
        <w:rPr>
          <w:rFonts w:ascii="Amiri" w:hAnsi="Amiri" w:eastAsia="Amiri" w:cs="Amiri"/>
          <w:color w:val="111111"/>
          <w:sz w:val="28"/>
          <w:sz w:val="28"/>
          <w:szCs w:val="28"/>
          <w:rtl w:val="true"/>
          <w:lang w:bidi="ar-SA"/>
        </w:rPr>
        <w:t>جريان الخلاف المتقدّم هنا أيضاً،و اختار الحلّي الخلاف هنا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الحدّ بالتوبة قبل ثبوته بالإقرار أو البيّنة،كاللواط فإنّه كذلك أيضاً يسقط حدّه بها قبل ثبوته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بعد الثبوت بالإقرار أو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الإمام إجراؤه إن ثبت بالثاني،و ليس له العفو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يتخيّر بين الأمرين إذا ثبت بالأول بعين </w:t>
      </w:r>
      <w:r>
        <w:rPr>
          <w:rStyle w:val="FootnoteAnchor"/>
          <w:rtl w:val="true"/>
        </w:rPr>
        <w:footnoteReference w:id="89"/>
      </w:r>
      <w:r>
        <w:rPr>
          <w:rFonts w:ascii="Amiri" w:hAnsi="Amiri" w:eastAsia="Amiri" w:cs="Amiri"/>
          <w:color w:val="111111"/>
          <w:sz w:val="28"/>
          <w:sz w:val="28"/>
          <w:szCs w:val="28"/>
          <w:rtl w:val="true"/>
          <w:lang w:bidi="ar-SA"/>
        </w:rPr>
        <w:t xml:space="preserve">ما مرّ في الزناء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لاشتراك الجميع في هذه الأحكام و أمثالها،كما يستفاد من ظاهر الأصحاب،من غير أن يعرف بينهم في ذلك خلاف،و به صرّح في الغنية، مدّعياً عليه الإجماع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يعزّر المرأتان المجتمعتان تحت إزار واحد مجرّدتين من ثلاثين إلى تسعة و تسعين،كما مرّ في الذَّكَرين المجتمعين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تكرّر منهما الاجتماع مرّتين مع التعزير بينهما أُقيم عليهما الحدّ في المرّة الثالثة بلا خلاف أجده،إلّا من الحلّي في السرائر،فظاهره القتل في الثالثة؛ لأنّه كبيرة،و كلّ كبيرة يقتل بها في الثالثة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كلّية الكبرى ممنوعة كما ستعرفه،و مع ذلك يردّه الأصل و صريح الرواية الآتية،المنجبرة في محلّ البحث بالشهرة العظيمة،التي كادت تكون إجماعاً،بل لعلّها 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عادتا رابعةً قال الشيخ في النهاية </w:t>
      </w:r>
      <w:r>
        <w:rPr>
          <w:rStyle w:val="FootnoteAnchor"/>
          <w:rtl w:val="true"/>
        </w:rPr>
        <w:footnoteReference w:id="94"/>
      </w:r>
      <w:r>
        <w:rPr>
          <w:rFonts w:ascii="Amiri" w:hAnsi="Amiri" w:eastAsia="Amiri" w:cs="Amiri"/>
          <w:color w:val="111111"/>
          <w:sz w:val="28"/>
          <w:sz w:val="28"/>
          <w:szCs w:val="28"/>
          <w:rtl w:val="true"/>
          <w:lang w:bidi="ar-SA"/>
        </w:rPr>
        <w:t xml:space="preserve">و جماعة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قتلتا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لامرأتين أن تناما في لحافٍ واحد إلّا و بينهما حاجز،فإن فعلتا نهيتا عن ذلك،فإن وجدتا بعد النهي في لحافٍ واحد جلدتا كلّ واحدة منهما حدّا حدّا،فإن وجدتا الثالثة حدّتا،فإن وجدتا الرابعة قتلتا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كبيرة يقتل بها في الرابعة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فيهما نظر؛ لضعف سند الأول،مع اشتماله على 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من الحدّ في المرّة الثانية،و ظاهره أيضاً عدم شيء في المرتبة الأُولى عدا النهي خاصّة،و لم يقل به أحد من الطائفة</w:t>
      </w:r>
      <w:r>
        <w:rPr>
          <w:rFonts w:eastAsia="Amiri" w:cs="Amiri" w:ascii="Amiri" w:hAnsi="Amiri"/>
          <w:color w:val="111111"/>
          <w:sz w:val="28"/>
          <w:szCs w:val="28"/>
          <w:rtl w:val="true"/>
          <w:lang w:bidi="ar-SA"/>
        </w:rPr>
        <w:t xml:space="preserve">. </w:t>
      </w:r>
      <w:bookmarkStart w:id="21" w:name="pg11409_90609"/>
    </w:p>
    <w:p>
      <w:pPr>
        <w:pStyle w:val="BookText"/>
        <w:rPr/>
      </w:pPr>
      <w:bookmarkEnd w:id="21"/>
      <w:r>
        <w:rPr>
          <w:rFonts w:ascii="Amiri" w:hAnsi="Amiri" w:eastAsia="Amiri" w:cs="Amiri"/>
          <w:color w:val="111111"/>
          <w:sz w:val="28"/>
          <w:sz w:val="28"/>
          <w:szCs w:val="28"/>
          <w:rtl w:val="true"/>
          <w:lang w:bidi="ar-SA"/>
        </w:rPr>
        <w:t xml:space="preserve">و منع كلّية الكبرى في الثاني؛ لما في المسالك من أنّه إن أُريد أنّه مع إيجابها الحدّ فمسلّم،لكن لا يقولون به هنا،و إن أرادوا مطلقاً فظاهرٌ منعه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ثمّ اختار الفاضلان و الشهيدان و أكثر المتأخّرين كما في المسالك </w:t>
      </w:r>
      <w:r>
        <w:rPr>
          <w:rStyle w:val="FootnoteAnchor"/>
          <w:rtl w:val="true"/>
        </w:rPr>
        <w:footnoteReference w:id="100"/>
      </w:r>
      <w:r>
        <w:rPr>
          <w:rFonts w:ascii="Amiri" w:hAnsi="Amiri" w:eastAsia="Amiri" w:cs="Amiri"/>
          <w:color w:val="111111"/>
          <w:sz w:val="28"/>
          <w:sz w:val="28"/>
          <w:szCs w:val="28"/>
          <w:rtl w:val="true"/>
          <w:lang w:bidi="ar-SA"/>
        </w:rPr>
        <w:t>الاقتصار على التعزير مطلقاً،إلّا في كل ثالثة،فالحدّ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22" w:name="__RefHeading___Toc1102597_73709187"/>
      <w:bookmarkStart w:id="23" w:name="_Toc8"/>
      <w:bookmarkEnd w:id="22"/>
      <w:r>
        <w:rPr>
          <w:rtl w:val="true"/>
        </w:rPr>
        <w:t>مسألتان</w:t>
      </w:r>
      <w:bookmarkEnd w:id="23"/>
    </w:p>
    <w:p>
      <w:pPr>
        <w:pStyle w:val="Heading6"/>
        <w:numPr>
          <w:ilvl w:val="5"/>
          <w:numId w:val="1"/>
        </w:numPr>
        <w:rPr/>
      </w:pPr>
      <w:bookmarkStart w:id="24" w:name="__RefHeading___Toc1102599_73709187"/>
      <w:bookmarkStart w:id="25" w:name="_Toc9"/>
      <w:bookmarkEnd w:id="24"/>
      <w:r>
        <w:rPr>
          <w:rtl w:val="true"/>
        </w:rPr>
        <w:t>الأولى لا كفالة في حدّ</w:t>
      </w:r>
      <w:bookmarkEnd w:id="25"/>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حدّ زناء و لا غيره من الحدود؛ للنبويّ </w:t>
      </w:r>
      <w:r>
        <w:rPr>
          <w:rStyle w:val="FootnoteAnchor"/>
          <w:rtl w:val="true"/>
        </w:rPr>
        <w:footnoteReference w:id="101"/>
      </w:r>
      <w:r>
        <w:rPr>
          <w:rFonts w:ascii="Amiri" w:hAnsi="Amiri" w:eastAsia="Amiri" w:cs="Amiri"/>
          <w:color w:val="111111"/>
          <w:sz w:val="28"/>
          <w:sz w:val="28"/>
          <w:szCs w:val="28"/>
          <w:rtl w:val="true"/>
          <w:lang w:bidi="ar-SA"/>
        </w:rPr>
        <w:t xml:space="preserve">و المرتضويّ </w:t>
      </w:r>
      <w:r>
        <w:rPr>
          <w:rStyle w:val="FootnoteAnchor"/>
          <w:rtl w:val="true"/>
        </w:rPr>
        <w:footnoteReference w:id="102"/>
      </w:r>
      <w:r>
        <w:rPr>
          <w:rFonts w:ascii="Amiri" w:hAnsi="Amiri" w:eastAsia="Amiri" w:cs="Amiri"/>
          <w:color w:val="111111"/>
          <w:sz w:val="28"/>
          <w:sz w:val="28"/>
          <w:szCs w:val="28"/>
          <w:rtl w:val="true"/>
          <w:lang w:bidi="ar-SA"/>
        </w:rPr>
        <w:t>الخاصّيّين،و لأدائه إلى التأخير و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تأخير فيه مع القدرة على إقامته،كما في المرتضويين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الحدود نظرة ساعة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الحدّ لعلّ و عسى فالحدّ معطّل</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لعذر و مصلحة،كبرء المريض،و وضع الحبلى،و الإرضاع، و اجتماع الناس،كما مرّ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6" w:name="pg11409_90610"/>
    </w:p>
    <w:p>
      <w:pPr>
        <w:pStyle w:val="BookText"/>
        <w:rPr/>
      </w:pPr>
      <w:bookmarkEnd w:id="26"/>
      <w:r>
        <w:rPr>
          <w:rFonts w:ascii="Amiri" w:hAnsi="Amiri" w:eastAsia="Amiri" w:cs="Amiri"/>
          <w:color w:val="111111"/>
          <w:sz w:val="28"/>
          <w:sz w:val="28"/>
          <w:szCs w:val="28"/>
          <w:rtl w:val="true"/>
          <w:lang w:bidi="ar-SA"/>
        </w:rPr>
        <w:t xml:space="preserve">و لا شفاعة في إسقاطه لقوله تعالى وَ لا تَأْخُذْكُمْ بِهِما 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 للمستفيضة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يشفعنّ أحدٌ في حدّ إذا بلغ الإمام،فإنّه لا يملكه، و اشفع فيما لم يبلغ الإمام إذا رأيت الندم،و اشفع عند الإمام في غير الحدّ مع الرجوع من المشفوع له،و لا تشفع في حقّ امرئ مسلم و لا غيره إلّا بإذنه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قريب منها الصحيح و غيره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شيء من ذلك أجده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1102601_73709187"/>
      <w:bookmarkStart w:id="28" w:name="_Toc10"/>
      <w:bookmarkEnd w:id="27"/>
      <w:r>
        <w:rPr>
          <w:rtl w:val="true"/>
        </w:rPr>
        <w:t>الثانية</w:t>
      </w:r>
      <w:r>
        <w:rPr>
          <w:rtl w:val="true"/>
        </w:rPr>
        <w:t>:</w:t>
      </w:r>
      <w:r>
        <w:rPr>
          <w:rtl w:val="true"/>
        </w:rPr>
        <w:t>لو وطئ زوجته،فساحقت بكراً</w:t>
      </w:r>
      <w:bookmarkEnd w:id="2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وطئ زوجته،فساحقت بكراً،فحملت البكر فالولد له أي للواطئ لأنّه مخلوق من مائه،و لا موجب لانتفائه عنه،فلا يقدح كونها ليست له فراشاً مع صدق الولد عليه عرفاً و لغةً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بالزوجة قطعاً،و لا بالبكر على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يقوى الإلحاق؛ للصدق العرفي،و انتفاء المانع الشرعي؛ إذ ليس إلّا الزناء، و السحق ليس منه لغةً و لا عرفاً،فيشمله إطلاق ما دلّ على أحكام الولد، من حرمة التناكح،و ثبوت التوارث،مع أنّ الأول ثابت في ولد الزناء اتّفاقاً، </w:t>
      </w:r>
    </w:p>
    <w:p>
      <w:pPr>
        <w:pStyle w:val="BookText"/>
        <w:rPr/>
      </w:pPr>
      <w:r>
        <w:rPr>
          <w:rFonts w:ascii="IRNazanin" w:hAnsi="IRNazanin" w:eastAsia="IRNazanin"/>
          <w:color w:val="111111"/>
          <w:sz w:val="28"/>
          <w:sz w:val="28"/>
          <w:szCs w:val="28"/>
          <w:rtl w:val="true"/>
          <w:lang w:bidi="fa-IR"/>
        </w:rPr>
        <w:t>فهنا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فالإلحاق أقوى،إلّا أن يتردّد في شمول الإطلاق لنحو المقام؛ لعدم تبادره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شمول الحكم لولد الشبهة بالإجماع لا يصلح قرينة على التعميم للتبادر </w:t>
      </w:r>
      <w:r>
        <w:rPr>
          <w:rStyle w:val="FootnoteAnchor"/>
          <w:rtl w:val="true"/>
        </w:rPr>
        <w:footnoteReference w:id="110"/>
      </w:r>
      <w:r>
        <w:rPr>
          <w:rFonts w:ascii="Amiri" w:hAnsi="Amiri" w:eastAsia="Amiri" w:cs="Amiri"/>
          <w:color w:val="111111"/>
          <w:sz w:val="28"/>
          <w:sz w:val="28"/>
          <w:szCs w:val="28"/>
          <w:rtl w:val="true"/>
          <w:lang w:bidi="ar-SA"/>
        </w:rPr>
        <w:t>بناءً على كونه منه أيضاً؛ لاحتمال كون الإجماع دليلاً مستقلا على الشمول لا قرينة على الدخول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زوجته المساحقة الحدّ للسحق،جلداً أو رجماً،على الخلاف الذي مضى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المهر للبكر؛ لأنّها سبب في إذهاب عذرتها،و ديتها مهر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كالزانية المطاوعة؛ لأنّ الزانية أذنت في الاقتضاض </w:t>
      </w:r>
      <w:r>
        <w:rPr>
          <w:rStyle w:val="FootnoteAnchor"/>
          <w:rtl w:val="true"/>
        </w:rPr>
        <w:footnoteReference w:id="112"/>
      </w:r>
      <w:r>
        <w:rPr>
          <w:rFonts w:ascii="IRNazanin" w:hAnsi="IRNazanin" w:eastAsia="IRNazanin"/>
          <w:color w:val="111111"/>
          <w:sz w:val="28"/>
          <w:sz w:val="28"/>
          <w:szCs w:val="28"/>
          <w:rtl w:val="true"/>
          <w:lang w:bidi="fa-IR"/>
        </w:rPr>
        <w:t>، بخلاف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الصبيّة الجلد مائة إذا كانت مطاوعة،بلا خلاف فيه أجده، و كذا فيما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الحلّي،فلم يلحق الولد بالرجل؛ لعدم ولادته على فراشه،و 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يثبت المهر؛ لأنّ البكر بغيّ بالمطاوعة، فلا مهر لها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أصل المسألة زيادةً عليه النصوص المستفيضة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يعمد إلى المرأة فيؤخذ منها مهر الجارية البكر في أول وهلة؛ لأنّ الولد لا يخرج منها حتى تشقّ فتذهب عذرتها،ثم ترجم المرأة لأنّها محصنة،و ينتظر بالجارية حتى تضع ما في بطنها و يردّ إلى أبيه </w:t>
      </w:r>
      <w:bookmarkStart w:id="29" w:name="pg11409_90612"/>
    </w:p>
    <w:p>
      <w:pPr>
        <w:pStyle w:val="BookText"/>
        <w:rPr/>
      </w:pPr>
      <w:bookmarkEnd w:id="29"/>
      <w:r>
        <w:rPr>
          <w:rFonts w:ascii="Amiri" w:hAnsi="Amiri" w:eastAsia="Amiri" w:cs="Amiri"/>
          <w:color w:val="111111"/>
          <w:sz w:val="28"/>
          <w:sz w:val="28"/>
          <w:szCs w:val="28"/>
          <w:rtl w:val="true"/>
          <w:lang w:bidi="ar-SA"/>
        </w:rPr>
        <w:t>صاحب النطفة،ثم تجلد الجارية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4"/>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 استفاضتها،و صحّة بعضها لا قصور فيها إلّا من حيث الدلالة على رجم المحصنة،مع أنّ الأكثر لم يقولوا به،و هذا القصور مع اختصاصه بهم،دون الشيخ </w:t>
      </w:r>
      <w:r>
        <w:rPr>
          <w:rStyle w:val="FootnoteAnchor"/>
          <w:rtl w:val="true"/>
        </w:rPr>
        <w:footnoteReference w:id="116"/>
      </w:r>
      <w:r>
        <w:rPr>
          <w:rFonts w:ascii="IRNazanin" w:hAnsi="IRNazanin" w:eastAsia="IRNazanin"/>
          <w:color w:val="111111"/>
          <w:sz w:val="28"/>
          <w:sz w:val="28"/>
          <w:szCs w:val="28"/>
          <w:rtl w:val="true"/>
          <w:lang w:bidi="fa-IR"/>
        </w:rPr>
        <w:t xml:space="preserve">و من تبعه </w:t>
      </w:r>
      <w:r>
        <w:rPr>
          <w:rStyle w:val="FootnoteAnchor"/>
          <w:rtl w:val="true"/>
        </w:rPr>
        <w:footnoteReference w:id="117"/>
      </w:r>
      <w:r>
        <w:rPr>
          <w:rFonts w:ascii="Amiri" w:hAnsi="Amiri" w:eastAsia="Amiri" w:cs="Amiri"/>
          <w:color w:val="111111"/>
          <w:sz w:val="28"/>
          <w:sz w:val="28"/>
          <w:szCs w:val="28"/>
          <w:rtl w:val="true"/>
          <w:lang w:bidi="ar-SA"/>
        </w:rPr>
        <w:t xml:space="preserve">غير قادح في الحجّية؛ فإنّ خروج بعض الرواية عنها بدلالة خارجيّة أقوى لا يوجب خروجها عنها طرّاً،و إن هي </w:t>
      </w:r>
      <w:r>
        <w:rPr>
          <w:rStyle w:val="FootnoteAnchor"/>
          <w:rtl w:val="true"/>
        </w:rPr>
        <w:footnoteReference w:id="118"/>
      </w:r>
      <w:r>
        <w:rPr>
          <w:rFonts w:ascii="Amiri" w:hAnsi="Amiri" w:eastAsia="Amiri" w:cs="Amiri"/>
          <w:color w:val="111111"/>
          <w:sz w:val="28"/>
          <w:sz w:val="28"/>
          <w:szCs w:val="28"/>
          <w:rtl w:val="true"/>
          <w:lang w:bidi="ar-SA"/>
        </w:rPr>
        <w:t>إلّا كالعامّ المخصَّص،الذي هو حجّة في الباقي كما عرفته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القول برجم المحصنة هنا خاصّة؛ عملاً بهذه النصوص في موردها،و جمعاً بينها و بين ما مرّ من الدليل على عدم رجم المساحقة مطلقاً،كما ذكره بعض الأجلّة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فيه زيادةً على ما عرفته من كونه خلاف ظاهر الجماعة عدم قبول الصحيح منها لهذا الجمع من حيث تعليله رجم الزوجة بأنّها محصنة، و هو كالصريح في عدم مدخليّة للخصوصيّة،و أنّ </w:t>
      </w:r>
      <w:r>
        <w:rPr>
          <w:rStyle w:val="FootnoteAnchor"/>
          <w:rtl w:val="true"/>
        </w:rPr>
        <w:footnoteReference w:id="120"/>
      </w:r>
      <w:r>
        <w:rPr>
          <w:rFonts w:ascii="Amiri" w:hAnsi="Amiri" w:eastAsia="Amiri" w:cs="Amiri"/>
          <w:color w:val="111111"/>
          <w:sz w:val="28"/>
          <w:sz w:val="28"/>
          <w:szCs w:val="28"/>
          <w:rtl w:val="true"/>
          <w:lang w:bidi="ar-SA"/>
        </w:rPr>
        <w:t>الإحصان من حيث هو هو العلّة في رجمها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02603_73709187"/>
      <w:bookmarkStart w:id="31" w:name="_Toc11"/>
      <w:bookmarkEnd w:id="30"/>
      <w:r>
        <w:rPr>
          <w:rtl w:val="true"/>
        </w:rPr>
        <w:t>القيادة</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القيادة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الرجال و النساء للزناء،و الرجال </w:t>
      </w:r>
    </w:p>
    <w:p>
      <w:pPr>
        <w:pStyle w:val="BookText"/>
        <w:rPr/>
      </w:pPr>
      <w:r>
        <w:rPr>
          <w:rFonts w:ascii="Amiri" w:hAnsi="Amiri" w:eastAsia="Amiri" w:cs="Amiri"/>
          <w:color w:val="111111"/>
          <w:sz w:val="28"/>
          <w:sz w:val="28"/>
          <w:szCs w:val="28"/>
          <w:rtl w:val="true"/>
          <w:lang w:bidi="ar-SA"/>
        </w:rPr>
        <w:t>و الصبيان و النساء للّواط و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بشاهدين عدلين أو الإقرار من القائد البالغ العاقل المختار مرّتين بلا خلاف؛ للعموم،و مقتضاه الثبوت بالثاني و لو مرّة، و لكن لا قائل به أجده،بل ظاهرهم الاتّفاق على اعتبار المرّتين،و مستندهم من دونه غير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المراسم و المختلف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فيه بيّنة شاهدين من الحدود فالإقرار فيه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فيه خمس و سبعون جلدة بلا خلاف أجده،بل عليه الإجماع في الانتصار و الغنية و المسالك </w:t>
      </w:r>
      <w:r>
        <w:rPr>
          <w:rStyle w:val="FootnoteAnchor"/>
          <w:rtl w:val="true"/>
        </w:rPr>
        <w:footnoteReference w:id="122"/>
      </w:r>
      <w:r>
        <w:rPr>
          <w:rFonts w:ascii="Amiri" w:hAnsi="Amiri" w:eastAsia="Amiri" w:cs="Amiri"/>
          <w:color w:val="111111"/>
          <w:sz w:val="28"/>
          <w:sz w:val="28"/>
          <w:szCs w:val="28"/>
          <w:rtl w:val="true"/>
          <w:lang w:bidi="ar-SA"/>
        </w:rPr>
        <w:t xml:space="preserve">،و به صريح الرواية الآتية و ليس فيها ما قيل من أنّه يحلق مع ذلك رأسه و يشهّر في البلد، لكنّه مشهور بين الأصحاب،مدّعى عليه في الانتصار و الغنية الإجماع،و هو كافٍ في الثبوت،سيّما مع الاعتضاد بفتوى المشهور،سيّما مثل الحلّي </w:t>
      </w:r>
      <w:r>
        <w:rPr>
          <w:rStyle w:val="FootnoteAnchor"/>
          <w:rtl w:val="true"/>
        </w:rPr>
        <w:footnoteReference w:id="123"/>
      </w:r>
      <w:r>
        <w:rPr>
          <w:rFonts w:ascii="Amiri" w:hAnsi="Amiri" w:eastAsia="Amiri" w:cs="Amiri"/>
          <w:color w:val="111111"/>
          <w:sz w:val="28"/>
          <w:sz w:val="28"/>
          <w:szCs w:val="28"/>
          <w:rtl w:val="true"/>
          <w:lang w:bidi="ar-SA"/>
        </w:rPr>
        <w:t>، الذي لا يعمل بالآحاد،مع أنّه لا مخالف فيه صريحاً،و إنّما ظاهر المتن و غيره التردّد فيه،و لا وجه له بعد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يستوي فيه الحرّ و العبد،و المسلم و الكافر بلا خلاف،بل عليه الإجماع في الانتصار و الغنية </w:t>
      </w:r>
      <w:r>
        <w:rPr>
          <w:rStyle w:val="FootnoteAnchor"/>
          <w:rtl w:val="true"/>
        </w:rPr>
        <w:footnoteReference w:id="124"/>
      </w:r>
      <w:r>
        <w:rPr>
          <w:rFonts w:ascii="Amiri" w:hAnsi="Amiri" w:eastAsia="Amiri" w:cs="Amiri"/>
          <w:color w:val="111111"/>
          <w:sz w:val="28"/>
          <w:sz w:val="28"/>
          <w:szCs w:val="28"/>
          <w:rtl w:val="true"/>
          <w:lang w:bidi="ar-SA"/>
        </w:rPr>
        <w:t>و هو الحجّة،مضافاً إلى إطلاق الرواية الآتية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ينفى عن بلده إلى غيره من الأمصار من غير تحديد لمدّة نفيه </w:t>
      </w:r>
    </w:p>
    <w:p>
      <w:pPr>
        <w:pStyle w:val="BookText"/>
        <w:rPr/>
      </w:pPr>
      <w:r>
        <w:rPr>
          <w:rFonts w:ascii="Amiri" w:hAnsi="Amiri" w:eastAsia="Amiri" w:cs="Amiri"/>
          <w:color w:val="111111"/>
          <w:sz w:val="28"/>
          <w:sz w:val="28"/>
          <w:szCs w:val="28"/>
          <w:rtl w:val="true"/>
          <w:lang w:bidi="ar-SA"/>
        </w:rPr>
        <w:t xml:space="preserve">بأوّل مرّة وفاقاً للنهاية </w:t>
      </w:r>
      <w:r>
        <w:rPr>
          <w:rStyle w:val="FootnoteAnchor"/>
          <w:rtl w:val="true"/>
        </w:rPr>
        <w:footnoteReference w:id="125"/>
      </w:r>
      <w:r>
        <w:rPr>
          <w:rFonts w:ascii="Amiri" w:hAnsi="Amiri" w:eastAsia="Amiri" w:cs="Amiri"/>
          <w:color w:val="111111"/>
          <w:sz w:val="28"/>
          <w:sz w:val="28"/>
          <w:szCs w:val="28"/>
          <w:rtl w:val="true"/>
          <w:lang w:bidi="ar-SA"/>
        </w:rPr>
        <w:t xml:space="preserve">و جماعة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و ابنا زهرة و حمزة و الديلمي </w:t>
      </w:r>
      <w:r>
        <w:rPr>
          <w:rStyle w:val="FootnoteAnchor"/>
          <w:rtl w:val="true"/>
        </w:rPr>
        <w:footnoteReference w:id="127"/>
      </w:r>
      <w:r>
        <w:rPr>
          <w:rFonts w:ascii="Amiri" w:hAnsi="Amiri" w:eastAsia="Amiri" w:cs="Amiri"/>
          <w:color w:val="111111"/>
          <w:sz w:val="28"/>
          <w:sz w:val="28"/>
          <w:szCs w:val="28"/>
          <w:rtl w:val="true"/>
          <w:lang w:bidi="ar-SA"/>
        </w:rPr>
        <w:t xml:space="preserve">و غيرهم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إنّما ينفى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مرويّ في رواية عبد اللّه بن سنان التي هي الأصل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أرباع حدّ الزاني خمسة و سبعين سوطاً،و ينفى من المصر الذي هو فيه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نحوه الرضوي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التصريح بأوّل مرّة و إن لم يقع في شيء منهما،لكنّه مقتضى الإطلاق جدّاً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الأحوط القول الثاني،بل لعلّه المتعيّن؛ للأصل،و دعوى الإجماع عليه في الغنية،و هو أرجح من الرواية المذكورة من 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صراحة الدلالة،فتقيّد به الرواية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نفي على المرأة،و لا جزّ و لا شهرة،بلا خلاف أجده،بل عليه الإجماع في الانتصار و الغنية </w:t>
      </w:r>
      <w:r>
        <w:rPr>
          <w:rStyle w:val="FootnoteAnchor"/>
          <w:rtl w:val="true"/>
        </w:rPr>
        <w:footnoteReference w:id="132"/>
      </w:r>
      <w:r>
        <w:rPr>
          <w:rFonts w:ascii="Amiri" w:hAnsi="Amiri" w:eastAsia="Amiri" w:cs="Amiri"/>
          <w:color w:val="111111"/>
          <w:sz w:val="28"/>
          <w:sz w:val="28"/>
          <w:szCs w:val="28"/>
          <w:rtl w:val="true"/>
          <w:lang w:bidi="ar-SA"/>
        </w:rPr>
        <w:t xml:space="preserve">و هو الحجّة،مضافاً إلى الأصل، </w:t>
      </w:r>
    </w:p>
    <w:p>
      <w:pPr>
        <w:pStyle w:val="BookText"/>
        <w:rPr/>
      </w:pPr>
      <w:r>
        <w:rPr>
          <w:rFonts w:ascii="Amiri" w:hAnsi="Amiri" w:eastAsia="Amiri" w:cs="Amiri"/>
          <w:color w:val="111111"/>
          <w:sz w:val="28"/>
          <w:sz w:val="28"/>
          <w:szCs w:val="28"/>
          <w:rtl w:val="true"/>
          <w:lang w:bidi="ar-SA"/>
        </w:rPr>
        <w:t>و اختصاص الفتوى و الرواية بحكم التبادر بالرجل دون المرأة؛ مع منافاة النفي و الشهرة لما يجب مراعاته من ستر المرأة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النفي في الفتوى و النصّ إنّما هو الإخراج من البلد،و لكن في الرضوي </w:t>
      </w:r>
      <w:r>
        <w:rPr>
          <w:rStyle w:val="FootnoteAnchor"/>
          <w:rtl w:val="true"/>
        </w:rPr>
        <w:footnoteReference w:id="133"/>
      </w:r>
      <w:r>
        <w:rPr>
          <w:rFonts w:ascii="Amiri" w:hAnsi="Amiri" w:eastAsia="Amiri" w:cs="Amiri"/>
          <w:color w:val="111111"/>
          <w:sz w:val="28"/>
          <w:sz w:val="28"/>
          <w:szCs w:val="28"/>
          <w:rtl w:val="true"/>
          <w:lang w:bidi="ar-SA"/>
        </w:rPr>
        <w:t xml:space="preserve">و غيره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المراد به الحبس سنة أو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مرسلة،فلا يعدل بها عن الظاهر بلا شبهة</w:t>
      </w:r>
      <w:r>
        <w:rPr>
          <w:rFonts w:eastAsia="Amiri" w:cs="Amiri" w:ascii="Amiri" w:hAnsi="Amiri"/>
          <w:color w:val="111111"/>
          <w:sz w:val="28"/>
          <w:szCs w:val="28"/>
          <w:rtl w:val="true"/>
          <w:lang w:bidi="ar-SA"/>
        </w:rPr>
        <w:t xml:space="preserve">. </w:t>
      </w:r>
      <w:bookmarkStart w:id="32" w:name="pg11409_90616"/>
    </w:p>
    <w:p>
      <w:pPr>
        <w:pStyle w:val="Heading3"/>
        <w:numPr>
          <w:ilvl w:val="2"/>
          <w:numId w:val="1"/>
        </w:numPr>
        <w:rPr/>
      </w:pPr>
      <w:bookmarkStart w:id="33" w:name="__RefHeading___Toc1102605_73709187"/>
      <w:bookmarkStart w:id="34" w:name="_Toc12"/>
      <w:bookmarkEnd w:id="32"/>
      <w:bookmarkEnd w:id="33"/>
      <w:r>
        <w:rPr>
          <w:rtl w:val="true"/>
        </w:rPr>
        <w:t>الفصل الثالث في حدّ القذف</w:t>
      </w:r>
      <w:bookmarkEnd w:id="34"/>
    </w:p>
    <w:p>
      <w:pPr>
        <w:pStyle w:val="Heading4"/>
        <w:numPr>
          <w:ilvl w:val="3"/>
          <w:numId w:val="1"/>
        </w:numPr>
        <w:rPr/>
      </w:pPr>
      <w:bookmarkStart w:id="35" w:name="__RefHeading___Toc1102607_73709187"/>
      <w:bookmarkStart w:id="36" w:name="_Toc13"/>
      <w:bookmarkEnd w:id="35"/>
      <w:r>
        <w:rPr>
          <w:rtl w:val="true"/>
        </w:rPr>
        <w:t>الأول في الموجب</w:t>
      </w:r>
      <w:bookmarkEnd w:id="36"/>
    </w:p>
    <w:p>
      <w:pPr>
        <w:pStyle w:val="BookText"/>
        <w:rPr/>
      </w:pPr>
      <w:r>
        <w:rPr>
          <w:rFonts w:ascii="Amiri" w:hAnsi="Amiri" w:eastAsia="Amiri" w:cs="Amiri"/>
          <w:color w:val="111111"/>
          <w:sz w:val="28"/>
          <w:sz w:val="28"/>
          <w:szCs w:val="28"/>
          <w:rtl w:val="true"/>
          <w:lang w:bidi="ar-SA"/>
        </w:rPr>
        <w:t>الفصل الثالث في بيان حدّ القذف 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 بالحجارة،و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المسلم الحرّ الكامل المستتر بالزناء أو اللواط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حرامٌ بنصّ الكتاب </w:t>
      </w:r>
      <w:r>
        <w:rPr>
          <w:rStyle w:val="FootnoteAnchor"/>
          <w:rtl w:val="true"/>
        </w:rPr>
        <w:footnoteReference w:id="136"/>
      </w:r>
      <w:r>
        <w:rPr>
          <w:rFonts w:ascii="Amiri" w:hAnsi="Amiri" w:eastAsia="Amiri" w:cs="Amiri"/>
          <w:color w:val="111111"/>
          <w:sz w:val="28"/>
          <w:sz w:val="28"/>
          <w:szCs w:val="28"/>
          <w:rtl w:val="true"/>
          <w:lang w:bidi="ar-SA"/>
        </w:rPr>
        <w:t xml:space="preserve">،و السنّة المستفيضة بل المتواترة </w:t>
      </w:r>
      <w:r>
        <w:rPr>
          <w:rStyle w:val="FootnoteAnchor"/>
          <w:rtl w:val="true"/>
        </w:rPr>
        <w:footnoteReference w:id="137"/>
      </w:r>
      <w:r>
        <w:rPr>
          <w:rFonts w:ascii="Amiri" w:hAnsi="Amiri" w:eastAsia="Amiri" w:cs="Amiri"/>
          <w:color w:val="111111"/>
          <w:sz w:val="28"/>
          <w:sz w:val="28"/>
          <w:szCs w:val="28"/>
          <w:rtl w:val="true"/>
          <w:lang w:bidi="ar-SA"/>
        </w:rPr>
        <w:t>، مضافاً إلى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مقاصده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الموجب للحدّ و هو الرمي بالزناء أو اللواط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بالفتح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لطت،أو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زان،أو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لائط، و شبهه من الألفاظ الدالّة على القذف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منكوحاً في دُبُره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بك فلان،و شبهه من الألفاظ الظاهرة فيه عرفاً،على إشكال فيها؛ لمجامعة الظهور الاحتمال الذي يدرأ به الحدود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ظاهرهم الاتّفاق على الحدّ في العبارة الأُولى منها،و به صرّح في المسالك </w:t>
      </w:r>
      <w:r>
        <w:rPr>
          <w:rStyle w:val="FootnoteAnchor"/>
          <w:rtl w:val="true"/>
        </w:rPr>
        <w:footnoteReference w:id="138"/>
      </w:r>
      <w:r>
        <w:rPr>
          <w:rFonts w:ascii="Amiri" w:hAnsi="Amiri" w:eastAsia="Amiri" w:cs="Amiri"/>
          <w:color w:val="111111"/>
          <w:sz w:val="28"/>
          <w:sz w:val="28"/>
          <w:szCs w:val="28"/>
          <w:rtl w:val="true"/>
          <w:lang w:bidi="ar-SA"/>
        </w:rPr>
        <w:t xml:space="preserve">و غيره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بالحدّ فيها صرّح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معفوج </w:t>
      </w:r>
      <w:r>
        <w:rPr>
          <w:rStyle w:val="FootnoteAnchor"/>
          <w:rtl w:val="true"/>
        </w:rPr>
        <w:footnoteReference w:id="140"/>
      </w:r>
      <w:r>
        <w:rPr>
          <w:rFonts w:ascii="Amiri" w:hAnsi="Amiri" w:eastAsia="Amiri" w:cs="Amiri"/>
          <w:color w:val="111111"/>
          <w:sz w:val="28"/>
          <w:sz w:val="28"/>
          <w:szCs w:val="28"/>
          <w:rtl w:val="true"/>
          <w:lang w:bidi="ar-SA"/>
        </w:rPr>
        <w:t>،يا منكوحاً في دبره،فإنّ عليه الحدّ حدّ القاذف</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مجبور بالعمل،و بابن محبوب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الحدّ بها،و إنّما الإشكال فيما عداها إن لم يكن ثبوته 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يعتبر في القاذف معرفته بموضع </w:t>
      </w:r>
      <w:r>
        <w:rPr>
          <w:rStyle w:val="FootnoteAnchor"/>
          <w:rtl w:val="true"/>
        </w:rPr>
        <w:footnoteReference w:id="142"/>
      </w:r>
      <w:r>
        <w:rPr>
          <w:rFonts w:ascii="Amiri" w:hAnsi="Amiri" w:eastAsia="Amiri" w:cs="Amiri"/>
          <w:color w:val="111111"/>
          <w:sz w:val="28"/>
          <w:sz w:val="28"/>
          <w:szCs w:val="28"/>
          <w:rtl w:val="true"/>
          <w:lang w:bidi="ar-SA"/>
        </w:rPr>
        <w:t>اللفظ بأيّ لغةٍ اتّفق و إن لم يعرف المواجه معناه إذا كانت مفيدة للقذف في عرف القائل أي عرف لغته التي يتلفّظ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حدّ مع جهالة قائلها </w:t>
      </w:r>
      <w:r>
        <w:rPr>
          <w:rStyle w:val="FootnoteAnchor"/>
          <w:rtl w:val="true"/>
        </w:rPr>
        <w:footnoteReference w:id="143"/>
      </w:r>
      <w:r>
        <w:rPr>
          <w:rFonts w:ascii="Amiri" w:hAnsi="Amiri" w:eastAsia="Amiri" w:cs="Amiri"/>
          <w:color w:val="111111"/>
          <w:sz w:val="28"/>
          <w:sz w:val="28"/>
          <w:szCs w:val="28"/>
          <w:rtl w:val="true"/>
          <w:lang w:bidi="ar-SA"/>
        </w:rPr>
        <w:t>بمدلوله اتّفاقاً؛ للأصل،و عدم صدق القذف حينئذٍ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 أنّها تفيد فائدةً يكرهها المواجه عُزِّر،و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 لمن أقرّ ببنوّته أو حكم الشرع بلحوقه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ولدي أو قال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لأبيك،فيُحَدّ لاُمّه،بلا خلاف،بل ظاهر الأصحاب الإجماع عليه كما في المسالك </w:t>
      </w:r>
      <w:r>
        <w:rPr>
          <w:rStyle w:val="FootnoteAnchor"/>
          <w:rtl w:val="true"/>
        </w:rPr>
        <w:footnoteReference w:id="144"/>
      </w:r>
      <w:r>
        <w:rPr>
          <w:rFonts w:ascii="Amiri" w:hAnsi="Amiri" w:eastAsia="Amiri" w:cs="Amiri"/>
          <w:color w:val="111111"/>
          <w:sz w:val="28"/>
          <w:sz w:val="28"/>
          <w:szCs w:val="28"/>
          <w:rtl w:val="true"/>
          <w:lang w:bidi="ar-SA"/>
        </w:rPr>
        <w:t xml:space="preserve">و هو الحجّة الدافعة للإشكال </w:t>
      </w:r>
    </w:p>
    <w:p>
      <w:pPr>
        <w:pStyle w:val="BookText"/>
        <w:rPr/>
      </w:pPr>
      <w:r>
        <w:rPr>
          <w:rFonts w:ascii="Amiri" w:hAnsi="Amiri" w:eastAsia="Amiri" w:cs="Amiri"/>
          <w:color w:val="111111"/>
          <w:sz w:val="28"/>
          <w:sz w:val="28"/>
          <w:szCs w:val="28"/>
          <w:rtl w:val="true"/>
          <w:lang w:bidi="ar-SA"/>
        </w:rPr>
        <w:t>المتقدم إليه الإشارة،الجاري هنا أيضاً؛ بناءً على عدم صراحة الألفاظ المزبورة في القذف باحتمال الإكراه في وطء الأُمّ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القويّ بالسكوني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ينتفي من ولده و قد أقرّ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الولد من حرّة جُلد خمسين سوطاً،و إن كان من أمة فلا شيء عليه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يعزِّر في الهجاء،و لا يجلد الحدّ إلّا في الفرية المصرّحة،بأن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لأبيك</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الحسن مثلهما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ظاهرها كما ترى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الصريحة،و به صرّح في المسالك،فقال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الصيغة عندنا من الألفاظ الصريحة لغةً و عرفاً،فيثبت بها الحدّ لاُمّة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استشكله بعض الأجلّة لما عرفته،قال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صار عرفاً صريحاً في الرمي به،و هو حسن،إلّا أنّه لا ينفع عذراً لما في المسالك من دعوى الصراحة لغةً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بك أبوك أي ولدت من الزناء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 فالقذف لأبيه خاصّة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بك أُمّك،فالقذف لاُمّه كذلك،فيُحَدّ للأب أو الأُمّ دون المواجه؛ لأنّه قذفٌ لهما حقيقةً دونه؛ لأنّه لم ينسب إليه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يعزّر له كما سيأتي؛ لتأذّيه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الزانيين،فالقذف لهما دون المواجه؛ لما عرفته، و لا خلاف في شيء من ذلك و لا إشكال،و في النصوص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 لابنه و أُمّه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الزانية،و لم ينتف من ولدها،جُلِد الحدّ لها،و لم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3"/>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يثبت الحدّ عليه لهما إذا كانا مسلمَين عاقلَين، حرَّين،محصَنَين،فلا يحدّ مع عدم الشرائط أو أحدها فيهما و إن كان المواجه متّصفاً بها،بل يعزّر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اتّصفا بها يحدّ لهما و لو كان المواجه كافراً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الشرائط و لو بعضاً؛ لأنّهما المقذوف دونه،فيتبع كلّاً منهم حكمه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 مثلاً و أُمّه كافرة،فالأشبه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التعزير وفاقاً للحلّي </w:t>
      </w:r>
      <w:r>
        <w:rPr>
          <w:rStyle w:val="FootnoteAnchor"/>
          <w:rtl w:val="true"/>
        </w:rPr>
        <w:footnoteReference w:id="154"/>
      </w:r>
      <w:r>
        <w:rPr>
          <w:rFonts w:ascii="Amiri" w:hAnsi="Amiri" w:eastAsia="Amiri" w:cs="Amiri"/>
          <w:color w:val="111111"/>
          <w:sz w:val="28"/>
          <w:sz w:val="28"/>
          <w:szCs w:val="28"/>
          <w:rtl w:val="true"/>
          <w:lang w:bidi="ar-SA"/>
        </w:rPr>
        <w:t xml:space="preserve">و عامّة المتأخّرين؛ للأصل،و انتفاء التكافؤ </w:t>
      </w:r>
    </w:p>
    <w:p>
      <w:pPr>
        <w:pStyle w:val="BookText"/>
        <w:rPr/>
      </w:pPr>
      <w:r>
        <w:rPr>
          <w:rFonts w:ascii="Amiri" w:hAnsi="Amiri" w:eastAsia="Amiri" w:cs="Amiri"/>
          <w:color w:val="111111"/>
          <w:sz w:val="28"/>
          <w:sz w:val="28"/>
          <w:szCs w:val="28"/>
          <w:rtl w:val="true"/>
          <w:lang w:bidi="ar-SA"/>
        </w:rPr>
        <w:t>للقاذف أو علوّ المقذوف المشترط في ثبوت الحدّ،فإنّ المقذوف هنا الاُمّ، و هي غير مكافئة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يُحَدّ كاملاً </w:t>
      </w:r>
      <w:r>
        <w:rPr>
          <w:rStyle w:val="FootnoteAnchor"/>
          <w:rtl w:val="true"/>
        </w:rPr>
        <w:footnoteReference w:id="155"/>
      </w:r>
      <w:r>
        <w:rPr>
          <w:rFonts w:ascii="Amiri" w:hAnsi="Amiri" w:eastAsia="Amiri" w:cs="Amiri"/>
          <w:color w:val="111111"/>
          <w:sz w:val="28"/>
          <w:sz w:val="28"/>
          <w:szCs w:val="28"/>
          <w:rtl w:val="true"/>
          <w:lang w:bidi="ar-SA"/>
        </w:rPr>
        <w:t>لحرمة الولد،و للخبر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اليهوديّة و النصرانيّة تحت المسلم فيُقذَف ابنها،قال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القاذف؛ لأنّ المسلم قد حصنها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بعدم كفاية حرمة الولد،و ضعف الخبر سنداً،فإنّ فيه بنان ابن محمّد المجهول،و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قذف الابن أعمّ من نسبة الزناء إلى الأُمّ؛ مع أنّ القذف بذلك ليس قذفاً لابنها،بل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ضرب القاذف أعمّ من الحدّ،فيحتمل التعزير،و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الوجهين نظر؛ لمنافاة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قد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موجّه على النسخة المتقدّمة و المرويّة في التهذيب،و لكن في الكافي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القاذف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الجواب عنه بضعف السند بمن مرّ كما في سنده في التهذيب، أو بمعلّى بن محمّد كما في سنده في الكافي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ما في المختلف من أنّه لا بأس بالعمل بهذه الرواية،فإنّها </w:t>
      </w:r>
    </w:p>
    <w:p>
      <w:pPr>
        <w:pStyle w:val="BookText"/>
        <w:rPr/>
      </w:pPr>
      <w:r>
        <w:rPr>
          <w:rFonts w:ascii="Amiri" w:hAnsi="Amiri" w:eastAsia="Amiri" w:cs="Amiri"/>
          <w:color w:val="111111"/>
          <w:sz w:val="28"/>
          <w:sz w:val="28"/>
          <w:szCs w:val="28"/>
          <w:rtl w:val="true"/>
          <w:lang w:bidi="ar-SA"/>
        </w:rPr>
        <w:t xml:space="preserve">واضحة الطريق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وضوح الطريق،فالخبر غير مكافئ لما مرّ،من حيث اعتضاده بعمل الأكثر،و حصول الشبهة من جهة الخلاف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يعضد الخبر ما عن الإسكافي من أنّه مرويّ عن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الطبري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لم يزل على ذلك إلى أن أشار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بأن لا يُحَدّ مسلم في كافر، فترك ذلك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زوج الزانية،فالحدّ لها خاصّة 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الزانية،أو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الزانية ف إنّ الحدّ للمنسوبة إلى الزناء دون المواجه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الزانية و ما بعده،على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زوج الزانية،و أسقط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لها،مكتفياً للجميع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للمنسوبة كما فعله غيره كان أخصر،بل و أحسن،فإنّ ما ذكره ربما يوهم خصوصيّة في الشرطيّة الأُولى دون ما بعدها،أو بالعكس،حيث فصلت إحداهما عن الأُخرى،مع اتّحاد حكمهما،و انتفاء الخصوصيّة قطعاً،و كون دليلهما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بفلانة،فللمواجه حدٌّ قطعاً؛ لقذفه بالزناء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ثبوته للمرأة المنسوب إليها زناه تردّد ينشأ</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احتمال الإكراه بالنسبة إليها،و لا يتحقّق الحدّ مع الاحتمال، </w:t>
      </w:r>
    </w:p>
    <w:p>
      <w:pPr>
        <w:pStyle w:val="BookText"/>
        <w:rPr/>
      </w:pPr>
      <w:r>
        <w:rPr>
          <w:rFonts w:ascii="Amiri" w:hAnsi="Amiri" w:eastAsia="Amiri" w:cs="Amiri"/>
          <w:color w:val="111111"/>
          <w:sz w:val="28"/>
          <w:sz w:val="28"/>
          <w:szCs w:val="28"/>
          <w:rtl w:val="true"/>
          <w:lang w:bidi="ar-SA"/>
        </w:rPr>
        <w:t>و لظاهر الصحيح الوارد في نظير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زانية أنا زنيت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حدّ واحد لقذفه إيّاها،و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زنيت بك، فلا حدّ عليه فيه،إلّا أن يشهد على نفسه أربع مرّات بالزناء عند الإمام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يعطي بظاهره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زنيت بك،ليس قذفاً؛ حيث نفى الحدّ فيه أصلاً،و منه حدّ القذف،فتأمّل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الزناء فعل واحد،فإن كذب فيه بالنسبة إلى أحدهما كذب بالنسبة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الاعتداد بشبهة الإكراه في الشرع،و لذا يجب الحدّ إجماعاً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منكوحاً في دبره،و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منع،و إثباته بالمجمع عليه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لتطرّق الاحتمال بالنسبة إلى كل منهما،فينبغي اندراء الحد عنه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المكرَه على الزناء ليس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الاحتمال الأول ذهب الحلّي،و مال إليه في التحرير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الثاني الشيخان </w:t>
      </w:r>
      <w:r>
        <w:rPr>
          <w:rStyle w:val="FootnoteAnchor"/>
          <w:rtl w:val="true"/>
        </w:rPr>
        <w:footnoteReference w:id="162"/>
      </w:r>
      <w:r>
        <w:rPr>
          <w:rFonts w:ascii="Amiri" w:hAnsi="Amiri" w:eastAsia="Amiri" w:cs="Amiri"/>
          <w:color w:val="111111"/>
          <w:sz w:val="28"/>
          <w:sz w:val="28"/>
          <w:szCs w:val="28"/>
          <w:rtl w:val="true"/>
          <w:lang w:bidi="ar-SA"/>
        </w:rPr>
        <w:t xml:space="preserve">و جماعة </w:t>
      </w:r>
      <w:r>
        <w:rPr>
          <w:rStyle w:val="FootnoteAnchor"/>
          <w:rtl w:val="true"/>
        </w:rPr>
        <w:footnoteReference w:id="163"/>
      </w:r>
      <w:r>
        <w:rPr>
          <w:rFonts w:ascii="Amiri" w:hAnsi="Amiri" w:eastAsia="Amiri" w:cs="Amiri"/>
          <w:color w:val="111111"/>
          <w:sz w:val="28"/>
          <w:sz w:val="28"/>
          <w:szCs w:val="28"/>
          <w:rtl w:val="true"/>
          <w:lang w:bidi="ar-SA"/>
        </w:rPr>
        <w:t xml:space="preserve">،و في الغنية و عن الخلاف </w:t>
      </w:r>
      <w:r>
        <w:rPr>
          <w:rStyle w:val="FootnoteAnchor"/>
          <w:rtl w:val="true"/>
        </w:rPr>
        <w:footnoteReference w:id="16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لولاه لكان الأول أقوى؛ للشبهة الدارئة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التعريض بالقذف كقوله لمن ينازعه و يعاديه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بزان و لا لائط و لا أُمّي زانية،و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حلال ابن الحلال،و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التعزير بلا خلاف؛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سبّ رجلاً بغير قذف فعرّض به،هل يحدّ؟قال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لا،عليه تعزير</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 لما فيه من الإيذاء المحرّم الموجب له كما يأتي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يعزّر لو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أجدك عذراء قاصداً به وهنها </w:t>
      </w:r>
      <w:r>
        <w:rPr>
          <w:rStyle w:val="FootnoteAnchor"/>
          <w:rtl w:val="true"/>
        </w:rPr>
        <w:footnoteReference w:id="167"/>
      </w:r>
      <w:r>
        <w:rPr>
          <w:rFonts w:ascii="Amiri" w:hAnsi="Amiri" w:eastAsia="Amiri" w:cs="Amiri"/>
          <w:color w:val="111111"/>
          <w:sz w:val="28"/>
          <w:sz w:val="28"/>
          <w:szCs w:val="28"/>
          <w:rtl w:val="true"/>
          <w:lang w:bidi="ar-SA"/>
        </w:rPr>
        <w:t xml:space="preserve">،كما صرّح به الحلّي </w:t>
      </w:r>
      <w:r>
        <w:rPr>
          <w:rStyle w:val="FootnoteAnchor"/>
          <w:rtl w:val="true"/>
        </w:rPr>
        <w:footnoteReference w:id="168"/>
      </w:r>
      <w:r>
        <w:rPr>
          <w:rFonts w:ascii="Amiri" w:hAnsi="Amiri" w:eastAsia="Amiri" w:cs="Amiri"/>
          <w:color w:val="111111"/>
          <w:sz w:val="28"/>
          <w:sz w:val="28"/>
          <w:szCs w:val="28"/>
          <w:rtl w:val="true"/>
          <w:lang w:bidi="ar-SA"/>
        </w:rPr>
        <w:t xml:space="preserve">،لا مطلقاً،كما هو ظاهر العبارة و غيرها </w:t>
      </w:r>
      <w:r>
        <w:rPr>
          <w:rStyle w:val="FootnoteAnchor"/>
          <w:rtl w:val="true"/>
        </w:rPr>
        <w:footnoteReference w:id="169"/>
      </w:r>
      <w:r>
        <w:rPr>
          <w:rFonts w:ascii="Amiri" w:hAnsi="Amiri" w:eastAsia="Amiri" w:cs="Amiri"/>
          <w:color w:val="111111"/>
          <w:sz w:val="28"/>
          <w:sz w:val="28"/>
          <w:szCs w:val="28"/>
          <w:rtl w:val="true"/>
          <w:lang w:bidi="ar-SA"/>
        </w:rPr>
        <w:t>،و يمكن حملها على الأول،كما هو الغالب في هذا القول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بالتعزير هنا في الجملة أو مطلقاً هو المشهور بين الأصحاب على الظاهر،المصرّح به في المختلف </w:t>
      </w:r>
      <w:r>
        <w:rPr>
          <w:rStyle w:val="FootnoteAnchor"/>
          <w:rtl w:val="true"/>
        </w:rPr>
        <w:footnoteReference w:id="170"/>
      </w:r>
      <w:r>
        <w:rPr>
          <w:rFonts w:ascii="Amiri" w:hAnsi="Amiri" w:eastAsia="Amiri" w:cs="Amiri"/>
          <w:color w:val="111111"/>
          <w:sz w:val="28"/>
          <w:sz w:val="28"/>
          <w:szCs w:val="28"/>
          <w:rtl w:val="true"/>
          <w:lang w:bidi="ar-SA"/>
        </w:rPr>
        <w:t>لظاهر الموثّق 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أجدك عذراء،قال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عاد،قال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يضرب،فإنّه يوشك أن ينتهي</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فيه و إن لم يكن صريحاً في التعزير،بل أعمّ منه و من الحدّ،لكنّه مع ظهوره فيه محمول عليه؛ للأصل،و صريح الصحيح الآتي،المترجّح على مثله،المثبت للحدّ بما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للعماني،فأوجب الحدّ </w:t>
      </w:r>
      <w:r>
        <w:rPr>
          <w:rStyle w:val="FootnoteAnchor"/>
          <w:rtl w:val="true"/>
        </w:rPr>
        <w:footnoteReference w:id="172"/>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أجدك عذراء،و ليست له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يخلّى بينه و بينها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الحدّ فيه التعزير،أو اختصاصه بما إذا قصد بقوله المذكور الرمي بالزناء صريحاً و لو بقرينة الحال،و ينبّه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إمكان الجمع بينه و بين الموثّق المتقدّم بحمل الضرب فيه على الحدّ؛ لكونه أعمّ منه،مضافاً إلى عدم إمكانه من وجه آخر،و هو اعتضاد ما ذكرناه من الجمع بالأصل،و الشهرة،و صريح بعض المعتبرة بوجود المجمع على تصحيح ما يصحّ عنه في سنده فلا يضرّ ما فيه من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بعد ما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تأتني عذراء،قال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لأنّ العذرة تذهب بغير جماع</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بناءً على أنّ الظاهر أنّ المراد من الشيء المنفيّ فيه إنّما هو خصوص الحدّ،لا التعزير،و إلّا لشذّ و ما ارتبط التعليل؛ فإنّ مقتضاه عدم القذف الصريح الذي هو مناط للحدّ،لا عدم الأذى الموجب للتعزير؛ لحصوله عادةً و إن احتمل الذهاب بغير جماع بل و 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الإسكافي الموافقة له فيما لو قال ذلك عند مَرد </w:t>
      </w:r>
      <w:r>
        <w:rPr>
          <w:rStyle w:val="FootnoteAnchor"/>
          <w:rtl w:val="true"/>
        </w:rPr>
        <w:footnoteReference w:id="176"/>
      </w:r>
      <w:r>
        <w:rPr>
          <w:rFonts w:ascii="Amiri" w:hAnsi="Amiri" w:eastAsia="Amiri" w:cs="Amiri"/>
          <w:color w:val="111111"/>
          <w:sz w:val="28"/>
          <w:sz w:val="28"/>
          <w:szCs w:val="28"/>
          <w:rtl w:val="true"/>
          <w:lang w:bidi="ar-SA"/>
        </w:rPr>
        <w:t xml:space="preserve">و سباب ، و المخالفة له في غيره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ثبوت التعزير لو قال لها ذلك، أو قال لغيره مواجهاً أو غائباً ما يوجب أذى له،كالخسيس و الوضيع و الحقير، و كذا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خائن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شارب الخمر و نحو ذلك ممّا يوجب الأذى،بلا خلاف،بل عليه الإجماع في الغنية </w:t>
      </w:r>
      <w:r>
        <w:rPr>
          <w:rStyle w:val="FootnoteAnchor"/>
          <w:rtl w:val="true"/>
        </w:rPr>
        <w:footnoteReference w:id="178"/>
      </w:r>
      <w:r>
        <w:rPr>
          <w:rFonts w:ascii="Amiri" w:hAnsi="Amiri" w:eastAsia="Amiri" w:cs="Amiri"/>
          <w:color w:val="111111"/>
          <w:sz w:val="28"/>
          <w:sz w:val="28"/>
          <w:szCs w:val="28"/>
          <w:rtl w:val="true"/>
          <w:lang w:bidi="ar-SA"/>
        </w:rPr>
        <w:t>للنصوص المستفيضة عموماً و خصوصاً في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 و يعزّر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خبيث </w:t>
      </w:r>
      <w:r>
        <w:rPr>
          <w:rStyle w:val="FootnoteAnchor"/>
          <w:rtl w:val="true"/>
        </w:rPr>
        <w:footnoteReference w:id="180"/>
      </w:r>
      <w:r>
        <w:rPr>
          <w:rFonts w:ascii="Amiri" w:hAnsi="Amiri" w:eastAsia="Amiri" w:cs="Amiri"/>
          <w:color w:val="111111"/>
          <w:sz w:val="28"/>
          <w:sz w:val="28"/>
          <w:szCs w:val="28"/>
          <w:rtl w:val="true"/>
          <w:lang w:bidi="ar-SA"/>
        </w:rPr>
        <w:t>و أنت خنزير،فليس فيه حدّ،و لكن فيه موعظة و بعض العقوبة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دعا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المجنون،فقال 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المجنون،فأمر الأول أن يجلد صاحبه عشرين جلدة،و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مستعقب </w:t>
      </w:r>
      <w:r>
        <w:rPr>
          <w:rStyle w:val="FootnoteAnchor"/>
          <w:rtl w:val="true"/>
        </w:rPr>
        <w:footnoteReference w:id="182"/>
      </w:r>
      <w:r>
        <w:rPr>
          <w:rFonts w:ascii="Amiri" w:hAnsi="Amiri" w:eastAsia="Amiri" w:cs="Amiri"/>
          <w:color w:val="111111"/>
          <w:sz w:val="28"/>
          <w:sz w:val="28"/>
          <w:szCs w:val="28"/>
          <w:rtl w:val="true"/>
          <w:lang w:bidi="ar-SA"/>
        </w:rPr>
        <w:t xml:space="preserve">مثلها عشرين،فلمّا جلده </w:t>
      </w:r>
    </w:p>
    <w:p>
      <w:pPr>
        <w:pStyle w:val="BookText"/>
        <w:rPr/>
      </w:pPr>
      <w:r>
        <w:rPr>
          <w:rFonts w:ascii="IRNazanin" w:hAnsi="IRNazanin" w:eastAsia="IRNazanin"/>
          <w:color w:val="111111"/>
          <w:sz w:val="28"/>
          <w:sz w:val="28"/>
          <w:szCs w:val="28"/>
          <w:rtl w:val="true"/>
          <w:lang w:bidi="fa-IR"/>
        </w:rPr>
        <w:t xml:space="preserve">أعطى المجلود السوط فجلده </w:t>
      </w:r>
      <w:r>
        <w:rPr>
          <w:rStyle w:val="FootnoteAnchor"/>
          <w:rtl w:val="true"/>
        </w:rPr>
        <w:footnoteReference w:id="183"/>
      </w:r>
      <w:r>
        <w:rPr>
          <w:rFonts w:ascii="Amiri" w:hAnsi="Amiri" w:eastAsia="Amiri" w:cs="Amiri"/>
          <w:color w:val="111111"/>
          <w:sz w:val="28"/>
          <w:sz w:val="28"/>
          <w:szCs w:val="28"/>
          <w:rtl w:val="true"/>
          <w:lang w:bidi="ar-SA"/>
        </w:rPr>
        <w:t>نكالاً ينكل بهما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احتلمت بأُمّك،فقال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سنوجعه ضرباً وجيعاً حتى لا يؤذي المسلمين،فضربه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منه الحكم عموماً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يعزّر في الهجاء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الحكم مطلقاً ما لم يكن المؤذي متظاهراً بمعصية اللّه تعالى،و لو تظاهر فلا تعزير؛ لاستحقاقه الاستخفاف،بل كان المؤذي مثاباً بذلك مأجوراً،بلا خلاف أجده،بل عليه الإجماع في الغنية </w:t>
      </w:r>
      <w:r>
        <w:rPr>
          <w:rStyle w:val="FootnoteAnchor"/>
          <w:rtl w:val="true"/>
        </w:rPr>
        <w:footnoteReference w:id="187"/>
      </w:r>
      <w:r>
        <w:rPr>
          <w:rFonts w:ascii="Amiri" w:hAnsi="Amiri" w:eastAsia="Amiri" w:cs="Amiri"/>
          <w:color w:val="111111"/>
          <w:sz w:val="28"/>
          <w:sz w:val="28"/>
          <w:szCs w:val="28"/>
          <w:rtl w:val="true"/>
          <w:lang w:bidi="ar-SA"/>
        </w:rPr>
        <w:t>لأنّه من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أنّ من تمام العبادة الوقوع في أهل الريب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الريب و البدع </w:t>
      </w:r>
    </w:p>
    <w:p>
      <w:pPr>
        <w:pStyle w:val="BookText"/>
        <w:rPr/>
      </w:pPr>
      <w:r>
        <w:rPr>
          <w:rFonts w:ascii="Amiri" w:hAnsi="Amiri" w:eastAsia="Amiri" w:cs="Amiri"/>
          <w:color w:val="111111"/>
          <w:sz w:val="28"/>
          <w:sz w:val="28"/>
          <w:szCs w:val="28"/>
          <w:rtl w:val="true"/>
          <w:lang w:bidi="ar-SA"/>
        </w:rPr>
        <w:t>من بعدي فأظهروا البراءة منهم،و أكثروا من سبّهم،و القول فيهم، و باهتوهم لئلّا يطمعوا في الفساد في الإسلام،و يحذرهم الناس،و لا تعلّموا من بدعهم،يكتب اللّه تعالى لكم بذلك الحسنات،و يرفع لكم به الدرجات في الآخرة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إلى غير ذلك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تصحّ مواجهته بما يكون نسبته إليه كذباً؛ لحرمته،و إمكان الوقيعة فيه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مع ذلك جعله على طريق النهي عن المنكر فيشترط بشروطه،أم يجوز الاستخفاف به مطلقاً؟ ظاهر إطلاق النصّ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الثاني،و الأول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القذف و كلّ ما فيه التعزير بالإقرار مرّتين من المكلّف الحرّ المختار،و بشهادة عدلين بلا خلاف و لا إشكال؛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عدم ثبوته بالمرّة من الإقرار كما هو ظاهر العبارة، مع أنّ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الثبوت بها،و لكن ظاهر الأصحاب خلافه،و كأنّه إجماعيٌّ و إن أشعر عبارة الماتن في الشرائع </w:t>
      </w:r>
      <w:r>
        <w:rPr>
          <w:rStyle w:val="FootnoteAnchor"/>
          <w:rtl w:val="true"/>
        </w:rPr>
        <w:footnoteReference w:id="192"/>
      </w:r>
      <w:r>
        <w:rPr>
          <w:rFonts w:ascii="Amiri" w:hAnsi="Amiri" w:eastAsia="Amiri" w:cs="Amiri"/>
          <w:color w:val="111111"/>
          <w:sz w:val="28"/>
          <w:sz w:val="28"/>
          <w:szCs w:val="28"/>
          <w:rtl w:val="true"/>
          <w:lang w:bidi="ar-SA"/>
        </w:rPr>
        <w:t>بنوع تردّد له فيه،بل بوجود مخالف أيضاً،و لكن لم نقف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القاذف الذي يحدّ كاملاً البلوغ،و العقل و الاختيار،و القصد،بلا خلاف،بل عليه الإجماع في التحرير </w:t>
      </w:r>
      <w:r>
        <w:rPr>
          <w:rStyle w:val="FootnoteAnchor"/>
          <w:rtl w:val="true"/>
        </w:rPr>
        <w:footnoteReference w:id="193"/>
      </w:r>
      <w:r>
        <w:rPr>
          <w:rFonts w:ascii="Amiri" w:hAnsi="Amiri" w:eastAsia="Amiri" w:cs="Amiri"/>
          <w:color w:val="111111"/>
          <w:sz w:val="28"/>
          <w:sz w:val="28"/>
          <w:szCs w:val="28"/>
          <w:rtl w:val="true"/>
          <w:lang w:bidi="ar-SA"/>
        </w:rPr>
        <w:t xml:space="preserve">و غيره </w:t>
      </w:r>
      <w:r>
        <w:rPr>
          <w:rStyle w:val="FootnoteAnchor"/>
          <w:rtl w:val="true"/>
        </w:rPr>
        <w:footnoteReference w:id="194"/>
      </w:r>
      <w:bookmarkStart w:id="37" w:name="pg11409_90628"/>
    </w:p>
    <w:p>
      <w:pPr>
        <w:pStyle w:val="BookText"/>
        <w:rPr/>
      </w:pPr>
      <w:bookmarkEnd w:id="37"/>
      <w:r>
        <w:rPr>
          <w:rFonts w:ascii="Amiri" w:hAnsi="Amiri" w:eastAsia="Amiri" w:cs="Amiri"/>
          <w:color w:val="111111"/>
          <w:sz w:val="28"/>
          <w:sz w:val="28"/>
          <w:szCs w:val="28"/>
          <w:rtl w:val="true"/>
          <w:lang w:bidi="ar-SA"/>
        </w:rPr>
        <w:t>و هو الحجّة،مضافاً إلى الأصل،و الخبر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الغلام لم يحتلم يقذف الرجل،هل يجلد؟قال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ذلك لو أنّ رجلاً قذف الغلام لم يحدّ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الآتي و غيره </w:t>
      </w:r>
      <w:r>
        <w:rPr>
          <w:rStyle w:val="FootnoteAnchor"/>
          <w:rtl w:val="true"/>
        </w:rPr>
        <w:footnoteReference w:id="196"/>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فالصبيّ لا يحدّ بالقذف و لو كان المقذوف كاملاً،بل يعزّر و كذا المجنون لا يُحَدّ بقذفه أحداً و لو كان كاملاً،بل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 التعزير فيه بكونه ممّن يرجى منه الكفّ به؛ لئلّا يلغو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أنّه ينبغي تقييده في الصبي بكونه مميّزاً،و إلّا فتعزيره قبيح عقلاً،فكذا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التعزير فيهما مع القيد حسم مادّة الفساد،و هو الأصل في شرعيّة الحدود و التعزيرات،و إلّا فلم أجد نصّاً بتعزيرهما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اشتراط القصد و الاختيار هنا واضح،كما في سائر المواضع</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02609_73709187"/>
      <w:bookmarkStart w:id="39" w:name="_Toc14"/>
      <w:bookmarkEnd w:id="38"/>
      <w:r>
        <w:rPr>
          <w:rtl w:val="true"/>
        </w:rPr>
        <w:t>الثاني في المقذوف</w:t>
      </w:r>
      <w:bookmarkEnd w:id="3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المقذوف الذي يُحَدّ قاذفه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الإحصان،بلا خلاف،كما في الآية الكريمة وَ الَّذِينَ يَرْمُونَ الْمُحْصَناتِ ثُمَّ لَمْ يَأْتُوا بِأَرْبَعَةِ شُهَداءَ فَاجْلِدُوهُمْ ثَمانِينَ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له معانٍ متعدّدة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البلوغ،و كمال العقل،و الحرّية،و الإسلام،و الستر أي العفّة عن الزناء و اللواط و عدم </w:t>
      </w:r>
    </w:p>
    <w:p>
      <w:pPr>
        <w:pStyle w:val="BookText"/>
        <w:rPr/>
      </w:pPr>
      <w:r>
        <w:rPr>
          <w:rFonts w:ascii="IRNazanin" w:hAnsi="IRNazanin" w:eastAsia="IRNazanin"/>
          <w:color w:val="111111"/>
          <w:sz w:val="28"/>
          <w:sz w:val="28"/>
          <w:szCs w:val="28"/>
          <w:rtl w:val="true"/>
          <w:lang w:bidi="fa-IR"/>
        </w:rPr>
        <w:t>التظاهر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قذف صبيّاً أو مجنوناً أو مملوكاً أو كافراً أو متظاهراً بالزناء و اللواط لم يُحَدّ و يعزَّر إجماعاً كما في كلام جماعة </w:t>
      </w:r>
      <w:r>
        <w:rPr>
          <w:rStyle w:val="FootnoteAnchor"/>
          <w:rtl w:val="true"/>
        </w:rPr>
        <w:footnoteReference w:id="198"/>
      </w:r>
      <w:r>
        <w:rPr>
          <w:rFonts w:ascii="Amiri" w:hAnsi="Amiri" w:eastAsia="Amiri" w:cs="Amiri"/>
          <w:color w:val="111111"/>
          <w:sz w:val="28"/>
          <w:sz w:val="28"/>
          <w:szCs w:val="28"/>
          <w:rtl w:val="true"/>
          <w:lang w:bidi="ar-SA"/>
        </w:rPr>
        <w:t>،و النصوص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زيادةً على ما مرّ إليه الإشارة الصحيح </w:t>
      </w:r>
      <w:r>
        <w:rPr>
          <w:rStyle w:val="FootnoteAnchor"/>
          <w:rtl w:val="true"/>
        </w:rPr>
        <w:footnoteReference w:id="199"/>
      </w:r>
      <w:r>
        <w:rPr>
          <w:rFonts w:ascii="Amiri" w:hAnsi="Amiri" w:eastAsia="Amiri" w:cs="Amiri"/>
          <w:color w:val="111111"/>
          <w:sz w:val="28"/>
          <w:sz w:val="28"/>
          <w:szCs w:val="28"/>
          <w:rtl w:val="true"/>
          <w:lang w:bidi="ar-SA"/>
        </w:rPr>
        <w:t xml:space="preserve">و غيره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مجنوناً قذف رجلاً لم أر عليه شيئاً،و لو قذفه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زان،لم يكن عليه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يقذف الصبية يجلد؟قال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تبلغ</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على مملوك عزّر لحرمة الإسلام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برجل قد قذف عبداً مسلماً بالزناء لا نعلم منه إلّا خيراً لضربته الحدّ حدّ الحرّ إلّا سوطاً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الافتراء على أهل الذمّة و أهل الكتاب هل يجلد المسلم الحدّ في الافتراء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يعزّر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ما يدلّ على اعتبار الستر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بالغ من ذكر أو أُنثى افترى على صغير أو كبير،أو ذكر أو أُنثى،أو مسلم أو كافر،أو حرّ أو مملوك،فعليه حدّ الفرية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فمع إرساله،شاذّ لا عامل به،و حمله الشيخ على الافتراء على أحد أبوي الصغير أو المملوك أو الكافر مع إسلامه و حرّيته و غيره؛ على أنّ المراد بالحدّ فيه ما يعمّ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و إن بَعُدَ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و جماعة تعزير قاذف المتظاهر بالزناء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خلاف ما دلّ على نفي تعزيره </w:t>
      </w:r>
      <w:r>
        <w:rPr>
          <w:rStyle w:val="FootnoteAnchor"/>
          <w:rtl w:val="true"/>
        </w:rPr>
        <w:footnoteReference w:id="208"/>
      </w:r>
      <w:r>
        <w:rPr>
          <w:rFonts w:ascii="Amiri" w:hAnsi="Amiri" w:eastAsia="Amiri" w:cs="Amiri"/>
          <w:color w:val="111111"/>
          <w:sz w:val="28"/>
          <w:sz w:val="28"/>
          <w:szCs w:val="28"/>
          <w:rtl w:val="true"/>
          <w:lang w:bidi="ar-SA"/>
        </w:rPr>
        <w:t>معلّلاً بعدم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مال الشهيدان إلى العدم </w:t>
      </w:r>
      <w:r>
        <w:rPr>
          <w:rStyle w:val="FootnoteAnchor"/>
          <w:rtl w:val="true"/>
        </w:rPr>
        <w:footnoteReference w:id="209"/>
      </w:r>
      <w:r>
        <w:rPr>
          <w:rFonts w:ascii="Amiri" w:hAnsi="Amiri" w:eastAsia="Amiri" w:cs="Amiri"/>
          <w:color w:val="111111"/>
          <w:sz w:val="28"/>
          <w:sz w:val="28"/>
          <w:szCs w:val="28"/>
          <w:rtl w:val="true"/>
          <w:lang w:bidi="ar-SA"/>
        </w:rPr>
        <w:t xml:space="preserve">،و وجّه ثانيهما ما هنا بعموم الأدلّة </w:t>
      </w:r>
      <w:r>
        <w:rPr>
          <w:rStyle w:val="FootnoteAnchor"/>
          <w:rtl w:val="true"/>
        </w:rPr>
        <w:footnoteReference w:id="210"/>
      </w:r>
      <w:r>
        <w:rPr>
          <w:rStyle w:val="FootnoteAnchor"/>
          <w:rtl w:val="true"/>
        </w:rPr>
        <w:footnoteReference w:id="211"/>
      </w:r>
      <w:r>
        <w:rPr>
          <w:rFonts w:ascii="Amiri" w:hAnsi="Amiri" w:eastAsia="Amiri" w:cs="Amiri"/>
          <w:color w:val="111111"/>
          <w:sz w:val="28"/>
          <w:sz w:val="28"/>
          <w:szCs w:val="28"/>
          <w:rtl w:val="true"/>
          <w:lang w:bidi="ar-SA"/>
        </w:rPr>
        <w:t>و قبح القذف مطلقاً،بخلاف مواجهة المتظاهر بالزناء بغيره من أنواع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يؤيّده فحوى ما دلّ على تعزير قاذف الكافر،فتأمّل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فيه انتفاء البنوّة ف الأب لو قذف ولده المحصن لم يحدّ،بل يعزّر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قذف زوجته الميّتة و لا وارث لها إلّا ولده،نعم،لو كان لها </w:t>
      </w:r>
      <w:bookmarkStart w:id="40" w:name="pg11409_90631"/>
    </w:p>
    <w:p>
      <w:pPr>
        <w:pStyle w:val="BookText"/>
        <w:rPr/>
      </w:pPr>
      <w:bookmarkEnd w:id="40"/>
      <w:r>
        <w:rPr>
          <w:rFonts w:ascii="Amiri" w:hAnsi="Amiri" w:eastAsia="Amiri" w:cs="Amiri"/>
          <w:color w:val="111111"/>
          <w:sz w:val="28"/>
          <w:sz w:val="28"/>
          <w:szCs w:val="28"/>
          <w:rtl w:val="true"/>
          <w:lang w:bidi="ar-SA"/>
        </w:rPr>
        <w:t>ولد من غيره كان لهم الحدّ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قذف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قتله ما قتل به،و إن قذفه لم يجلد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 و أُمّه ميّتة،و لم يكن لها من يأخذ بحقّها منه إلّا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يقام عليه الحدّ؛ لأنّ حقّ الحدّ قد صار لولده منها؛ و إن كان لها ولد من غيره فهو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لها ولد من غيره،و كان لها قرابة يقومون بحقّ الحدّ،جلد لهم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شيء من ذلك و لا في أنّه يحدّ الولد لو قذفه أي قذف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يحدّ لو قذف الأُمّ أو الأقارب مطلقاً، و يحدّون لو قذفوه؛ للعموم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02611_73709187"/>
      <w:bookmarkStart w:id="42" w:name="_Toc15"/>
      <w:bookmarkEnd w:id="41"/>
      <w:r>
        <w:rPr>
          <w:rtl w:val="true"/>
        </w:rPr>
        <w:t>الثالث في الأحكام</w:t>
      </w:r>
      <w:bookmarkEnd w:id="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قذف شخصٌ جماعة واحداً بعد واحد،فلكلّ واحد حدّ،و لو قذفهم بلفظ واحد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للجميع حدّ واحد إن طالبوا مجتمعين،و إن افترقوا في المطالبة فلكلّ واحد حدّ على الأظهر الأشهر،و في الغنية و السرائر الإجماع عليه </w:t>
      </w:r>
      <w:r>
        <w:rPr>
          <w:rStyle w:val="FootnoteAnchor"/>
          <w:rtl w:val="true"/>
        </w:rPr>
        <w:footnoteReference w:id="21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افترى على قوم 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أتوا به مجتمعين ضرب حدّا واحداً،و إن أتوا به متفرّقين ضرب لكلّ واحد حدّا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 نحوه أخبار أُخر </w:t>
      </w:r>
      <w:r>
        <w:rPr>
          <w:rStyle w:val="FootnoteAnchor"/>
          <w:rtl w:val="true"/>
        </w:rPr>
        <w:footnoteReference w:id="215"/>
      </w:r>
      <w:r>
        <w:rPr>
          <w:rFonts w:ascii="Amiri" w:hAnsi="Amiri" w:eastAsia="Amiri" w:cs="Amiri"/>
          <w:color w:val="111111"/>
          <w:sz w:val="28"/>
          <w:sz w:val="28"/>
          <w:szCs w:val="28"/>
          <w:rtl w:val="true"/>
          <w:lang w:bidi="ar-SA"/>
        </w:rPr>
        <w:t xml:space="preserve">،قصور أسانيدها أو ضعفها بالشهرة العظيمة </w:t>
      </w:r>
    </w:p>
    <w:p>
      <w:pPr>
        <w:pStyle w:val="BookText"/>
        <w:rPr/>
      </w:pPr>
      <w:r>
        <w:rPr>
          <w:rFonts w:ascii="IRNazanin" w:hAnsi="IRNazanin" w:eastAsia="IRNazanin"/>
          <w:color w:val="111111"/>
          <w:sz w:val="28"/>
          <w:sz w:val="28"/>
          <w:szCs w:val="28"/>
          <w:rtl w:val="true"/>
          <w:lang w:bidi="fa-IR"/>
        </w:rPr>
        <w:t>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حملت على ما لو كان القذف بلفظ واحد مع كونه أعمّ،جمعاً بينه و بين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قوماً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حدّا واحداً،و إن فرّق بينهم في القذف ضرب لكلّ واحد منهم حداً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بحمل الأولة على ما لو كان القذف بلفظ واحد، و الأخير على ما لو جاءُوا به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عكس الإسكافي،فجعل القذف بلفظ واحد موجباً لاتّحاد الحدّ مطلقاً،و بلفظ متعدّد موجباً للاتّحاد إن جاءُوا مجتمعين،و للتعدّد إن جاءُوا متفرّقين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نفى عنه البأس في المختلف؛ محتجّاً بدلالة الخبر الأول عليه،و هو أوضح طريقاً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 تفصيل الأول شامل للقذف المتّحد و المتعدّد،فالعمل به يوجب التفصيل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جماعة،صفة للقوم؛ لأنّه أقرب و أنسب بالجماعة،لا للقذف،و إنّما يتّجه قوله لو جعل صفة للقذف المدلول عليه بالفعل،و أُريد بالجماعة القذف المتعدّد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بعيد جدّاً،بل الظاهر ما ذكرناه،أو ما قيل </w:t>
      </w:r>
      <w:r>
        <w:rPr>
          <w:rStyle w:val="FootnoteAnchor"/>
          <w:rtl w:val="true"/>
        </w:rPr>
        <w:footnoteReference w:id="219"/>
      </w:r>
      <w:r>
        <w:rPr>
          <w:rFonts w:ascii="Amiri" w:hAnsi="Amiri" w:eastAsia="Amiri" w:cs="Amiri"/>
          <w:color w:val="111111"/>
          <w:sz w:val="28"/>
          <w:sz w:val="28"/>
          <w:szCs w:val="28"/>
          <w:rtl w:val="true"/>
          <w:lang w:bidi="ar-SA"/>
        </w:rPr>
        <w:t>من أنّ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جماعة،اجتماعهم في الفرية،بمعنى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قذفهم بكلمة واحدة،و عليه فلا يكون القذف في الخبر </w:t>
      </w:r>
    </w:p>
    <w:p>
      <w:pPr>
        <w:pStyle w:val="BookText"/>
        <w:rPr/>
      </w:pPr>
      <w:r>
        <w:rPr>
          <w:rFonts w:ascii="Amiri" w:hAnsi="Amiri" w:eastAsia="Amiri" w:cs="Amiri"/>
          <w:color w:val="111111"/>
          <w:sz w:val="28"/>
          <w:sz w:val="28"/>
          <w:szCs w:val="28"/>
          <w:rtl w:val="true"/>
          <w:lang w:bidi="ar-SA"/>
        </w:rPr>
        <w:t>أعمّ من المتّحد و المتعدّد،بل ظاهر في الأول،و يكون التعارض بينه و بين الخبر الأخير تعارض المطلق و المقيّد من وجه واحد؛ و لا كذلك على تقدير الأعمّية،فإنّ كلّاً منهما مطلق من وجه و مقيّد من آخر؛ و على التقديرين يجب حمل المطلق على المقيّد من طرف واحد،أو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قولان آخران للصدوق،أحدهما في الفقيه و المقنع </w:t>
      </w:r>
      <w:r>
        <w:rPr>
          <w:rStyle w:val="FootnoteAnchor"/>
          <w:rtl w:val="true"/>
        </w:rPr>
        <w:footnoteReference w:id="220"/>
      </w:r>
      <w:r>
        <w:rPr>
          <w:rFonts w:ascii="Amiri" w:hAnsi="Amiri" w:eastAsia="Amiri" w:cs="Amiri"/>
          <w:color w:val="111111"/>
          <w:sz w:val="28"/>
          <w:sz w:val="28"/>
          <w:szCs w:val="28"/>
          <w:rtl w:val="true"/>
          <w:lang w:bidi="ar-SA"/>
        </w:rPr>
        <w:t xml:space="preserve">،و ثانيهما في الهداية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شاذّان غير واضحي المستند،أو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القذف يُورَث لو مات المقذوف قبل استيفائه و العفو عنه كما يُوَرث المال،و لكن لا يرث الزوج و لا الزوجة بل و لا غيرهما من ذوي الأسباب،عدا الإمام،فيرثه،و لكن ليس له العفو،كما في الغنية، مدّعياً عليه و على أصل الحكم إجماع الإماميّة </w:t>
      </w:r>
      <w:r>
        <w:rPr>
          <w:rStyle w:val="FootnoteAnchor"/>
          <w:rtl w:val="true"/>
        </w:rPr>
        <w:footnoteReference w:id="222"/>
      </w:r>
      <w:r>
        <w:rPr>
          <w:rFonts w:ascii="Amiri" w:hAnsi="Amiri" w:eastAsia="Amiri" w:cs="Amiri"/>
          <w:color w:val="111111"/>
          <w:sz w:val="28"/>
          <w:sz w:val="28"/>
          <w:szCs w:val="28"/>
          <w:rtl w:val="true"/>
          <w:lang w:bidi="ar-SA"/>
        </w:rPr>
        <w:t xml:space="preserve">،كما عن الخلاف </w:t>
      </w:r>
      <w:r>
        <w:rPr>
          <w:rStyle w:val="FootnoteAnchor"/>
          <w:rtl w:val="true"/>
        </w:rPr>
        <w:footnoteReference w:id="223"/>
      </w:r>
      <w:r>
        <w:rPr>
          <w:rFonts w:ascii="Amiri" w:hAnsi="Amiri" w:eastAsia="Amiri" w:cs="Amiri"/>
          <w:color w:val="111111"/>
          <w:sz w:val="28"/>
          <w:sz w:val="28"/>
          <w:szCs w:val="28"/>
          <w:rtl w:val="true"/>
          <w:lang w:bidi="ar-SA"/>
        </w:rPr>
        <w:t xml:space="preserve">و في غيره </w:t>
      </w:r>
      <w:r>
        <w:rPr>
          <w:rStyle w:val="FootnoteAnchor"/>
          <w:rtl w:val="true"/>
        </w:rPr>
        <w:footnoteReference w:id="224"/>
      </w:r>
      <w:r>
        <w:rPr>
          <w:rFonts w:ascii="Amiri" w:hAnsi="Amiri" w:eastAsia="Amiri" w:cs="Amiri"/>
          <w:color w:val="111111"/>
          <w:sz w:val="28"/>
          <w:sz w:val="28"/>
          <w:szCs w:val="28"/>
          <w:rtl w:val="true"/>
          <w:lang w:bidi="ar-SA"/>
        </w:rPr>
        <w:t>أيضاً لكن على الثاني خاصّة؛ و هو الحجّة،مضافاً إلى النصوص المستفيضة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زيادةً على ما يأتي إليه الإشارة الصحيح المتقدّم </w:t>
      </w:r>
      <w:r>
        <w:rPr>
          <w:rStyle w:val="FootnoteAnchor"/>
          <w:rtl w:val="true"/>
        </w:rPr>
        <w:footnoteReference w:id="225"/>
      </w:r>
      <w:r>
        <w:rPr>
          <w:rFonts w:ascii="Amiri" w:hAnsi="Amiri" w:eastAsia="Amiri" w:cs="Amiri"/>
          <w:color w:val="111111"/>
          <w:sz w:val="28"/>
          <w:sz w:val="28"/>
          <w:szCs w:val="28"/>
          <w:rtl w:val="true"/>
          <w:lang w:bidi="ar-SA"/>
        </w:rPr>
        <w:t>فيمن قذف زوجته و هي ميتة و لها قرابة يقومون بحقّ الحدّ،قال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لهم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لا يورث</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فمع قصور سنده بالسكوني </w:t>
      </w:r>
    </w:p>
    <w:p>
      <w:pPr>
        <w:pStyle w:val="BookText"/>
        <w:rPr/>
      </w:pPr>
      <w:r>
        <w:rPr>
          <w:rFonts w:ascii="Amiri" w:hAnsi="Amiri" w:eastAsia="Amiri" w:cs="Amiri"/>
          <w:color w:val="111111"/>
          <w:sz w:val="28"/>
          <w:sz w:val="28"/>
          <w:szCs w:val="28"/>
          <w:rtl w:val="true"/>
          <w:lang w:bidi="ar-SA"/>
        </w:rPr>
        <w:t xml:space="preserve">و صاحبه،محمول على ما ذكره الشيخ و غيره </w:t>
      </w:r>
      <w:r>
        <w:rPr>
          <w:rStyle w:val="FootnoteAnchor"/>
          <w:rtl w:val="true"/>
        </w:rPr>
        <w:footnoteReference w:id="227"/>
      </w:r>
      <w:r>
        <w:rPr>
          <w:rFonts w:ascii="Amiri" w:hAnsi="Amiri" w:eastAsia="Amiri" w:cs="Amiri"/>
          <w:color w:val="111111"/>
          <w:sz w:val="28"/>
          <w:sz w:val="28"/>
          <w:szCs w:val="28"/>
          <w:rtl w:val="true"/>
          <w:lang w:bidi="ar-SA"/>
        </w:rPr>
        <w:t>من أنّ المراد أنّه لا يورث في أنّ كلّ واحد منهم يأخذ نصيبه و إن كان لكلّ واحد من الورثة المطالبة به على الكمال،كما في صريح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 لا يورث كما يورث التركة و المال و العقار،و لكن من قام به من الورثة يطلبه فهو وليّه،و من تركه فلم يطلبه فلا حقّ له،و ذلك مثل رجل قذف رجلاً و للمقذوف أخَوان،فإن عفا أحدهما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يطالبه بحقّه؛ لأنّها أُمّهما جميعاً،و العفو إليهما جميعاً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الحمل على التقيّة؛ لما ذكره بعض الأجلّة من أنّه قول للعامّة،قال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قول آخر بأنّه يرثه العصبات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كون الراوي هو السكوني الذي هو من قضاتهم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زان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لائط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بنتك زانية،فالحدّ لهما مع بلوغهما و عقلهما،لا للمواجه؛ لما مرّ من أنّه لم ينسب إليه فعلاً قبيحاً </w:t>
      </w:r>
      <w:r>
        <w:rPr>
          <w:rStyle w:val="FootnoteAnchor"/>
          <w:rtl w:val="true"/>
        </w:rPr>
        <w:footnoteReference w:id="230"/>
      </w:r>
      <w:r>
        <w:rPr>
          <w:rFonts w:ascii="Amiri" w:hAnsi="Amiri" w:eastAsia="Amiri" w:cs="Amiri"/>
          <w:color w:val="111111"/>
          <w:sz w:val="28"/>
          <w:sz w:val="28"/>
          <w:szCs w:val="28"/>
          <w:rtl w:val="true"/>
          <w:lang w:bidi="ar-SA"/>
        </w:rPr>
        <w:t xml:space="preserve">، و لازم ذلك أنّ حقّ المطالبة و العفو فيه للمقذوف خاصّة كما في غيره من الحقوق،و إلى هذا ذهب الحلّي </w:t>
      </w:r>
      <w:r>
        <w:rPr>
          <w:rStyle w:val="FootnoteAnchor"/>
          <w:rtl w:val="true"/>
        </w:rPr>
        <w:footnoteReference w:id="231"/>
      </w:r>
      <w:r>
        <w:rPr>
          <w:rFonts w:ascii="Amiri" w:hAnsi="Amiri" w:eastAsia="Amiri" w:cs="Amiri"/>
          <w:color w:val="111111"/>
          <w:sz w:val="28"/>
          <w:sz w:val="28"/>
          <w:szCs w:val="28"/>
          <w:rtl w:val="true"/>
          <w:lang w:bidi="ar-SA"/>
        </w:rPr>
        <w:t>و عامّة المتأخّرين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 و المفيد و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أي </w:t>
      </w:r>
    </w:p>
    <w:p>
      <w:pPr>
        <w:pStyle w:val="BookText"/>
        <w:rPr/>
      </w:pPr>
      <w:r>
        <w:rPr>
          <w:rFonts w:ascii="Amiri" w:hAnsi="Amiri" w:eastAsia="Amiri" w:cs="Amiri"/>
          <w:color w:val="111111"/>
          <w:sz w:val="28"/>
          <w:sz w:val="28"/>
          <w:szCs w:val="28"/>
          <w:rtl w:val="true"/>
          <w:lang w:bidi="ar-SA"/>
        </w:rPr>
        <w:t>للأب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للحدّ و العفو عنه </w:t>
      </w:r>
      <w:r>
        <w:rPr>
          <w:rStyle w:val="FootnoteAnchor"/>
          <w:rtl w:val="true"/>
        </w:rPr>
        <w:footnoteReference w:id="232"/>
      </w:r>
      <w:r>
        <w:rPr>
          <w:rFonts w:ascii="Amiri" w:hAnsi="Amiri" w:eastAsia="Amiri" w:cs="Amiri"/>
          <w:color w:val="111111"/>
          <w:sz w:val="28"/>
          <w:sz w:val="28"/>
          <w:szCs w:val="28"/>
          <w:rtl w:val="true"/>
          <w:lang w:bidi="ar-SA"/>
        </w:rPr>
        <w:t xml:space="preserve">و الحجّة عليه غير واضحة،عدا ما في المختلف من أنّ العار لاحق به،فله المطالبة بالحدّ و العفو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هذا،إن لم يسبقه الولدان إلى أحد الأمرين،و لو سبقاه إليه لم يكن له ذلك بلا خلاف فيه،و لا في أنّ للأب الاستيفاء إذا قُذِفا و ولايته ثابتة عليهما؛ قيل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غير صالحين للاستيفاء أو العفو،و التأخير معرّض للسقوط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ورث الولد الصغير و من في معناه حدّا كان للأب الاستيفاء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 العفو له في الصورتين إشكال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ورث الحدّ جماعة،فعفا عنه أحدهم،كان لمن بقي و لو واحداً الاستيفاء له على التمام بلا خلاف أجده،بل عليه الإجماع في الغنية </w:t>
      </w:r>
      <w:r>
        <w:rPr>
          <w:rStyle w:val="FootnoteAnchor"/>
          <w:rtl w:val="true"/>
        </w:rPr>
        <w:footnoteReference w:id="236"/>
      </w:r>
      <w:r>
        <w:rPr>
          <w:rFonts w:ascii="Amiri" w:hAnsi="Amiri" w:eastAsia="Amiri" w:cs="Amiri"/>
          <w:color w:val="111111"/>
          <w:sz w:val="28"/>
          <w:sz w:val="28"/>
          <w:szCs w:val="28"/>
          <w:rtl w:val="true"/>
          <w:lang w:bidi="ar-SA"/>
        </w:rPr>
        <w:t>،و به صرّحت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يقتل القاذف في المرّة الرابعة إذا حدّ ثلاثاً على الأشهر الأقوى،و في الغنية عليه إجماعنا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الحلّي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يقتل في الثالثة للصحيح العامّ في كلّ كبيرة </w:t>
      </w:r>
      <w:r>
        <w:rPr>
          <w:rStyle w:val="FootnoteAnchor"/>
          <w:rtl w:val="true"/>
        </w:rPr>
        <w:footnoteReference w:id="239"/>
      </w:r>
      <w:r>
        <w:rPr>
          <w:rFonts w:ascii="Amiri" w:hAnsi="Amiri" w:eastAsia="Amiri" w:cs="Amiri"/>
          <w:color w:val="111111"/>
          <w:sz w:val="28"/>
          <w:sz w:val="28"/>
          <w:szCs w:val="28"/>
          <w:rtl w:val="true"/>
          <w:lang w:bidi="ar-SA"/>
        </w:rPr>
        <w:t>و فيه ما عرفته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الحدّ ثمانون جلدة بنصّ الكتاب </w:t>
      </w:r>
      <w:r>
        <w:rPr>
          <w:rStyle w:val="FootnoteAnchor"/>
          <w:rtl w:val="true"/>
        </w:rPr>
        <w:footnoteReference w:id="240"/>
      </w:r>
      <w:r>
        <w:rPr>
          <w:rFonts w:ascii="Amiri" w:hAnsi="Amiri" w:eastAsia="Amiri" w:cs="Amiri"/>
          <w:color w:val="111111"/>
          <w:sz w:val="28"/>
          <w:sz w:val="28"/>
          <w:szCs w:val="28"/>
          <w:rtl w:val="true"/>
          <w:lang w:bidi="ar-SA"/>
        </w:rPr>
        <w:t xml:space="preserve">،و الإجماع،و السنّة المستفيضة </w:t>
      </w:r>
      <w:r>
        <w:rPr>
          <w:rStyle w:val="FootnoteAnchor"/>
          <w:rtl w:val="true"/>
        </w:rPr>
        <w:footnoteReference w:id="241"/>
      </w:r>
      <w:r>
        <w:rPr>
          <w:rFonts w:ascii="Amiri" w:hAnsi="Amiri" w:eastAsia="Amiri" w:cs="Amiri"/>
          <w:color w:val="111111"/>
          <w:sz w:val="28"/>
          <w:sz w:val="28"/>
          <w:szCs w:val="28"/>
          <w:rtl w:val="true"/>
          <w:lang w:bidi="ar-SA"/>
        </w:rPr>
        <w:t xml:space="preserve">حرّا كان القاذف أو عبداً على الأشهر الأقوى،بل عليه عامّة متأخّري أصحابنا،و في صريح الغنية و ظاهر النكت و الروضة و عن الخلاف و غيره أنّ عليه إجماع الإماميّة </w:t>
      </w:r>
      <w:r>
        <w:rPr>
          <w:rStyle w:val="FootnoteAnchor"/>
          <w:rtl w:val="true"/>
        </w:rPr>
        <w:footnoteReference w:id="242"/>
      </w:r>
      <w:r>
        <w:rPr>
          <w:rFonts w:ascii="Amiri" w:hAnsi="Amiri" w:eastAsia="Amiri" w:cs="Amiri"/>
          <w:color w:val="111111"/>
          <w:sz w:val="28"/>
          <w:sz w:val="28"/>
          <w:szCs w:val="28"/>
          <w:rtl w:val="true"/>
          <w:lang w:bidi="ar-SA"/>
        </w:rPr>
        <w:t>لعموم الأدلّة،و صريح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العبد الحرّ جُلِد ثمانين،هذا من حقوق الناس</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244"/>
      </w:r>
      <w:r>
        <w:rPr>
          <w:rFonts w:ascii="IRNazanin" w:hAnsi="IRNazanin" w:eastAsia="IRNazanin"/>
          <w:color w:val="111111"/>
          <w:sz w:val="28"/>
          <w:sz w:val="28"/>
          <w:szCs w:val="28"/>
          <w:rtl w:val="true"/>
          <w:lang w:bidi="fa-IR"/>
        </w:rPr>
        <w:t xml:space="preserve">و الحسن </w:t>
      </w:r>
      <w:r>
        <w:rPr>
          <w:rStyle w:val="FootnoteAnchor"/>
          <w:rtl w:val="true"/>
        </w:rPr>
        <w:footnoteReference w:id="245"/>
      </w:r>
      <w:r>
        <w:rPr>
          <w:rFonts w:ascii="Amiri" w:hAnsi="Amiri" w:eastAsia="Amiri" w:cs="Amiri"/>
          <w:color w:val="111111"/>
          <w:sz w:val="28"/>
          <w:sz w:val="28"/>
          <w:szCs w:val="28"/>
          <w:rtl w:val="true"/>
          <w:lang w:bidi="ar-SA"/>
        </w:rPr>
        <w:t>بزيادة في آخرهما،و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 من حقوق اللّه تعالى فإنّه يضرب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 نصف الحدّ فيه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أو شرب خمراً فهذا من حقوق اللّه تعالى التي يضرب فيها نصف الحدّ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للصدوق و المبسوط،فعلى المملوك أربعون </w:t>
      </w:r>
      <w:r>
        <w:rPr>
          <w:rStyle w:val="FootnoteAnchor"/>
          <w:rtl w:val="true"/>
        </w:rPr>
        <w:footnoteReference w:id="246"/>
      </w:r>
      <w:r>
        <w:rPr>
          <w:rFonts w:ascii="Amiri" w:hAnsi="Amiri" w:eastAsia="Amiri" w:cs="Amiri"/>
          <w:color w:val="111111"/>
          <w:sz w:val="28"/>
          <w:sz w:val="28"/>
          <w:szCs w:val="28"/>
          <w:rtl w:val="true"/>
          <w:lang w:bidi="ar-SA"/>
        </w:rPr>
        <w:t xml:space="preserve">لقوله تعالى فَإِنْ أَتَيْنَ بِفاحِشَةٍ فَعَلَيْهِنَّ نِصْفُ ما عَلَى الْمُحْصَناتِ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يفتري على الحرّ كم يجلد؟قال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بفاحشة فعليه نصف</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لفحوى ما دلّ على تنصيف حدّه في الزناء </w:t>
      </w:r>
      <w:r>
        <w:rPr>
          <w:rStyle w:val="FootnoteAnchor"/>
          <w:rtl w:val="true"/>
        </w:rPr>
        <w:footnoteReference w:id="249"/>
      </w:r>
      <w:r>
        <w:rPr>
          <w:rFonts w:ascii="Amiri" w:hAnsi="Amiri" w:eastAsia="Amiri" w:cs="Amiri"/>
          <w:color w:val="111111"/>
          <w:sz w:val="28"/>
          <w:sz w:val="28"/>
          <w:szCs w:val="28"/>
          <w:rtl w:val="true"/>
          <w:lang w:bidi="ar-SA"/>
        </w:rPr>
        <w:t>بناءً على أشدّيته من القذف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الجميع بأنّ المراد من الفاحشة هو الزناء خاصّة كما نقله عن المفسّرين جماعة </w:t>
      </w:r>
      <w:r>
        <w:rPr>
          <w:rStyle w:val="FootnoteAnchor"/>
          <w:rtl w:val="true"/>
        </w:rPr>
        <w:footnoteReference w:id="250"/>
      </w:r>
      <w:r>
        <w:rPr>
          <w:rFonts w:ascii="Amiri" w:hAnsi="Amiri" w:eastAsia="Amiri" w:cs="Amiri"/>
          <w:color w:val="111111"/>
          <w:sz w:val="28"/>
          <w:sz w:val="28"/>
          <w:szCs w:val="28"/>
          <w:rtl w:val="true"/>
          <w:lang w:bidi="ar-SA"/>
        </w:rPr>
        <w:t>،و يظهر من اقترانهنّ بالمحصنات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مع ضعف سندها و شذوذها كما صرّح به جماعة </w:t>
      </w:r>
      <w:r>
        <w:rPr>
          <w:rStyle w:val="FootnoteAnchor"/>
          <w:rtl w:val="true"/>
        </w:rPr>
        <w:footnoteReference w:id="251"/>
      </w:r>
      <w:r>
        <w:rPr>
          <w:rFonts w:ascii="Amiri" w:hAnsi="Amiri" w:eastAsia="Amiri" w:cs="Amiri"/>
          <w:color w:val="111111"/>
          <w:sz w:val="28"/>
          <w:sz w:val="28"/>
          <w:szCs w:val="28"/>
          <w:rtl w:val="true"/>
          <w:lang w:bidi="ar-SA"/>
        </w:rPr>
        <w:t xml:space="preserve">لا تعارض المعتبرة المستفيضة المتقدّمة،المعتضدة بعموم الآية،و الشهرة العظيمة التي كادت تكون إجماعاً،بل إجماع في الحقيقة كما حكاه جماعة حدّ الاستفاضة،فيجب طرحها،أو حملها على التقية؛ لموافقتها لمذهب أكثر العامّة كالشافعي و أبي حنيفة كما صرّح به بعض الأجلّة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الأولويّة ممنوعة؛ لوجود الفارق بين الزناء و القذف،بكونه حقّ الناس،و حدّ الزناء حقّ اللّه سبحانه،كما نطقت به الأخبار السابقة،و هو أسهل منه،كما يستفاد منها و من غيرها من المعتبرة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سلّمت </w:t>
      </w:r>
    </w:p>
    <w:p>
      <w:pPr>
        <w:pStyle w:val="BookText"/>
        <w:rPr/>
      </w:pPr>
      <w:r>
        <w:rPr>
          <w:rFonts w:ascii="Amiri" w:hAnsi="Amiri" w:eastAsia="Amiri" w:cs="Amiri"/>
          <w:color w:val="111111"/>
          <w:sz w:val="28"/>
          <w:sz w:val="28"/>
          <w:szCs w:val="28"/>
          <w:rtl w:val="true"/>
          <w:lang w:bidi="ar-SA"/>
        </w:rPr>
        <w:t>فلا تعارض صريح الأدلّة،فينبغي الخروج عنها بها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يفتري على الحرّ،فقال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حدّا إلّا سوطاً أو سوطين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خمسون جلدة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حملهما الشيخ على الافتراء بما ليس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 دعي لغير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بيّنتك أُمكّنك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بالبيّنة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امّه كانت أمة،قال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حدّ،سبّه كما سبّك،أو اعف عنه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السؤال عن رجل ادّعى على آخر أنّه دعاه لغير أبيه،فطلب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البيّنة،فلمّا أتى بها شهدت بأنّه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امّه كانت أمة لا أنّه دعاه لغير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 كما سبّك أو اعف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الأمر كذلك في مثل هذا الكلام إذا وجّه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يجلد القاذف بثيابه المعتادة و لا يجرّد عنها كما يجرّد الزاني و لا يضرب ضرباً شديداً،بل يضرب ضرباً متوسّطاً اتّفاقاً على الظاهر،المصرّح به في بعض العبائر </w:t>
      </w:r>
      <w:r>
        <w:rPr>
          <w:rStyle w:val="FootnoteAnchor"/>
          <w:rtl w:val="true"/>
        </w:rPr>
        <w:footnoteReference w:id="257"/>
      </w:r>
      <w:r>
        <w:rPr>
          <w:rFonts w:ascii="Amiri" w:hAnsi="Amiri" w:eastAsia="Amiri" w:cs="Amiri"/>
          <w:color w:val="111111"/>
          <w:sz w:val="28"/>
          <w:sz w:val="28"/>
          <w:szCs w:val="28"/>
          <w:rtl w:val="true"/>
          <w:lang w:bidi="ar-SA"/>
        </w:rPr>
        <w:t>و هو الحجّة،مضافاً إلى النصوص المستفيضة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المفتري يضرب بين الضربين،يضرب جسده كلّه </w:t>
      </w:r>
      <w:bookmarkStart w:id="43" w:name="pg11409_90639"/>
    </w:p>
    <w:p>
      <w:pPr>
        <w:pStyle w:val="BookText"/>
        <w:rPr/>
      </w:pPr>
      <w:bookmarkEnd w:id="43"/>
      <w:r>
        <w:rPr>
          <w:rFonts w:ascii="Amiri" w:hAnsi="Amiri" w:eastAsia="Amiri" w:cs="Amiri"/>
          <w:color w:val="111111"/>
          <w:sz w:val="28"/>
          <w:sz w:val="28"/>
          <w:szCs w:val="28"/>
          <w:rtl w:val="true"/>
          <w:lang w:bidi="ar-SA"/>
        </w:rPr>
        <w:t>فوق ثيابه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يعزّر الكفّار مع التنابز بالألقاب،أي تداعيهم بها إذا اشتملت على ذمّ؛ و كذا تعييرهم بالأمراض،إلّا أن يخشى حدوث فتنة فيحسمها الإمام بما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قالوه،و لعلّه لا خلاف فيه،و لكن نسبه الماتن في الشرائع إلى القيل </w:t>
      </w:r>
      <w:r>
        <w:rPr>
          <w:rStyle w:val="FootnoteAnchor"/>
          <w:rtl w:val="true"/>
        </w:rPr>
        <w:footnoteReference w:id="259"/>
      </w:r>
      <w:r>
        <w:rPr>
          <w:rFonts w:ascii="Amiri" w:hAnsi="Amiri" w:eastAsia="Amiri" w:cs="Amiri"/>
          <w:color w:val="111111"/>
          <w:sz w:val="28"/>
          <w:sz w:val="28"/>
          <w:szCs w:val="28"/>
          <w:rtl w:val="true"/>
          <w:lang w:bidi="ar-SA"/>
        </w:rPr>
        <w:t>،المشعر بالتمريض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فعل محرّم يستحقّ فاعله التعزير،و الأصل عدم سقوطه بمقابلة الآخر بمثله،بل يجب على كلّ منهما ما اقتضاه فعله، فسقوطه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وجه لولا الشهرة القريبة من الإجماع،المؤيّدة بفحوى جواز الإعراض عنهم في الحدود و الأحكام فهنا أولى،و ما دلّ على سقوط الحدّ بالتقاذف،كالصحيحين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افترى كلّ واحد منهما على صاحبه،فقال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يدرأ عنهما الحدّ و يعزّران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فالتعزير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التأييد الثاني نظر،بل ربما كان في تأييد الخلاف أظهر،فتدبّر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02613_73709187"/>
      <w:bookmarkStart w:id="45" w:name="_Toc16"/>
      <w:bookmarkEnd w:id="44"/>
      <w:r>
        <w:rPr>
          <w:rtl w:val="true"/>
        </w:rPr>
        <w:t>الرابع في اللواحق</w:t>
      </w:r>
      <w:bookmarkEnd w:id="45"/>
    </w:p>
    <w:p>
      <w:pPr>
        <w:pStyle w:val="Heading5"/>
        <w:numPr>
          <w:ilvl w:val="4"/>
          <w:numId w:val="1"/>
        </w:numPr>
        <w:rPr/>
      </w:pPr>
      <w:bookmarkStart w:id="46" w:name="__RefHeading___Toc1102615_73709187"/>
      <w:bookmarkStart w:id="47" w:name="_Toc17"/>
      <w:bookmarkEnd w:id="46"/>
      <w:r>
        <w:rPr>
          <w:rtl w:val="true"/>
        </w:rPr>
        <w:t>الأولى يقتل من سبّ النبيّ ص</w:t>
      </w:r>
      <w:bookmarkEnd w:id="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و هي خمس مسائل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سبّ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من سبّ أحد </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خلاف،بل عليه الإجماع في كلام جماعة </w:t>
      </w:r>
      <w:r>
        <w:rPr>
          <w:rStyle w:val="FootnoteAnchor"/>
          <w:rtl w:val="true"/>
        </w:rPr>
        <w:footnoteReference w:id="261"/>
      </w:r>
      <w:r>
        <w:rPr>
          <w:rFonts w:ascii="Amiri" w:hAnsi="Amiri" w:eastAsia="Amiri" w:cs="Amiri"/>
          <w:color w:val="111111"/>
          <w:sz w:val="28"/>
          <w:sz w:val="28"/>
          <w:szCs w:val="28"/>
          <w:rtl w:val="true"/>
          <w:lang w:bidi="ar-SA"/>
        </w:rPr>
        <w:t>و هو الحجّة،مضافاً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النبويّ الخاصّي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أحداً يذكرني فالواجب عليه أن يقتل من شتمني و لا يرفع إلى السلطان،و الواجب على السلطان إذا رفع إليه أن يقتل من نال منّي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 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حلال الدم،و ما ألف رجل منهم برجل منكم،دعه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الرواية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يحلّ دمه لكلّ سامع من غير توقّف على إذن الإمام،كما هو المشهور،بل عليه في الغنية الإجماع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 المختلف،فلم يجوِّزا قتله بغير إذنه </w:t>
      </w:r>
      <w:r>
        <w:rPr>
          <w:rStyle w:val="FootnoteAnchor"/>
          <w:rtl w:val="true"/>
        </w:rPr>
        <w:footnoteReference w:id="265"/>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بحير عبد اللّه بن النجاشي 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ثلاثة عشر رجلاً من الخوارج كلّهم سمعتهم يبرأ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قتلتهم بأمر الإمام لم يكن عليك في قتلهم شيء،و لكنّك سبقت الإمام،فعليك ثلاث عشرة شاة تذبحها بمنى </w:t>
      </w:r>
    </w:p>
    <w:p>
      <w:pPr>
        <w:pStyle w:val="BookText"/>
        <w:rPr/>
      </w:pPr>
      <w:r>
        <w:rPr>
          <w:rFonts w:ascii="Amiri" w:hAnsi="Amiri" w:eastAsia="Amiri" w:cs="Amiri"/>
          <w:color w:val="111111"/>
          <w:sz w:val="28"/>
          <w:sz w:val="28"/>
          <w:szCs w:val="28"/>
          <w:rtl w:val="true"/>
          <w:lang w:bidi="ar-SA"/>
        </w:rPr>
        <w:t>و تتصدّق بلحمها لسبقك الإمام،و ليس عليك غير ذلك</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نحوه المرفوع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268"/>
      </w:r>
      <w:r>
        <w:rPr>
          <w:rFonts w:ascii="Amiri" w:hAnsi="Amiri" w:eastAsia="Amiri" w:cs="Amiri"/>
          <w:color w:val="111111"/>
          <w:sz w:val="28"/>
          <w:sz w:val="28"/>
          <w:szCs w:val="28"/>
          <w:rtl w:val="true"/>
          <w:lang w:bidi="ar-SA"/>
        </w:rPr>
        <w:t xml:space="preserve">الثانية و غيرها </w:t>
      </w:r>
      <w:r>
        <w:rPr>
          <w:rStyle w:val="FootnoteAnchor"/>
          <w:rtl w:val="true"/>
        </w:rPr>
        <w:footnoteReference w:id="269"/>
      </w:r>
      <w:r>
        <w:rPr>
          <w:rFonts w:ascii="Amiri" w:hAnsi="Amiri" w:eastAsia="Amiri" w:cs="Amiri"/>
          <w:color w:val="111111"/>
          <w:sz w:val="28"/>
          <w:sz w:val="28"/>
          <w:szCs w:val="28"/>
          <w:rtl w:val="true"/>
          <w:lang w:bidi="ar-SA"/>
        </w:rPr>
        <w:t>مع عموم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القتل بما إذا أمن القاتل و لم يخف على نفسه أو ماله أو على مؤمن نفساً أو مالاً،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الجواز مع الخوف على شيء من ذلك،و لا خلاف فيه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باقي الأنبياء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قوي؛ لأنّ تعظيمهم و كمالهم قد علم من دين الإسلام ضرورةً،فسبّهم ارتداد،فتأمّل ؛ مع أنّ في الغنية ادّعى عليه إجماع الإماميّة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أُوتى برجل يذكر أنّ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صادف المرأة إلّا جلدته مائة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جلد الناس ثمانون،و جلد الأنبياء مائة و ستّون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 في التحرير </w:t>
      </w:r>
      <w:r>
        <w:rPr>
          <w:rStyle w:val="FootnoteAnchor"/>
          <w:rtl w:val="true"/>
        </w:rPr>
        <w:footnoteReference w:id="272"/>
      </w:r>
      <w:r>
        <w:rPr>
          <w:rFonts w:ascii="Amiri" w:hAnsi="Amiri" w:eastAsia="Amiri" w:cs="Amiri"/>
          <w:color w:val="111111"/>
          <w:sz w:val="28"/>
          <w:sz w:val="28"/>
          <w:szCs w:val="28"/>
          <w:rtl w:val="true"/>
          <w:lang w:bidi="ar-SA"/>
        </w:rPr>
        <w:t xml:space="preserve">و غيره </w:t>
      </w:r>
      <w:r>
        <w:rPr>
          <w:rStyle w:val="FootnoteAnchor"/>
          <w:rtl w:val="true"/>
        </w:rPr>
        <w:footnoteReference w:id="273"/>
      </w: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و بنته،من غير تخصيص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bookmarkStart w:id="48" w:name="pg11409_90642"/>
    </w:p>
    <w:p>
      <w:pPr>
        <w:pStyle w:val="BookText"/>
        <w:rPr/>
      </w:pPr>
      <w:bookmarkEnd w:id="48"/>
      <w:r>
        <w:rPr>
          <w:rFonts w:ascii="Amiri" w:hAnsi="Amiri" w:eastAsia="Amiri" w:cs="Amiri"/>
          <w:color w:val="111111"/>
          <w:sz w:val="28"/>
          <w:sz w:val="28"/>
          <w:szCs w:val="28"/>
          <w:rtl w:val="true"/>
          <w:lang w:bidi="ar-SA"/>
        </w:rPr>
        <w:t xml:space="preserve">قيل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اختصاص الحكم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للإجماع على طهارتها بآية التطهير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إطلاق النصّ و الفتوى يقتضي عدم الفرق في القاذف بين الرجل و المرأة،و المسلم و الكافر،و بعدم الفرق بين الأخيرين صرّح في المسالك </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يهوديّة تشتم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فيه،فخنقها رجل حتى ماتت،فأبطل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102617_73709187"/>
      <w:bookmarkStart w:id="50" w:name="_Toc18"/>
      <w:bookmarkEnd w:id="49"/>
      <w:r>
        <w:rPr>
          <w:rtl w:val="true"/>
        </w:rPr>
        <w:t>الثانية يقتل مدّعي النبوّة</w:t>
      </w:r>
      <w:bookmarkEnd w:id="5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مدّعي النبوّة بعد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ظاهر و لا محكيّ؛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بزيعاً يزعم أنّه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يقتل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أم لا،إذا كان على ظاهر الإسلام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رجلاً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 نبيّ أنت أم لا،كان يقبل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يقتله،إنّه لو قبل ذلك منه ما أسلم منافق</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استدلّ للحكم في المقامين و ما مضى بالارتداد الموجب </w:t>
      </w:r>
      <w:bookmarkStart w:id="51" w:name="pg11409_90643"/>
    </w:p>
    <w:p>
      <w:pPr>
        <w:pStyle w:val="BookText"/>
        <w:rPr/>
      </w:pPr>
      <w:bookmarkEnd w:id="51"/>
      <w:r>
        <w:rPr>
          <w:rFonts w:ascii="IRNazanin" w:hAnsi="IRNazanin" w:eastAsia="IRNazanin"/>
          <w:color w:val="111111"/>
          <w:sz w:val="28"/>
          <w:sz w:val="28"/>
          <w:szCs w:val="28"/>
          <w:rtl w:val="true"/>
          <w:lang w:bidi="fa-IR"/>
        </w:rPr>
        <w:t xml:space="preserve">للقتل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حسن،إلّا أنّه لا يدلّ على القتل مطلقاً و لو كان المرتدّ ملّياً،بل مقتضاه قتل الفطريّ مطلقاً،و الملّي على بعض الوجوه،و هو خلاف ظاهر إطلاق النصّ و الفتوى،إلّا أن ينزّل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بالقيد عن إنكار الكفّار لصدقه،كاليهود و النصارى،فإنّهم لا يُقتلَون بذلك،و كذا غيرهم من فرَق الكفّار،و إن جاز قتلهم بأمر آخر</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02619_73709187"/>
      <w:bookmarkStart w:id="53" w:name="_Toc19"/>
      <w:bookmarkEnd w:id="52"/>
      <w:r>
        <w:rPr>
          <w:rtl w:val="true"/>
        </w:rPr>
        <w:t>الثالثة يقتل الساحر إذا كان مسلماً</w:t>
      </w:r>
      <w:bookmarkEnd w:id="5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الساحر إذا كان مسلماً،و يعزّر إذا كان كافراً بلا خلاف،فتوًى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المسلمين يقتل و ساحر الكفّار لا يقتل،قيل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اللّه،و لِمَ لا يقتل ساحر الكفّار؟فقال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الكفر أعظم من السحر،و لأنّ السحر و الشرك مقرونان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يحمل إطلاق باقي النصوص،منها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رجلان عدلان فشهدا بذلك فقد حلّ دمه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كان آخر عهده بربّه،و حدّه القتل إلّا أن يتوب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 يضرب بالسيف ضربة واحدة على رأسه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54" w:name="pg11409_90644"/>
    </w:p>
    <w:p>
      <w:pPr>
        <w:pStyle w:val="BookText"/>
        <w:rPr/>
      </w:pPr>
      <w:bookmarkEnd w:id="54"/>
      <w:r>
        <w:rPr>
          <w:rFonts w:ascii="Amiri" w:hAnsi="Amiri" w:eastAsia="Amiri" w:cs="Amiri"/>
          <w:color w:val="111111"/>
          <w:sz w:val="28"/>
          <w:sz w:val="28"/>
          <w:szCs w:val="28"/>
          <w:rtl w:val="true"/>
          <w:lang w:bidi="ar-SA"/>
        </w:rPr>
        <w:t>و في الأوّل منها دلالة على ردّ من قال بانحصار طريق ثبوته في الإقرار؛ لأنّ الشاهد لا يعرف قصده و لا يشاهد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منها دلالة على عموم القتل للعامل بالسحر و المتعلّم له، كما هو ظاهر إطلاق العبارة و غيرها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لجماعة،فخصّوه بالأوّل </w:t>
      </w:r>
      <w:r>
        <w:rPr>
          <w:rStyle w:val="FootnoteAnchor"/>
          <w:rtl w:val="true"/>
        </w:rPr>
        <w:footnoteReference w:id="285"/>
      </w:r>
      <w:r>
        <w:rPr>
          <w:rFonts w:ascii="Amiri" w:hAnsi="Amiri" w:eastAsia="Amiri" w:cs="Amiri"/>
          <w:color w:val="111111"/>
          <w:sz w:val="28"/>
          <w:sz w:val="28"/>
          <w:szCs w:val="28"/>
          <w:rtl w:val="true"/>
          <w:lang w:bidi="ar-SA"/>
        </w:rPr>
        <w:t>و لعلّ وجهه الأصل،و اختصاص ما دلّ على قتله بقولٍ مطلق بحكم التبادر بالعامل به،و الصريح في العموم ضعيف السند،مع احتمال اختصاصه أيضاً بما مرّ؛ بناءً على أنّ الغالب في المتعلّم له أن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النصّ و الفتوى بقتله عدم الفرق فيه بين كونه مستحلا له أم لا،و به صرّح بعض الأصحاب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آخر من متأخّري المتأخّرين قولاً بتقييده بالأول </w:t>
      </w:r>
      <w:r>
        <w:rPr>
          <w:rStyle w:val="FootnoteAnchor"/>
          <w:rtl w:val="true"/>
        </w:rPr>
        <w:footnoteReference w:id="287"/>
      </w:r>
      <w:r>
        <w:rPr>
          <w:rFonts w:ascii="Amiri" w:hAnsi="Amiri" w:eastAsia="Amiri" w:cs="Amiri"/>
          <w:color w:val="111111"/>
          <w:sz w:val="28"/>
          <w:sz w:val="28"/>
          <w:szCs w:val="28"/>
          <w:rtl w:val="true"/>
          <w:lang w:bidi="ar-SA"/>
        </w:rPr>
        <w:t>و وجهه غير واضح بعد إطلاق النصّ، المنجبر ضعفه بعد الاستفاضة بفتوى الجماعة،و عدم خلاف فيه بينهم أجده،و لم أرَ حاكياً له غيره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02621_73709187"/>
      <w:bookmarkStart w:id="56" w:name="_Toc20"/>
      <w:bookmarkEnd w:id="55"/>
      <w:r>
        <w:rPr>
          <w:rtl w:val="true"/>
        </w:rPr>
        <w:t>الرابعة يكره أن يزاد في تأديب الصبي</w:t>
      </w:r>
      <w:bookmarkEnd w:id="5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يزاد في تأديب الصبي و تعزيره حيث يحتاج إليه عن عشرة أسواط،و كذا العبد كما هنا و في الشرائع و التحرير و القواعد </w:t>
      </w:r>
      <w:r>
        <w:rPr>
          <w:rStyle w:val="FootnoteAnchor"/>
          <w:rtl w:val="true"/>
        </w:rPr>
        <w:footnoteReference w:id="288"/>
      </w:r>
      <w:r>
        <w:rPr>
          <w:rFonts w:ascii="Amiri" w:hAnsi="Amiri" w:eastAsia="Amiri" w:cs="Amiri"/>
          <w:color w:val="111111"/>
          <w:sz w:val="28"/>
          <w:sz w:val="28"/>
          <w:szCs w:val="28"/>
          <w:rtl w:val="true"/>
          <w:lang w:bidi="ar-SA"/>
        </w:rPr>
        <w:t xml:space="preserve">،و السرائر لكن في العبد </w:t>
      </w:r>
      <w:r>
        <w:rPr>
          <w:rStyle w:val="FootnoteAnchor"/>
          <w:rtl w:val="true"/>
        </w:rPr>
        <w:footnoteReference w:id="289"/>
      </w:r>
      <w:r>
        <w:rPr>
          <w:rFonts w:ascii="Amiri" w:hAnsi="Amiri" w:eastAsia="Amiri" w:cs="Amiri"/>
          <w:color w:val="111111"/>
          <w:sz w:val="28"/>
          <w:sz w:val="28"/>
          <w:szCs w:val="28"/>
          <w:rtl w:val="true"/>
          <w:lang w:bidi="ar-SA"/>
        </w:rPr>
        <w:t>للنبويّ المرويّ في الفقيه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لوالٍ يؤمن باللّه و اليوم الآخر أن يجلد أكثر من عشرة أسواط إلّا في </w:t>
      </w:r>
    </w:p>
    <w:p>
      <w:pPr>
        <w:pStyle w:val="BookText"/>
        <w:rPr/>
      </w:pP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المملوك من ثلاثة إلى خمسة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أدب الصبيّ و المملوك،فقال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أو ستّة، و أرفق</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بمضمونه أفتى الشيخ في النهاية و يحيى بن سعيد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معلّمكم إن ضربكم فوق ثلاث ضربات في الأدب أنّي أقتصّ منه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الرخصة في ضرب الصبيّ للتأديب إلى خمسة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 عاملاً بهما،مع قصور سندهما و مخالفتهما لما مضى، و الجمع بينهما يقتضي ترتّب الأعداد المذكورة في الكراهة ضعفاً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حملها الأصحاب عليها مع أنّ ظاهر جملة منها و صريح بعضها التحريم للأصل،و قصور الأسانيد،و معارضتها بأقوى منها ممّا دلّ على أنّ التعزير إلى الوالي،يجريه بحسب ما يراه ما لم يزد الحدّ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 المرويّ في الكافي ضعيفاً و عن العلل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التعزير؟قال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ثمانين؟قال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دون أربعين،فإنّها حدّ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قدر ما يراه الوالي </w:t>
      </w:r>
      <w:bookmarkStart w:id="57" w:name="pg11409_90646"/>
    </w:p>
    <w:p>
      <w:pPr>
        <w:pStyle w:val="BookText"/>
        <w:rPr/>
      </w:pPr>
      <w:bookmarkEnd w:id="57"/>
      <w:r>
        <w:rPr>
          <w:rFonts w:ascii="Amiri" w:hAnsi="Amiri" w:eastAsia="Amiri" w:cs="Amiri"/>
          <w:color w:val="111111"/>
          <w:sz w:val="28"/>
          <w:sz w:val="28"/>
          <w:szCs w:val="28"/>
          <w:rtl w:val="true"/>
          <w:lang w:bidi="ar-SA"/>
        </w:rPr>
        <w:t>من ذنب الرجل و قوّة بدنه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التعزير كم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 ما بين العشرة إلى العشرين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فعل المولى بعبده ذلك أي زاد في تأديبه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له 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العبارة يقتضي ثبوت الاستحباب فيما إذا لم تبلغ الزيادة حدّا، و لم أجد به نصّاً،بل و لا فتوًى،و إنّما الموجود في غير الكتاب حتى الشرائع </w:t>
      </w:r>
      <w:r>
        <w:rPr>
          <w:rStyle w:val="FootnoteAnchor"/>
          <w:rtl w:val="true"/>
        </w:rPr>
        <w:footnoteReference w:id="297"/>
      </w:r>
      <w:r>
        <w:rPr>
          <w:rFonts w:ascii="Amiri" w:hAnsi="Amiri" w:eastAsia="Amiri" w:cs="Amiri"/>
          <w:color w:val="111111"/>
          <w:sz w:val="28"/>
          <w:sz w:val="28"/>
          <w:szCs w:val="28"/>
          <w:rtl w:val="true"/>
          <w:lang w:bidi="ar-SA"/>
        </w:rPr>
        <w:t>استحباب العتق لو ضربه في غير حدٍّ حدّا،كما هو 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مملوكاً حدّا من الحدود من غير حدّ أوجبه المملوك على نفسه،لم يكن لضاربه كفّارة إلّا عتقه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ظاهره الوجوب كما عن الشيخ في النهاية </w:t>
      </w:r>
      <w:r>
        <w:rPr>
          <w:rStyle w:val="FootnoteAnchor"/>
          <w:rtl w:val="true"/>
        </w:rPr>
        <w:footnoteReference w:id="299"/>
      </w:r>
      <w:r>
        <w:rPr>
          <w:rFonts w:ascii="Amiri" w:hAnsi="Amiri" w:eastAsia="Amiri" w:cs="Amiri"/>
          <w:color w:val="111111"/>
          <w:sz w:val="28"/>
          <w:sz w:val="28"/>
          <w:szCs w:val="28"/>
          <w:rtl w:val="true"/>
          <w:lang w:bidi="ar-SA"/>
        </w:rPr>
        <w:t xml:space="preserve">،لكن فرضه فيمن ضرب عبده فوق الحدّ،و هو خارج عن مورد الرواية،فتكون بظاهرها شاذّة،و العاملون بها في موردها حملوها على الاستحباب،فتأمّل جدّاً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102623_73709187"/>
      <w:bookmarkStart w:id="59" w:name="_Toc21"/>
      <w:bookmarkEnd w:id="58"/>
      <w:r>
        <w:rPr>
          <w:rtl w:val="true"/>
        </w:rPr>
        <w:t>الخامسة يعزَّر من قذف عبده أو أمته</w:t>
      </w:r>
      <w:bookmarkEnd w:id="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يعزَّر من قذف عبده أو أمته كما يعزَّر الأجنبيّ بقذفهما؛ لحرمتهما،و عدم الفارق بين الأجنبيّ و المولى هنا،مع عموم ما مرّ من النصوص بتعزير من قذفهما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جاءت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عليها زناءً؟فقالت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ستقاد منك يوم القيامة،فرجعت إلى أمتها فأعطتها سوطاً،ثم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اجلديني،فأبت الأمة،فأعتقتها،ثم أتت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به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يعزَّر كلّ من فعل محرّماً أو ترك واجباً عالماً بهما و بحكمهما بما دون الحدّ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يعزَّر،أي يعزَّر هذان بما دون الحدّ بما يراه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يبلغ حدّ الحرّ في الحرّ و إن تجاوز حدّ العبد،و لا حدّ العبد في العبد،ففي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سوط إلى تسعة و تسعين،و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إلى تسعة و أربعين،كما في التحرير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يبلغ أقلّ الحدود،و هو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ثمانون،و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فيما ناسب الزناء يجب أن لا يبلغ حدّه،و فيما ناسب القذف أو الشرب يجب أن لا يبلغ حدّه،و فيما لا مناسب له أن لا يبلغ أقلّ الحدود،و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سبعون،حدّ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المسالك إلى الشيخ و المختلف و اختاره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المسألة السابقة من الأخبار ما يدلّ على المنع عن بلوغه حدّ </w:t>
      </w:r>
    </w:p>
    <w:p>
      <w:pPr>
        <w:pStyle w:val="BookText"/>
        <w:rPr/>
      </w:pPr>
      <w:r>
        <w:rPr>
          <w:rFonts w:ascii="Amiri" w:hAnsi="Amiri" w:eastAsia="Amiri" w:cs="Amiri"/>
          <w:color w:val="111111"/>
          <w:sz w:val="28"/>
          <w:sz w:val="28"/>
          <w:szCs w:val="28"/>
          <w:rtl w:val="true"/>
          <w:lang w:bidi="ar-SA"/>
        </w:rPr>
        <w:t>القذف في العبد و هو أربعون مطلقاً،من غير تقييد بكون المعزَّر عبداً، بل يشمل ما لو كان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الاقتصار عليه أحوط و أولى،و إن لم أجد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وجوب التعزير في كلّ محرّم من فعل أو ترك إن لم يحصل الانتهاء بالنهي و التوبيخ و نحوهما فهو ظاهر؛ لوجوب إنكار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الانتهاء بهما،فلا دليل على التعزير مطلقاً إلّا في مواضع مخصوصة ورد النصّ بالتأديب أو التعزير 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تعميم التعزير في العبارة و نحوها لما دون الضرب أيضاً من مراتب الإنكار،فتأمّل جدّاً </w:t>
      </w:r>
      <w:r>
        <w:rPr>
          <w:rFonts w:eastAsia="Amiri" w:cs="Amiri" w:ascii="Amiri" w:hAnsi="Amiri"/>
          <w:color w:val="111111"/>
          <w:sz w:val="28"/>
          <w:szCs w:val="28"/>
          <w:rtl w:val="true"/>
          <w:lang w:bidi="ar-SA"/>
        </w:rPr>
        <w:t xml:space="preserve">. </w:t>
      </w:r>
      <w:bookmarkStart w:id="60" w:name="pg11409_90649"/>
    </w:p>
    <w:p>
      <w:pPr>
        <w:pStyle w:val="Heading3"/>
        <w:numPr>
          <w:ilvl w:val="2"/>
          <w:numId w:val="1"/>
        </w:numPr>
        <w:rPr/>
      </w:pPr>
      <w:bookmarkStart w:id="61" w:name="__RefHeading___Toc1102625_73709187"/>
      <w:bookmarkStart w:id="62" w:name="_Toc22"/>
      <w:bookmarkEnd w:id="60"/>
      <w:bookmarkEnd w:id="61"/>
      <w:r>
        <w:rPr>
          <w:rtl w:val="true"/>
        </w:rPr>
        <w:t>الفصل الرابع في حدّ المسكر</w:t>
      </w:r>
      <w:bookmarkEnd w:id="62"/>
    </w:p>
    <w:p>
      <w:pPr>
        <w:pStyle w:val="Heading4"/>
        <w:numPr>
          <w:ilvl w:val="3"/>
          <w:numId w:val="1"/>
        </w:numPr>
        <w:rPr/>
      </w:pPr>
      <w:bookmarkStart w:id="63" w:name="__RefHeading___Toc1102627_73709187"/>
      <w:bookmarkStart w:id="64" w:name="_Toc23"/>
      <w:bookmarkEnd w:id="63"/>
      <w:r>
        <w:rPr>
          <w:rtl w:val="true"/>
        </w:rPr>
        <w:t>الأول في الموجب</w:t>
      </w:r>
      <w:bookmarkEnd w:id="64"/>
    </w:p>
    <w:p>
      <w:pPr>
        <w:pStyle w:val="BookText"/>
        <w:rPr/>
      </w:pPr>
      <w:r>
        <w:rPr>
          <w:rFonts w:ascii="Amiri" w:hAnsi="Amiri" w:eastAsia="Amiri" w:cs="Amiri"/>
          <w:color w:val="111111"/>
          <w:sz w:val="28"/>
          <w:sz w:val="28"/>
          <w:szCs w:val="28"/>
          <w:rtl w:val="true"/>
          <w:lang w:bidi="ar-SA"/>
        </w:rPr>
        <w:t>الفصل الرابع في بيان حدّ المسكر و هو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يحصل معه اختلال الكلام المنظوم،و ظهور السرّ المكتوم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يغيّر العقل،و يحصل معه سرور و قوّة النفس في غالب المتناولين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يغيّر العقل لا غير فهو المرقد إن حصل معه تغيّب الحواس الخمس،و إلّا فهو المفسد للعقل،كما في البَنج </w:t>
      </w:r>
      <w:r>
        <w:rPr>
          <w:rStyle w:val="FootnoteAnchor"/>
          <w:rtl w:val="true"/>
        </w:rPr>
        <w:footnoteReference w:id="305"/>
      </w:r>
      <w:r>
        <w:rPr>
          <w:rFonts w:ascii="Amiri" w:hAnsi="Amiri" w:eastAsia="Amiri" w:cs="Amiri"/>
          <w:color w:val="111111"/>
          <w:sz w:val="28"/>
          <w:sz w:val="28"/>
          <w:szCs w:val="28"/>
          <w:rtl w:val="true"/>
          <w:lang w:bidi="ar-SA"/>
        </w:rPr>
        <w:t xml:space="preserve">و الشوكران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النظر في هذا الفصل يقع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الموجب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تناول المسكر جنسه و إن لم يسكر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الفقّاع، اختياراً،مع العلم ب المتناوَل و التحريم و إن لم يعلم وجوب الحدّ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البلوغ،و العقل فهذه قيود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فالتناول يعمّ الشارب إيّاه خالصاً و المستعمل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 الشرب و الاستعمال في الأدوية و الأغذية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اجتمعت ثبت الحدّ بلا خلاف،بل عليه الإجماع في كثير من العبارات </w:t>
      </w:r>
      <w:r>
        <w:rPr>
          <w:rStyle w:val="FootnoteAnchor"/>
          <w:rtl w:val="true"/>
        </w:rPr>
        <w:footnoteReference w:id="307"/>
      </w:r>
      <w:r>
        <w:rPr>
          <w:rFonts w:ascii="Amiri" w:hAnsi="Amiri" w:eastAsia="Amiri" w:cs="Amiri"/>
          <w:color w:val="111111"/>
          <w:sz w:val="28"/>
          <w:sz w:val="28"/>
          <w:szCs w:val="28"/>
          <w:rtl w:val="true"/>
          <w:lang w:bidi="ar-SA"/>
        </w:rPr>
        <w:t>و هو الحجّة،مضافاً إلى النصوص المستفيضة التي كادت تكون متواترة،بل هي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جملة منها عامّة لكل مسكر متّخذ من العنب و هو المعروف بالخمر أو التمر و هو النبيذ أو الزبيب و هو النقيع أو العسل و هو البِتَع أو الشعير و هو المِزر أو الحنطة،أو الذُّرة،أو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شارب الخمر و شارب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حدّهما واحد</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النصوص الواردة في علّة تحديد حدّ شارب الخمر بثمانين جلدة،من أنّه إذا شرب سكر،و إذا سكر هذى،و إذا هذى افترى، فاجلدوه حدّ المفتري </w:t>
      </w:r>
      <w:r>
        <w:rPr>
          <w:rStyle w:val="FootnoteAnchor"/>
          <w:rtl w:val="true"/>
        </w:rPr>
        <w:footnoteReference w:id="310"/>
      </w:r>
      <w:r>
        <w:rPr>
          <w:rFonts w:ascii="Amiri" w:hAnsi="Amiri" w:eastAsia="Amiri" w:cs="Amiri"/>
          <w:color w:val="111111"/>
          <w:sz w:val="28"/>
          <w:sz w:val="28"/>
          <w:szCs w:val="28"/>
          <w:rtl w:val="true"/>
          <w:lang w:bidi="ar-SA"/>
        </w:rPr>
        <w:t xml:space="preserve">،و هي موجودة في شرب كلّ مسكر،و هي مستفيضة،بل ادّعى في التنقيح أنّها متواترة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منها ما بين خاصّة بالخمر،و عامّة لها و للنبيذ،و هي تجاوزت حدّ الاستفاضة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حسا حسوة 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ثمانين جلدة،قليلها و كثيرها حرام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313"/>
      </w:r>
      <w:r>
        <w:rPr>
          <w:rFonts w:ascii="Amiri" w:hAnsi="Amiri" w:eastAsia="Amiri" w:cs="Amiri"/>
          <w:color w:val="111111"/>
          <w:sz w:val="28"/>
          <w:sz w:val="28"/>
          <w:szCs w:val="28"/>
          <w:rtl w:val="true"/>
          <w:lang w:bidi="ar-SA"/>
        </w:rPr>
        <w:t xml:space="preserve">و غيره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شارب الخمر و شارب النبيذ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منها مصرّحة بحكم الفقّاع،كما هو مذهب الأصحاب، و ادّعى عليه جماعة منهم بحدّ الاستفاضة إجماع الإماميّة،مصرّحين بثبوت الحدّ فيه و إن لم يسكر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الصحيح </w:t>
      </w:r>
      <w:r>
        <w:rPr>
          <w:rStyle w:val="FootnoteAnchor"/>
          <w:rtl w:val="true"/>
        </w:rPr>
        <w:footnoteReference w:id="316"/>
      </w:r>
      <w:r>
        <w:rPr>
          <w:rFonts w:ascii="Amiri" w:hAnsi="Amiri" w:eastAsia="Amiri" w:cs="Amiri"/>
          <w:color w:val="111111"/>
          <w:sz w:val="28"/>
          <w:sz w:val="28"/>
          <w:szCs w:val="28"/>
          <w:rtl w:val="true"/>
          <w:lang w:bidi="ar-SA"/>
        </w:rPr>
        <w:t xml:space="preserve">و غيره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خمر،و 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في إطلاق الخمر عليه المستلزم لثبوت أحكامها التي من جملتها الحدّ كثير من الأخبار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هذه النصوص و غيرها و كذا الفتوى و صريح جملة منها أنّه يتعلّق الحكم بالحدّ بتناول المسكر و الفقّاع مطلقاً و لو بالقطرة الغير المسكرة منهما،و ادّعى عليه الإجماع جماعة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الصحيحان الدالّان على عدم حدّ شارب النبيذ إن لم يسكر </w:t>
      </w:r>
      <w:r>
        <w:rPr>
          <w:rStyle w:val="FootnoteAnchor"/>
          <w:rtl w:val="true"/>
        </w:rPr>
        <w:footnoteReference w:id="3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فمع شذوذهما،محصولان على التقية كما ذكره شيخ الطائفة أو على النبيذ الحلال،كما احتمله بعض الأجلّة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العصير العنبي إذا غلى ما لم يذهب ثلثاه يجب بتناوله أو استعماله فيما مرّ الحدّ مطلقاً و إن كان قليلاً غير مسكر،و كأنّه إجماع بينهم،كما صرّح به في التنقيح </w:t>
      </w:r>
      <w:r>
        <w:rPr>
          <w:rStyle w:val="FootnoteAnchor"/>
          <w:rtl w:val="true"/>
        </w:rPr>
        <w:footnoteReference w:id="322"/>
      </w:r>
      <w:r>
        <w:rPr>
          <w:rFonts w:ascii="Amiri" w:hAnsi="Amiri" w:eastAsia="Amiri" w:cs="Amiri"/>
          <w:color w:val="111111"/>
          <w:sz w:val="28"/>
          <w:sz w:val="28"/>
          <w:szCs w:val="28"/>
          <w:rtl w:val="true"/>
          <w:lang w:bidi="ar-SA"/>
        </w:rPr>
        <w:t xml:space="preserve">و غيره </w:t>
      </w:r>
      <w:r>
        <w:rPr>
          <w:rStyle w:val="FootnoteAnchor"/>
          <w:rtl w:val="true"/>
        </w:rPr>
        <w:footnoteReference w:id="323"/>
      </w:r>
      <w:r>
        <w:rPr>
          <w:rFonts w:ascii="Amiri" w:hAnsi="Amiri" w:eastAsia="Amiri" w:cs="Amiri"/>
          <w:color w:val="111111"/>
          <w:sz w:val="28"/>
          <w:sz w:val="28"/>
          <w:szCs w:val="28"/>
          <w:rtl w:val="true"/>
          <w:lang w:bidi="ar-SA"/>
        </w:rPr>
        <w:t>،و لم أقف على حجّة معتدّ بها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ما حصلت فيه الشدّة المسكرة من نحو العصير التمري و الزبيبي،يجب بتناوله أو استعماله الحدّ بلا خلاف و لا إشكال؛ لعموم ما مرّ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ثبوته بتناول العصيرين أو استعمالهما إذا لم يبلغا الإسكار وجهان،مبنيّان على القول بتحريمهما أو حلّهما،و قد مضى في كتاب الأطعمة و الأشربة كون الثاني أشهر و أقوى </w:t>
      </w:r>
      <w:r>
        <w:rPr>
          <w:rStyle w:val="FootnoteAnchor"/>
          <w:rtl w:val="true"/>
        </w:rPr>
        <w:footnoteReference w:id="324"/>
      </w:r>
      <w:r>
        <w:rPr>
          <w:rFonts w:ascii="Amiri" w:hAnsi="Amiri" w:eastAsia="Amiri" w:cs="Amiri"/>
          <w:color w:val="111111"/>
          <w:sz w:val="28"/>
          <w:sz w:val="28"/>
          <w:szCs w:val="28"/>
          <w:rtl w:val="true"/>
          <w:lang w:bidi="ar-SA"/>
        </w:rPr>
        <w:t>،فلا حدّ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 على القول الأول أيضاً؛ لعدم التلازم بين التحريم و الحدّ أصلاً،إلّا أن يكون إجماعاً،كما هو ظاهر الأصحاب هنا،حيث إنّ ظاهرهم بناء الوجهين على القولين كما ذكرنا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الحدّ عمّن استعمل المسكر و ما في معناه في نحو الاحتقان و السعوط حيث لا يدخل الحلق،بلا خلاف في الظاهر؛ للأصل، </w:t>
      </w:r>
    </w:p>
    <w:p>
      <w:pPr>
        <w:pStyle w:val="BookText"/>
        <w:rPr/>
      </w:pPr>
      <w:r>
        <w:rPr>
          <w:rFonts w:ascii="Amiri" w:hAnsi="Amiri" w:eastAsia="Amiri" w:cs="Amiri"/>
          <w:color w:val="111111"/>
          <w:sz w:val="28"/>
          <w:sz w:val="28"/>
          <w:szCs w:val="28"/>
          <w:rtl w:val="true"/>
          <w:lang w:bidi="ar-SA"/>
        </w:rPr>
        <w:t xml:space="preserve">و عدم إطلاق الشرب الوارد في النصوص عليه،و مثله و إن جرى في استعماله في نحو الدواء و الغذاء؛ لعدم إطلاق الشرب عليهما جدّاً،إلّا أنّ العذر في ثبوت الحدّ به الإجماع الظاهر،المحكي في جملة من العبائر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عمّن تناوله مكرهاً بأن و جر في فمه،أو ضرب عليه،أو خوّف بما لا يتحمّله عادةً أو اضطراراً لحفظ النفس،كإساغة اللقمة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للتداوي أو حفظ الصحّة،فلا يسقط عنه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إشكال؛ للأصل،و اختصاص النصوص المثبتة للحدّ بشربه بحكم التبادر و غيره بغير الشرب اضطراراً،فلا حدّ فيهما و إن قلنا بتحريمهما،فتأمّل جدّاً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عمّن جهل المشروب أنّه مسكر مثلاً أو التحريم و إن علمه لقرب عهده بالإسلام و شبهه،أو كان صبيّاً،أو مجنوناً،بلا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لحديث رفع القلم في الأخيرين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الموثّق كالصحيح </w:t>
      </w:r>
      <w:r>
        <w:rPr>
          <w:rStyle w:val="FootnoteAnchor"/>
          <w:rtl w:val="true"/>
        </w:rPr>
        <w:footnoteReference w:id="329"/>
      </w:r>
      <w:r>
        <w:rPr>
          <w:rFonts w:ascii="Amiri" w:hAnsi="Amiri" w:eastAsia="Amiri" w:cs="Amiri"/>
          <w:color w:val="111111"/>
          <w:sz w:val="28"/>
          <w:sz w:val="28"/>
          <w:szCs w:val="28"/>
          <w:rtl w:val="true"/>
          <w:lang w:bidi="ar-SA"/>
        </w:rPr>
        <w:t xml:space="preserve">و غيره </w:t>
      </w:r>
      <w:r>
        <w:rPr>
          <w:rStyle w:val="FootnoteAnchor"/>
          <w:rtl w:val="true"/>
        </w:rPr>
        <w:footnoteReference w:id="330"/>
      </w:r>
      <w:r>
        <w:rPr>
          <w:rFonts w:ascii="Amiri" w:hAnsi="Amiri" w:eastAsia="Amiri" w:cs="Amiri"/>
          <w:color w:val="111111"/>
          <w:sz w:val="28"/>
          <w:sz w:val="28"/>
          <w:szCs w:val="28"/>
          <w:rtl w:val="true"/>
          <w:lang w:bidi="ar-SA"/>
        </w:rPr>
        <w:t>في الجاهل بالحكم،و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شرب خمراً على عهد أبي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يستحلّون،و لو علمت أنّها حرام اجتنبتها،فقال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به من يدور به على مجالس </w:t>
      </w:r>
      <w:bookmarkStart w:id="65" w:name="pg11409_90654"/>
    </w:p>
    <w:p>
      <w:pPr>
        <w:pStyle w:val="BookText"/>
        <w:rPr/>
      </w:pPr>
      <w:bookmarkEnd w:id="65"/>
      <w:r>
        <w:rPr>
          <w:rFonts w:ascii="Amiri" w:hAnsi="Amiri" w:eastAsia="Amiri" w:cs="Amiri"/>
          <w:color w:val="111111"/>
          <w:sz w:val="28"/>
          <w:sz w:val="28"/>
          <w:szCs w:val="28"/>
          <w:rtl w:val="true"/>
          <w:lang w:bidi="ar-SA"/>
        </w:rPr>
        <w:t>المهاجرين و الأنصار من كان تلا عليه آية التحريم فليشهد عليه،ففعلوا ذلك فلم يشهد عليه أحد،فخلّى عنه،و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به زيادة على ذلك مستفيضة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يثبت هذا الفعل بشهادة عدلين ذكرين أو الإقرار مرّتين الصادر من مكلّف حرّ مختار بلا خلاف فيهما و في عدم الثبوت بالمرّة من الإقرار،بل على الأخير في ظاهر المبسوط الإجماع </w:t>
      </w:r>
      <w:r>
        <w:rPr>
          <w:rStyle w:val="FootnoteAnchor"/>
          <w:rtl w:val="true"/>
        </w:rPr>
        <w:footnoteReference w:id="332"/>
      </w:r>
      <w:r>
        <w:rPr>
          <w:rFonts w:ascii="Amiri" w:hAnsi="Amiri" w:eastAsia="Amiri" w:cs="Amiri"/>
          <w:color w:val="111111"/>
          <w:sz w:val="28"/>
          <w:sz w:val="28"/>
          <w:szCs w:val="28"/>
          <w:rtl w:val="true"/>
          <w:lang w:bidi="ar-SA"/>
        </w:rPr>
        <w:t>و هو الحجّة فيه،كالعمومات في الأولين،و خصوص النصّ الآتي في المسألة الاُولى من مسائل الأحكام في الأول</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02629_73709187"/>
      <w:bookmarkStart w:id="67" w:name="_Toc24"/>
      <w:bookmarkEnd w:id="66"/>
      <w:r>
        <w:rPr>
          <w:rtl w:val="true"/>
        </w:rPr>
        <w:t>الثاني في الحدّ</w:t>
      </w:r>
      <w:bookmarkEnd w:id="6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الحدّ و هو ثمانون جلدةً إجماعاً،و للنصوص المستفيضة المتقدّمة إلى جملة منها الإشارة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يستوي فيه الذكر و الأُنثى،و الحرّ و العبد،و الكافر مع التظاهر به بين المسلمين،و هذا قيد للكافر خاصّة،و احترز به عمّا لو كان مستتراً به،فإنّه لا يحدّ حينئذ</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في شيء من ذلك،عدا مساواة العبد للحرّ في مقدار الحدّ، فإنّ الحكم بها مشهور بين الأصحاب،مدّعى عليه الإجماع في صريح الغنية </w:t>
      </w:r>
      <w:r>
        <w:rPr>
          <w:rStyle w:val="FootnoteAnchor"/>
          <w:rtl w:val="true"/>
        </w:rPr>
        <w:footnoteReference w:id="334"/>
      </w:r>
      <w:r>
        <w:rPr>
          <w:rFonts w:ascii="Amiri" w:hAnsi="Amiri" w:eastAsia="Amiri" w:cs="Amiri"/>
          <w:color w:val="111111"/>
          <w:sz w:val="28"/>
          <w:sz w:val="28"/>
          <w:szCs w:val="28"/>
          <w:rtl w:val="true"/>
          <w:lang w:bidi="ar-SA"/>
        </w:rPr>
        <w:t xml:space="preserve">،و ظاهر السرائر و التهذيب و الشرائع و التحرير </w:t>
      </w:r>
      <w:r>
        <w:rPr>
          <w:rStyle w:val="FootnoteAnchor"/>
          <w:rtl w:val="true"/>
        </w:rPr>
        <w:footnoteReference w:id="335"/>
      </w:r>
      <w:r>
        <w:rPr>
          <w:rFonts w:ascii="Amiri" w:hAnsi="Amiri" w:eastAsia="Amiri" w:cs="Amiri"/>
          <w:color w:val="111111"/>
          <w:sz w:val="28"/>
          <w:sz w:val="28"/>
          <w:szCs w:val="28"/>
          <w:rtl w:val="true"/>
          <w:lang w:bidi="ar-SA"/>
        </w:rPr>
        <w:t xml:space="preserve">،حيث نسب في الأول إلينا،و حكم بشذوذ الرواية الآتية بحدّه أربعين في الثاني، </w:t>
      </w:r>
    </w:p>
    <w:p>
      <w:pPr>
        <w:pStyle w:val="BookText"/>
        <w:rPr/>
      </w:pPr>
      <w:r>
        <w:rPr>
          <w:rFonts w:ascii="Amiri" w:hAnsi="Amiri" w:eastAsia="Amiri" w:cs="Amiri"/>
          <w:color w:val="111111"/>
          <w:sz w:val="28"/>
          <w:sz w:val="28"/>
          <w:szCs w:val="28"/>
          <w:rtl w:val="true"/>
          <w:lang w:bidi="ar-SA"/>
        </w:rPr>
        <w:t>و بمتروكيّتها في الثالث،و بمطروحيّتها في الرابع؛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الأخبار المتواترة بأنّ حدّ الشارب ثمانون جلدة </w:t>
      </w:r>
      <w:r>
        <w:rPr>
          <w:rStyle w:val="FootnoteAnchor"/>
          <w:rtl w:val="true"/>
        </w:rPr>
        <w:footnoteReference w:id="336"/>
      </w:r>
      <w:r>
        <w:rPr>
          <w:rFonts w:ascii="Amiri" w:hAnsi="Amiri" w:eastAsia="Amiri" w:cs="Amiri"/>
          <w:color w:val="111111"/>
          <w:sz w:val="28"/>
          <w:sz w:val="28"/>
          <w:szCs w:val="28"/>
          <w:rtl w:val="true"/>
          <w:lang w:bidi="ar-SA"/>
        </w:rPr>
        <w:t xml:space="preserve">، من دون فرق فيها بين الحرّ و العبد؛ مع ظهور جملة منها في الشمول للعبد غايته،و هي ما مرّ من المستفيضة </w:t>
      </w:r>
      <w:r>
        <w:rPr>
          <w:rStyle w:val="FootnoteAnchor"/>
          <w:rtl w:val="true"/>
        </w:rPr>
        <w:footnoteReference w:id="337"/>
      </w:r>
      <w:r>
        <w:rPr>
          <w:rFonts w:ascii="Amiri" w:hAnsi="Amiri" w:eastAsia="Amiri" w:cs="Amiri"/>
          <w:color w:val="111111"/>
          <w:sz w:val="28"/>
          <w:sz w:val="28"/>
          <w:szCs w:val="28"/>
          <w:rtl w:val="true"/>
          <w:lang w:bidi="ar-SA"/>
        </w:rPr>
        <w:t xml:space="preserve">بل المتواترة في التعليل تحديده بالثمانين بأنّه إذا شرب سكر،و إذا سكر هذى،و إذا هذى افترى،فاجلدوه جلد المفتري؛ و ذلك بناءً على ما مرّ من أنّ العبد المفتري حدّه ثمانون أيضاً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هذا،مضافاً إلى صريح المعتبرة المستفيضة المتجاوزة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اليهودي و النصراني و المملوك في الخمر و الفرية سواء،و إنّما صولح أهل الذمّة على أن يشربوها في بيوتهم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الحرّ و العبد و اليهودي و النصراني في الخمر ثمانين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الموثّقات الثلاث </w:t>
      </w:r>
      <w:r>
        <w:rPr>
          <w:rStyle w:val="FootnoteAnchor"/>
          <w:rtl w:val="true"/>
        </w:rPr>
        <w:footnoteReference w:id="341"/>
      </w:r>
      <w:r>
        <w:rPr>
          <w:rFonts w:ascii="Amiri" w:hAnsi="Amiri" w:eastAsia="Amiri" w:cs="Amiri"/>
          <w:color w:val="111111"/>
          <w:sz w:val="28"/>
          <w:sz w:val="28"/>
          <w:szCs w:val="28"/>
          <w:rtl w:val="true"/>
          <w:lang w:bidi="ar-SA"/>
        </w:rPr>
        <w:t xml:space="preserve">و غيرها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يجلد </w:t>
      </w:r>
    </w:p>
    <w:p>
      <w:pPr>
        <w:pStyle w:val="BookText"/>
        <w:rPr/>
      </w:pPr>
      <w:r>
        <w:rPr>
          <w:rFonts w:ascii="Amiri" w:hAnsi="Amiri" w:eastAsia="Amiri" w:cs="Amiri"/>
          <w:color w:val="111111"/>
          <w:sz w:val="28"/>
          <w:sz w:val="28"/>
          <w:szCs w:val="28"/>
          <w:rtl w:val="true"/>
          <w:lang w:bidi="ar-SA"/>
        </w:rPr>
        <w:t>الحرّ و العبد و اليهودي و النصراني في الخمر و النبيذ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اليهودي و النصراني؟فقال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أظهروا ذلك في مصر من الأمصار؛ لأنّهم ليس لهم أن يظهروا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أسانيدها مع عدم قدحه في الحجّية منجبرة بالشهرة العظيمة،و الإجماعات المحكيّة حدّ الاستفاضة و إن اختلفت ظهوراً و صراحةً،و المخالفة للعامّة،كما ستعرفه من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مخالف فيها منّا،عدا الصدوق خاصّة،حيث قال </w:t>
      </w:r>
      <w:r>
        <w:rPr>
          <w:rStyle w:val="FootnoteAnchor"/>
          <w:rtl w:val="true"/>
        </w:rPr>
        <w:footnoteReference w:id="343"/>
      </w:r>
      <w:r>
        <w:rPr>
          <w:rFonts w:ascii="Amiri" w:hAnsi="Amiri" w:eastAsia="Amiri" w:cs="Amiri"/>
          <w:color w:val="111111"/>
          <w:sz w:val="28"/>
          <w:sz w:val="28"/>
          <w:szCs w:val="28"/>
          <w:rtl w:val="true"/>
          <w:lang w:bidi="ar-SA"/>
        </w:rPr>
        <w:t xml:space="preserve">بأنّ حدّه أربعون </w:t>
      </w:r>
      <w:r>
        <w:rPr>
          <w:rStyle w:val="FootnoteAnchor"/>
          <w:rtl w:val="true"/>
        </w:rPr>
        <w:footnoteReference w:id="344"/>
      </w:r>
      <w:r>
        <w:rPr>
          <w:rFonts w:ascii="Amiri" w:hAnsi="Amiri" w:eastAsia="Amiri" w:cs="Amiri"/>
          <w:color w:val="111111"/>
          <w:sz w:val="28"/>
          <w:sz w:val="28"/>
          <w:szCs w:val="28"/>
          <w:rtl w:val="true"/>
          <w:lang w:bidi="ar-SA"/>
        </w:rPr>
        <w:t>لما مرّ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مملوك قذف حرّا،قال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ثمانين،هذا من حقوق المسلمين،فأمّا ما كان من حقوق اللّه تعالى فإنّه يضرب فيها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حقوق اللّه تعالى 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أو شرب الخمر فهذا من الحقوق التي يضرب فيها نصف الحدّ</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عدم صحّته و مكافأته لمقابله من وجوه عديدة حمله الشيخ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لم يقل الصدوق به؛ لتضمّنه حدّ العبد في القذف ثمانين،و قد مرّ عنه أنّه عنده أربعون </w:t>
      </w:r>
      <w:r>
        <w:rPr>
          <w:rStyle w:val="FootnoteAnchor"/>
          <w:rtl w:val="true"/>
        </w:rPr>
        <w:footnoteReference w:id="346"/>
      </w:r>
      <w:r>
        <w:rPr>
          <w:rFonts w:ascii="Amiri" w:hAnsi="Amiri" w:eastAsia="Amiri" w:cs="Amiri"/>
          <w:color w:val="111111"/>
          <w:sz w:val="28"/>
          <w:sz w:val="28"/>
          <w:szCs w:val="28"/>
          <w:rtl w:val="true"/>
          <w:lang w:bidi="ar-SA"/>
        </w:rPr>
        <w:t>،و هو موجب لوهنه أيضاً،إن لم نقل بخروجه بذلك عند الصدوق عن الحجّية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نعم،يؤيّده الأصل،و إطلاق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المملوك نصف حدّ </w:t>
      </w:r>
    </w:p>
    <w:p>
      <w:p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إطلاق الخبر الذي مرّ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التعزير كم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ثمانين؟قال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دون الأربعين،فإنّها حدّ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الأصل يجب الخروج عنه بما مرّ،و الخبران قاصرا السند، عديما الجابر؛ مع ضعف الثاني سنداً بمعلّى بن محمّد،و متناً بعدم قائل بتحديد التعزير بما فيه كما مرّ </w:t>
      </w:r>
      <w:r>
        <w:rPr>
          <w:rStyle w:val="FootnoteAnchor"/>
          <w:rtl w:val="true"/>
        </w:rPr>
        <w:footnoteReference w:id="349"/>
      </w:r>
      <w:r>
        <w:rPr>
          <w:rFonts w:ascii="Amiri" w:hAnsi="Amiri" w:eastAsia="Amiri" w:cs="Amiri"/>
          <w:color w:val="111111"/>
          <w:sz w:val="28"/>
          <w:sz w:val="28"/>
          <w:szCs w:val="28"/>
          <w:rtl w:val="true"/>
          <w:lang w:bidi="ar-SA"/>
        </w:rPr>
        <w:t xml:space="preserve">مع ضعفه دلالةً كالأول أيضاً بعدم الصراحة،و احتمالهما </w:t>
      </w:r>
      <w:r>
        <w:rPr>
          <w:rStyle w:val="FootnoteAnchor"/>
          <w:rtl w:val="true"/>
        </w:rPr>
        <w:footnoteReference w:id="350"/>
      </w:r>
      <w:r>
        <w:rPr>
          <w:rFonts w:ascii="Amiri" w:hAnsi="Amiri" w:eastAsia="Amiri" w:cs="Amiri"/>
          <w:color w:val="111111"/>
          <w:sz w:val="28"/>
          <w:sz w:val="28"/>
          <w:szCs w:val="28"/>
          <w:rtl w:val="true"/>
          <w:lang w:bidi="ar-SA"/>
        </w:rPr>
        <w:t>التقييد بحدّ ما عدا الشرب،كما ذكره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ضعف هذا القول و شذوذه،و إن مال إليه الشهيدان و الفاضل في المختلف </w:t>
      </w:r>
      <w:r>
        <w:rPr>
          <w:rStyle w:val="FootnoteAnchor"/>
          <w:rtl w:val="true"/>
        </w:rPr>
        <w:footnoteReference w:id="351"/>
      </w:r>
      <w:r>
        <w:rPr>
          <w:rFonts w:ascii="Amiri" w:hAnsi="Amiri" w:eastAsia="Amiri" w:cs="Amiri"/>
          <w:color w:val="111111"/>
          <w:sz w:val="28"/>
          <w:sz w:val="28"/>
          <w:szCs w:val="28"/>
          <w:rtl w:val="true"/>
          <w:lang w:bidi="ar-SA"/>
        </w:rPr>
        <w:t>،مع عدم تصريحهم بالموافقة،و إنّما غايتهم في الظاهر الميل الضعيف،بل التردّد،و لا وجه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يضرب الشارب و من في معناه عرياناً مستور العورة عن الناظر المحترم على ظهره و كتفيه و سائر جسده و يتّقى وجهه و فرجه و مَقاتله ،بلا خلاف ظاهر و لا محكي،إلّا عن المبسوط،فقال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يجرّد عن ثيابه؛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بالضرب و لم يأمر بالتجريد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شاذّ،بل </w:t>
      </w:r>
    </w:p>
    <w:p>
      <w:pPr>
        <w:pStyle w:val="BookText"/>
        <w:rPr/>
      </w:pPr>
      <w:r>
        <w:rPr>
          <w:rFonts w:ascii="Amiri" w:hAnsi="Amiri" w:eastAsia="Amiri" w:cs="Amiri"/>
          <w:color w:val="111111"/>
          <w:sz w:val="28"/>
          <w:sz w:val="28"/>
          <w:szCs w:val="28"/>
          <w:rtl w:val="true"/>
          <w:lang w:bidi="ar-SA"/>
        </w:rPr>
        <w:t>لم يحك الخلاف عنه إلّا نادر،و مضعَّف بالصحيح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السكران و الزاني،قال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يجلدان بالسياط مجرّدين بين الكتفين،فأمّا الحدّ في القذف فيجلد على ثيابه ضرباً بين الضربين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يُحَدّ حتى يُفيق عن سكره،بلا خلاف أجده؛ و كأنّ الحجّة فيه أنّ الحكمة في شرع الحدود هو الإيلام و الإيذاء و التأثّر،ليمتنع المحدود عمّا حُدَّ به فلا يفعله ثانياً،و هي إنّما تحصل بعد الإفاقة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 مرّتين قُتل في المرّة الثالثة كما قطع به الأكثر،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الشيخان و العماني و التقي و الحلّي و ابن زهرة </w:t>
      </w:r>
      <w:r>
        <w:rPr>
          <w:rStyle w:val="FootnoteAnchor"/>
          <w:rtl w:val="true"/>
        </w:rPr>
        <w:footnoteReference w:id="354"/>
      </w:r>
      <w:r>
        <w:rPr>
          <w:rFonts w:ascii="Amiri" w:hAnsi="Amiri" w:eastAsia="Amiri" w:cs="Amiri"/>
          <w:color w:val="111111"/>
          <w:sz w:val="28"/>
          <w:sz w:val="28"/>
          <w:szCs w:val="28"/>
          <w:rtl w:val="true"/>
          <w:lang w:bidi="ar-SA"/>
        </w:rPr>
        <w:t>،و عليه عامّة المتأخّرين،عدا النادر الآتي ذكره،و عليه الإجماع في الغنية و هو الحجّة،مضافاً إلى أنّه المرويّ في الصحاح المستفيضة الصريحة و نحوها من المعتبرة المتجاوزة عن حدّ الاستفاضة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فاجلدوه،فإن عاد فاجلدوه،فإن عاد فاقتلوه</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 مع ذلك معتضد بعموم الصحيح بقتل أهل الكبائر في الثالثة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الصدوق في المقنع و الشيخ في الخلاف و المبسوط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يقتل في الرابعة و تبعهما الفاضل في الإرشاد و ولده في الإيضاح و الشهيد في اللمعة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لمرسل الكافي 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يقتل في الرابعة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الزناء أعظم منه ذنباً،و فاعله يقتل فيها كما مضى </w:t>
      </w:r>
      <w:r>
        <w:rPr>
          <w:rStyle w:val="FootnoteAnchor"/>
          <w:rtl w:val="true"/>
        </w:rPr>
        <w:footnoteReference w:id="361"/>
      </w:r>
      <w:r>
        <w:rPr>
          <w:rFonts w:ascii="IRNazanin" w:hAnsi="IRNazanin" w:eastAsia="IRNazanin"/>
          <w:color w:val="111111"/>
          <w:sz w:val="28"/>
          <w:sz w:val="28"/>
          <w:szCs w:val="28"/>
          <w:rtl w:val="true"/>
          <w:lang w:bidi="fa-IR"/>
        </w:rPr>
        <w:t>،فهنا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 غير مقبول مطلقاً،خصوصاً مع معارضة الصحاح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الأولويّة جيّدة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تأوّل ابن أبي عمير المرسلة كما نقله عنه في الكافي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المعنى أنّه يقتل في الثالثة،و من كان إنّما يؤتى به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مراده أنّه ما اتي في الثالثة،بل في الرابعة،فيقتل فيها؛ لأنّه ما اتي به إلّا حينئذ،لا أنّه ما استحقّ القتل إلّا فيها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شرب مراراً و لم يُحَدّ خلالها كفى عن الجميع حَدٌّ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كما مرّ في الزناء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68" w:name="pg11409_90660"/>
    </w:p>
    <w:p>
      <w:pPr>
        <w:pStyle w:val="Heading4"/>
        <w:numPr>
          <w:ilvl w:val="3"/>
          <w:numId w:val="1"/>
        </w:numPr>
        <w:rPr/>
      </w:pPr>
      <w:bookmarkStart w:id="69" w:name="__RefHeading___Toc1102631_73709187"/>
      <w:bookmarkStart w:id="70" w:name="_Toc25"/>
      <w:bookmarkEnd w:id="68"/>
      <w:bookmarkEnd w:id="69"/>
      <w:r>
        <w:rPr>
          <w:rtl w:val="true"/>
        </w:rPr>
        <w:t>الثالث في الأحكام و فيه مسائل</w:t>
      </w:r>
      <w:bookmarkEnd w:id="70"/>
    </w:p>
    <w:p>
      <w:pPr>
        <w:pStyle w:val="Heading5"/>
        <w:numPr>
          <w:ilvl w:val="4"/>
          <w:numId w:val="1"/>
        </w:numPr>
        <w:rPr/>
      </w:pPr>
      <w:bookmarkStart w:id="71" w:name="__RefHeading___Toc1102633_73709187"/>
      <w:bookmarkStart w:id="72" w:name="_Toc26"/>
      <w:bookmarkEnd w:id="71"/>
      <w:r>
        <w:rPr>
          <w:rtl w:val="true"/>
        </w:rPr>
        <w:t>الأولى لو شهد واحد</w:t>
      </w:r>
      <w:bookmarkEnd w:id="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الأحكام و فيه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واحد عدل على شخص بشربها أي بشربه الخمر و 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مثله بقيئها أي بقيئه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على الأشهر الأقوى،بل ذكر الشهيدان في النكت و المسالك </w:t>
      </w:r>
      <w:r>
        <w:rPr>
          <w:rStyle w:val="FootnoteAnchor"/>
          <w:rtl w:val="true"/>
        </w:rPr>
        <w:footnoteReference w:id="365"/>
      </w:r>
      <w:r>
        <w:rPr>
          <w:rFonts w:ascii="Amiri" w:hAnsi="Amiri" w:eastAsia="Amiri" w:cs="Amiri"/>
          <w:color w:val="111111"/>
          <w:sz w:val="28"/>
          <w:sz w:val="28"/>
          <w:szCs w:val="28"/>
          <w:rtl w:val="true"/>
          <w:lang w:bidi="ar-SA"/>
        </w:rPr>
        <w:t xml:space="preserve">عدم الخلاف فيه بين أصحابنا،و ادّعى إجماعهم عليه في السرائر و التنقيح </w:t>
      </w:r>
      <w:r>
        <w:rPr>
          <w:rStyle w:val="FootnoteAnchor"/>
          <w:rtl w:val="true"/>
        </w:rPr>
        <w:footnoteReference w:id="366"/>
      </w:r>
      <w:r>
        <w:rPr>
          <w:rFonts w:ascii="Amiri" w:hAnsi="Amiri" w:eastAsia="Amiri" w:cs="Amiri"/>
          <w:color w:val="111111"/>
          <w:sz w:val="28"/>
          <w:sz w:val="28"/>
          <w:szCs w:val="28"/>
          <w:rtl w:val="true"/>
          <w:lang w:bidi="ar-SA"/>
        </w:rPr>
        <w:t xml:space="preserve">، و حكي عن الخلاف أيضاً </w:t>
      </w:r>
      <w:r>
        <w:rPr>
          <w:rStyle w:val="FootnoteAnchor"/>
          <w:rtl w:val="true"/>
        </w:rPr>
        <w:footnoteReference w:id="36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 المنجبر ضعفه و لو من وجوه بالعمل،المرويّ في الكتب الثلاثة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حقّ الوليد </w:t>
      </w:r>
      <w:r>
        <w:rPr>
          <w:rStyle w:val="FootnoteAnchor"/>
          <w:rtl w:val="true"/>
        </w:rPr>
        <w:footnoteReference w:id="368"/>
      </w:r>
      <w:r>
        <w:rPr>
          <w:rFonts w:ascii="Amiri" w:hAnsi="Amiri" w:eastAsia="Amiri" w:cs="Amiri"/>
          <w:color w:val="111111"/>
          <w:sz w:val="28"/>
          <w:sz w:val="28"/>
          <w:szCs w:val="28"/>
          <w:rtl w:val="true"/>
          <w:lang w:bidi="ar-SA"/>
        </w:rPr>
        <w:t>لمّا شهد عليه واحد بشربها و آخر بقيئها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قاءها إلّا و قد شربها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يلزم من التعليل وجوب الحدّ لو شهدا بقيئها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فيهما جماعة من المحقّقين كالسيّد جمال الدين بن طاوس،و الفاضلين في الشرائع و القواعد </w:t>
      </w:r>
      <w:r>
        <w:rPr>
          <w:rStyle w:val="FootnoteAnchor"/>
          <w:rtl w:val="true"/>
        </w:rPr>
        <w:footnoteReference w:id="370"/>
      </w:r>
      <w:r>
        <w:rPr>
          <w:rFonts w:ascii="Amiri" w:hAnsi="Amiri" w:eastAsia="Amiri" w:cs="Amiri"/>
          <w:color w:val="111111"/>
          <w:sz w:val="28"/>
          <w:sz w:val="28"/>
          <w:szCs w:val="28"/>
          <w:rtl w:val="true"/>
          <w:lang w:bidi="ar-SA"/>
        </w:rPr>
        <w:t>لاحتمال الإكراه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بأنّه خلاف الأصل و الظاهر،و لو كان واقعاً لدفع به عن نفسه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73" w:name="pg11409_90661"/>
    </w:p>
    <w:p>
      <w:pPr>
        <w:pStyle w:val="BookText"/>
        <w:rPr/>
      </w:pPr>
      <w:bookmarkEnd w:id="73"/>
      <w:r>
        <w:rPr>
          <w:rFonts w:ascii="Amiri" w:hAnsi="Amiri" w:eastAsia="Amiri" w:cs="Amiri"/>
          <w:color w:val="111111"/>
          <w:sz w:val="28"/>
          <w:sz w:val="28"/>
          <w:szCs w:val="28"/>
          <w:rtl w:val="true"/>
          <w:lang w:bidi="ar-SA"/>
        </w:rPr>
        <w:t xml:space="preserve">و ربما يسلم الأول،و يتردّد في الثاني؛ لأنّ العمدة في الأوّل الإجماع،و هو منفيّ في الثاني </w:t>
      </w:r>
      <w:r>
        <w:rPr>
          <w:rStyle w:val="FootnoteAnchor"/>
          <w:rtl w:val="true"/>
        </w:rPr>
        <w:footnoteReference w:id="372"/>
      </w:r>
      <w:r>
        <w:rPr>
          <w:rFonts w:ascii="Amiri" w:hAnsi="Amiri" w:eastAsia="Amiri" w:cs="Amiri"/>
          <w:color w:val="111111"/>
          <w:sz w:val="28"/>
          <w:sz w:val="28"/>
          <w:szCs w:val="28"/>
          <w:rtl w:val="true"/>
          <w:lang w:bidi="ar-SA"/>
        </w:rPr>
        <w:t xml:space="preserve">و إن كان الحكم فيه أيضاً مشهوراً بين الأصحاب كما ادّعاه بعضهم </w:t>
      </w:r>
      <w:r>
        <w:rPr>
          <w:rStyle w:val="FootnoteAnchor"/>
          <w:rtl w:val="true"/>
        </w:rPr>
        <w:footnoteReference w:id="373"/>
      </w:r>
      <w:r>
        <w:rPr>
          <w:rFonts w:ascii="Amiri" w:hAnsi="Amiri" w:eastAsia="Amiri" w:cs="Amiri"/>
          <w:color w:val="111111"/>
          <w:sz w:val="28"/>
          <w:sz w:val="28"/>
          <w:szCs w:val="28"/>
          <w:rtl w:val="true"/>
          <w:lang w:bidi="ar-SA"/>
        </w:rPr>
        <w:t>لما مرّ من احتمال الإكراه،و هو يوجب الشبهة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بما مرّ من مخالفته الأصل و الظاهر ضعيف غايته،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غايتهما إفادة الظهور،و هو غير كافٍ في إثبات الحدود؛ لعدم منافاتهما الشبهة الدارئة،و لذا لو ادّعى ما يوجبها قُبِلَ و لو كان مخالفاً لهما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نعم،يجاب عن هذا التردّد بابتنائه على انحصار الدليل في الأوّل في الإجماع بناءً على ضعف الخبر من وجوه،و هو في حيّز المنع؛ لانجبار ضعف الخبر بالشهرة،و دعوى الحلّي الإجماع على روايته و قبوله،فيجبر به بجميع ما فيه،حتى التعليل المقتضي للتعميم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102635_73709187"/>
      <w:bookmarkStart w:id="75" w:name="_Toc27"/>
      <w:bookmarkEnd w:id="74"/>
      <w:r>
        <w:rPr>
          <w:rtl w:val="true"/>
        </w:rPr>
        <w:t>الثانية من شربها مستحلا</w:t>
      </w:r>
      <w:bookmarkEnd w:id="7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شربها أي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مستحلا لشربها أصلاً و هو مسلم استُتيب،فإن تاب أُقيم عليه الحدّ ثمانون جلدة خاصّة و إلّا يتب قُتِلَ من غير فرق في الاستتابة بين كونه فطريّاً أو ملّياً،كما عن الشيخين </w:t>
      </w:r>
      <w:r>
        <w:rPr>
          <w:rStyle w:val="FootnoteAnchor"/>
          <w:rtl w:val="true"/>
        </w:rPr>
        <w:footnoteReference w:id="374"/>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لإمكان عروض الشبهة في الشرب فاستحلّه،و الحدود تدرأ بالشبهات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رواه المفيد في إرشاده،فقال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قدامة بن مضعون شرب الخمر،فأراد عمر أن يجلده،فقال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 الحدّ؛ إنّ اللّه تعالى يقول لَيْسَ عَلَى الَّذِينَ آمَنُوا وَ عَمِلُوا الصّالِحاتِ جُناحٌ فِيما طَعِمُوا إِذا مَا اتَّقَوْا وَ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فدرأ عنه الحدّ،فبلغ 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فمشى إلى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قدامة من أهل هذه الآية و لا من سلك سبيله في ارتكاب ما حرّم اللّه سبحانه،إنّ الذين آمنوا و عملوا الصالحات لا يستحلّون حراماً،فاردُد قدامة فاستتبه ممّا قال،فإن تاب فأقم عليه الحدّ،و إن لم يتب فاقتله فقد خرج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و القائل الحلّي و التقي كما حكي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حكم المرتدّ لا يستتاب إذا ولد على الفطرة،بل يقتل من غير استتابة و هو قويّ متين،و عليه عامّة المتأخّرين؛ لإنكاره ما علم تحريمه ضرورة من الدين،و معه لا شبهة،إلّا إذا ادّعاها و أمكنت في حقّه؛ لقرب عهده بالإسلام و نحوه،فيدفع عنه الشبهة،و لا يقتل بلا شبهة،كما هو الحال في إنكار سائر الضروريّات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الصورة خارجة عن مفروض المسألة،بل هو ما إذا لم يكن هناك شبهة محتملة،و لذا أنّ شيخنا في المسالك بعد أن اختار المختار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يمكن الشبهة في حقّه؛ لقرب عهده بالإسلام و نحوه،و إلّا اتّجه قول الشيخين،قال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يحمل استتابة قدامة بن مظعون و غيره </w:t>
      </w:r>
    </w:p>
    <w:p>
      <w:pPr>
        <w:pStyle w:val="BookText"/>
        <w:rPr/>
      </w:pPr>
      <w:r>
        <w:rPr>
          <w:rFonts w:ascii="Amiri" w:hAnsi="Amiri" w:eastAsia="Amiri" w:cs="Amiri"/>
          <w:color w:val="111111"/>
          <w:sz w:val="28"/>
          <w:sz w:val="28"/>
          <w:szCs w:val="28"/>
          <w:rtl w:val="true"/>
          <w:lang w:bidi="ar-SA"/>
        </w:rPr>
        <w:t xml:space="preserve">ممّن استحلّها في صدر الإسلام بالتأويل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الجواب عن الدليلين اللذين 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يتوجّه على شيخنا أنّه كيف استوجه على تقدير الشبهة المحتملة قول الشيخين و من تبعهما بالاستتابة و الحدّ أولاً ثم القتل مع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أنّهما ليسا وظيفة المنكر لضروريّ الدين بالشبهة المحتملة،بل وظيفته رفع الشبهة عنه بحيث يصير ما أنكره ضروريّاً له،فإن استحلّ أيضاً كان حينئذٍ مرتدّاً يستتاب إن كان ملّياً،و يقتل إن كان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الشيخان لا ينطبق على صورة الشبهة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جواب آخر عن الاستدلال بهما لهما،و أنّ جواب شيخنا عن الرواية بحملها على صورة الشبهة لا يوافق الصواب على ما عرفته،و الحقّ في الجواب عنها بعد الإغماض عن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قضيّة في واقعة،فلا تكون عامّة لصورتي كون المستحلّ فطريّاً أو ملّياً؛ لاحتمال كون قدامة ارتداده عن ملّة لا عن فطرة،فيتوجّه حينئذٍ القتل بعد الاستتابة، و بهذا أجاب الفاضل المقداد في شرح الكتاب عن الرواية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حكم الخمر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غيرها من المسكرات و الأشربة كالفقّاع و النبيذ فقد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مستحلّ شرب غير الخمر مطلقاً بل يحدّ بشربه خاصّة مستحلا كان له أو محرّماً قولاً واحداً؛ لوقوع الخلاف فيها بين المسلمين و تحليل بعضهم إيّاها،فيكون ذلك كافياً في انتفاء الكفر باستحلالها</w:t>
      </w:r>
      <w:r>
        <w:rPr>
          <w:rFonts w:eastAsia="Amiri" w:cs="Amiri" w:ascii="Amiri" w:hAnsi="Amiri"/>
          <w:color w:val="111111"/>
          <w:sz w:val="28"/>
          <w:szCs w:val="28"/>
          <w:rtl w:val="true"/>
          <w:lang w:bidi="ar-SA"/>
        </w:rPr>
        <w:t xml:space="preserve">. </w:t>
      </w:r>
      <w:bookmarkStart w:id="76" w:name="pg11409_90664"/>
    </w:p>
    <w:p>
      <w:pPr>
        <w:pStyle w:val="BookText"/>
        <w:rPr/>
      </w:pPr>
      <w:bookmarkEnd w:id="76"/>
      <w:r>
        <w:rPr>
          <w:rFonts w:ascii="Amiri" w:hAnsi="Amiri" w:eastAsia="Amiri" w:cs="Amiri"/>
          <w:color w:val="111111"/>
          <w:sz w:val="28"/>
          <w:sz w:val="28"/>
          <w:szCs w:val="28"/>
          <w:rtl w:val="true"/>
          <w:lang w:bidi="ar-SA"/>
        </w:rPr>
        <w:t xml:space="preserve">و لا فرق بين كون الشارب لها ممّن يعتقد إباحتها كالحنفي </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غيره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 عليها و لا يكفر؛ لأنّ الكفر مختصّ بما وقع عليه الإجماع من المسلمين و ثبت حكمه ضرورةً من الدين ،و هو منتف في غير الخمر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للحلبي،فكفّر مستحلّها،و أوجب قتله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نادر،كما صرّح به في الروضة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102637_73709187"/>
      <w:bookmarkStart w:id="78" w:name="_Toc28"/>
      <w:bookmarkEnd w:id="77"/>
      <w:r>
        <w:rPr>
          <w:rtl w:val="true"/>
        </w:rPr>
        <w:t>الثالثة من باع الخمر مستحلا استُتيب</w:t>
      </w:r>
      <w:bookmarkEnd w:id="7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الخمر مستحلا بيعها استُتيب مطلقاً و لو كان فطريّاً؛ إذ ليس تحريمه معلوماً ضرورةً،و قد يقع فيه الشبهة من حيث إنّه يسوغ تناوله على بعض وجوه </w:t>
      </w:r>
      <w:r>
        <w:rPr>
          <w:rStyle w:val="FootnoteAnchor"/>
          <w:rtl w:val="true"/>
        </w:rPr>
        <w:footnoteReference w:id="386"/>
      </w:r>
      <w:r>
        <w:rPr>
          <w:rFonts w:ascii="IRNazanin" w:hAnsi="IRNazanin" w:eastAsia="IRNazanin"/>
          <w:color w:val="111111"/>
          <w:sz w:val="28"/>
          <w:sz w:val="28"/>
          <w:szCs w:val="28"/>
          <w:rtl w:val="true"/>
          <w:lang w:bidi="fa-IR"/>
        </w:rPr>
        <w:t>الضرورات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فيعزّر فاعله و يستتاب </w:t>
      </w:r>
      <w:r>
        <w:rPr>
          <w:rStyle w:val="FootnoteAnchor"/>
          <w:rtl w:val="true"/>
        </w:rPr>
        <w:footnoteReference w:id="387"/>
      </w:r>
      <w:r>
        <w:rPr>
          <w:rFonts w:ascii="Amiri" w:hAnsi="Amiri" w:eastAsia="Amiri" w:cs="Amiri"/>
          <w:color w:val="111111"/>
          <w:sz w:val="28"/>
          <w:sz w:val="28"/>
          <w:szCs w:val="28"/>
          <w:rtl w:val="true"/>
          <w:lang w:bidi="ar-SA"/>
        </w:rPr>
        <w:t xml:space="preserve">إن فعله مستحلا فإن تاب قُبِلَ منه و إلّا قُتِلَ حدّا،و كأنّه موضع وفاق،و ما وقفت على نصّ يقتضيه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سواها من الأشربة إذا باعه مستحلا لا يقتل قطعاً و إن لم يتب؛ لعدم إجماع المسلمين على حرمته،فلا يحكم بكفر مستحلّه الموجب لقتله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لفعله المحرّم و هو حسن إن كان ممّن يعتقد التحريم،و إلّا ففيه نظر وفاقاً لبعض من تأخّر،حيث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تأديبه مع </w:t>
      </w:r>
      <w:bookmarkStart w:id="79" w:name="pg11409_90665"/>
    </w:p>
    <w:p>
      <w:pPr>
        <w:pStyle w:val="BookText"/>
        <w:rPr/>
      </w:pPr>
      <w:bookmarkEnd w:id="79"/>
      <w:r>
        <w:rPr>
          <w:rFonts w:ascii="Amiri" w:hAnsi="Amiri" w:eastAsia="Amiri" w:cs="Amiri"/>
          <w:color w:val="111111"/>
          <w:sz w:val="28"/>
          <w:sz w:val="28"/>
          <w:szCs w:val="28"/>
          <w:rtl w:val="true"/>
          <w:lang w:bidi="ar-SA"/>
        </w:rPr>
        <w:t xml:space="preserve">كونه من أهل الخلاف نظر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102639_73709187"/>
      <w:bookmarkStart w:id="81" w:name="_Toc29"/>
      <w:bookmarkEnd w:id="80"/>
      <w:r>
        <w:rPr>
          <w:rtl w:val="true"/>
        </w:rPr>
        <w:t>الرابعة لو تاب قبل قيام البيّنة</w:t>
      </w:r>
      <w:bookmarkEnd w:id="8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الشارب عنه قبل قيام البيّنة عليه بشربه سقط الحدّ عنه،بلا خلاف في الظاهر،مصرّح به في جملة من العبائر </w:t>
      </w:r>
      <w:r>
        <w:rPr>
          <w:rStyle w:val="FootnoteAnchor"/>
          <w:rtl w:val="true"/>
        </w:rPr>
        <w:footnoteReference w:id="390"/>
      </w:r>
      <w:r>
        <w:rPr>
          <w:rFonts w:ascii="Amiri" w:hAnsi="Amiri" w:eastAsia="Amiri" w:cs="Amiri"/>
          <w:color w:val="111111"/>
          <w:sz w:val="28"/>
          <w:sz w:val="28"/>
          <w:szCs w:val="28"/>
          <w:rtl w:val="true"/>
          <w:lang w:bidi="ar-SA"/>
        </w:rPr>
        <w:t>و هو الحجّة،مضافاً إلى جميع ما مرّ في الزناء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عنه الحدّ لو تاب بعد قيام البيّنة على الأظهر الأشهر بين الطائفة؛ للأصل،مع عدم ظهور المسقط بالكلّيّة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للحلبي،فجوّز للإمام العفو عنه هنا كما اختاره في الزناء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شذوذه على الظاهر المصرّح به في بعض العبائر </w:t>
      </w:r>
      <w:r>
        <w:rPr>
          <w:rStyle w:val="FootnoteAnchor"/>
          <w:rtl w:val="true"/>
        </w:rPr>
        <w:footnoteReference w:id="393"/>
      </w:r>
      <w:r>
        <w:rPr>
          <w:rFonts w:ascii="Amiri" w:hAnsi="Amiri" w:eastAsia="Amiri" w:cs="Amiri"/>
          <w:color w:val="111111"/>
          <w:sz w:val="28"/>
          <w:sz w:val="28"/>
          <w:szCs w:val="28"/>
          <w:rtl w:val="true"/>
          <w:lang w:bidi="ar-SA"/>
        </w:rPr>
        <w:t xml:space="preserve">حجّته غير واضحة،عدا ما مرّ ثمّة،و قد عرفت جوابه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تاب بعد الإقرار،يتخيّر الإمام في الإقامة للحدّ عليه أو العفو عنه كما في الزناء،على الأظهر الأشهر،كما صرّح به جمع ممّن تأخّر </w:t>
      </w:r>
      <w:r>
        <w:rPr>
          <w:rStyle w:val="FootnoteAnchor"/>
          <w:rtl w:val="true"/>
        </w:rPr>
        <w:footnoteReference w:id="395"/>
      </w:r>
      <w:r>
        <w:rPr>
          <w:rFonts w:ascii="Amiri" w:hAnsi="Amiri" w:eastAsia="Amiri" w:cs="Amiri"/>
          <w:color w:val="111111"/>
          <w:sz w:val="28"/>
          <w:sz w:val="28"/>
          <w:szCs w:val="28"/>
          <w:rtl w:val="true"/>
          <w:lang w:bidi="ar-SA"/>
        </w:rPr>
        <w:t>لأنّها بعد الإقرار مسقطة لتحتّم أقوى العقوبتين و هو الرجم أو الجلد مائة في أقوى الذنبين،و هو الزناء،فأضعفهما و هو الجلد ثمانين و الشرب بطريق أولى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التقرير الذي بيّنّا به الأولويّة يندفع ما أورد عليها جماعة من </w:t>
      </w:r>
    </w:p>
    <w:p>
      <w:pPr>
        <w:pStyle w:val="BookText"/>
        <w:rPr/>
      </w:pPr>
      <w:r>
        <w:rPr>
          <w:rFonts w:ascii="Amiri" w:hAnsi="Amiri" w:eastAsia="Amiri" w:cs="Amiri"/>
          <w:color w:val="111111"/>
          <w:sz w:val="28"/>
          <w:sz w:val="28"/>
          <w:szCs w:val="28"/>
          <w:rtl w:val="true"/>
          <w:lang w:bidi="ar-SA"/>
        </w:rPr>
        <w:t xml:space="preserve">وجود الفارق بين الرجم و غيره،من حيث تضمّنه تلف النفس المأمور بحفظها شرعاً،بخلاف صورة الفرض </w:t>
      </w:r>
      <w:r>
        <w:rPr>
          <w:rStyle w:val="FootnoteAnchor"/>
          <w:rtl w:val="true"/>
        </w:rPr>
        <w:footnoteReference w:id="396"/>
      </w:r>
      <w:r>
        <w:rPr>
          <w:rFonts w:ascii="Amiri" w:hAnsi="Amiri" w:eastAsia="Amiri" w:cs="Amiri"/>
          <w:color w:val="111111"/>
          <w:sz w:val="28"/>
          <w:sz w:val="28"/>
          <w:szCs w:val="28"/>
          <w:rtl w:val="true"/>
          <w:lang w:bidi="ar-SA"/>
        </w:rPr>
        <w:t xml:space="preserve">و ذلك لعدم انحصار حدّ الزناء </w:t>
      </w:r>
      <w:r>
        <w:rPr>
          <w:rStyle w:val="FootnoteAnchor"/>
          <w:rtl w:val="true"/>
        </w:rPr>
        <w:footnoteReference w:id="397"/>
      </w:r>
      <w:r>
        <w:rPr>
          <w:rFonts w:ascii="Amiri" w:hAnsi="Amiri" w:eastAsia="Amiri" w:cs="Amiri"/>
          <w:color w:val="111111"/>
          <w:sz w:val="28"/>
          <w:sz w:val="28"/>
          <w:szCs w:val="28"/>
          <w:rtl w:val="true"/>
          <w:lang w:bidi="ar-SA"/>
        </w:rPr>
        <w:t>في الرجم،بل يثبت فيه الجلد مائة أيضاً على بعض الوجوه،و قد قدّمنا سقوطه أيضاً كالرجم بالتوبة بعد الإقرار،و لا ريب أنّه أكثر عقوبةً من الجلد ثمانين،و موجبه أعظم ذنباً من موجبه،فليكن سقوط الحدّ هنا بالتوبة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هذا،مضافاً إلى عموم مفهوم التعليل في بعض المعتبرة الواردة في اللواط،و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الرجل الذي اعترف باللواط فإنّه لم يقم عليه البيّنة، و إنّما تطوّع بالإقرار من نفسه،و إذا كان للإمام الذي من اللّه تعالى أن يعاقب عن اللّه سبحانه كان له أن يمنّ عن اللّه تعالى؛ أما سمعت قول اللّه تعالى 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حَتَم الحدّ و أوجبه،و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و الشيخ في المبسوط و الخلاف </w:t>
      </w:r>
      <w:r>
        <w:rPr>
          <w:rStyle w:val="FootnoteAnchor"/>
          <w:rtl w:val="true"/>
        </w:rPr>
        <w:footnoteReference w:id="401"/>
      </w:r>
      <w:r>
        <w:rPr>
          <w:rFonts w:ascii="Amiri" w:hAnsi="Amiri" w:eastAsia="Amiri" w:cs="Amiri"/>
          <w:color w:val="111111"/>
          <w:sz w:val="28"/>
          <w:sz w:val="28"/>
          <w:szCs w:val="28"/>
          <w:rtl w:val="true"/>
          <w:lang w:bidi="ar-SA"/>
        </w:rPr>
        <w:t xml:space="preserve">،و قوّاه الماتن في الشرائع و الفاضل في التحرير </w:t>
      </w:r>
      <w:r>
        <w:rPr>
          <w:rStyle w:val="FootnoteAnchor"/>
          <w:rtl w:val="true"/>
        </w:rPr>
        <w:footnoteReference w:id="402"/>
      </w:r>
      <w:r>
        <w:rPr>
          <w:rFonts w:ascii="Amiri" w:hAnsi="Amiri" w:eastAsia="Amiri" w:cs="Amiri"/>
          <w:color w:val="111111"/>
          <w:sz w:val="28"/>
          <w:sz w:val="28"/>
          <w:szCs w:val="28"/>
          <w:rtl w:val="true"/>
          <w:lang w:bidi="ar-SA"/>
        </w:rPr>
        <w:t xml:space="preserve">و جماعة من المتأخّرين </w:t>
      </w:r>
      <w:r>
        <w:rPr>
          <w:rStyle w:val="FootnoteAnchor"/>
          <w:rtl w:val="true"/>
        </w:rPr>
        <w:footnoteReference w:id="403"/>
      </w:r>
      <w:r>
        <w:rPr>
          <w:rFonts w:ascii="Amiri" w:hAnsi="Amiri" w:eastAsia="Amiri" w:cs="Amiri"/>
          <w:color w:val="111111"/>
          <w:sz w:val="28"/>
          <w:sz w:val="28"/>
          <w:szCs w:val="28"/>
          <w:rtl w:val="true"/>
          <w:lang w:bidi="ar-SA"/>
        </w:rPr>
        <w:t>لاستصحاب ثبوت الحدّ إلى ظهور المسقط،و ليس بظاهر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بعد ما عرفت من وجود الدليل نظر واضح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الحلّي </w:t>
      </w:r>
      <w:r>
        <w:rPr>
          <w:rStyle w:val="FootnoteAnchor"/>
          <w:rtl w:val="true"/>
        </w:rPr>
        <w:footnoteReference w:id="404"/>
      </w:r>
      <w:r>
        <w:rPr>
          <w:rFonts w:ascii="Amiri" w:hAnsi="Amiri" w:eastAsia="Amiri" w:cs="Amiri"/>
          <w:color w:val="111111"/>
          <w:sz w:val="28"/>
          <w:sz w:val="28"/>
          <w:szCs w:val="28"/>
          <w:rtl w:val="true"/>
          <w:lang w:bidi="ar-SA"/>
        </w:rPr>
        <w:t>من ظنّه عدم الخلاف فيما ذكره؛ لرجوع الشيخ في الكتابين عمّا في النهاية فواضح وهنه،سيّما بعد ما عرفت من دعوى الشهرة الظاهرة على خلافه في كلام جماعة</w:t>
      </w:r>
      <w:r>
        <w:rPr>
          <w:rFonts w:eastAsia="Amiri" w:cs="Amiri" w:ascii="Amiri" w:hAnsi="Amiri"/>
          <w:color w:val="111111"/>
          <w:sz w:val="28"/>
          <w:szCs w:val="28"/>
          <w:rtl w:val="true"/>
          <w:lang w:bidi="ar-SA"/>
        </w:rPr>
        <w:t xml:space="preserve">. </w:t>
      </w:r>
      <w:bookmarkStart w:id="82" w:name="pg11409_90668"/>
    </w:p>
    <w:p>
      <w:pPr>
        <w:pStyle w:val="Heading3"/>
        <w:numPr>
          <w:ilvl w:val="2"/>
          <w:numId w:val="1"/>
        </w:numPr>
        <w:rPr/>
      </w:pPr>
      <w:bookmarkStart w:id="83" w:name="__RefHeading___Toc1102641_73709187"/>
      <w:bookmarkStart w:id="84" w:name="_Toc30"/>
      <w:bookmarkEnd w:id="82"/>
      <w:bookmarkEnd w:id="83"/>
      <w:r>
        <w:rPr>
          <w:rtl w:val="true"/>
        </w:rPr>
        <w:t>الفصل الخامس في حدّ السرقة</w:t>
      </w:r>
      <w:bookmarkEnd w:id="84"/>
    </w:p>
    <w:p>
      <w:pPr>
        <w:pStyle w:val="Heading4"/>
        <w:numPr>
          <w:ilvl w:val="3"/>
          <w:numId w:val="1"/>
        </w:numPr>
        <w:rPr/>
      </w:pPr>
      <w:bookmarkStart w:id="85" w:name="__RefHeading___Toc1102643_73709187"/>
      <w:bookmarkStart w:id="86" w:name="_Toc31"/>
      <w:bookmarkEnd w:id="85"/>
      <w:r>
        <w:rPr>
          <w:rtl w:val="true"/>
        </w:rPr>
        <w:t>الأول في السارق</w:t>
      </w:r>
      <w:bookmarkEnd w:id="86"/>
    </w:p>
    <w:p>
      <w:pPr>
        <w:pStyle w:val="BookText"/>
        <w:rPr/>
      </w:pPr>
      <w:r>
        <w:rPr>
          <w:rFonts w:ascii="Amiri" w:hAnsi="Amiri" w:eastAsia="Amiri" w:cs="Amiri"/>
          <w:color w:val="111111"/>
          <w:sz w:val="28"/>
          <w:sz w:val="28"/>
          <w:szCs w:val="28"/>
          <w:rtl w:val="true"/>
          <w:lang w:bidi="ar-SA"/>
        </w:rPr>
        <w:t>الفصل الخامس في بيان حدّ السرقة و هو يعتمد فصولاً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بيان السارق الذي يجب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التكليف بالبلوغ و العقل و الاختيار و ارتفاع الشبهة الدارئة للحدّ من نحو توهّم الملك كما في سائر الحدود و أن لا يكون والداً سرق من ولده،و أن يهتك الحرز و يزيله،ف يخرج المتاع المحرز فيه </w:t>
      </w:r>
      <w:r>
        <w:rPr>
          <w:rStyle w:val="FootnoteAnchor"/>
          <w:rtl w:val="true"/>
        </w:rPr>
        <w:footnoteReference w:id="405"/>
      </w:r>
      <w:r>
        <w:rPr>
          <w:rFonts w:ascii="Amiri" w:hAnsi="Amiri" w:eastAsia="Amiri" w:cs="Amiri"/>
          <w:color w:val="111111"/>
          <w:sz w:val="28"/>
          <w:sz w:val="28"/>
          <w:szCs w:val="28"/>
          <w:rtl w:val="true"/>
          <w:lang w:bidi="ar-SA"/>
        </w:rPr>
        <w:t>، و يأخذه سرّاً مختفياً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فالقيود المشترطة في قطع السارق إذن ستّة فلا يحدّ الطفل و لو راهق الحلم و لا المجنون و لو أدواريّاً إذا سرق حال جنونه لكن يعزّران و يؤدّبان بما يراه الحاكم و إن تكرّر منهما مراراً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في الثاني،بل ادّعي الوفاق على عدم حدّه </w:t>
      </w:r>
      <w:r>
        <w:rPr>
          <w:rStyle w:val="FootnoteAnchor"/>
          <w:rtl w:val="true"/>
        </w:rPr>
        <w:footnoteReference w:id="406"/>
      </w:r>
      <w:r>
        <w:rPr>
          <w:rFonts w:ascii="Amiri" w:hAnsi="Amiri" w:eastAsia="Amiri" w:cs="Amiri"/>
          <w:color w:val="111111"/>
          <w:sz w:val="28"/>
          <w:sz w:val="28"/>
          <w:szCs w:val="28"/>
          <w:rtl w:val="true"/>
          <w:lang w:bidi="ar-SA"/>
        </w:rPr>
        <w:t xml:space="preserve">و هو الحجّة فيه،مضافاً إلى حديث رفع القلم عنه </w:t>
      </w:r>
      <w:r>
        <w:rPr>
          <w:rStyle w:val="FootnoteAnchor"/>
          <w:rtl w:val="true"/>
        </w:rPr>
        <w:footnoteReference w:id="407"/>
      </w:r>
      <w:r>
        <w:rPr>
          <w:rFonts w:ascii="Amiri" w:hAnsi="Amiri" w:eastAsia="Amiri" w:cs="Amiri"/>
          <w:color w:val="111111"/>
          <w:sz w:val="28"/>
          <w:sz w:val="28"/>
          <w:szCs w:val="28"/>
          <w:rtl w:val="true"/>
          <w:lang w:bidi="ar-SA"/>
        </w:rPr>
        <w:t xml:space="preserve">من غير معارض فيه،و هو و إن دلّ على نفي التعزير أيضاً إلّا أنّه لا خلاف فيه،و يمكن الاعتذار عنه بما يأتي من أنّه ليس </w:t>
      </w:r>
      <w:r>
        <w:rPr>
          <w:rStyle w:val="FootnoteAnchor"/>
          <w:rtl w:val="true"/>
        </w:rPr>
        <w:footnoteReference w:id="408"/>
      </w:r>
      <w:r>
        <w:rPr>
          <w:rFonts w:ascii="Amiri" w:hAnsi="Amiri" w:eastAsia="Amiri" w:cs="Amiri"/>
          <w:color w:val="111111"/>
          <w:sz w:val="28"/>
          <w:sz w:val="28"/>
          <w:szCs w:val="28"/>
          <w:rtl w:val="true"/>
          <w:lang w:bidi="ar-SA"/>
        </w:rPr>
        <w:t xml:space="preserve">من باب التكليف،بل وجوب التأديب على </w:t>
      </w:r>
    </w:p>
    <w:p>
      <w:pPr>
        <w:pStyle w:val="BookText"/>
        <w:rPr/>
      </w:pPr>
      <w:r>
        <w:rPr>
          <w:rFonts w:ascii="Amiri" w:hAnsi="Amiri" w:eastAsia="Amiri" w:cs="Amiri"/>
          <w:color w:val="111111"/>
          <w:sz w:val="28"/>
          <w:sz w:val="28"/>
          <w:szCs w:val="28"/>
          <w:rtl w:val="true"/>
          <w:lang w:bidi="ar-SA"/>
        </w:rPr>
        <w:t>الحاكم؛ لاشتماله على المصلحة و دفع المفسدة،كما في كل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الدليلان جاريان في عدم حدّ الصبي و تعزيره،كما أطلقه المصنّف و عامّة المتأخّرين </w:t>
      </w:r>
      <w:r>
        <w:rPr>
          <w:rStyle w:val="FootnoteAnchor"/>
          <w:rtl w:val="true"/>
        </w:rPr>
        <w:footnoteReference w:id="409"/>
      </w:r>
      <w:r>
        <w:rPr>
          <w:rFonts w:ascii="Amiri" w:hAnsi="Amiri" w:eastAsia="Amiri" w:cs="Amiri"/>
          <w:color w:val="111111"/>
          <w:sz w:val="28"/>
          <w:sz w:val="28"/>
          <w:szCs w:val="28"/>
          <w:rtl w:val="true"/>
          <w:lang w:bidi="ar-SA"/>
        </w:rPr>
        <w:t xml:space="preserve">،وفاقاً للمفيد و الحلّي كما حكي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النهاية و تبعه القاضي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يعفى عن الطفل أوّلاً،فإن عاد أُدِّب،فإن عاد حُكَّت أنامله حتى تدمى،فإن عاد قُطِعت أنامله،و إن عاد قطع كما يقطع البالغ و اختاره في المختلف بعد أن نسبه إلى الأكثر </w:t>
      </w:r>
      <w:r>
        <w:rPr>
          <w:rStyle w:val="FootnoteAnchor"/>
          <w:rtl w:val="true"/>
        </w:rPr>
        <w:footnoteReference w:id="412"/>
      </w:r>
      <w:r>
        <w:rPr>
          <w:rFonts w:ascii="Amiri" w:hAnsi="Amiri" w:eastAsia="Amiri" w:cs="Amiri"/>
          <w:color w:val="111111"/>
          <w:sz w:val="28"/>
          <w:sz w:val="28"/>
          <w:szCs w:val="28"/>
          <w:rtl w:val="true"/>
          <w:lang w:bidi="ar-SA"/>
        </w:rPr>
        <w:t>،و نحوه شيخنا في الروضة،فقال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هذا القول أخبار كثيرة صحيحة،و 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بعد في تعيين الشارع نوعاً خاصّاً من التأديب؛ لكونه لطفاً و إن شارك خطاب التكليف في بعض أفراده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تمّ ما ذكره من دلالة الأخبار الصحيحة عليه؛ مع أنّا لم نجد شيئاً منها يدلّ عليه بالتفصيل المذكور فيه؛ مع أنّها بأنفسها متعارضة غير متّفقة على تفصيل واحد،و الجمع بينها و تطبيقها على ما في النهاية في غاية الإشكال و الصعوبة،بل لعلّه متعذّر،و مع ذلك خالٍ عن شاهدٍ عليه و حجّة،فيشكل التعويل عليها مطلقاً في إثبات حكم مخالف للأصل،كما أشار إليه الماتن في نكت النهاية،فقال و لنعم ما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أراه تعزير الصبيّ،و الاقتصار على ما يراه الإمام أردع له،و قد اختلف الأخبار في كيفية حدّه،فيسقط حكمها لاختلافها و عدم الوقوف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بإرادة بعضها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الشيخ رحمه اللّه خبر واحد لا يحكم به في الحدود؛ لعدم إفادته اليقين،و الحدّ يسقط بالاحتمال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الجواب عمّا عن المقنع </w:t>
      </w:r>
      <w:r>
        <w:rPr>
          <w:rStyle w:val="FootnoteAnchor"/>
          <w:rtl w:val="true"/>
        </w:rPr>
        <w:footnoteReference w:id="416"/>
      </w:r>
      <w:r>
        <w:rPr>
          <w:rFonts w:ascii="Amiri" w:hAnsi="Amiri" w:eastAsia="Amiri" w:cs="Amiri"/>
          <w:color w:val="111111"/>
          <w:sz w:val="28"/>
          <w:sz w:val="28"/>
          <w:szCs w:val="28"/>
          <w:rtl w:val="true"/>
          <w:lang w:bidi="ar-SA"/>
        </w:rPr>
        <w:t xml:space="preserve">من العفو عنه أولاً،فإن عاد قطعت أنامله أو حكَّت حتى تدمى،فإن عاد قطعت أصابعه،فإن عاد قطع أسفل من ذلك؛ كما في الصحيح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رواه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سبع سنين أو أقلّ رفع عنه،فإن عاد بعد السبع قطعت بنانه أو حكّت حتى تدمى،فإن عاد قطع منه أسفل من بنانه،فإن عاد بعد ذلك و قد بلغ تسع سنين قطعت يده و لا يضيّع حدّ من حدود اللّه تعالى</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بينهما من التعارض و لو من جهة الإطلاق و التقييد، و الجمع بينهما بالتقييد و إن أمكن،إلّا أنّه لم يقل به في المقنع و لا غيره، و لم يحك عن أحد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عمّا عن ابن سعيد </w:t>
      </w:r>
      <w:r>
        <w:rPr>
          <w:rStyle w:val="FootnoteAnchor"/>
          <w:rtl w:val="true"/>
        </w:rPr>
        <w:footnoteReference w:id="419"/>
      </w:r>
      <w:r>
        <w:rPr>
          <w:rFonts w:ascii="Amiri" w:hAnsi="Amiri" w:eastAsia="Amiri" w:cs="Amiri"/>
          <w:color w:val="111111"/>
          <w:sz w:val="28"/>
          <w:sz w:val="28"/>
          <w:szCs w:val="28"/>
          <w:rtl w:val="true"/>
          <w:lang w:bidi="ar-SA"/>
        </w:rPr>
        <w:t>من العمل بما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عفي عنه،فإن عاد عُزِّر،فإن عاد قطع أطراف الأصابع،فإن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لمعارضته ما سبقه و غيره من النصوص المعارضة لهما، </w:t>
      </w:r>
    </w:p>
    <w:p>
      <w:pPr>
        <w:pStyle w:val="BookText"/>
        <w:rPr/>
      </w:pPr>
      <w:r>
        <w:rPr>
          <w:rFonts w:ascii="Amiri" w:hAnsi="Amiri" w:eastAsia="Amiri" w:cs="Amiri"/>
          <w:color w:val="111111"/>
          <w:sz w:val="28"/>
          <w:sz w:val="28"/>
          <w:szCs w:val="28"/>
          <w:rtl w:val="true"/>
          <w:lang w:bidi="ar-SA"/>
        </w:rPr>
        <w:t>و منها الصحيحان الدالّان على العفو عنه مرّتين،فإن عاد قطع أطراف أصابعه كما في أحدهما،و بنانه بدلاً عنه في الثاني،فإن عاد قطع أسفل من ذلك كما في الأوّل،و من بنانه كما في الثاني،و 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إذا سرق هُدِّد،فإن عاد ثانيةً أُدِّب بحك أصابعه بالأرض حتى تدمى،فإن عاد ثالثةً قطعت أطراف أنامله الأربع من المفصل الأول،فإن عاد رابعةً قطعت من المفصل الثاني،فإن عاد خامسةً قطعت من أُصولها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النصوص تخالف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بعضها ما يومئ إليه </w:t>
      </w:r>
      <w:r>
        <w:rPr>
          <w:rStyle w:val="FootnoteAnchor"/>
          <w:rtl w:val="true"/>
        </w:rPr>
        <w:footnoteReference w:id="423"/>
      </w:r>
      <w:r>
        <w:rPr>
          <w:rFonts w:ascii="Amiri" w:hAnsi="Amiri" w:eastAsia="Amiri" w:cs="Amiri"/>
          <w:color w:val="111111"/>
          <w:sz w:val="28"/>
          <w:sz w:val="28"/>
          <w:szCs w:val="28"/>
          <w:rtl w:val="true"/>
          <w:lang w:bidi="ar-SA"/>
        </w:rPr>
        <w:t>،لكن فيه العفو بدل 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بينهما من التنافي،إلّا أن يحمل المعفوّ عنه على القطع و الإدماء،فلا ينافي التهديد،لكن السند 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 و إن أشعرت بالإجماع عليه إلّا أنّه موهون بمخالفته الأكثر، بل الكلّ،كما يظهر من نقل الأقوال الذي مرّ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بهذه الأخبار محلّ نظر و إن استفاض صحاحها و قرب من التواتر عددها؛ لما مضى،فينبغي حملها على كون الواقع تأديباً منوطاً بنظر الحاكم،لا حدّا،كما ذكره في المسالك شيخنا </w:t>
      </w:r>
      <w:r>
        <w:rPr>
          <w:rStyle w:val="FootnoteAnchor"/>
          <w:rtl w:val="true"/>
        </w:rPr>
        <w:footnoteReference w:id="424"/>
      </w:r>
      <w:r>
        <w:rPr>
          <w:rFonts w:ascii="IRNazanin" w:hAnsi="IRNazanin" w:eastAsia="IRNazanin"/>
          <w:color w:val="111111"/>
          <w:sz w:val="28"/>
          <w:sz w:val="28"/>
          <w:szCs w:val="28"/>
          <w:rtl w:val="true"/>
          <w:lang w:bidi="fa-IR"/>
        </w:rPr>
        <w:t xml:space="preserve">،و مقتضاه </w:t>
      </w:r>
    </w:p>
    <w:p>
      <w:pPr>
        <w:pStyle w:val="BookText"/>
        <w:rPr/>
      </w:pPr>
      <w:r>
        <w:rPr>
          <w:rFonts w:ascii="Amiri" w:hAnsi="Amiri" w:eastAsia="Amiri" w:cs="Amiri"/>
          <w:color w:val="111111"/>
          <w:sz w:val="28"/>
          <w:sz w:val="28"/>
          <w:szCs w:val="28"/>
          <w:rtl w:val="true"/>
          <w:lang w:bidi="ar-SA"/>
        </w:rPr>
        <w:t xml:space="preserve">جواز بلوغ التعزير الحدّ هنا و لو في بعض الصور،و لا بأس به؛ لاتّفاق أكثر النصوص في الدلالة عليه،و لكنّه لا يلائم ما أطلقه المتأخّرون </w:t>
      </w:r>
      <w:r>
        <w:rPr>
          <w:rStyle w:val="FootnoteAnchor"/>
          <w:rtl w:val="true"/>
        </w:rPr>
        <w:footnoteReference w:id="425"/>
      </w:r>
      <w:r>
        <w:rPr>
          <w:rFonts w:ascii="Amiri" w:hAnsi="Amiri" w:eastAsia="Amiri" w:cs="Amiri"/>
          <w:color w:val="111111"/>
          <w:sz w:val="28"/>
          <w:sz w:val="28"/>
          <w:szCs w:val="28"/>
          <w:rtl w:val="true"/>
          <w:lang w:bidi="ar-SA"/>
        </w:rPr>
        <w:t>من التعزير؛ بناءً على ما قرّروه من اشتراط التعزير بعدم بلوغه الحدّ،و في جريانه في محلّ البحث نظر؛ لما مرّ،لكن ينبغي الاحتياط بعدم القطع إلّا فيما اتّفقت في الدلالة عليه،و هو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سرق الشريك من المال المشترك ما يظنّه نصيباً له،مع ظنّه جواز مباشرته القسمة بنفسه لم يقطع و لو زاد نصاباً؛ للشبهة الدارئة للحدّ الذي منه القطع،بلا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عدم جواز تولّي القسمة كذلك،قطع إن بلغ نصيب الشريك نصاباً؛ للعموم،و ارتفاع الشبهة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القطع مطلقاً مع بلوغ نصيب الشريك النصاب؛ لفساد القسمة،و وجود حقّ الشريك فيما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النصاب</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العدم كذلك؛ لوجود حقّه فيه،مع التأيّد بعموم ما سيأتي 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أقطع أحداً له فيما أخذه شركاء</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الخبر الوارد فيمن سرق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يقطع،فإنّ له فيه نصيباً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الاحتمالين نظر؛ لأنّ فساد القسمة في الشريعة لا يرفع أثر </w:t>
      </w:r>
    </w:p>
    <w:p>
      <w:pPr>
        <w:pStyle w:val="BookText"/>
        <w:rPr/>
      </w:pPr>
      <w:r>
        <w:rPr>
          <w:rFonts w:ascii="Amiri" w:hAnsi="Amiri" w:eastAsia="Amiri" w:cs="Amiri"/>
          <w:color w:val="111111"/>
          <w:sz w:val="28"/>
          <w:sz w:val="28"/>
          <w:szCs w:val="28"/>
          <w:rtl w:val="true"/>
          <w:lang w:bidi="ar-SA"/>
        </w:rPr>
        <w:t>الشبهة الحاصلة من مظنّة جواز المباشرة لها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وجود حقّه فيه لا ينافي صدق أخذه النصاب من مال غيره الموجب هو للقطع بمقتضى العموم،و لا إشارة فيما دلّ عليه باشتراط خلوص النصاب عن مال السارق،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قاصرا السند،فلا يصلحان لتخصيص العموم،سيّما مع اعتضاده بفتوى المشهور،و معارضتهما بما سيأتي ممّا هو أوضح منهما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سرقة أحد الغانمين من الغنيمة روايتان باختلافهما اختلف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يقطع و المراد بها الجنس؛ لتعدّدها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أخذ بيضة من المغنم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سرق اقطعه،فقال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أقطع أحداً له فيما أخذه شركاء</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المختلس،و الغلول،و من سرق من المغنم،و سرقة الأجير؛ لأنّها خيانة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بمضمونها المفيد و الديلمي و فخر الدين و الفاضل المقداد في شرح الكتاب </w:t>
      </w:r>
      <w:r>
        <w:rPr>
          <w:rStyle w:val="FootnoteAnchor"/>
          <w:rtl w:val="true"/>
        </w:rPr>
        <w:footnoteReference w:id="432"/>
      </w:r>
      <w:r>
        <w:rPr>
          <w:rFonts w:ascii="Amiri" w:hAnsi="Amiri" w:eastAsia="Amiri" w:cs="Amiri"/>
          <w:color w:val="111111"/>
          <w:sz w:val="28"/>
          <w:sz w:val="28"/>
          <w:szCs w:val="28"/>
          <w:rtl w:val="true"/>
          <w:lang w:bidi="ar-SA"/>
        </w:rPr>
        <w:t xml:space="preserve">،و غيرهم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سندهما بسهل في الأوّل و إن كان سهلاً،و السكوني </w:t>
      </w:r>
    </w:p>
    <w:p>
      <w:pPr>
        <w:pStyle w:val="BookText"/>
        <w:rPr/>
      </w:pPr>
      <w:r>
        <w:rPr>
          <w:rFonts w:ascii="Amiri" w:hAnsi="Amiri" w:eastAsia="Amiri" w:cs="Amiri"/>
          <w:color w:val="111111"/>
          <w:sz w:val="28"/>
          <w:sz w:val="28"/>
          <w:szCs w:val="28"/>
          <w:rtl w:val="true"/>
          <w:lang w:bidi="ar-SA"/>
        </w:rPr>
        <w:t>و صاحبه في الثاني و إن كان قويّاً يمنع عن العمل بهما و إن اعتضدا بمفهوم التعليل في الخبر الذي مضى؛ لضعف سنده أيضاً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يقطع لو زاد عن نصيبه قدر النصاب و إلّا فلا </w:t>
      </w:r>
      <w:r>
        <w:rPr>
          <w:rStyle w:val="FootnoteAnchor"/>
          <w:rtl w:val="true"/>
        </w:rPr>
        <w:footnoteReference w:id="434"/>
      </w:r>
      <w:r>
        <w:rPr>
          <w:rFonts w:ascii="Amiri" w:hAnsi="Amiri" w:eastAsia="Amiri" w:cs="Amiri"/>
          <w:color w:val="111111"/>
          <w:sz w:val="28"/>
          <w:sz w:val="28"/>
          <w:szCs w:val="28"/>
          <w:rtl w:val="true"/>
          <w:lang w:bidi="ar-SA"/>
        </w:rPr>
        <w:t xml:space="preserve">،و قد عمل بها الشيخ في النهاية و القاضي و الإسكافي و الماتن في الشرائع و الفاضل في التحرير و شيخنا في المسالك و الروضة </w:t>
      </w:r>
      <w:r>
        <w:rPr>
          <w:rStyle w:val="FootnoteAnchor"/>
          <w:rtl w:val="true"/>
        </w:rPr>
        <w:footnoteReference w:id="435"/>
      </w:r>
      <w:r>
        <w:rPr>
          <w:rFonts w:ascii="Amiri" w:hAnsi="Amiri" w:eastAsia="Amiri" w:cs="Amiri"/>
          <w:color w:val="111111"/>
          <w:sz w:val="28"/>
          <w:sz w:val="28"/>
          <w:szCs w:val="28"/>
          <w:rtl w:val="true"/>
          <w:lang w:bidi="ar-SA"/>
        </w:rPr>
        <w:t xml:space="preserve">، مدّعياً هو و بعض من تبعه أنّ عليها عمل الأكثر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به؛ لصحّتها،و صراحتها في التفصيل المحتمل </w:t>
      </w:r>
      <w:r>
        <w:rPr>
          <w:rStyle w:val="FootnoteAnchor"/>
          <w:rtl w:val="true"/>
        </w:rPr>
        <w:footnoteReference w:id="437"/>
      </w:r>
      <w:r>
        <w:rPr>
          <w:rFonts w:ascii="Amiri" w:hAnsi="Amiri" w:eastAsia="Amiri" w:cs="Amiri"/>
          <w:color w:val="111111"/>
          <w:sz w:val="28"/>
          <w:sz w:val="28"/>
          <w:szCs w:val="28"/>
          <w:rtl w:val="true"/>
          <w:lang w:bidi="ar-SA"/>
        </w:rPr>
        <w:t>الجامع بين الرواية السابقة بحملها على ما إذا لم يزد عن حصّته نصاباً،و إن نافاه ظاهر ما فيها من التعليل؛ لإمكان حمله على ما يوافقه و بين الموثّقة كالصحيحة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البيضة التي قطع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بيضة حديد سرقها رجل من المغنم فقطعه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بحملها على صورة أخذه الزيادة عن حصّته بما يبلغ نصاباً،و يحتمل حملها على كون السارق ليس من الغانمين،كما ربما يشعر به ظاهر سياقها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حال،فليس في ظاهرها ما ينافي القولين؛ لكونها قضيّة في واقعة لا عموم لها،محتملة للورود مورداً لا يخالفهما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هذا،و المسألة بَعدُ لا تخلو عن تردّد،كما هو ظاهر المتن و القواعد و صريح اللمعة </w:t>
      </w:r>
      <w:r>
        <w:rPr>
          <w:rStyle w:val="FootnoteAnchor"/>
          <w:rtl w:val="true"/>
        </w:rPr>
        <w:footnoteReference w:id="439"/>
      </w:r>
      <w:r>
        <w:rPr>
          <w:rFonts w:ascii="Amiri" w:hAnsi="Amiri" w:eastAsia="Amiri" w:cs="Amiri"/>
          <w:color w:val="111111"/>
          <w:sz w:val="28"/>
          <w:sz w:val="28"/>
          <w:szCs w:val="28"/>
          <w:rtl w:val="true"/>
          <w:lang w:bidi="ar-SA"/>
        </w:rPr>
        <w:t>لحصول الشبهة باختلاف الفتوى و الرواية و إن كان ما دلّ منها على التفصيل أوضح سنداً و أظهر دلالةً؛ لوحدته،و تعدّد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قوّة دلالته بما فيه من التعليل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مع اعتبار سند بعضه؛ لما عرفت من سهولة أمر سهل،بل قيل بوثاقته </w:t>
      </w:r>
      <w:r>
        <w:rPr>
          <w:rStyle w:val="FootnoteAnchor"/>
          <w:rtl w:val="true"/>
        </w:rPr>
        <w:footnoteReference w:id="441"/>
      </w:r>
      <w:r>
        <w:rPr>
          <w:rFonts w:ascii="Amiri" w:hAnsi="Amiri" w:eastAsia="Amiri" w:cs="Amiri"/>
          <w:color w:val="111111"/>
          <w:sz w:val="28"/>
          <w:sz w:val="28"/>
          <w:szCs w:val="28"/>
          <w:rtl w:val="true"/>
          <w:lang w:bidi="ar-SA"/>
        </w:rPr>
        <w:t xml:space="preserve">،و قوّة السكوني و صاحبه،مع أنّ الاُولى مرويّة عن الكافي صحيحة،و لكن لم أقف عليها كذلك فيه في هذا الكتاب </w:t>
      </w:r>
      <w:r>
        <w:rPr>
          <w:rStyle w:val="FootnoteAnchor"/>
          <w:rtl w:val="true"/>
        </w:rPr>
        <w:footnoteReference w:id="442"/>
      </w:r>
      <w:r>
        <w:rPr>
          <w:rFonts w:ascii="Amiri" w:hAnsi="Amiri" w:eastAsia="Amiri" w:cs="Amiri"/>
          <w:color w:val="111111"/>
          <w:sz w:val="28"/>
          <w:sz w:val="28"/>
          <w:szCs w:val="28"/>
          <w:rtl w:val="true"/>
          <w:lang w:bidi="ar-SA"/>
        </w:rPr>
        <w:t>، و لعلّه رواها فيه في كتاب الجهاد،و مقتضى التردّد حصول الشبهة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 ذلك يظهر للقول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سرق الوالد من مال ولده لم يقطع،إجماعاً على الظاهر، المصرّح به في كلام جماعة حدّ الاستفاضة </w:t>
      </w:r>
      <w:r>
        <w:rPr>
          <w:rStyle w:val="FootnoteAnchor"/>
          <w:rtl w:val="true"/>
        </w:rPr>
        <w:footnoteReference w:id="443"/>
      </w:r>
      <w:r>
        <w:rPr>
          <w:rFonts w:ascii="Amiri" w:hAnsi="Amiri" w:eastAsia="Amiri" w:cs="Amiri"/>
          <w:color w:val="111111"/>
          <w:sz w:val="28"/>
          <w:sz w:val="28"/>
          <w:szCs w:val="28"/>
          <w:rtl w:val="true"/>
          <w:lang w:bidi="ar-SA"/>
        </w:rPr>
        <w:t xml:space="preserve">و هو الحجّة،المعتضدة بفحوى ما دلّ على عدم قتله بقتله </w:t>
      </w:r>
      <w:r>
        <w:rPr>
          <w:rStyle w:val="FootnoteAnchor"/>
          <w:rtl w:val="true"/>
        </w:rPr>
        <w:footnoteReference w:id="4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جماعة </w:t>
      </w:r>
      <w:r>
        <w:rPr>
          <w:rStyle w:val="FootnoteAnchor"/>
          <w:rtl w:val="true"/>
        </w:rPr>
        <w:footnoteReference w:id="446"/>
      </w:r>
      <w:r>
        <w:rPr>
          <w:rFonts w:ascii="Amiri" w:hAnsi="Amiri" w:eastAsia="Amiri" w:cs="Amiri"/>
          <w:color w:val="111111"/>
          <w:sz w:val="28"/>
          <w:sz w:val="28"/>
          <w:szCs w:val="28"/>
          <w:rtl w:val="true"/>
          <w:lang w:bidi="ar-SA"/>
        </w:rPr>
        <w:t xml:space="preserve">بعموم الأب لمن علا،و ظاهر المسالك الإجماع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سرق الولد من مال أحد والديه و إن علا،أو الأُمّ من مال ولدها، وجب القطع بلا خلاف،إلّا من الحلبي </w:t>
      </w:r>
      <w:r>
        <w:rPr>
          <w:rStyle w:val="FootnoteAnchor"/>
          <w:rtl w:val="true"/>
        </w:rPr>
        <w:footnoteReference w:id="448"/>
      </w:r>
      <w:r>
        <w:rPr>
          <w:rFonts w:ascii="Amiri" w:hAnsi="Amiri" w:eastAsia="Amiri" w:cs="Amiri"/>
          <w:color w:val="111111"/>
          <w:sz w:val="28"/>
          <w:sz w:val="28"/>
          <w:szCs w:val="28"/>
          <w:rtl w:val="true"/>
          <w:lang w:bidi="ar-SA"/>
        </w:rPr>
        <w:t xml:space="preserve">،فألحق الاُمّ بالوالد في عدم قطعها لو سرقت من مال ولدها،و هو شاذّ محجوج بعموم الآية </w:t>
      </w:r>
      <w:r>
        <w:rPr>
          <w:rStyle w:val="FootnoteAnchor"/>
          <w:rtl w:val="true"/>
        </w:rPr>
        <w:footnoteReference w:id="449"/>
      </w:r>
      <w:r>
        <w:rPr>
          <w:rFonts w:ascii="IRNazanin" w:hAnsi="IRNazanin" w:eastAsia="IRNazanin"/>
          <w:color w:val="111111"/>
          <w:sz w:val="28"/>
          <w:sz w:val="28"/>
          <w:szCs w:val="28"/>
          <w:rtl w:val="true"/>
          <w:lang w:bidi="fa-IR"/>
        </w:rPr>
        <w:t xml:space="preserve">و الأخبار </w:t>
      </w:r>
      <w:r>
        <w:rPr>
          <w:rStyle w:val="FootnoteAnchor"/>
          <w:rtl w:val="true"/>
        </w:rPr>
        <w:footnoteReference w:id="450"/>
      </w:r>
      <w:r>
        <w:rPr>
          <w:rFonts w:ascii="Amiri" w:hAnsi="Amiri" w:eastAsia="Amiri" w:cs="Amiri"/>
          <w:color w:val="111111"/>
          <w:sz w:val="28"/>
          <w:sz w:val="28"/>
          <w:szCs w:val="28"/>
          <w:rtl w:val="true"/>
          <w:lang w:bidi="ar-SA"/>
        </w:rPr>
        <w:t>بقطع السارق مطلقاً،خرج منه الوالد بالإجماع،فيبقى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انسحاب الحكم في الأقارب لو سرق بعضهم من بعض، و لا خلاف فيه ظاهراً،و ما سيأتي من الصحيح بعدم القطع بسرقة مال الأب و الأخ و الأُخت،محمول على عدم الحرز دونه كما هو الغالب و مقتضى التعليل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جماعة قطع الولد بسرقته من مال الوالدين و الأُمّ بسرقة مال ولدها بما إذا قام المسروق منه بنفقة السارق إن وجبت عليه و إلّا فلا قطع، و صريح الغنية الإجماع عليه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به إذا كان المسروق مأخوذاً بدلاً من النفقة بقدرها ،أو مع الزيادة بما لا يبلغ النصاب؛ و في النصوص إيماء إليه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المال محروزاً،أو هتك الحرز غيره و أخرج هو، لم يقطع بلا خلاف،بل عليه الإجماع في الغنية </w:t>
      </w:r>
      <w:r>
        <w:rPr>
          <w:rStyle w:val="FootnoteAnchor"/>
          <w:rtl w:val="true"/>
        </w:rPr>
        <w:footnoteReference w:id="453"/>
      </w:r>
      <w:r>
        <w:rPr>
          <w:rFonts w:ascii="Amiri" w:hAnsi="Amiri" w:eastAsia="Amiri" w:cs="Amiri"/>
          <w:color w:val="111111"/>
          <w:sz w:val="28"/>
          <w:sz w:val="28"/>
          <w:szCs w:val="28"/>
          <w:rtl w:val="true"/>
          <w:lang w:bidi="ar-SA"/>
        </w:rPr>
        <w:t xml:space="preserve">و هو الحجّة،مضافاً </w:t>
      </w:r>
    </w:p>
    <w:p>
      <w:pPr>
        <w:pStyle w:val="BookText"/>
        <w:rPr/>
      </w:pPr>
      <w:r>
        <w:rPr>
          <w:rFonts w:ascii="Amiri" w:hAnsi="Amiri" w:eastAsia="Amiri" w:cs="Amiri"/>
          <w:color w:val="111111"/>
          <w:sz w:val="28"/>
          <w:sz w:val="28"/>
          <w:szCs w:val="28"/>
          <w:rtl w:val="true"/>
          <w:lang w:bidi="ar-SA"/>
        </w:rPr>
        <w:t>إلى النصوص المستفيضة الآتية في الأول،و عدم تحقّق السرقة من الهتك، و لا الأخذ من الحرز من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نعم،يجب على الأول ضمان ما أفسده من جدار أو غيره،و على الثاني ضمان المال؛ لحديثي نفي الضرر </w:t>
      </w:r>
      <w:r>
        <w:rPr>
          <w:rStyle w:val="FootnoteAnchor"/>
          <w:rtl w:val="true"/>
        </w:rPr>
        <w:footnoteReference w:id="454"/>
      </w:r>
      <w:r>
        <w:rPr>
          <w:rFonts w:ascii="Amiri" w:hAnsi="Amiri" w:eastAsia="Amiri" w:cs="Amiri"/>
          <w:color w:val="111111"/>
          <w:sz w:val="28"/>
          <w:sz w:val="28"/>
          <w:szCs w:val="28"/>
          <w:rtl w:val="true"/>
          <w:lang w:bidi="ar-SA"/>
        </w:rPr>
        <w:t xml:space="preserve">و ضمان اليد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تعاونا على الهتك و انفرد أحدهما بالإخراج،قطع المخرج خاصّة؛ لصدق السرقة في حقّه دون المتفرّد بالهتك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انعكس، فلا قطع على أحدهما،إلّا إذا أخرجا نصابين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تعاونا على الأمرين و أخرجا أقلّ من نصابين،ففي وجوب القطع قولان يأتيان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الإخراج بين المباشرة و التسبيب،مثل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يشدّ بحبل و يجرّ به،أو يؤمر صبي غير مميّز بإخراجه،أو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أمر مميّزاً به فلا قطع على التسبّب </w:t>
      </w:r>
      <w:r>
        <w:rPr>
          <w:rStyle w:val="FootnoteAnchor"/>
          <w:rtl w:val="true"/>
        </w:rPr>
        <w:footnoteReference w:id="456"/>
      </w:r>
      <w:r>
        <w:rPr>
          <w:rFonts w:ascii="Amiri" w:hAnsi="Amiri" w:eastAsia="Amiri" w:cs="Amiri"/>
          <w:color w:val="111111"/>
          <w:sz w:val="28"/>
          <w:sz w:val="28"/>
          <w:szCs w:val="28"/>
          <w:rtl w:val="true"/>
          <w:lang w:bidi="ar-SA"/>
        </w:rPr>
        <w:t xml:space="preserve">على ما ذكره جماعة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خان المستأمن لم يقطع؛ لأنّه لم يحرز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هتك الحرز قهراً ظاهراً و أخذ؛ لأنّه ليس بسارق،بل هو غاصب،و للنصوص المستفيضة فيهما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اصطحبوا في سفر رفقاء،فسرق بعضهم متاع بعض،فقال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خائن لا يقطع،و لكن يتبع بسرقته و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سرق من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لأنّ ابن الرجل لا يحجب عن الدخول إلى منزل أبيه،هذا خائن،و كذلك إن أخذ من منزل أخيه أو أُخته إن كان يدخل عليهم لا يحجبانه عن الدخول</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أقطع في الدغارة </w:t>
      </w:r>
      <w:r>
        <w:rPr>
          <w:rStyle w:val="FootnoteAnchor"/>
          <w:rtl w:val="true"/>
        </w:rPr>
        <w:footnoteReference w:id="459"/>
      </w:r>
      <w:r>
        <w:rPr>
          <w:rFonts w:ascii="Amiri" w:hAnsi="Amiri" w:eastAsia="Amiri" w:cs="Amiri"/>
          <w:color w:val="111111"/>
          <w:sz w:val="28"/>
          <w:sz w:val="28"/>
          <w:szCs w:val="28"/>
          <w:rtl w:val="true"/>
          <w:lang w:bidi="ar-SA"/>
        </w:rPr>
        <w:t>المعلنة،و لكن أقطع من يأخذ ثم يخفي</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السارق الذي يجب قطعه بين الحرّ و العبد إذا سرق من غير مولاه،و لم يكن عبد غنيمة سرق منها و المسلم و لو سرق من ذمّي كما صرّح به في التحرير </w:t>
      </w:r>
      <w:r>
        <w:rPr>
          <w:rStyle w:val="FootnoteAnchor"/>
          <w:rtl w:val="true"/>
        </w:rPr>
        <w:footnoteReference w:id="461"/>
      </w:r>
      <w:r>
        <w:rPr>
          <w:rFonts w:ascii="Amiri" w:hAnsi="Amiri" w:eastAsia="Amiri" w:cs="Amiri"/>
          <w:color w:val="111111"/>
          <w:sz w:val="28"/>
          <w:sz w:val="28"/>
          <w:szCs w:val="28"/>
          <w:rtl w:val="true"/>
          <w:lang w:bidi="ar-SA"/>
        </w:rPr>
        <w:t>و الكافر بأقسامه و الذكر و الأُنثى فهم في ذلك سواء بلا خلاف ظاهر و لا محكيّ؛ للعموم السالم عمّا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المرسل في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إذا سرق من مال مواليه لم يقطع،فإذا سرق من غير مواليه قطع</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قيّدنا العبد بما مرّ إذ لا يقطع عبدُ الإنسان بسرقة ماله كما قطع به الأصحاب ظاهراً،و ادّعاه بعضهم صريحاً </w:t>
      </w:r>
      <w:r>
        <w:rPr>
          <w:rStyle w:val="FootnoteAnchor"/>
          <w:rtl w:val="true"/>
        </w:rPr>
        <w:footnoteReference w:id="463"/>
      </w:r>
      <w:r>
        <w:rPr>
          <w:rFonts w:ascii="Amiri" w:hAnsi="Amiri" w:eastAsia="Amiri" w:cs="Amiri"/>
          <w:color w:val="111111"/>
          <w:sz w:val="28"/>
          <w:sz w:val="28"/>
          <w:szCs w:val="28"/>
          <w:rtl w:val="true"/>
          <w:lang w:bidi="ar-SA"/>
        </w:rPr>
        <w:t xml:space="preserve">،و عن المبسوط نفي الخلاف عنه إلّا من داود </w:t>
      </w:r>
      <w:r>
        <w:rPr>
          <w:rStyle w:val="FootnoteAnchor"/>
          <w:rtl w:val="true"/>
        </w:rPr>
        <w:footnoteReference w:id="464"/>
      </w:r>
      <w:r>
        <w:rPr>
          <w:rFonts w:ascii="Amiri" w:hAnsi="Amiri" w:eastAsia="Amiri" w:cs="Amiri"/>
          <w:color w:val="111111"/>
          <w:sz w:val="28"/>
          <w:sz w:val="28"/>
          <w:szCs w:val="28"/>
          <w:rtl w:val="true"/>
          <w:lang w:bidi="ar-SA"/>
        </w:rPr>
        <w:t xml:space="preserve">و دلّت عليه النصوص أيضاً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عبد أو أجير من مال صاحبه فليس عليه قطع</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إذا سرقني لم أقطعه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سرق و اختان من مال مولاه،ليس عليه قطع</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و نحوهما المرسل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 مع ذلك في الشرائع بأنّ في قطعه زيادة إضرار </w:t>
      </w:r>
      <w:r>
        <w:rPr>
          <w:rStyle w:val="FootnoteAnchor"/>
          <w:rtl w:val="true"/>
        </w:rPr>
        <w:footnoteReference w:id="468"/>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لولا النصّ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الفقيه بأنّه مال الرجل سرق بعضه بعضاً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نظير ما سيأتي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يقطع عبد الغنيمة بالسرقة منها لأنّه إنّما أخذ من مال مواليه،و للنصوص</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قد سرقا من مال اللّه تعالى،أحدهما عبد لمال اللّه، و الآخر من عرض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فمن مال اللّه تعالى ليس عليه شيء،مال اللّه تعالى أكل بعضه بعضاً،و أمّا الآخر فقدّمه و قطع يده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الإمارة إذا سرق لم أقطعه؛ لأنّه فيء</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يقطع الأجير إذا أحرز المال الذي سرق منه من دونه،على الأشبه الأشهر </w:t>
      </w:r>
      <w:r>
        <w:rPr>
          <w:rStyle w:val="FootnoteAnchor"/>
          <w:rtl w:val="true"/>
        </w:rPr>
        <w:footnoteReference w:id="473"/>
      </w:r>
      <w:r>
        <w:rPr>
          <w:rFonts w:ascii="Amiri" w:hAnsi="Amiri" w:eastAsia="Amiri" w:cs="Amiri"/>
          <w:color w:val="111111"/>
          <w:sz w:val="28"/>
          <w:sz w:val="28"/>
          <w:szCs w:val="28"/>
          <w:rtl w:val="true"/>
          <w:lang w:bidi="ar-SA"/>
        </w:rPr>
        <w:t xml:space="preserve">بل عليه عامّة من تأخّر،كما في المسالك </w:t>
      </w:r>
      <w:r>
        <w:rPr>
          <w:rStyle w:val="FootnoteAnchor"/>
          <w:rtl w:val="true"/>
        </w:rPr>
        <w:footnoteReference w:id="474"/>
      </w:r>
      <w:r>
        <w:rPr>
          <w:rFonts w:ascii="Amiri" w:hAnsi="Amiri" w:eastAsia="Amiri" w:cs="Amiri"/>
          <w:color w:val="111111"/>
          <w:sz w:val="28"/>
          <w:sz w:val="28"/>
          <w:szCs w:val="28"/>
          <w:rtl w:val="true"/>
          <w:lang w:bidi="ar-SA"/>
        </w:rPr>
        <w:t xml:space="preserve">و غيره </w:t>
      </w:r>
      <w:r>
        <w:rPr>
          <w:rStyle w:val="FootnoteAnchor"/>
          <w:rtl w:val="true"/>
        </w:rPr>
        <w:footnoteReference w:id="475"/>
      </w:r>
      <w:r>
        <w:rPr>
          <w:rFonts w:ascii="Amiri" w:hAnsi="Amiri" w:eastAsia="Amiri" w:cs="Amiri"/>
          <w:color w:val="111111"/>
          <w:sz w:val="28"/>
          <w:sz w:val="28"/>
          <w:szCs w:val="28"/>
          <w:rtl w:val="true"/>
          <w:lang w:bidi="ar-SA"/>
        </w:rPr>
        <w:t>للعمومات السليمة عمّا يصلح للمعارضة،كما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للنهاية،فأطلق أنّه لا قطع عليه </w:t>
      </w:r>
      <w:r>
        <w:rPr>
          <w:rStyle w:val="FootnoteAnchor"/>
          <w:rtl w:val="true"/>
        </w:rPr>
        <w:footnoteReference w:id="476"/>
      </w:r>
      <w:r>
        <w:rPr>
          <w:rFonts w:ascii="Amiri" w:hAnsi="Amiri" w:eastAsia="Amiri" w:cs="Amiri"/>
          <w:color w:val="111111"/>
          <w:sz w:val="28"/>
          <w:sz w:val="28"/>
          <w:szCs w:val="28"/>
          <w:rtl w:val="true"/>
          <w:lang w:bidi="ar-SA"/>
        </w:rPr>
        <w:t>و حجّته غير ظاهرة إن قصد الإطلاق،عدا ما استدلّ له من المعتبرة المستفيضة التي فيها الصحيح و الموثّق و غيرهما من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قطع عليه لأنّه مؤتمن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صريح في صورة عدم الإحراز عنه،و ليس عدم القطع فيها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في الجواب عنها شيخنا في الروضة،فقال بعد نقل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إلى أخبار ظاهرة في كون المال غير محرز عنهما </w:t>
      </w:r>
      <w:r>
        <w:rPr>
          <w:rStyle w:val="FootnoteAnchor"/>
          <w:rtl w:val="true"/>
        </w:rPr>
        <w:footnoteReference w:id="478"/>
      </w:r>
      <w:r>
        <w:rPr>
          <w:rFonts w:ascii="Amiri" w:hAnsi="Amiri" w:eastAsia="Amiri" w:cs="Amiri"/>
          <w:color w:val="111111"/>
          <w:sz w:val="28"/>
          <w:sz w:val="28"/>
          <w:szCs w:val="28"/>
          <w:rtl w:val="true"/>
          <w:lang w:bidi="ar-SA"/>
        </w:rPr>
        <w:t xml:space="preserve">، فالتفصيل حسن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يقطع كلّ من الزوج و الزوجة بسرقة مال الآخر مع الإحراز عنه و إلّا فلا،بلا خلاف؛ لما مرّ من العمومات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تقييد القطع في الزوجة حيث تقطع بما إذا لم تسرق عوضاً </w:t>
      </w:r>
    </w:p>
    <w:p>
      <w:pPr>
        <w:pStyle w:val="BookText"/>
        <w:rPr/>
      </w:pPr>
      <w:r>
        <w:rPr>
          <w:rFonts w:ascii="Amiri" w:hAnsi="Amiri" w:eastAsia="Amiri" w:cs="Amiri"/>
          <w:color w:val="111111"/>
          <w:sz w:val="28"/>
          <w:sz w:val="28"/>
          <w:szCs w:val="28"/>
          <w:rtl w:val="true"/>
          <w:lang w:bidi="ar-SA"/>
        </w:rPr>
        <w:t xml:space="preserve">عن النفقة الممنوعة عنها من دون زيادة عليها،و إلّا فلا قطع عليها،كما مضى في نظيره قريباً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الضيف يقطع مع الإحراز عنه،و لا مع العدم،على الأشبه الأشهر،بل عليه عامّة من تأخّر؛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يقطع بقول مطلق،من دون تفصيل بين الإحراز عنه و عدمه،و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الضيف لم يقطع،و إذا أضاف الضيف ضيفاً فسرق قطع ضيف الضيف</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عامل بها عدا الشيخ في النهاية </w:t>
      </w:r>
      <w:r>
        <w:rPr>
          <w:rStyle w:val="FootnoteAnchor"/>
          <w:rtl w:val="true"/>
        </w:rPr>
        <w:footnoteReference w:id="482"/>
      </w:r>
      <w:r>
        <w:rPr>
          <w:rFonts w:ascii="Amiri" w:hAnsi="Amiri" w:eastAsia="Amiri" w:cs="Amiri"/>
          <w:color w:val="111111"/>
          <w:sz w:val="28"/>
          <w:sz w:val="28"/>
          <w:szCs w:val="28"/>
          <w:rtl w:val="true"/>
          <w:lang w:bidi="ar-SA"/>
        </w:rPr>
        <w:t xml:space="preserve">،و قد رجع عنه إلى التفصيل في المبسوط و الخلاف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الحلّي </w:t>
      </w:r>
      <w:r>
        <w:rPr>
          <w:rStyle w:val="FootnoteAnchor"/>
          <w:rtl w:val="true"/>
        </w:rPr>
        <w:footnoteReference w:id="484"/>
      </w:r>
      <w:r>
        <w:rPr>
          <w:rFonts w:ascii="Amiri" w:hAnsi="Amiri" w:eastAsia="Amiri" w:cs="Amiri"/>
          <w:color w:val="111111"/>
          <w:sz w:val="28"/>
          <w:sz w:val="28"/>
          <w:szCs w:val="28"/>
          <w:rtl w:val="true"/>
          <w:lang w:bidi="ar-SA"/>
        </w:rPr>
        <w:t xml:space="preserve">،و هو شاذّ،مع اضطرابه في الباب، حيث رجّح أولاً التفصيل </w:t>
      </w:r>
      <w:r>
        <w:rPr>
          <w:rStyle w:val="FootnoteAnchor"/>
          <w:rtl w:val="true"/>
        </w:rPr>
        <w:footnoteReference w:id="485"/>
      </w:r>
      <w:r>
        <w:rPr>
          <w:rFonts w:ascii="Amiri" w:hAnsi="Amiri" w:eastAsia="Amiri" w:cs="Amiri"/>
          <w:color w:val="111111"/>
          <w:sz w:val="28"/>
          <w:sz w:val="28"/>
          <w:szCs w:val="28"/>
          <w:rtl w:val="true"/>
          <w:lang w:bidi="ar-SA"/>
        </w:rPr>
        <w:t>،ثم عدم القطع على الإطلاق،و هو غريب، و أغرب منه دعواه الإجماع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هذا القول عن الإسكافي و الصدوق في الفقيه و المقنع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عبارة الأول المحكيّة في المختلف صريحة في التفصيل،فإنّه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سرقة الأجير و الضيف و الزوج فيما اؤتمنوا عليه خيانةٌ لا قطع عليهم </w:t>
      </w:r>
    </w:p>
    <w:p>
      <w:pPr>
        <w:pStyle w:val="BookText"/>
        <w:rPr/>
      </w:pPr>
      <w:r>
        <w:rPr>
          <w:rFonts w:ascii="Amiri" w:hAnsi="Amiri" w:eastAsia="Amiri" w:cs="Amiri"/>
          <w:color w:val="111111"/>
          <w:sz w:val="28"/>
          <w:sz w:val="28"/>
          <w:szCs w:val="28"/>
          <w:rtl w:val="true"/>
          <w:lang w:bidi="ar-SA"/>
        </w:rPr>
        <w:t xml:space="preserve">فيه،فإن سرقوا ممّا لم يؤتمنوا عليه قطعوا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عبارة الصدوق في الكتابين،فإنّه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الأجير و لا على الضيف قطع؛ لأنّهما مؤتمنان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الظهور هو التعليل الظاهر في كون سبب عدم القطع إنّما هو الاستئمان المنافي للإحراز عنه المشترط في القطع،و هذا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شذّت الرواية ينبغي طرحها،أو حملها على صورة الاستئمان كما هو الغالب،و يشعر به ذيلها؛ للحكم فيه بقطع ضيف الضيف،و ليس ذلك إلّا من حيث إنّ المالك لم يأمنه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ما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 و الضيف أمينان ليس يقع عليهما حدّ السرقة و لا غيره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السارق إعادة المال بعينه مع وجوده و إمكان إعادته،أو ردّ مثله إن كان مثليّا أو قيمته إن كان قيميّاً مع تلفه أو تعذّر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عاب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ذا اجرة لزمته مع ذلك و لو قطع لأنّهما حكمان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الإعادة لأخذ مال الغير عدواناً،و القطع حدّا عقوبة على الذنب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بعد ذلك و إجماعنا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المصرّح به في بعض العبائر </w:t>
      </w:r>
      <w:r>
        <w:rPr>
          <w:rStyle w:val="FootnoteAnchor"/>
          <w:rtl w:val="true"/>
        </w:rPr>
        <w:footnoteReference w:id="491"/>
      </w:r>
      <w:r>
        <w:rPr>
          <w:rFonts w:ascii="Amiri" w:hAnsi="Amiri" w:eastAsia="Amiri" w:cs="Amiri"/>
          <w:color w:val="111111"/>
          <w:sz w:val="28"/>
          <w:sz w:val="28"/>
          <w:szCs w:val="28"/>
          <w:rtl w:val="true"/>
          <w:lang w:bidi="ar-SA"/>
        </w:rPr>
        <w:t>المعتبرة المستفيضة</w:t>
      </w:r>
      <w:r>
        <w:rPr>
          <w:rFonts w:eastAsia="Amiri" w:cs="Amiri" w:ascii="Amiri" w:hAnsi="Amiri"/>
          <w:color w:val="111111"/>
          <w:sz w:val="28"/>
          <w:szCs w:val="28"/>
          <w:rtl w:val="true"/>
          <w:lang w:bidi="ar-SA"/>
        </w:rPr>
        <w:t xml:space="preserve">: </w:t>
      </w:r>
      <w:bookmarkStart w:id="87" w:name="pg11409_90683"/>
    </w:p>
    <w:p>
      <w:pPr>
        <w:pStyle w:val="BookText"/>
        <w:rPr/>
      </w:pPr>
      <w:bookmarkEnd w:id="87"/>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السارق قطعت يده و غرم ما أخذ</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يتبع بسرقته و إن قطعت يده،و لا يترك أن يذهب بمال امرئ مسلم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يسرق فيقطع يده و لم يردّ ما سرق،كيف يصنع به في مال الرجل الذي سرق منه؟أو ليس عليه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ادّعى أنّه ليس عنده قليل و لا كثير و علم ذلك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يستسعى حتى يؤدّي آخر درهم سرقه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نبّه بذلك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مالك و أبي حنيفة،حيث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تلفت العين غرمها إن كان موسراً،و لم يغرمها إن كان معسراً و لو أيسر بعد ذلك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أجمع بين القطع و الغرم للعين التالفة،فإن غرم له سقط حدّ القطع،و إن سكت المالك حتى يقطع سقط الغرم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102645_73709187"/>
      <w:bookmarkStart w:id="89" w:name="_Toc32"/>
      <w:bookmarkEnd w:id="88"/>
      <w:r>
        <w:rPr>
          <w:rtl w:val="true"/>
        </w:rPr>
        <w:t>الثاني في المسروق</w:t>
      </w:r>
      <w:bookmarkEnd w:id="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المسروق الذي يجب بسرقته القطع و شروطه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بلوغه نصاب القطع بلا خلاف،بل عليه </w:t>
      </w:r>
    </w:p>
    <w:p>
      <w:pPr>
        <w:pStyle w:val="BookText"/>
        <w:rPr/>
      </w:pPr>
      <w:r>
        <w:rPr>
          <w:rFonts w:ascii="Amiri" w:hAnsi="Amiri" w:eastAsia="Amiri" w:cs="Amiri"/>
          <w:color w:val="111111"/>
          <w:sz w:val="28"/>
          <w:sz w:val="28"/>
          <w:szCs w:val="28"/>
          <w:rtl w:val="true"/>
          <w:lang w:bidi="ar-SA"/>
        </w:rPr>
        <w:t xml:space="preserve">إجماعنا في المسالك </w:t>
      </w:r>
      <w:r>
        <w:rPr>
          <w:rStyle w:val="FootnoteAnchor"/>
          <w:rtl w:val="true"/>
        </w:rPr>
        <w:footnoteReference w:id="498"/>
      </w:r>
      <w:r>
        <w:rPr>
          <w:rFonts w:ascii="Amiri" w:hAnsi="Amiri" w:eastAsia="Amiri" w:cs="Amiri"/>
          <w:color w:val="111111"/>
          <w:sz w:val="28"/>
          <w:sz w:val="28"/>
          <w:szCs w:val="28"/>
          <w:rtl w:val="true"/>
          <w:lang w:bidi="ar-SA"/>
        </w:rPr>
        <w:t xml:space="preserve">و غيره </w:t>
      </w:r>
      <w:r>
        <w:rPr>
          <w:rStyle w:val="FootnoteAnchor"/>
          <w:rtl w:val="true"/>
        </w:rPr>
        <w:footnoteReference w:id="499"/>
      </w:r>
      <w:r>
        <w:rPr>
          <w:rFonts w:ascii="Amiri" w:hAnsi="Amiri" w:eastAsia="Amiri" w:cs="Amiri"/>
          <w:color w:val="111111"/>
          <w:sz w:val="28"/>
          <w:sz w:val="28"/>
          <w:szCs w:val="28"/>
          <w:rtl w:val="true"/>
          <w:lang w:bidi="ar-SA"/>
        </w:rPr>
        <w:t>و هو الحجّة المخصِّصة لإطلاق الآية و الرواية بقطع السارق بقول مطلق،مضافاً إلى الأدلّة الآتية من الإجماعات المحكيّة و النصوص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قدره ربع دينار،ذهباً خالصاً،مضروباً بسكّة المعاملة أو ما بلغ قيمته ذلك على الأظهر الأشهر،بل عليه عامّة من تأخّر،و في الخلاف و الاستبصار و الغنية و السرائر و كنز العرفان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إجماع الإماميّة؛ و هو الحجّة،مضافاً إلى النصوص المستفيضة الخاصّية و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إلّا في ربع دينار أو أكثر</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يد السارق إلّا في شيء تبلغ قيمته مِجَنّاً </w:t>
      </w:r>
      <w:r>
        <w:rPr>
          <w:rStyle w:val="FootnoteAnchor"/>
          <w:rtl w:val="true"/>
        </w:rPr>
        <w:footnoteReference w:id="502"/>
      </w:r>
      <w:r>
        <w:rPr>
          <w:rFonts w:ascii="Amiri" w:hAnsi="Amiri" w:eastAsia="Amiri" w:cs="Amiri"/>
          <w:color w:val="111111"/>
          <w:sz w:val="28"/>
          <w:sz w:val="28"/>
          <w:szCs w:val="28"/>
          <w:rtl w:val="true"/>
          <w:lang w:bidi="ar-SA"/>
        </w:rPr>
        <w:t>،و هو ربع دينار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أدنى ما يقطع فيه السارق،فقال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ثمنها؟قال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دينار</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زيد </w:t>
      </w:r>
      <w:r>
        <w:rPr>
          <w:rStyle w:val="FootnoteAnchor"/>
          <w:rtl w:val="true"/>
        </w:rPr>
        <w:footnoteReference w:id="505"/>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يد السارق حتى تبلغ سرقته ربع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الصدوق بالخُمس </w:t>
      </w:r>
      <w:r>
        <w:rPr>
          <w:rStyle w:val="FootnoteAnchor"/>
          <w:rtl w:val="true"/>
        </w:rPr>
        <w:footnoteReference w:id="506"/>
      </w:r>
      <w:r>
        <w:rPr>
          <w:rFonts w:ascii="Amiri" w:hAnsi="Amiri" w:eastAsia="Amiri" w:cs="Amiri"/>
          <w:color w:val="111111"/>
          <w:sz w:val="28"/>
          <w:sz w:val="28"/>
          <w:szCs w:val="28"/>
          <w:rtl w:val="true"/>
          <w:lang w:bidi="ar-SA"/>
        </w:rPr>
        <w:t xml:space="preserve">،و العماني بالدينار الكامل </w:t>
      </w:r>
      <w:r>
        <w:rPr>
          <w:rStyle w:val="FootnoteAnchor"/>
          <w:rtl w:val="true"/>
        </w:rPr>
        <w:footnoteReference w:id="507"/>
      </w:r>
      <w:r>
        <w:rPr>
          <w:rFonts w:ascii="Amiri" w:hAnsi="Amiri" w:eastAsia="Amiri" w:cs="Amiri"/>
          <w:color w:val="111111"/>
          <w:sz w:val="28"/>
          <w:sz w:val="28"/>
          <w:szCs w:val="28"/>
          <w:rtl w:val="true"/>
          <w:lang w:bidi="ar-SA"/>
        </w:rPr>
        <w:t xml:space="preserve">،شاذّان ضعيفان،و إن دلّ على الأول منهما الموثّق </w:t>
      </w:r>
      <w:r>
        <w:rPr>
          <w:rStyle w:val="FootnoteAnchor"/>
          <w:rtl w:val="true"/>
        </w:rPr>
        <w:footnoteReference w:id="508"/>
      </w:r>
      <w:r>
        <w:rPr>
          <w:rFonts w:ascii="Amiri" w:hAnsi="Amiri" w:eastAsia="Amiri" w:cs="Amiri"/>
          <w:color w:val="111111"/>
          <w:sz w:val="28"/>
          <w:sz w:val="28"/>
          <w:szCs w:val="28"/>
          <w:rtl w:val="true"/>
          <w:lang w:bidi="ar-SA"/>
        </w:rPr>
        <w:t xml:space="preserve">و الصحيحان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يقطع فيه السارق خُمس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الأول و أحدهما،و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السارق في كلّ شيء يبلغ قيمته خُمس دينار و إن سرق من زرع أو ضرع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يقطع السارق؟فجمع كفّيه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عددها من الدراهم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بناءً على كونها قيمة الدينار في ذلك الزمان،كما يستفاد من كثير من الأخبار </w:t>
      </w:r>
      <w:r>
        <w:rPr>
          <w:rStyle w:val="FootnoteAnchor"/>
          <w:rtl w:val="true"/>
        </w:rPr>
        <w:footnoteReference w:id="511"/>
      </w:r>
      <w:r>
        <w:rPr>
          <w:rFonts w:ascii="IRNazanin" w:hAnsi="IRNazanin" w:eastAsia="IRNazanin"/>
          <w:color w:val="111111"/>
          <w:sz w:val="28"/>
          <w:sz w:val="28"/>
          <w:szCs w:val="28"/>
          <w:rtl w:val="true"/>
          <w:lang w:bidi="fa-IR"/>
        </w:rPr>
        <w:t xml:space="preserve">و جمع من الأصحاب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ضعف القولين مع اعتبار سند هذه النصوص و كثرتها </w:t>
      </w:r>
    </w:p>
    <w:p>
      <w:pPr>
        <w:pStyle w:val="BookText"/>
        <w:rPr/>
      </w:pPr>
      <w:r>
        <w:rPr>
          <w:rFonts w:ascii="Amiri" w:hAnsi="Amiri" w:eastAsia="Amiri" w:cs="Amiri"/>
          <w:color w:val="111111"/>
          <w:sz w:val="28"/>
          <w:sz w:val="28"/>
          <w:szCs w:val="28"/>
          <w:rtl w:val="true"/>
          <w:lang w:bidi="ar-SA"/>
        </w:rPr>
        <w:t xml:space="preserve">و اعتضادها بغيرها أيضاً،مع اعتضاد ما دلّ منها على الأول بإطلاقات الكتاب و السنّة بقطع كلّ سارق،خرج منها ما لو سرق </w:t>
      </w:r>
      <w:r>
        <w:rPr>
          <w:rStyle w:val="FootnoteAnchor"/>
          <w:rtl w:val="true"/>
        </w:rPr>
        <w:footnoteReference w:id="513"/>
      </w:r>
      <w:r>
        <w:rPr>
          <w:rFonts w:ascii="Amiri" w:hAnsi="Amiri" w:eastAsia="Amiri" w:cs="Amiri"/>
          <w:color w:val="111111"/>
          <w:sz w:val="28"/>
          <w:sz w:val="28"/>
          <w:szCs w:val="28"/>
          <w:rtl w:val="true"/>
          <w:lang w:bidi="ar-SA"/>
        </w:rPr>
        <w:t>أقلّ من الخمس بالإجماع،فيبقى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تعارض بعضها مع بعض،مع موافقة ما دلّ منها على اعتبار الدينار على تقدير تسليم دلالته لرأي جماعة من العامّة،رأيهم إلى الآن مشتهرة،كالثوري و أصحاب الرأي و أبي حنيفة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بقصورها عن المقاومة لما مضى من الأدلّة جدّاً،من حيث الاعتضاد بالشهرة العظيمة التي كادت تكون إجماعاً،بل إجماع في الحقيقة؛ لندرة المخالف و شذوذه مع معلوميّة نسبه و الإجماعات المحكيّة،و الأوفقيّة بما دلّ على درء الحدود بالشبهة؛ لحصولها </w:t>
      </w:r>
      <w:r>
        <w:rPr>
          <w:rStyle w:val="FootnoteAnchor"/>
          <w:rtl w:val="true"/>
        </w:rPr>
        <w:footnoteReference w:id="515"/>
      </w:r>
      <w:r>
        <w:rPr>
          <w:rFonts w:ascii="Amiri" w:hAnsi="Amiri" w:eastAsia="Amiri" w:cs="Amiri"/>
          <w:color w:val="111111"/>
          <w:sz w:val="28"/>
          <w:sz w:val="28"/>
          <w:szCs w:val="28"/>
          <w:rtl w:val="true"/>
          <w:lang w:bidi="ar-SA"/>
        </w:rPr>
        <w:t>باعتبار اختلاف الفتوى و الرواية في اعتبار الربع أو الخمس،و عدم القطع بالأخير أوفق بالاحتياط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المعاضد يدفع القول بالخمس دون كمال الدينار، بل ينعكس فيه،لكنّه في غاية من الضعف قليل الدليل،بل عديمه؛ لأن غاية ما دلّ عليه الصحيحة ثبوت القطع به لا نفيه فيما دونه،فتأمّل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تواترت النصوص في ردّه،و إن اختلفت في تعيين الربع أو الخمس كما في النصوص المتقدّمة،أو الثلث كما في صريح الموثّق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ظاهر آخر </w:t>
      </w:r>
      <w:r>
        <w:rPr>
          <w:rStyle w:val="FootnoteAnchor"/>
          <w:rtl w:val="true"/>
        </w:rPr>
        <w:footnoteReference w:id="517"/>
      </w:r>
      <w:r>
        <w:rPr>
          <w:rFonts w:ascii="Amiri" w:hAnsi="Amiri" w:eastAsia="Amiri" w:cs="Amiri"/>
          <w:color w:val="111111"/>
          <w:sz w:val="28"/>
          <w:sz w:val="28"/>
          <w:szCs w:val="28"/>
          <w:rtl w:val="true"/>
          <w:lang w:bidi="ar-SA"/>
        </w:rPr>
        <w:t>،أو الدرهمين كما في النصّ الآتي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صحّة القول الأول،و ضعف ما قابلة و النصوص الدالّة عليه،و يمكن حملها على التقيّة كما ذكره شيخ الطائفة، قال بعد حمل ما دلّ منها على الخمس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لموافقتها لمذاهب كثير منهم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أيضاً من كلّ من ادّعى إجماعنا على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يحكى في الروضة قول بالقطع في درهمين </w:t>
      </w:r>
      <w:r>
        <w:rPr>
          <w:rStyle w:val="FootnoteAnchor"/>
          <w:rtl w:val="true"/>
        </w:rPr>
        <w:footnoteReference w:id="519"/>
      </w:r>
      <w:r>
        <w:rPr>
          <w:rFonts w:ascii="Amiri" w:hAnsi="Amiri" w:eastAsia="Amiri" w:cs="Amiri"/>
          <w:color w:val="111111"/>
          <w:sz w:val="28"/>
          <w:sz w:val="28"/>
          <w:szCs w:val="28"/>
          <w:rtl w:val="true"/>
          <w:lang w:bidi="ar-SA"/>
        </w:rPr>
        <w:t xml:space="preserve">،كما في بعض النصوص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يوافق القول بالخمس؛ بناءً على البناء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فرق فيه بين عين الذهب و غيره،فلو بلغ العين ربع دينارٍ وزناً غير مضروب،و لم تبلغ قيمته المضروب،فلا قطع؛ لأنّ الدينار حقيقةٌ في المسكوك منه،فيحمل عليه إطلاقه الوارد في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للخلاف و المبسوط </w:t>
      </w:r>
      <w:r>
        <w:rPr>
          <w:rStyle w:val="FootnoteAnchor"/>
          <w:rtl w:val="true"/>
        </w:rPr>
        <w:footnoteReference w:id="521"/>
      </w:r>
      <w:r>
        <w:rPr>
          <w:rFonts w:ascii="Amiri" w:hAnsi="Amiri" w:eastAsia="Amiri" w:cs="Amiri"/>
          <w:color w:val="111111"/>
          <w:sz w:val="28"/>
          <w:sz w:val="28"/>
          <w:szCs w:val="28"/>
          <w:rtl w:val="true"/>
          <w:lang w:bidi="ar-SA"/>
        </w:rPr>
        <w:t xml:space="preserve">،فقوّى </w:t>
      </w:r>
      <w:r>
        <w:rPr>
          <w:rStyle w:val="FootnoteAnchor"/>
          <w:rtl w:val="true"/>
        </w:rPr>
        <w:footnoteReference w:id="522"/>
      </w:r>
      <w:r>
        <w:rPr>
          <w:rFonts w:ascii="Amiri" w:hAnsi="Amiri" w:eastAsia="Amiri" w:cs="Amiri"/>
          <w:color w:val="111111"/>
          <w:sz w:val="28"/>
          <w:sz w:val="28"/>
          <w:szCs w:val="28"/>
          <w:rtl w:val="true"/>
          <w:lang w:bidi="ar-SA"/>
        </w:rPr>
        <w:t>عدم اشتراط السكّة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انعكس،بأن كان سدس دينار مصوغاً قيمته ربع دينار مسكوكاً، قطع على الأقوى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فرق بين علمه بقيمته أو شخصه و عدمه،فلو ظنّ المسروق فلساً فظهر ديناراً،أو سرق ثوباً قيمته أقلّ من النصاب فظهر مشتملاً على ما يبلغه و لو معه،قطع على الأقوى؛ لتحقّق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عدم </w:t>
      </w:r>
    </w:p>
    <w:p>
      <w:pPr>
        <w:pStyle w:val="BookText"/>
        <w:rPr/>
      </w:pPr>
      <w:r>
        <w:rPr>
          <w:rFonts w:ascii="Amiri" w:hAnsi="Amiri" w:eastAsia="Amiri" w:cs="Amiri"/>
          <w:color w:val="111111"/>
          <w:sz w:val="28"/>
          <w:sz w:val="28"/>
          <w:szCs w:val="28"/>
          <w:rtl w:val="true"/>
          <w:lang w:bidi="ar-SA"/>
        </w:rPr>
        <w:t>القصد إليه؛ لتحقّقه في السرقة إجمالاً،مع عدم دليل على اعتبار قصد النصاب في القطع بسرقته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لشهادة الحال بأنّه لو علمه لقصده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إطلاقها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فيه أيضاً من كونه محرزاً إجماعاً منّا،فتوًى و نصّاً،إلّا نادراً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لا تحديد له شرعاً صريحاً،وجب الرجوع فيه إلى العرف اتّفاقاً،و ضابطه ما كان ممنوعاً بقفلٍ من حديد و نحوه أو غلقٍ من خشب و ما في معناه أو دفنٍ في العمران؛ أو كان مراعى بالنظر،على اختلاف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بكونه حرزاً،كما في القواعد و التنقيح و عن الخلاف و المبسوط </w:t>
      </w:r>
      <w:r>
        <w:rPr>
          <w:rStyle w:val="FootnoteAnchor"/>
          <w:rtl w:val="true"/>
        </w:rPr>
        <w:footnoteReference w:id="525"/>
      </w:r>
      <w:r>
        <w:rPr>
          <w:rFonts w:ascii="Amiri" w:hAnsi="Amiri" w:eastAsia="Amiri" w:cs="Amiri"/>
          <w:color w:val="111111"/>
          <w:sz w:val="28"/>
          <w:sz w:val="28"/>
          <w:szCs w:val="28"/>
          <w:rtl w:val="true"/>
          <w:lang w:bidi="ar-SA"/>
        </w:rPr>
        <w:t>لقضاء العادة بإحراز كثير من الأموال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بالعدم،كما هو ظاهر المتن و الشرائع و السرائر و عن المراسم و الوسيلة و ظاهر المقنعة و المختلف و التحرير و الإرشاد و التلخيص و التبصرة </w:t>
      </w:r>
      <w:r>
        <w:rPr>
          <w:rStyle w:val="FootnoteAnchor"/>
          <w:rtl w:val="true"/>
        </w:rPr>
        <w:footnoteReference w:id="526"/>
      </w:r>
      <w:r>
        <w:rPr>
          <w:rFonts w:ascii="Amiri" w:hAnsi="Amiri" w:eastAsia="Amiri" w:cs="Amiri"/>
          <w:color w:val="111111"/>
          <w:sz w:val="28"/>
          <w:sz w:val="28"/>
          <w:szCs w:val="28"/>
          <w:rtl w:val="true"/>
          <w:lang w:bidi="ar-SA"/>
        </w:rPr>
        <w:t>للشبهة في كونه حرزاً،و كون الأخذ معه سرقةً أو اختلاساً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للقويّ بالسكوني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إلّا من نقب نقباً،أو كسر قفلاً</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يتحقّق الحرز بالمراعاة إلّا مع النظر إليه، و مع ذلك لا يتحقّق السرقة؛ لما تقرّر من أنّها لا تكون إلّا سرّاً،و مع غفلته عنه و لو نادراً لا يكون له مراعياً،فلا يتحقّق إحرازه بها،فظهر أنّ السرقة لا تتحقّق مع المراعاة و إن جعلناها حرزاً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يخلو عن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الشيخ في النهاية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موضع ليس لغير المالك و المتصرّف فيه دخوله إلّا بإذنه فهو حرز و نسبه في المبسوط و التبيان و كذا في كنز العرفان </w:t>
      </w:r>
      <w:r>
        <w:rPr>
          <w:rStyle w:val="FootnoteAnchor"/>
          <w:rtl w:val="true"/>
        </w:rPr>
        <w:footnoteReference w:id="531"/>
      </w:r>
      <w:r>
        <w:rPr>
          <w:rFonts w:ascii="Amiri" w:hAnsi="Amiri" w:eastAsia="Amiri" w:cs="Amiri"/>
          <w:color w:val="111111"/>
          <w:sz w:val="28"/>
          <w:sz w:val="28"/>
          <w:szCs w:val="28"/>
          <w:rtl w:val="true"/>
          <w:lang w:bidi="ar-SA"/>
        </w:rPr>
        <w:t xml:space="preserve">إلى أصحابنا،و في الغنية إلى رواياتهم مدّعياً عليه إجماعهم </w:t>
      </w:r>
      <w:r>
        <w:rPr>
          <w:rStyle w:val="FootnoteAnchor"/>
          <w:rtl w:val="true"/>
        </w:rPr>
        <w:footnoteReference w:id="532"/>
      </w:r>
      <w:r>
        <w:rPr>
          <w:rFonts w:ascii="Amiri" w:hAnsi="Amiri" w:eastAsia="Amiri" w:cs="Amiri"/>
          <w:color w:val="111111"/>
          <w:sz w:val="28"/>
          <w:sz w:val="28"/>
          <w:szCs w:val="28"/>
          <w:rtl w:val="true"/>
          <w:lang w:bidi="ar-SA"/>
        </w:rPr>
        <w:t>و ربما كان في النصوص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المتقدّم،المعلّل عدم قطع الرجل بسرقة مال أبيه أو أُخته و أخيه بعدم حجبه عن الدخول إلى منزلهم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أنّ المراد من عدم الحجب حصول الإذن له في الدخول </w:t>
      </w:r>
      <w:r>
        <w:rPr>
          <w:rStyle w:val="FootnoteAnchor"/>
          <w:rtl w:val="true"/>
        </w:rPr>
        <w:footnoteReference w:id="534"/>
      </w:r>
      <w:r>
        <w:rPr>
          <w:rFonts w:ascii="Amiri" w:hAnsi="Amiri" w:eastAsia="Amiri" w:cs="Amiri"/>
          <w:color w:val="111111"/>
          <w:sz w:val="28"/>
          <w:sz w:val="28"/>
          <w:szCs w:val="28"/>
          <w:rtl w:val="true"/>
          <w:lang w:bidi="ar-SA"/>
        </w:rPr>
        <w:t>،فمفهوم التعليل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عدم الإذن يقطع،و هو عين هذا المذهب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منه القويّ بالسكوني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مدخل يدخل فيه بغير إذن فسرق منه السارق فلا قطع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الحمّام و الأرحية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قريب منهما النصوص المتقدّمة بعدم قطع الضيف و الأجير </w:t>
      </w:r>
      <w:r>
        <w:rPr>
          <w:rStyle w:val="FootnoteAnchor"/>
          <w:rtl w:val="true"/>
        </w:rPr>
        <w:footnoteReference w:id="536"/>
      </w:r>
      <w:r>
        <w:rPr>
          <w:rFonts w:ascii="Amiri" w:hAnsi="Amiri" w:eastAsia="Amiri" w:cs="Amiri"/>
          <w:color w:val="111111"/>
          <w:sz w:val="28"/>
          <w:sz w:val="28"/>
          <w:szCs w:val="28"/>
          <w:rtl w:val="true"/>
          <w:lang w:bidi="ar-SA"/>
        </w:rPr>
        <w:t>معلّلة بالاستئمان،و ليس إلّا من حيث الإذن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غير بعيد،لو لا ما أورد عليه جماعة و منهم الحلّي من النقض بالدور المفتّحة الأبواب في العمران و صاحبها ليس فيها،فإنّ السارق منها لا قطع عليه بلا خلاف،كما في السرائر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عن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كلّ موضع لا يجوز لغير مالكه الدخول فيه أو التصرّف بغير إذنه،و كان مغلقاً أو مقفلاً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حاول الجمع بين النصوص المزبورة و قويّة السكوني المتقدّمة </w:t>
      </w:r>
      <w:r>
        <w:rPr>
          <w:rStyle w:val="FootnoteAnchor"/>
          <w:rtl w:val="true"/>
        </w:rPr>
        <w:footnoteReference w:id="539"/>
      </w:r>
      <w:r>
        <w:rPr>
          <w:rFonts w:ascii="Amiri" w:hAnsi="Amiri" w:eastAsia="Amiri" w:cs="Amiri"/>
          <w:color w:val="111111"/>
          <w:sz w:val="28"/>
          <w:sz w:val="28"/>
          <w:szCs w:val="28"/>
          <w:rtl w:val="true"/>
          <w:lang w:bidi="ar-SA"/>
        </w:rPr>
        <w:t>،المتضمّنة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يقطع إلّا من نقب نقباً أو كسر قفلاً، و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القول الأول،كالقول بأنّ الحرز ما يكون سارقه على خطر خوفاً من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Style w:val="FootnoteAnchor"/>
          <w:rtl w:val="true"/>
        </w:rPr>
        <w:footnoteReference w:id="540"/>
      </w:r>
      <w:r>
        <w:rPr>
          <w:rFonts w:ascii="Amiri" w:hAnsi="Amiri" w:eastAsia="Amiri" w:cs="Amiri"/>
          <w:color w:val="111111"/>
          <w:sz w:val="28"/>
          <w:sz w:val="28"/>
          <w:szCs w:val="28"/>
          <w:rtl w:val="true"/>
          <w:lang w:bidi="ar-SA"/>
        </w:rPr>
        <w:t>يختلف الحرز باختلاف الأموال وفاقاً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فحرز الأثمان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الصناديق المقفلة،و الأغلاق الوثيقة في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حرز الثياب و ما خفّ من المتاع و آلات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الدكاكين، و البيوت المقفلة في العمران،أو خزائنها المقفلة و إن كانت هي 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الإصطبل حرز للدواب مع الغلق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حرز الماشية في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الراعي،على ما تقرّر؛ و مثله متاع </w:t>
      </w:r>
    </w:p>
    <w:p>
      <w:pPr>
        <w:pStyle w:val="BookText"/>
        <w:rPr/>
      </w:pPr>
      <w:r>
        <w:rPr>
          <w:rFonts w:ascii="Amiri" w:hAnsi="Amiri" w:eastAsia="Amiri" w:cs="Amiri"/>
          <w:color w:val="111111"/>
          <w:sz w:val="28"/>
          <w:sz w:val="28"/>
          <w:szCs w:val="28"/>
          <w:rtl w:val="true"/>
          <w:lang w:bidi="ar-SA"/>
        </w:rPr>
        <w:t>البائع في الأسواق و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بالدفن في العمران عمّا لو دفن خارجه،فإنّه لا يعدّ حرزاً و إن كان في داخل بيت مغلق؛ لعدم قضاء العرف به،مع عدم الخطر على سارقه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موضع حرز لشيء من الأشياء فهو حرز لجميع الأشياء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الحلّي و الفاضل في التحرير</w:t>
      </w:r>
      <w:r>
        <w:rPr>
          <w:rFonts w:eastAsia="Amiri" w:cs="Amiri" w:ascii="Amiri" w:hAnsi="Amiri"/>
          <w:color w:val="111111"/>
          <w:sz w:val="28"/>
          <w:szCs w:val="28"/>
          <w:rtl w:val="true"/>
          <w:lang w:bidi="ar-SA"/>
        </w:rPr>
        <w:t xml:space="preserve">) </w:t>
      </w:r>
      <w:r>
        <w:rPr>
          <w:rStyle w:val="FootnoteAnchor"/>
          <w:rtl w:val="true"/>
        </w:rPr>
        <w:footnoteReference w:id="542"/>
      </w:r>
      <w:r>
        <w:rPr>
          <w:rStyle w:val="FootnoteAnchor"/>
          <w:rtl w:val="true"/>
        </w:rPr>
        <w:footnoteReference w:id="543"/>
      </w:r>
      <w:r>
        <w:rPr>
          <w:rFonts w:ascii="IRNazanin" w:hAnsi="IRNazanin" w:eastAsia="IRNazanin"/>
          <w:color w:val="111111"/>
          <w:sz w:val="28"/>
          <w:sz w:val="28"/>
          <w:szCs w:val="28"/>
          <w:rtl w:val="true"/>
          <w:lang w:bidi="fa-IR"/>
        </w:rPr>
        <w:t xml:space="preserve">و هو </w:t>
      </w:r>
      <w:r>
        <w:rPr>
          <w:rStyle w:val="FootnoteAnchor"/>
          <w:rtl w:val="true"/>
        </w:rPr>
        <w:footnoteReference w:id="544"/>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يقطع من سرق من غير حرز،ك المواضع المأذون في غشيانها و الدخول إليها كالحمّامات،و المساجد و الأرحية،مع عدم مراعاة المالك للمسروق بالنظر؛ للقويّ المتقدّم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فيه ظاهراً و لا محكيّاً،إلّا عن العماني،حيث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السارق يقطع من أيّ موضع سرق،من بيت،أو سوق،أو مسجد،أو غير ذلك،مطلقاً </w:t>
      </w:r>
      <w:r>
        <w:rPr>
          <w:rStyle w:val="FootnoteAnchor"/>
          <w:rtl w:val="true"/>
        </w:rPr>
        <w:footnoteReference w:id="546"/>
      </w:r>
      <w:r>
        <w:rPr>
          <w:rFonts w:ascii="Amiri" w:hAnsi="Amiri" w:eastAsia="Amiri" w:cs="Amiri"/>
          <w:color w:val="111111"/>
          <w:sz w:val="28"/>
          <w:sz w:val="28"/>
          <w:szCs w:val="28"/>
          <w:rtl w:val="true"/>
          <w:lang w:bidi="ar-SA"/>
        </w:rPr>
        <w:t>لقطع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 مئزر صفوان بن أُميّة في المسجد، 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يهريق الماء فوجد رداءه قد سرق حين رجع إليه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حمله على التفسير الأخير،فإنّ السارق في المسجد على خطر من أن يطّلع عليه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نام فأُخذ من تحته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من المواضع التي يدخل إليها بغير إذن،مثل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الحمّامات و الأرحية و المساجد؛ و إنّما قطعه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سرق الرداء و أخفاه،فلإخفائه قطعه،و لو لم يخفه لعزّره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راجع إلى التفسير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في الجواب عنه ما ذكره بعض الأصحاب </w:t>
      </w:r>
      <w:r>
        <w:rPr>
          <w:rStyle w:val="FootnoteAnchor"/>
          <w:rtl w:val="true"/>
        </w:rPr>
        <w:footnoteReference w:id="551"/>
      </w:r>
      <w:r>
        <w:rPr>
          <w:rFonts w:ascii="Amiri" w:hAnsi="Amiri" w:eastAsia="Amiri" w:cs="Amiri"/>
          <w:color w:val="111111"/>
          <w:sz w:val="28"/>
          <w:sz w:val="28"/>
          <w:szCs w:val="28"/>
          <w:rtl w:val="true"/>
          <w:lang w:bidi="ar-SA"/>
        </w:rPr>
        <w:t>،من عدم منافاته لما دلّ على عدم القطع بالسرقة من نحو المساجد عموماً و خصوصاً،من حيث احتمال أن يكون حين خرج أو نام أحرز رداءه،فينبغي حمله عليه،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القوي المتقدّم الذي هو أرجح منه بوجوه شتّى</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الجواب عن الاستدلال به لما قيل من أنّه إذا كان المالك مراعياً للمال بنظره كان محرزاً و القائل من تقدّم،و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في المبسوط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يجاب عنه أيضاً بأنّ المفهوم من المراعاة و به صرّح كثير </w:t>
      </w:r>
      <w:r>
        <w:rPr>
          <w:rStyle w:val="FootnoteAnchor"/>
          <w:rtl w:val="true"/>
        </w:rPr>
        <w:footnoteReference w:id="554"/>
      </w:r>
      <w:r>
        <w:rPr>
          <w:rFonts w:ascii="IRNazanin" w:hAnsi="IRNazanin" w:eastAsia="IRNazanin"/>
          <w:color w:val="111111"/>
          <w:sz w:val="28"/>
          <w:sz w:val="28"/>
          <w:szCs w:val="28"/>
          <w:rtl w:val="true"/>
          <w:lang w:bidi="fa-IR"/>
        </w:rPr>
        <w:t xml:space="preserve">أنّ المراد بها النظر إلى المال،و أنّه لو نام أو غفل عنه أو غاب زال الحرز، </w:t>
      </w:r>
    </w:p>
    <w:p>
      <w:pPr>
        <w:pStyle w:val="BookText"/>
        <w:rPr/>
      </w:pPr>
      <w:r>
        <w:rPr>
          <w:rFonts w:ascii="Amiri" w:hAnsi="Amiri" w:eastAsia="Amiri" w:cs="Amiri"/>
          <w:color w:val="111111"/>
          <w:sz w:val="28"/>
          <w:sz w:val="28"/>
          <w:szCs w:val="28"/>
          <w:rtl w:val="true"/>
          <w:lang w:bidi="ar-SA"/>
        </w:rPr>
        <w:t>فكيف يجتمع الحكم بالمراعاة مع فرض كون المالك غائباً عنه كما في الرواية الأُولى،أو نائماً كما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 من سرق من جيب إنسان أو كمّه الظاهرين،و يقطع لو كانا باطنين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بطرّار </w:t>
      </w:r>
      <w:r>
        <w:rPr>
          <w:rStyle w:val="FootnoteAnchor"/>
          <w:rtl w:val="true"/>
        </w:rPr>
        <w:footnoteReference w:id="555"/>
      </w:r>
      <w:r>
        <w:rPr>
          <w:rFonts w:ascii="Amiri" w:hAnsi="Amiri" w:eastAsia="Amiri" w:cs="Amiri"/>
          <w:color w:val="111111"/>
          <w:sz w:val="28"/>
          <w:sz w:val="28"/>
          <w:szCs w:val="28"/>
          <w:rtl w:val="true"/>
          <w:lang w:bidi="ar-SA"/>
        </w:rPr>
        <w:t>قد طرّ من كمّ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طرّ من قميصه الأعلى لم أقطعه،و إن طرّ من قميصه الداخل قطعته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557"/>
      </w:r>
      <w:r>
        <w:rPr>
          <w:rFonts w:ascii="Amiri" w:hAnsi="Amiri" w:eastAsia="Amiri" w:cs="Amiri"/>
          <w:color w:val="111111"/>
          <w:sz w:val="28"/>
          <w:sz w:val="28"/>
          <w:szCs w:val="28"/>
          <w:rtl w:val="true"/>
          <w:lang w:bidi="ar-SA"/>
        </w:rPr>
        <w:t xml:space="preserve">،و ضعف سنده كالأول إن كان مجبور بالشهرة الظاهرة و المحكيّة في المختلف و المسالك </w:t>
      </w:r>
      <w:r>
        <w:rPr>
          <w:rStyle w:val="FootnoteAnchor"/>
          <w:rtl w:val="true"/>
        </w:rPr>
        <w:footnoteReference w:id="558"/>
      </w:r>
      <w:r>
        <w:rPr>
          <w:rFonts w:ascii="Amiri" w:hAnsi="Amiri" w:eastAsia="Amiri" w:cs="Amiri"/>
          <w:color w:val="111111"/>
          <w:sz w:val="28"/>
          <w:sz w:val="28"/>
          <w:szCs w:val="28"/>
          <w:rtl w:val="true"/>
          <w:lang w:bidi="ar-SA"/>
        </w:rPr>
        <w:t xml:space="preserve">و غيرهما </w:t>
      </w:r>
      <w:r>
        <w:rPr>
          <w:rStyle w:val="FootnoteAnchor"/>
          <w:rtl w:val="true"/>
        </w:rPr>
        <w:footnoteReference w:id="559"/>
      </w:r>
      <w:r>
        <w:rPr>
          <w:rFonts w:ascii="Amiri" w:hAnsi="Amiri" w:eastAsia="Amiri" w:cs="Amiri"/>
          <w:color w:val="111111"/>
          <w:sz w:val="28"/>
          <w:sz w:val="28"/>
          <w:szCs w:val="28"/>
          <w:rtl w:val="true"/>
          <w:lang w:bidi="ar-SA"/>
        </w:rPr>
        <w:t xml:space="preserve">،بل لم أجد الخلاف فيه كما صرّح به بعض الأجلّة </w:t>
      </w:r>
      <w:r>
        <w:rPr>
          <w:rStyle w:val="FootnoteAnchor"/>
          <w:rtl w:val="true"/>
        </w:rPr>
        <w:footnoteReference w:id="560"/>
      </w:r>
      <w:r>
        <w:rPr>
          <w:rFonts w:ascii="Amiri" w:hAnsi="Amiri" w:eastAsia="Amiri" w:cs="Amiri"/>
          <w:color w:val="111111"/>
          <w:sz w:val="28"/>
          <w:sz w:val="28"/>
          <w:szCs w:val="28"/>
          <w:rtl w:val="true"/>
          <w:lang w:bidi="ar-SA"/>
        </w:rPr>
        <w:t xml:space="preserve">،و في الغنية و عن الخلاف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مضافاً إلى الخبرين يجمع بين ما دلّ على قطع الطرّار بقول مطلق،كالخبر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النبّاش و الطرّار و لا يقطع المختلس</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عدم قطعه كذلك،كالصحيح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الطرّار و النبّاش </w:t>
      </w:r>
    </w:p>
    <w:p>
      <w:pPr>
        <w:pStyle w:val="BookText"/>
        <w:rPr/>
      </w:pPr>
      <w:r>
        <w:rPr>
          <w:rFonts w:ascii="Amiri" w:hAnsi="Amiri" w:eastAsia="Amiri" w:cs="Amiri"/>
          <w:color w:val="111111"/>
          <w:sz w:val="28"/>
          <w:sz w:val="28"/>
          <w:szCs w:val="28"/>
          <w:rtl w:val="true"/>
          <w:lang w:bidi="ar-SA"/>
        </w:rPr>
        <w:t>و المختلس،قال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 نحوه المرسل كالموثّق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الأوّل على الطرّ من الأسفل،و الأخيرين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الأول الحمل على التقيّة؛ لكونه مذهب العامّة،كما يستفاد من الخلاف،حيث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جميع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القطع، و لم يعتبروا قميصاً فوق قميص،إلّا أنّ أبا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شدّه </w:t>
      </w:r>
      <w:r>
        <w:rPr>
          <w:rStyle w:val="FootnoteAnchor"/>
          <w:rtl w:val="true"/>
        </w:rPr>
        <w:footnoteReference w:id="565"/>
      </w:r>
      <w:r>
        <w:rPr>
          <w:rFonts w:ascii="Amiri" w:hAnsi="Amiri" w:eastAsia="Amiri" w:cs="Amiri"/>
          <w:color w:val="111111"/>
          <w:sz w:val="28"/>
          <w:sz w:val="28"/>
          <w:szCs w:val="28"/>
          <w:rtl w:val="true"/>
          <w:lang w:bidi="ar-SA"/>
        </w:rPr>
        <w:t>فعليه القطع،و الشافعي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الخبرين المفصّلين أنّ المراد بالظاهر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الثوب الخارج، سواء كان بابه في ظاهره أو باطنه،و سواء كان الشدّ على تقديره من داخله أم خارجه،كما صرّح به في المسالك </w:t>
      </w:r>
      <w:r>
        <w:rPr>
          <w:rStyle w:val="FootnoteAnchor"/>
          <w:rtl w:val="true"/>
        </w:rPr>
        <w:footnoteReference w:id="566"/>
      </w:r>
      <w:r>
        <w:rPr>
          <w:rFonts w:ascii="Amiri" w:hAnsi="Amiri" w:eastAsia="Amiri" w:cs="Amiri"/>
          <w:color w:val="111111"/>
          <w:sz w:val="28"/>
          <w:sz w:val="28"/>
          <w:szCs w:val="28"/>
          <w:rtl w:val="true"/>
          <w:lang w:bidi="ar-SA"/>
        </w:rPr>
        <w:t xml:space="preserve">،و حكاه في الروضة عن الخلاف و المختلف </w:t>
      </w:r>
      <w:r>
        <w:rPr>
          <w:rStyle w:val="FootnoteAnchor"/>
          <w:rtl w:val="true"/>
        </w:rPr>
        <w:footnoteReference w:id="567"/>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المشهور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يقطع في سرقة الثمر و هو على الشجر،و يقطع سارقه بعد صرمه و إحرازه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الأخير على الظاهر،المصرّح به في التنقيح </w:t>
      </w:r>
      <w:r>
        <w:rPr>
          <w:rStyle w:val="FootnoteAnchor"/>
          <w:rtl w:val="true"/>
        </w:rPr>
        <w:footnoteReference w:id="569"/>
      </w:r>
      <w:r>
        <w:rPr>
          <w:rFonts w:ascii="Amiri" w:hAnsi="Amiri" w:eastAsia="Amiri" w:cs="Amiri"/>
          <w:color w:val="111111"/>
          <w:sz w:val="28"/>
          <w:sz w:val="28"/>
          <w:szCs w:val="28"/>
          <w:rtl w:val="true"/>
          <w:lang w:bidi="ar-SA"/>
        </w:rPr>
        <w:t>للعمومات،و خصوص ما يأتي من بعض النصوص</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الأشهر في الأول مطلقاً؛ لإطلاق النصوص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اثنين منها و أحدهما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ثمر و 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شحم النخل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القويّ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سرق الثمار في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أكل منه فلا شيء عليه،و ما حمل فيعزَّر و يغرم قيمته مرّتين</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من سرق من الفاكهة،و إذا مرّ بها فليأكل و لا يفسد</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و إن شمل صورة السرقة بعد الصرم و الإحراز إلّا أنّه مقيّد بما قبلهما؛ بالإجماع،و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الرجل من النخل و الزرع قبل أن يصرم فليس عليه قطع،فإذا صرم النخل و حصد الزرع فأخذ قُطِع</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 دعوى تبادر كون الثمرة على الشجرة من إطلاق الأخبار، فيختصّ به،و لا يحتاج إلى التقييد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قيّده الفاضل و ولده </w:t>
      </w:r>
      <w:r>
        <w:rPr>
          <w:rStyle w:val="FootnoteAnchor"/>
          <w:rtl w:val="true"/>
        </w:rPr>
        <w:footnoteReference w:id="574"/>
      </w:r>
      <w:r>
        <w:rPr>
          <w:rFonts w:ascii="Amiri" w:hAnsi="Amiri" w:eastAsia="Amiri" w:cs="Amiri"/>
          <w:color w:val="111111"/>
          <w:sz w:val="28"/>
          <w:sz w:val="28"/>
          <w:szCs w:val="28"/>
          <w:rtl w:val="true"/>
          <w:lang w:bidi="ar-SA"/>
        </w:rPr>
        <w:t>بما إذا لم تكن الشجرة في موضع محرز كالدار،و إلّا فالأولى القطع؛ عملاً بالقواعد،و طعناً في سند النصوص، و جمعاً بينها و بين ما دلّ على القطع على الإطلاق،كالخبر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من بستان عذقاً قيمته درهمان،قال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به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حسن،لولا الشهرة الجابرة لضعف النصوص،و ضعف الخبر الأخير،و شذوذ ما دلّ عليه من القطع بالدرهمين،مع عدم وضوح شاهد على الجمع غير مراعاة القاعدة،و تخصيصها بها بعد ما عرفت من اعتبارها غير مستنكر،كما خُصِّص بمثلها قاعدة حرمة التصرّف في الثمرة للغير بالأكل و لو بشرائطه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بُعد في كون ما نحن فيه من ذلك القبيل،إلّا أن يتأمّل في دلالة النصوص بعدم صراحتها في عدم القطع في محلّ النزاع بقوّة احتمال اختصاصها بصورة عدم الإحراز،كما هو الغالب، و إليه أشار شيخنا في الروضة،و به استحسن التقييد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يقطع في سرقة مأكول عام سَنَة أي مجاعة سواء كان مأكولاً بالفعل أو بالقوّة،بلا خلاف ظاهر و محكيّ في بعض العبائر </w:t>
      </w:r>
      <w:r>
        <w:rPr>
          <w:rStyle w:val="FootnoteAnchor"/>
          <w:rtl w:val="true"/>
        </w:rPr>
        <w:footnoteReference w:id="577"/>
      </w:r>
      <w:r>
        <w:rPr>
          <w:rFonts w:ascii="Amiri" w:hAnsi="Amiri" w:eastAsia="Amiri" w:cs="Amiri"/>
          <w:color w:val="111111"/>
          <w:sz w:val="28"/>
          <w:sz w:val="28"/>
          <w:szCs w:val="28"/>
          <w:rtl w:val="true"/>
          <w:lang w:bidi="ar-SA"/>
        </w:rPr>
        <w:t xml:space="preserve">، و نسب إلى روايات الأصحاب في الغنية و السرائر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في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مجاعة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إطلاقهما و إن شمل سرقة المأكول و غيره إلّا أنّه مقيّد بالأول بالاتّفاق على الظاهر و 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في سنة المجاعة في شيء ممّا يؤكل،مثل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و اللحم و أشباه ذلك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أظهر منه آخر 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في عام سنة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المأكول دون غيره </w:t>
      </w:r>
      <w:r>
        <w:rPr>
          <w:rStyle w:val="FootnoteAnchor"/>
          <w:rtl w:val="true"/>
        </w:rPr>
        <w:footnoteReference w:id="58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ظاهر إطلاق النصّ و الفتوى بين كون السارق غنيّاً غير محتاج إلى المأكول،أو فقيراً محتاجاً إليه،و به صرّح شيخنا في المسالك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الاختصاص بالثاني باحتمال اختصاص الإطلاق به بحكم التبادر،و لكن درء الحدّ بالشبهة يقتضي المصير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يقطع من سرق مملوكاً بلا خلاف منّا إذا كان صغيراً،بل ظاهر بعض العبارات الإجماع عليه منّا </w:t>
      </w:r>
      <w:r>
        <w:rPr>
          <w:rStyle w:val="FootnoteAnchor"/>
          <w:rtl w:val="true"/>
        </w:rPr>
        <w:footnoteReference w:id="584"/>
      </w:r>
      <w:r>
        <w:rPr>
          <w:rFonts w:ascii="Amiri" w:hAnsi="Amiri" w:eastAsia="Amiri" w:cs="Amiri"/>
          <w:color w:val="111111"/>
          <w:sz w:val="28"/>
          <w:sz w:val="28"/>
          <w:szCs w:val="28"/>
          <w:rtl w:val="true"/>
          <w:lang w:bidi="ar-SA"/>
        </w:rPr>
        <w:t>لأنّه مالٌ فيلحقه حكمه و 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محرزاً،و بلوغ قيمته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كبيراً مميّزاً فلا قطع بسرقته؛ لأنّه متحفّظ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نائماً،أو في حكمه،أو لا يعرف سيّده عن غيره،كذا ذكره جماعة </w:t>
      </w:r>
      <w:r>
        <w:rPr>
          <w:rStyle w:val="FootnoteAnchor"/>
          <w:rtl w:val="true"/>
        </w:rPr>
        <w:footnoteReference w:id="585"/>
      </w:r>
      <w:r>
        <w:rPr>
          <w:rFonts w:ascii="Amiri" w:hAnsi="Amiri" w:eastAsia="Amiri" w:cs="Amiri"/>
          <w:color w:val="111111"/>
          <w:sz w:val="28"/>
          <w:sz w:val="28"/>
          <w:szCs w:val="28"/>
          <w:rtl w:val="true"/>
          <w:lang w:bidi="ar-SA"/>
        </w:rPr>
        <w:t>،بل لم أجد فيه خلافاً إلّا من إطلاق العبارة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المسروق حرّا،فباعه السارق قطع وفاقاً للنهاية </w:t>
      </w:r>
      <w:r>
        <w:rPr>
          <w:rStyle w:val="FootnoteAnchor"/>
          <w:rtl w:val="true"/>
        </w:rPr>
        <w:footnoteReference w:id="586"/>
      </w:r>
      <w:r>
        <w:rPr>
          <w:rFonts w:ascii="Amiri" w:hAnsi="Amiri" w:eastAsia="Amiri" w:cs="Amiri"/>
          <w:color w:val="111111"/>
          <w:sz w:val="28"/>
          <w:sz w:val="28"/>
          <w:szCs w:val="28"/>
          <w:rtl w:val="true"/>
          <w:lang w:bidi="ar-SA"/>
        </w:rPr>
        <w:t xml:space="preserve">و جماعة </w:t>
      </w:r>
      <w:r>
        <w:rPr>
          <w:rStyle w:val="FootnoteAnchor"/>
          <w:rtl w:val="true"/>
        </w:rPr>
        <w:footnoteReference w:id="587"/>
      </w:r>
      <w:r>
        <w:rPr>
          <w:rFonts w:ascii="Amiri" w:hAnsi="Amiri" w:eastAsia="Amiri" w:cs="Amiri"/>
          <w:color w:val="111111"/>
          <w:sz w:val="28"/>
          <w:sz w:val="28"/>
          <w:szCs w:val="28"/>
          <w:rtl w:val="true"/>
          <w:lang w:bidi="ar-SA"/>
        </w:rPr>
        <w:t xml:space="preserve">،بل ادّعى في التنقيح عليه الشهرة </w:t>
      </w:r>
      <w:r>
        <w:rPr>
          <w:rStyle w:val="FootnoteAnchor"/>
          <w:rtl w:val="true"/>
        </w:rPr>
        <w:footnoteReference w:id="588"/>
      </w:r>
      <w:r>
        <w:rPr>
          <w:rFonts w:ascii="IRNazanin" w:hAnsi="IRNazanin" w:eastAsia="IRNazanin"/>
          <w:color w:val="111111"/>
          <w:sz w:val="28"/>
          <w:sz w:val="28"/>
          <w:szCs w:val="28"/>
          <w:rtl w:val="true"/>
          <w:lang w:bidi="fa-IR"/>
        </w:rPr>
        <w:t xml:space="preserve">و النصوص به </w:t>
      </w:r>
    </w:p>
    <w:p>
      <w:pPr>
        <w:pStyle w:val="BookText"/>
        <w:rPr/>
      </w:pP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برجل قد باع حرّا،فقطع يده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يبيع الرجل و هما حرّان،فيبيع هذا هذا،و هذا هذا،و يفرّان من بلد إلى بلد،فيبيعان أنفسهما و يفرّان بأموال الناس،قال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أيديهما؛ لأنّهما سارقا أنفسهما و أموال الناس</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أن يُقطَعَ يده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سرق حرّة فباعها،فقال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أربعة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أوّلها فسارق يُقطَعُ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للخلاف،فلا قطع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على أنّه لا قطع إلّا فيما قيمته ربع دينار فصاعداً،و الحرّ لا قيمة له،و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القطع، و قد روى ذلك أصحابنا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قطعه إنّما هو لفساده،لا حدّا بسرقته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يشكل بأنّ اللازم عليه تخيير الحاكم بين قتله و قطع يده و رجله من خلاف،إلى غير ذلك من أحكامه،لا يتعيّن القطع بخصوصه، </w:t>
      </w:r>
    </w:p>
    <w:p>
      <w:pPr>
        <w:pStyle w:val="BookText"/>
        <w:rPr/>
      </w:pPr>
      <w:r>
        <w:rPr>
          <w:rFonts w:ascii="Amiri" w:hAnsi="Amiri" w:eastAsia="Amiri" w:cs="Amiri"/>
          <w:color w:val="111111"/>
          <w:sz w:val="28"/>
          <w:sz w:val="28"/>
          <w:szCs w:val="28"/>
          <w:rtl w:val="true"/>
          <w:lang w:bidi="ar-SA"/>
        </w:rPr>
        <w:t>إلّا أن يدّعى خصوصيّة فيما نحن فيه،خارجة عن قاعدة حدّ المفسد،تبعاً للنصوص المزبورة،فتأمّل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الحكم في المختلف بأنّ وجوب القطع في سرقة المال إنّما جاء لحراسته و حراسة،النفس أولى،فوجوب القطع فيه أولى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الحكم معلّق على مال خاص يسرق على وجه خاص، و مثله لا يتمّ في الحرّ،و مطلق خيانة المال غير مقصود في هذا الباب،كما يظهر من الشرائط،و حمل النفس عليه مطلقاً لا يتمّ،و بشرائطه لا ينتظم؛ مع أنّ إلحاق النفس بالمال يقتضي القطع بسرقته على الإطلاق و لو تجرّد عن بيع،و لم يقولوا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ما في العبارة من التعليل بوجهٍ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العمدة في إثبات القطع هنا هو النصوص،و قد علّله جملة منها بكونه سارقاً، الظاهر في أنّه للسرقة لا غير،فالاعتذار 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تردّ بقصور أسانيدها،و عدم وضوح جابر لها عدا الشهرة المحكيّة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حصوله بها نوع مناقشة،سيّما مع رجوع الشيخ الذي هو أصلها عمّا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عليه لا يتوجّه الحكم بالقطع بالتعليل في العبارة؛ لما يرد عليه ممّا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بما قدّمناه من احتمال الخصوصيّة الخارجة بالنصوص بعد فرض ضعفها،غير ممكن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أنّ ظاهر جماعة التردّد في المسألة،كالماتن في الشرائع، و الفاضل المقداد في التنقيح،و الشهيدين في المسالك و اللمعتين</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و به </w:t>
      </w:r>
    </w:p>
    <w:p>
      <w:pPr>
        <w:pStyle w:val="BookText"/>
        <w:rPr/>
      </w:pPr>
      <w:r>
        <w:rPr>
          <w:rFonts w:ascii="Amiri" w:hAnsi="Amiri" w:eastAsia="Amiri" w:cs="Amiri"/>
          <w:color w:val="111111"/>
          <w:sz w:val="28"/>
          <w:sz w:val="28"/>
          <w:szCs w:val="28"/>
          <w:rtl w:val="true"/>
          <w:lang w:bidi="ar-SA"/>
        </w:rPr>
        <w:t>يتّجه ما في الخلاف من عدم القطع؛ لحصول الشبهة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العبارة و النصوص المتقدّمة بل ظاهر جملة منها عدم الفرق في المسروق بين الصغير و الكبير،كما عن النهاية </w:t>
      </w:r>
      <w:r>
        <w:rPr>
          <w:rStyle w:val="FootnoteAnchor"/>
          <w:rtl w:val="true"/>
        </w:rPr>
        <w:footnoteReference w:id="596"/>
      </w:r>
      <w:r>
        <w:rPr>
          <w:rFonts w:ascii="Amiri" w:hAnsi="Amiri" w:eastAsia="Amiri" w:cs="Amiri"/>
          <w:color w:val="111111"/>
          <w:sz w:val="28"/>
          <w:sz w:val="28"/>
          <w:szCs w:val="28"/>
          <w:rtl w:val="true"/>
          <w:lang w:bidi="ar-SA"/>
        </w:rPr>
        <w:t xml:space="preserve">و جماعة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قيّده في المبسوط و الخلاف </w:t>
      </w:r>
      <w:r>
        <w:rPr>
          <w:rStyle w:val="FootnoteAnchor"/>
          <w:rtl w:val="true"/>
        </w:rPr>
        <w:footnoteReference w:id="598"/>
      </w:r>
      <w:r>
        <w:rPr>
          <w:rFonts w:ascii="Amiri" w:hAnsi="Amiri" w:eastAsia="Amiri" w:cs="Amiri"/>
          <w:color w:val="111111"/>
          <w:sz w:val="28"/>
          <w:sz w:val="28"/>
          <w:szCs w:val="28"/>
          <w:rtl w:val="true"/>
          <w:lang w:bidi="ar-SA"/>
        </w:rPr>
        <w:t>و كثير بل الأكثر،كما في المسالك</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بالأوّل؛ نظراً إلى أنّ الكبير متحفّظ بنفسه،فلا يتحقّق 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التعليل متوجّه على تقدير الاستناد في قطع سارق الحرّ إلى كونه سارقاً،و هو ينافي ما مضى من التعليل بأنّه لفساده لا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عليه فلا فرق بين الصغير و الكبير،لوجوده في سرقتهما،فتأمّل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يقطع سارق الكفن </w:t>
      </w:r>
      <w:r>
        <w:rPr>
          <w:rStyle w:val="FootnoteAnchor"/>
          <w:rtl w:val="true"/>
        </w:rPr>
        <w:footnoteReference w:id="600"/>
      </w:r>
      <w:r>
        <w:rPr>
          <w:rFonts w:ascii="Amiri" w:hAnsi="Amiri" w:eastAsia="Amiri" w:cs="Amiri"/>
          <w:color w:val="111111"/>
          <w:sz w:val="28"/>
          <w:sz w:val="28"/>
          <w:szCs w:val="28"/>
          <w:rtl w:val="true"/>
          <w:lang w:bidi="ar-SA"/>
        </w:rPr>
        <w:t xml:space="preserve">من الحرز،و منه القبر بالنسبة إليه خاصّة، إجماعاً على ما يستفاد من الديلمي </w:t>
      </w:r>
      <w:r>
        <w:rPr>
          <w:rStyle w:val="FootnoteAnchor"/>
          <w:rtl w:val="true"/>
        </w:rPr>
        <w:footnoteReference w:id="601"/>
      </w:r>
      <w:r>
        <w:rPr>
          <w:rFonts w:ascii="Amiri" w:hAnsi="Amiri" w:eastAsia="Amiri" w:cs="Amiri"/>
          <w:color w:val="111111"/>
          <w:sz w:val="28"/>
          <w:sz w:val="28"/>
          <w:szCs w:val="28"/>
          <w:rtl w:val="true"/>
          <w:lang w:bidi="ar-SA"/>
        </w:rPr>
        <w:t xml:space="preserve">،و صرّح به في الإيضاح و الكنز و التنقيح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ما في المقنع و الفقيه </w:t>
      </w:r>
      <w:r>
        <w:rPr>
          <w:rStyle w:val="FootnoteAnchor"/>
          <w:rtl w:val="true"/>
        </w:rPr>
        <w:footnoteReference w:id="603"/>
      </w:r>
      <w:r>
        <w:rPr>
          <w:rFonts w:ascii="Amiri" w:hAnsi="Amiri" w:eastAsia="Amiri" w:cs="Amiri"/>
          <w:color w:val="111111"/>
          <w:sz w:val="28"/>
          <w:sz w:val="28"/>
          <w:szCs w:val="28"/>
          <w:rtl w:val="true"/>
          <w:lang w:bidi="ar-SA"/>
        </w:rPr>
        <w:t xml:space="preserve">،من عدم القطع على النبّاش إلّا أن يؤخذ و قد نبش مراراً؛ لاحتماله كمستنده الآتي </w:t>
      </w:r>
      <w:r>
        <w:rPr>
          <w:rStyle w:val="FootnoteAnchor"/>
          <w:rtl w:val="true"/>
        </w:rPr>
        <w:footnoteReference w:id="604"/>
      </w:r>
      <w:r>
        <w:rPr>
          <w:rFonts w:ascii="Amiri" w:hAnsi="Amiri" w:eastAsia="Amiri" w:cs="Amiri"/>
          <w:color w:val="111111"/>
          <w:sz w:val="28"/>
          <w:sz w:val="28"/>
          <w:szCs w:val="28"/>
          <w:rtl w:val="true"/>
          <w:lang w:bidi="ar-SA"/>
        </w:rPr>
        <w:t xml:space="preserve">الاختصاص بما إذا كان نبّاشاً لم يسرق الكفن،لا مطلقاً؛ مع أنّه معلوم النسب،فلا يقدح </w:t>
      </w:r>
    </w:p>
    <w:p>
      <w:pPr>
        <w:pStyle w:val="BookText"/>
        <w:rPr/>
      </w:pPr>
      <w:r>
        <w:rPr>
          <w:rFonts w:ascii="Amiri" w:hAnsi="Amiri" w:eastAsia="Amiri" w:cs="Amiri"/>
          <w:color w:val="111111"/>
          <w:sz w:val="28"/>
          <w:sz w:val="28"/>
          <w:szCs w:val="28"/>
          <w:rtl w:val="true"/>
          <w:lang w:bidi="ar-SA"/>
        </w:rPr>
        <w:t>خروجه في انعقاد الإجماع على خلافه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القطع بسرقته بعد الإجماع المحكيّ في السرائر و الغنية </w:t>
      </w:r>
      <w:r>
        <w:rPr>
          <w:rStyle w:val="FootnoteAnchor"/>
          <w:rtl w:val="true"/>
        </w:rPr>
        <w:footnoteReference w:id="605"/>
      </w:r>
      <w:r>
        <w:rPr>
          <w:rFonts w:ascii="Amiri" w:hAnsi="Amiri" w:eastAsia="Amiri" w:cs="Amiri"/>
          <w:color w:val="111111"/>
          <w:sz w:val="28"/>
          <w:sz w:val="28"/>
          <w:szCs w:val="28"/>
          <w:rtl w:val="true"/>
          <w:lang w:bidi="ar-SA"/>
        </w:rPr>
        <w:t>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الطرّار و النبّاش،و لا يقطع المختلس</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نبّاشاً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نبّاش القبر،فقيل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تقطع في الموتى؟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نقطع لأمواتنا كما نقطع لأحيائنا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الميّت كحرمة الحيّ،حدّه أن يقطع يده لنبشه و سلبه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سارق و هتّاك الموتى</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القطع على النبّاش في جملة منها و إن كان مطلقاً يشمل ما لو لم يكن للكفن سارقاً،إلّا أنّه مقيّد بالإجماع على أنّه لا يقطع بمجرّد النبش أولاً،كما هو ظاهر إطلاقها؛ مع أنّ بتتبّع أكثر النصوص بعد ضمّ بعضها إلى بعض يظهر أنّ المراد بالنبّاش حيث يطلق هو سارق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القطع به بلوغه النصاب مطلقاً،وفاقاً لأكثر الأصحاب على الظاهر،المصرّح به في كلام بعض </w:t>
      </w:r>
      <w:r>
        <w:rPr>
          <w:rStyle w:val="FootnoteAnchor"/>
          <w:rtl w:val="true"/>
        </w:rPr>
        <w:footnoteReference w:id="613"/>
      </w:r>
      <w:r>
        <w:rPr>
          <w:rFonts w:ascii="Amiri" w:hAnsi="Amiri" w:eastAsia="Amiri" w:cs="Amiri"/>
          <w:color w:val="111111"/>
          <w:sz w:val="28"/>
          <w:sz w:val="28"/>
          <w:szCs w:val="28"/>
          <w:rtl w:val="true"/>
          <w:lang w:bidi="ar-SA"/>
        </w:rPr>
        <w:t>للأصل،و عموم ما دلّ على اعتباره في القطع بمطلق السرقة،و خصوص تشبيه النبّاش بالسارق في جملة من النصوص المتقدّمة،و فيها الصحيح و غيره،الظاهر في مساواتهما في الشرائط،بل ظاهر بعضها التعليل بكونه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مطلقاً،كما عن الشيخ و القاضي و الحلّي </w:t>
      </w:r>
      <w:r>
        <w:rPr>
          <w:rStyle w:val="FootnoteAnchor"/>
          <w:rtl w:val="true"/>
        </w:rPr>
        <w:footnoteReference w:id="614"/>
      </w:r>
      <w:r>
        <w:rPr>
          <w:rFonts w:ascii="Amiri" w:hAnsi="Amiri" w:eastAsia="Amiri" w:cs="Amiri"/>
          <w:color w:val="111111"/>
          <w:sz w:val="28"/>
          <w:sz w:val="28"/>
          <w:szCs w:val="28"/>
          <w:rtl w:val="true"/>
          <w:lang w:bidi="ar-SA"/>
        </w:rPr>
        <w:t xml:space="preserve">في آخر كلامه،و اختاره الفاضل في الإرشاد </w:t>
      </w:r>
      <w:r>
        <w:rPr>
          <w:rStyle w:val="FootnoteAnchor"/>
          <w:rtl w:val="true"/>
        </w:rPr>
        <w:footnoteReference w:id="615"/>
      </w:r>
      <w:r>
        <w:rPr>
          <w:rFonts w:ascii="Amiri" w:hAnsi="Amiri" w:eastAsia="Amiri" w:cs="Amiri"/>
          <w:color w:val="111111"/>
          <w:sz w:val="28"/>
          <w:sz w:val="28"/>
          <w:szCs w:val="28"/>
          <w:rtl w:val="true"/>
          <w:lang w:bidi="ar-SA"/>
        </w:rPr>
        <w:t>لإطلاق الأخبار بقطع النبّاش و سارق الكفن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ثبوته في جميعها؛ لما مضى من ظهور جملة منها في الاشتراط،و بها يقيّد باقيها؛ مع احتمال اختصاصها بحكم التبادر بسارق الكفن الذي يبلغ قيمته النصاب،كما هو الغالب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قيل بالتفصيل بين المرّة الأُولى فالأوّل،و الثانية و الثالثة فالثاني، </w:t>
      </w:r>
    </w:p>
    <w:p>
      <w:pPr>
        <w:pStyle w:val="BookText"/>
        <w:rPr/>
      </w:pPr>
      <w:r>
        <w:rPr>
          <w:rFonts w:ascii="Amiri" w:hAnsi="Amiri" w:eastAsia="Amiri" w:cs="Amiri"/>
          <w:color w:val="111111"/>
          <w:sz w:val="28"/>
          <w:sz w:val="28"/>
          <w:szCs w:val="28"/>
          <w:rtl w:val="true"/>
          <w:lang w:bidi="ar-SA"/>
        </w:rPr>
        <w:t xml:space="preserve">و عليه الحلّي في أوّل كلامه </w:t>
      </w:r>
      <w:r>
        <w:rPr>
          <w:rStyle w:val="FootnoteAnchor"/>
          <w:rtl w:val="true"/>
        </w:rPr>
        <w:footnoteReference w:id="616"/>
      </w:r>
      <w:r>
        <w:rPr>
          <w:rFonts w:ascii="Amiri" w:hAnsi="Amiri" w:eastAsia="Amiri" w:cs="Amiri"/>
          <w:color w:val="111111"/>
          <w:sz w:val="28"/>
          <w:sz w:val="28"/>
          <w:szCs w:val="28"/>
          <w:rtl w:val="true"/>
          <w:lang w:bidi="ar-SA"/>
        </w:rPr>
        <w:t>مستنداً في الأوّل إلى ما قدّمناه من عموم الأدلّة و خصوص النصوص المشبّهة،و في الثاني إلى أنه مفسدٌ فيقطع للإفساد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مضى سابقاً،مع أنّه شاذّ،و هو قد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وقفت على من استدلّ للقول الثاني بما أشار إليه الماتن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أي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 السرقة،بل لحسم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زيادة على ما عرفته من ورود الإشكال المتقدّم عليه مخالفة لظاهر النصوص المتقدّمة المشبّهة للنبّاش بالسارق،الظاهرة من جهة التشبيه في كون السبب في الحدّ هو السرقة،من غير اعتبار خصوصيّة للنبش و أخذ الكفن 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نبش و لم يأخذ الكفن عُزِّر بما يراه الحاكم؛ لفعله المحرّم فيعزَّر </w:t>
      </w:r>
      <w:r>
        <w:rPr>
          <w:rStyle w:val="FootnoteAnchor"/>
          <w:rtl w:val="true"/>
        </w:rPr>
        <w:footnoteReference w:id="617"/>
      </w:r>
      <w:r>
        <w:rPr>
          <w:rFonts w:ascii="Amiri" w:hAnsi="Amiri" w:eastAsia="Amiri" w:cs="Amiri"/>
          <w:color w:val="111111"/>
          <w:sz w:val="28"/>
          <w:sz w:val="28"/>
          <w:szCs w:val="28"/>
          <w:rtl w:val="true"/>
          <w:lang w:bidi="ar-SA"/>
        </w:rPr>
        <w:t xml:space="preserve">كما مرّ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النبش له بعادة لم يقطع،و يعزَّر</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المرسل كالموثّق في النبّاش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أول مرّة عُزِّر،فإن عاد قطع</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إطلاقهما بعدم قطع النبّاش إلّا مع اعتياده النبش،ظاهرٌ فيما قدّمناه عن الصدوق في الكتابين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في ذلك القريب من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أُخذ و هو ينبش،قال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عليه قطعاً،إلّا أن يؤخذ و قد نبش مراراً فاقطعه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حملها الأصحاب على مجرّد النبش الخالي عن أخذ الكفن، جمعاً بينها و بين النصوص المتقدّمة،بحملها على سرقة الكفن كما هو ظاهرها،و لا سيّما الأخبار المشبّهة منها بالسرقة بناءً على ما سبق،و حمل هذه على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بينها و إن أمكن بما يوافق قوله،إلّا أنّ كثرة تلك الأخبار و شهرتها شهرة قريبة من الإجماع المحتمل الظهور،المصرّح به فيما مرّ من الكتب </w:t>
      </w:r>
      <w:r>
        <w:rPr>
          <w:rStyle w:val="FootnoteAnchor"/>
          <w:rtl w:val="true"/>
        </w:rPr>
        <w:footnoteReference w:id="623"/>
      </w:r>
      <w:r>
        <w:rPr>
          <w:rFonts w:ascii="Amiri" w:hAnsi="Amiri" w:eastAsia="Amiri" w:cs="Amiri"/>
          <w:color w:val="111111"/>
          <w:sz w:val="28"/>
          <w:sz w:val="28"/>
          <w:szCs w:val="28"/>
          <w:rtl w:val="true"/>
          <w:lang w:bidi="ar-SA"/>
        </w:rPr>
        <w:t>،ترجّح الجمع الأوّل،فالقول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 منه النبش المجرّد عن أخذ الكفن،قطع بمقتضى هذه المعتبرة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الصورة لو فات النبّاش السلطان أي هرب منه فلم يقدر عليه جاز له كما في كلام كثير </w:t>
      </w:r>
      <w:r>
        <w:rPr>
          <w:rStyle w:val="FootnoteAnchor"/>
          <w:rtl w:val="true"/>
        </w:rPr>
        <w:footnoteReference w:id="624"/>
      </w:r>
      <w:r>
        <w:rPr>
          <w:rFonts w:ascii="Amiri" w:hAnsi="Amiri" w:eastAsia="Amiri" w:cs="Amiri"/>
          <w:color w:val="111111"/>
          <w:sz w:val="28"/>
          <w:sz w:val="28"/>
          <w:szCs w:val="28"/>
          <w:rtl w:val="true"/>
          <w:lang w:bidi="ar-SA"/>
        </w:rPr>
        <w:t>،و لغيره أيضاً كما في ظاهر إطلاق العبارة قتله؛ ردعاً لغيره من أن ينال مثل فعله</w:t>
      </w:r>
      <w:r>
        <w:rPr>
          <w:rFonts w:eastAsia="Amiri" w:cs="Amiri" w:ascii="Amiri" w:hAnsi="Amiri"/>
          <w:color w:val="111111"/>
          <w:sz w:val="28"/>
          <w:szCs w:val="28"/>
          <w:rtl w:val="true"/>
          <w:lang w:bidi="ar-SA"/>
        </w:rPr>
        <w:t xml:space="preserve">. </w:t>
      </w:r>
      <w:bookmarkStart w:id="90" w:name="pg11409_90705"/>
    </w:p>
    <w:p>
      <w:pPr>
        <w:pStyle w:val="BookText"/>
        <w:rPr/>
      </w:pPr>
      <w:bookmarkEnd w:id="90"/>
      <w:r>
        <w:rPr>
          <w:rFonts w:ascii="Amiri" w:hAnsi="Amiri" w:eastAsia="Amiri" w:cs="Amiri"/>
          <w:color w:val="111111"/>
          <w:sz w:val="28"/>
          <w:sz w:val="28"/>
          <w:szCs w:val="28"/>
          <w:rtl w:val="true"/>
          <w:lang w:bidi="ar-SA"/>
        </w:rPr>
        <w:t xml:space="preserve">و لم أجد الخلاف فيه إلّا من الشيخ في كتابي الحديث،فلم يفرّع القتل على الفوات من السلطان،بل على إقامة الحدّ عليه ثلاث مرّات </w:t>
      </w:r>
      <w:r>
        <w:rPr>
          <w:rStyle w:val="FootnoteAnchor"/>
          <w:rtl w:val="true"/>
        </w:rPr>
        <w:footnoteReference w:id="625"/>
      </w:r>
      <w:r>
        <w:rPr>
          <w:rFonts w:ascii="Amiri" w:hAnsi="Amiri" w:eastAsia="Amiri" w:cs="Amiri"/>
          <w:color w:val="111111"/>
          <w:sz w:val="28"/>
          <w:sz w:val="28"/>
          <w:szCs w:val="28"/>
          <w:rtl w:val="true"/>
          <w:lang w:bidi="ar-SA"/>
        </w:rPr>
        <w:t xml:space="preserve">، و حكي عن الجامع </w:t>
      </w:r>
      <w:r>
        <w:rPr>
          <w:rStyle w:val="FootnoteAnchor"/>
          <w:rtl w:val="true"/>
        </w:rPr>
        <w:footnoteReference w:id="626"/>
      </w:r>
      <w:r>
        <w:rPr>
          <w:rFonts w:ascii="Amiri" w:hAnsi="Amiri" w:eastAsia="Amiri" w:cs="Amiri"/>
          <w:color w:val="111111"/>
          <w:sz w:val="28"/>
          <w:sz w:val="28"/>
          <w:szCs w:val="28"/>
          <w:rtl w:val="true"/>
          <w:lang w:bidi="ar-SA"/>
        </w:rPr>
        <w:t>،و لم أقف على نصّ يقتضي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المرسل بغير واحد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بابن أبي عمير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نبّاش،فأخذ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بشعره فضرب به الأرض،ثم أمر الناس فوطئوه حتى مات</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 نحوه مرسل آخر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فيهما تكرار الفعل و لا الفوت من السلطان،إلّا أن يحملا عليهما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للاحتياط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عدم وجوب القتل،كما هو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 الشيخ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 مع تكرّر النبش مرّات و الحدّ خلالها ثلاثاً،و إلّا فلعلّ الترك أحوط</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02647_73709187"/>
      <w:bookmarkStart w:id="92" w:name="_Toc33"/>
      <w:bookmarkEnd w:id="91"/>
      <w:r>
        <w:rPr>
          <w:rtl w:val="true"/>
        </w:rPr>
        <w:t>الثالث يثبت الموجب بالإقرار مرّتين،أو بشهادة عدلين</w:t>
      </w:r>
      <w:bookmarkEnd w:id="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الموجب للقطع بالإقرار به مرّتين،أو بشهادة عدلين بلا خلاف و لا إشكال؛ للعمومات،و خصوص ما يأتي من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أقرّ به مرّة واحدة اُغرم </w:t>
      </w:r>
      <w:r>
        <w:rPr>
          <w:rStyle w:val="FootnoteAnchor"/>
          <w:rtl w:val="true"/>
        </w:rPr>
        <w:footnoteReference w:id="631"/>
      </w:r>
      <w:r>
        <w:rPr>
          <w:rFonts w:ascii="Amiri" w:hAnsi="Amiri" w:eastAsia="Amiri" w:cs="Amiri"/>
          <w:color w:val="111111"/>
          <w:sz w:val="28"/>
          <w:sz w:val="28"/>
          <w:szCs w:val="28"/>
          <w:rtl w:val="true"/>
          <w:lang w:bidi="ar-SA"/>
        </w:rPr>
        <w:t xml:space="preserve">الذي أقرّ به بلا خلاف، و لكن لم يقطع كما قطع به الأصحاب على الظاهر،المصرّح به في بعض العبائر </w:t>
      </w:r>
      <w:r>
        <w:rPr>
          <w:rStyle w:val="FootnoteAnchor"/>
          <w:rtl w:val="true"/>
        </w:rPr>
        <w:footnoteReference w:id="632"/>
      </w:r>
      <w:r>
        <w:rPr>
          <w:rFonts w:ascii="Amiri" w:hAnsi="Amiri" w:eastAsia="Amiri" w:cs="Amiri"/>
          <w:color w:val="111111"/>
          <w:sz w:val="28"/>
          <w:sz w:val="28"/>
          <w:szCs w:val="28"/>
          <w:rtl w:val="true"/>
          <w:lang w:bidi="ar-SA"/>
        </w:rPr>
        <w:t xml:space="preserve">،بل فيه عن الخلاف التصريح بالإجماع </w:t>
      </w:r>
      <w:r>
        <w:rPr>
          <w:rStyle w:val="FootnoteAnchor"/>
          <w:rtl w:val="true"/>
        </w:rPr>
        <w:footnoteReference w:id="63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المعتبرين و لو بالشهرة،المرويّ أحدهما هنا 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حتى يقرّ بالسرقة،مرّتين،فان رجع ضمن السرقة،و لم يقطع إذا لم يكن شهود</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المرويّ في التهذيب في باب حدّ الزناء </w:t>
      </w:r>
      <w:r>
        <w:rPr>
          <w:rStyle w:val="FootnoteAnchor"/>
          <w:rtl w:val="true"/>
        </w:rPr>
        <w:footnoteReference w:id="635"/>
      </w:r>
      <w:r>
        <w:rPr>
          <w:rFonts w:ascii="Amiri" w:hAnsi="Amiri" w:eastAsia="Amiri" w:cs="Amiri"/>
          <w:color w:val="111111"/>
          <w:sz w:val="28"/>
          <w:sz w:val="28"/>
          <w:szCs w:val="28"/>
          <w:rtl w:val="true"/>
          <w:lang w:bidi="ar-SA"/>
        </w:rPr>
        <w:t xml:space="preserve">،و هو أوضح من الأول سنداً؛ إذ ليس فيه إلّا عليّ بن السندي،و قد قيل بحسنه </w:t>
      </w:r>
      <w:r>
        <w:rPr>
          <w:rStyle w:val="FootnoteAnchor"/>
          <w:rtl w:val="true"/>
        </w:rPr>
        <w:footnoteReference w:id="636"/>
      </w:r>
      <w:r>
        <w:rPr>
          <w:rFonts w:ascii="Amiri" w:hAnsi="Amiri" w:eastAsia="Amiri" w:cs="Amiri"/>
          <w:color w:val="111111"/>
          <w:sz w:val="28"/>
          <w:sz w:val="28"/>
          <w:szCs w:val="28"/>
          <w:rtl w:val="true"/>
          <w:lang w:bidi="ar-SA"/>
        </w:rPr>
        <w:t xml:space="preserve">، بخلافه؛ لتضمّنه عليّ بن حديد الضعيف </w:t>
      </w:r>
      <w:r>
        <w:rPr>
          <w:rStyle w:val="FootnoteAnchor"/>
          <w:rtl w:val="true"/>
        </w:rPr>
        <w:footnoteReference w:id="637"/>
      </w:r>
      <w:r>
        <w:rPr>
          <w:rFonts w:ascii="Amiri" w:hAnsi="Amiri" w:eastAsia="Amiri" w:cs="Amiri"/>
          <w:color w:val="111111"/>
          <w:sz w:val="28"/>
          <w:sz w:val="28"/>
          <w:szCs w:val="28"/>
          <w:rtl w:val="true"/>
          <w:lang w:bidi="ar-SA"/>
        </w:rPr>
        <w:t>،و الإرسال بعده،لكنّه لجميل ابن درّاج المجمع على تصحيح ما يصحّ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المقنع،فيقطع </w:t>
      </w:r>
      <w:r>
        <w:rPr>
          <w:rStyle w:val="FootnoteAnchor"/>
          <w:rtl w:val="true"/>
        </w:rPr>
        <w:footnoteReference w:id="638"/>
      </w:r>
      <w:r>
        <w:rPr>
          <w:rFonts w:ascii="IRNazanin" w:hAnsi="IRNazanin" w:eastAsia="IRNazanin"/>
          <w:color w:val="111111"/>
          <w:sz w:val="28"/>
          <w:sz w:val="28"/>
          <w:szCs w:val="28"/>
          <w:rtl w:val="true"/>
          <w:lang w:bidi="fa-IR"/>
        </w:rPr>
        <w:t xml:space="preserve">للعموم،و إطلاق ما دلّ على </w:t>
      </w:r>
    </w:p>
    <w:p>
      <w:pPr>
        <w:pStyle w:val="BookText"/>
        <w:rPr/>
      </w:pPr>
      <w:r>
        <w:rPr>
          <w:rFonts w:ascii="Amiri" w:hAnsi="Amiri" w:eastAsia="Amiri" w:cs="Amiri"/>
          <w:color w:val="111111"/>
          <w:sz w:val="28"/>
          <w:sz w:val="28"/>
          <w:szCs w:val="28"/>
          <w:rtl w:val="true"/>
          <w:lang w:bidi="ar-SA"/>
        </w:rPr>
        <w:t>القطع بالسرقة من النصوص،و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الرجل الحرّ على نفسه بالسرقة مرّة واحدة عند الإمام قطع</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آخر يأتي ذكره </w:t>
      </w:r>
      <w:r>
        <w:rPr>
          <w:rStyle w:val="FootnoteAnchor"/>
          <w:rtl w:val="true"/>
        </w:rPr>
        <w:footnoteReference w:id="640"/>
      </w:r>
      <w:r>
        <w:rPr>
          <w:rFonts w:ascii="IRNazanin" w:hAnsi="IRNazanin" w:eastAsia="IRNazanin"/>
          <w:color w:val="111111"/>
          <w:sz w:val="28"/>
          <w:sz w:val="28"/>
          <w:szCs w:val="28"/>
          <w:rtl w:val="true"/>
          <w:lang w:bidi="fa-IR"/>
        </w:rPr>
        <w:t>،مع ضعف المعارض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لولا ما مرّ من الجابر،و به يترجّح على المقابل،فيخصّ به العموم،و كذا الإطلاق يقيّد به،و الصحيحان يصرفان به عن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باحتمال أن يكون معنى القطع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عن الإقرار ثانياً،كما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سارقاً أقرّ عند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،فانتهره،فأقرّ ثانياً،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أقررت مرّتين،فقطعه </w:t>
      </w:r>
      <w:r>
        <w:rPr>
          <w:rStyle w:val="FootnoteAnchor"/>
          <w:rtl w:val="true"/>
        </w:rPr>
        <w:footnoteReference w:id="641"/>
      </w:r>
      <w:r>
        <w:rPr>
          <w:rFonts w:ascii="Amiri" w:hAnsi="Amiri" w:eastAsia="Amiri" w:cs="Amiri"/>
          <w:color w:val="111111"/>
          <w:sz w:val="28"/>
          <w:sz w:val="28"/>
          <w:szCs w:val="28"/>
          <w:rtl w:val="true"/>
          <w:lang w:bidi="ar-SA"/>
        </w:rPr>
        <w:t xml:space="preserve">و هو حجّة أُخرى على المختار،و بالجابر المتقدّم يجبر ما فيه من الضعف أو </w:t>
      </w:r>
      <w:r>
        <w:rPr>
          <w:rStyle w:val="FootnoteAnchor"/>
          <w:rtl w:val="true"/>
        </w:rPr>
        <w:footnoteReference w:id="642"/>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متعلّق الظرف بالسرقة،فيكون مطلقاً في عدد الإقرار،بل مجملاً،كما صرّح به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 به إمكان توهّم المخاطب أو بعض الحاضرين في المجلس أنّه لا قطع ما لم يتكرّر السرقة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الإنصاف بُعد هذين الحملين،و لعلّه لذا لم يُجب الشيخ عنهما في الكتابين إلّا بالحمل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لموافقتها لمذهب بعض العامّة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يشير إليه الموثّق كالصحيح بفضالة،عن أبان،المجمع على تصحيح ما يصحّ عنهما،عن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عيسى بن موسى،فأُتي بسارق و عنده رجل من آل عمر،فأقبل يسألني،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السارق إذا أقرّ على نفسه أنّه سرق؟قال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تقولون في الزاني إذا أقرّ على نفسه أربع مرّات؟قال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نرجمه،قلت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على نفسه مرّتين أن تقطعوه،فيكون بمنزلة الزاني؟</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أيضاً ظاهرٌ في اعتبار الإقرار مرّتين هنا،من حيث جعل السارق بمنزلة الزاني؛ بناءً على أنّ الزناء لمّا كان بين اثنين يشترط فيه الأربعة،كما ورد في بعض الأخبار في البيّنة </w:t>
      </w:r>
      <w:r>
        <w:rPr>
          <w:rStyle w:val="FootnoteAnchor"/>
          <w:rtl w:val="true"/>
        </w:rPr>
        <w:footnoteReference w:id="645"/>
      </w:r>
      <w:r>
        <w:rPr>
          <w:rFonts w:ascii="Amiri" w:hAnsi="Amiri" w:eastAsia="Amiri" w:cs="Amiri"/>
          <w:color w:val="111111"/>
          <w:sz w:val="28"/>
          <w:sz w:val="28"/>
          <w:szCs w:val="28"/>
          <w:rtl w:val="true"/>
          <w:lang w:bidi="ar-SA"/>
        </w:rPr>
        <w:t>،فيكون لكلّ منهما إقراران،ففي السرقة أيضاً لا بُدّ من إقرارين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إلزام عليهم بما يعتقدونه من 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موافقٌ للعلّة الواقعيّة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هذا،مع ظهور الدلالة فيه عليه من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صدره ظاهرٌ في قطعهم السارق بالإقرار و لو مرّة،فقوله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حُمِلَ على ظاهره من عدم قطعهم بالإقرار مرّتين نافي ذيله صدره،فينبغي أن يحمل على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أن تشترطوا في القطع بالإقرار وقوعه مرّتين،بمناسبته لاعتبار تعدّده أربعاً في الزناء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لو سلّم خلوصهما عن جميع ذلك،فهما شاذّان لا عامل بهما </w:t>
      </w:r>
    </w:p>
    <w:p>
      <w:pPr>
        <w:pStyle w:val="BookText"/>
        <w:rPr/>
      </w:pPr>
      <w:r>
        <w:rPr>
          <w:rFonts w:ascii="Amiri" w:hAnsi="Amiri" w:eastAsia="Amiri" w:cs="Amiri"/>
          <w:color w:val="111111"/>
          <w:sz w:val="28"/>
          <w:sz w:val="28"/>
          <w:szCs w:val="28"/>
          <w:rtl w:val="true"/>
          <w:lang w:bidi="ar-SA"/>
        </w:rPr>
        <w:t>حتى الصدوق رحمه اللّه لظهورهما في اشتراط وقوع الإقرار مرّة عند الإمام في الاكتفاء بها،و أنّه ليس مطلقاً،و لم يقل به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لاكتفائه بها مطلقاً،فتأمّل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المختلف </w:t>
      </w:r>
      <w:r>
        <w:rPr>
          <w:rStyle w:val="FootnoteAnchor"/>
          <w:rtl w:val="true"/>
        </w:rPr>
        <w:footnoteReference w:id="647"/>
      </w:r>
      <w:r>
        <w:rPr>
          <w:rFonts w:ascii="Amiri" w:hAnsi="Amiri" w:eastAsia="Amiri" w:cs="Amiri"/>
          <w:color w:val="111111"/>
          <w:sz w:val="28"/>
          <w:sz w:val="28"/>
          <w:szCs w:val="28"/>
          <w:rtl w:val="true"/>
          <w:lang w:bidi="ar-SA"/>
        </w:rPr>
        <w:t>احتمل العمل بهما،و الفرق بين الإقرار عند الإمام فمرّة،و عند غيره فمرّتين،بوجهٍ لا يصلح له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أنّ الاحتمال ليس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 المقنع </w:t>
      </w:r>
      <w:r>
        <w:rPr>
          <w:rStyle w:val="FootnoteAnchor"/>
          <w:rtl w:val="true"/>
        </w:rPr>
        <w:footnoteReference w:id="648"/>
      </w:r>
      <w:r>
        <w:rPr>
          <w:rFonts w:ascii="Amiri" w:hAnsi="Amiri" w:eastAsia="Amiri" w:cs="Amiri"/>
          <w:color w:val="111111"/>
          <w:sz w:val="28"/>
          <w:sz w:val="28"/>
          <w:szCs w:val="28"/>
          <w:rtl w:val="true"/>
          <w:lang w:bidi="ar-SA"/>
        </w:rPr>
        <w:t>بما مرّ ليس بمتحقّق و إن حكي عنه في المختلف و غيره،فقد قال بعض الأفاضل بعد نقل حكايته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أره فيما عندي من نسخه </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يتقوّى الإجماع الظاهر و المدّعى،و يتعيّن القول الذي اخترناه قطعاً،مضافاً إلى تأيّده زيادة على ما مضى بالاستقراء؛ لاتّفاق الفتاوى على اعتبار المرّتين في جميع الحدود ما عدا الزناء،مع بناء الحدود على التخفيف،و درئها بالشبهة الحاصلة في المسألة من الاختلاف المتقدّم إليه الإشارة،و لا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التكليف بالبلوغ و العقل و الحرّية، و الاختيار بلا خلاف،كما في سائر الأقارير،بل على اعتبار الحرّية هنا بالخصوص الإجماع عن الخلاف </w:t>
      </w:r>
      <w:r>
        <w:rPr>
          <w:rStyle w:val="FootnoteAnchor"/>
          <w:rtl w:val="true"/>
        </w:rPr>
        <w:footnoteReference w:id="651"/>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إقرار العبد إقرارٌ في حقّ الغير،و هو المولى،فلا يكون </w:t>
      </w:r>
    </w:p>
    <w:p>
      <w:pPr>
        <w:pStyle w:val="BookText"/>
        <w:rPr/>
      </w:pPr>
      <w:r>
        <w:rPr>
          <w:rFonts w:ascii="Amiri" w:hAnsi="Amiri" w:eastAsia="Amiri" w:cs="Amiri"/>
          <w:color w:val="111111"/>
          <w:sz w:val="28"/>
          <w:sz w:val="28"/>
          <w:szCs w:val="28"/>
          <w:rtl w:val="true"/>
          <w:lang w:bidi="ar-SA"/>
        </w:rPr>
        <w:t>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العبد على نفسه بالسرقة لم يقطع،و إذا شهد عليه شاهدان قُطِعَ</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الأدلة يخصّ عموم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عند الإمام بحقّ حدّ من حدود اللّه تعالى مرّةً واحدةً،حرّا كان أو عبداً،حرّةً كانت أو أمةً،فعلى الإمام أن يقيم عليه الحدّ الذي أقرّ به على نفسه كائناً من كان،إلّا الزاني المحصن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منافاته الإجماع على اعتبار المرّتين في سائر الحدود،و موافقته التقيّة كما عرفته </w:t>
      </w:r>
      <w:r>
        <w:rPr>
          <w:rStyle w:val="FootnoteAnchor"/>
          <w:rtl w:val="true"/>
        </w:rPr>
        <w:footnoteReference w:id="654"/>
      </w:r>
      <w:r>
        <w:rPr>
          <w:rFonts w:ascii="Amiri" w:hAnsi="Amiri" w:eastAsia="Amiri" w:cs="Amiri"/>
          <w:color w:val="111111"/>
          <w:sz w:val="28"/>
          <w:sz w:val="28"/>
          <w:szCs w:val="28"/>
          <w:rtl w:val="true"/>
          <w:lang w:bidi="ar-SA"/>
        </w:rPr>
        <w:t>،فيحتمل الحمل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يجاب عن الصحيح الآخر الذي لا يحتمل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إذا أقرّ على نفسه عند الإمام مرّة أنّه سرق قطعه،و إذا أقرّت الأمة على نفسها عند الإمام بالسرقة قطعها</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حمله على أنّه إذا انضاف إلى الإقرار الشهادة عليه بالسرقة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حُمِلَ على محامل أُخر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اسمه من العامّة في مجلسه،و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يذهب إلى قطع المملوك بإقراره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بالعبد و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تعالى و أمته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إذا انضاف إليه إقرار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بُعدٌ و إن أفتى بالأخير جماعة </w:t>
      </w:r>
      <w:r>
        <w:rPr>
          <w:rStyle w:val="FootnoteAnchor"/>
          <w:rtl w:val="true"/>
        </w:rPr>
        <w:footnoteReference w:id="65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الحقّ لا يعدوهما،و يحتمل العدم؛ بناءً على أنّه لا عبرة بإقرار العبد أصلاً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فإن عدم العبرة به إنّما هو لحقّ سيّده،فإذا صدّقه فكأنّه أسقطه،و كان كما إذا قام </w:t>
      </w:r>
      <w:r>
        <w:rPr>
          <w:rStyle w:val="FootnoteAnchor"/>
          <w:rtl w:val="true"/>
        </w:rPr>
        <w:footnoteReference w:id="661"/>
      </w:r>
      <w:r>
        <w:rPr>
          <w:rFonts w:ascii="Amiri" w:hAnsi="Amiri" w:eastAsia="Amiri" w:cs="Amiri"/>
          <w:color w:val="111111"/>
          <w:sz w:val="28"/>
          <w:sz w:val="28"/>
          <w:szCs w:val="28"/>
          <w:rtl w:val="true"/>
          <w:lang w:bidi="ar-SA"/>
        </w:rPr>
        <w:t>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قبول إقراره إنّما هو بالإضافة إلى قطعه خاصّة،و أمّا بالإضافة إلى الغرامة فيقبل،و يتبع بالسرقة بعد الحرّية،بلا خلاف أجده، و به صرّح بعض الأجلّة </w:t>
      </w:r>
      <w:r>
        <w:rPr>
          <w:rStyle w:val="FootnoteAnchor"/>
          <w:rtl w:val="true"/>
        </w:rPr>
        <w:footnoteReference w:id="662"/>
      </w:r>
      <w:r>
        <w:rPr>
          <w:rFonts w:ascii="Amiri" w:hAnsi="Amiri" w:eastAsia="Amiri" w:cs="Amiri"/>
          <w:color w:val="111111"/>
          <w:sz w:val="28"/>
          <w:sz w:val="28"/>
          <w:szCs w:val="28"/>
          <w:rtl w:val="true"/>
          <w:lang w:bidi="ar-SA"/>
        </w:rPr>
        <w:t>للعموم،مع انتفاء المعارض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يقطع حينئذ؟وجهان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ارتفاع المانع،و من اندرائه ابتداءً، 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أقرب؛ للشبهة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اشتراط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أقرّ ب السرقة ل الضرب،لم يجز أن يقطع للأصل،و النصوص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زيادةً على ما يأتي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عند تجريد أو تخويف أو </w:t>
      </w:r>
    </w:p>
    <w:p>
      <w:pPr>
        <w:pStyle w:val="BookText"/>
        <w:rPr/>
      </w:pPr>
      <w:r>
        <w:rPr>
          <w:rFonts w:ascii="Amiri" w:hAnsi="Amiri" w:eastAsia="Amiri" w:cs="Amiri"/>
          <w:color w:val="111111"/>
          <w:sz w:val="28"/>
          <w:sz w:val="28"/>
          <w:szCs w:val="28"/>
          <w:rtl w:val="true"/>
          <w:lang w:bidi="ar-SA"/>
        </w:rPr>
        <w:t>حبس أو تهديد فلا حدّ عليه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على أحد يخوّف من ضرب و لا قيد و لا سجن و لا تعنيف،إلّا أن يعترف،فإن اعترف قطع،و إن لم يعترف سقط عنه؛ لمكان التخويف</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 ظاهرٌ أنّ المراد من الاعتراف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منه طوعاً لا خوفاً،فيكون الاستثناء منقطعاً،فتأمّل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ردّ السرقة بعينها بعد الإقرار قطع وفاقاً للنهاية </w:t>
      </w:r>
      <w:r>
        <w:rPr>
          <w:rStyle w:val="FootnoteAnchor"/>
          <w:rtl w:val="true"/>
        </w:rPr>
        <w:footnoteReference w:id="665"/>
      </w:r>
      <w:r>
        <w:rPr>
          <w:rFonts w:ascii="Amiri" w:hAnsi="Amiri" w:eastAsia="Amiri" w:cs="Amiri"/>
          <w:color w:val="111111"/>
          <w:sz w:val="28"/>
          <w:sz w:val="28"/>
          <w:szCs w:val="28"/>
          <w:rtl w:val="true"/>
          <w:lang w:bidi="ar-SA"/>
        </w:rPr>
        <w:t xml:space="preserve">و جماعة ممّن تبعه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سرق سرقة فكابر عنها فضرب،فجاء بها بعينها،هل يجب عليه القطع؟قال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لو اعترف و لم يجيء بالسرقة لم تقطع يده؛ لأنّه اعترف على العذاب</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ردّها قرينة على السرقة،كما يكون القيء على الشرب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لعدم دلالة الخبر على وقوع الضرب على الإقرار،بل ظاهر السؤال أنّه علم سرقته ببيّنة أو إقرار،و إنّما ضرب على ردّ المال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دلالة الردّ على السرقة؛ لأنّه أعمّ منها بلا شبهة،كما أنّ القيء أعمّ من الشرب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بدلالته عليه على تقدير تسليمه إنّما هو </w:t>
      </w:r>
    </w:p>
    <w:p>
      <w:pPr>
        <w:pStyle w:val="BookText"/>
        <w:rPr/>
      </w:pPr>
      <w:r>
        <w:rPr>
          <w:rFonts w:ascii="Amiri" w:hAnsi="Amiri" w:eastAsia="Amiri" w:cs="Amiri"/>
          <w:color w:val="111111"/>
          <w:sz w:val="28"/>
          <w:sz w:val="28"/>
          <w:szCs w:val="28"/>
          <w:rtl w:val="true"/>
          <w:lang w:bidi="ar-SA"/>
        </w:rPr>
        <w:t>للرواية،لا لوضوح الدلالة؛ لما عرفت ما فيه من المناقشة،فقياسه عليه مع ضعفه مع الفارق،فلا يصلح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قيل كما عن الحلّي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يقطع؛ لتطرّق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عنده بالابتياع أو بالإيداع و هو أشبه بأُصول المذهب و درء الشبهة للحدّ،مع سلامتها كما عرفت عن المعارض، و إليه ذهب أكثر المتأخّرين،و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المحقّقين،و قد أجاب عن الصحيح بعدم دلالته على الإقرار مرّتين و لا مرّة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اعترضه بعض الأفاضل بأنّه إذا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بقطعه مع عدم الإقرار بالسرقة بمجرّد إحضار المسروق،فمع الإقرار مرّتين و إحضاره أولى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قالوا بالأصل،و إلّا كما هو الظاهر من جملة من العبائر المحررة لمحلّ النزاع فلا؛ إذ إلحاق الفرع بالأصل فرع قبوله لا من دونه،و بناء الفخر على ذلك في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جواب آخر عن الصحيح،بل و عن التعليل؛ فإنّ مقتضاه سيّما بمعونة ما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قطعه بمجرّد الردّ و لو من دون إقرار، و قد عرفت خروجه عن محلّ النزاع،و إنّه لا قائل به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بمنع دلالة الردّ على السرقة مجرّداً عن الإقرار،و قياسه على القيء إنّما هو بمعونته و بعد ضمّه إليه لا على الإطلاق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مرّتين تحتّم القطع و لا يجوز العفو عنه و لو أنكر </w:t>
      </w:r>
    </w:p>
    <w:p>
      <w:pPr>
        <w:pStyle w:val="BookText"/>
        <w:rPr/>
      </w:pPr>
      <w:r>
        <w:rPr>
          <w:rFonts w:ascii="Amiri" w:hAnsi="Amiri" w:eastAsia="Amiri" w:cs="Amiri"/>
          <w:color w:val="111111"/>
          <w:sz w:val="28"/>
          <w:sz w:val="28"/>
          <w:szCs w:val="28"/>
          <w:rtl w:val="true"/>
          <w:lang w:bidi="ar-SA"/>
        </w:rPr>
        <w:t xml:space="preserve">و رجع عنه،وفاقاً للمبسوط و الحلّي،و عليه الفاضلان في الشرائع و القواعد و الإرشاد و الشهيدان في اللمعتين </w:t>
      </w:r>
      <w:r>
        <w:rPr>
          <w:rStyle w:val="FootnoteAnchor"/>
          <w:rtl w:val="true"/>
        </w:rPr>
        <w:footnoteReference w:id="673"/>
      </w:r>
      <w:r>
        <w:rPr>
          <w:rFonts w:ascii="Amiri" w:hAnsi="Amiri" w:eastAsia="Amiri" w:cs="Amiri"/>
          <w:color w:val="111111"/>
          <w:sz w:val="28"/>
          <w:sz w:val="28"/>
          <w:szCs w:val="28"/>
          <w:rtl w:val="true"/>
          <w:lang w:bidi="ar-SA"/>
        </w:rPr>
        <w:t xml:space="preserve">،و ربما نسب إلى الأكثر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لما سيظهر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لاستصحاب </w:t>
      </w:r>
      <w:r>
        <w:rPr>
          <w:rStyle w:val="FootnoteAnchor"/>
          <w:rtl w:val="true"/>
        </w:rPr>
        <w:footnoteReference w:id="675"/>
      </w:r>
      <w:r>
        <w:rPr>
          <w:rFonts w:ascii="Amiri" w:hAnsi="Amiri" w:eastAsia="Amiri" w:cs="Amiri"/>
          <w:color w:val="111111"/>
          <w:sz w:val="28"/>
          <w:sz w:val="28"/>
          <w:szCs w:val="28"/>
          <w:rtl w:val="true"/>
          <w:lang w:bidi="ar-SA"/>
        </w:rPr>
        <w:t xml:space="preserve">بقاء التحتّم،و عموم ما دلّ على أخذ العقلاء بإقرارهم،و للصحيح </w:t>
      </w:r>
      <w:r>
        <w:rPr>
          <w:rStyle w:val="FootnoteAnchor"/>
          <w:rtl w:val="true"/>
        </w:rPr>
        <w:footnoteReference w:id="676"/>
      </w:r>
      <w:r>
        <w:rPr>
          <w:rFonts w:ascii="Amiri" w:hAnsi="Amiri" w:eastAsia="Amiri" w:cs="Amiri"/>
          <w:color w:val="111111"/>
          <w:sz w:val="28"/>
          <w:sz w:val="28"/>
          <w:szCs w:val="28"/>
          <w:rtl w:val="true"/>
          <w:lang w:bidi="ar-SA"/>
        </w:rPr>
        <w:t xml:space="preserve">و غيره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على نفسه أنّه سرق ثم جحد فاقطعه و إن رغم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للنهاية و القاضي و التقي و ابن زهرة و الفاضل في المختلف </w:t>
      </w:r>
      <w:r>
        <w:rPr>
          <w:rStyle w:val="FootnoteAnchor"/>
          <w:rtl w:val="true"/>
        </w:rPr>
        <w:footnoteReference w:id="678"/>
      </w:r>
      <w:r>
        <w:rPr>
          <w:rFonts w:ascii="Amiri" w:hAnsi="Amiri" w:eastAsia="Amiri" w:cs="Amiri"/>
          <w:color w:val="111111"/>
          <w:sz w:val="28"/>
          <w:sz w:val="28"/>
          <w:szCs w:val="28"/>
          <w:rtl w:val="true"/>
          <w:lang w:bidi="ar-SA"/>
        </w:rPr>
        <w:t xml:space="preserve">، فيسقط عنه القطع،و لعلّه بين القدماء أشهر،فقد ادّعى عليه في الغنية إجماع الإماميّة،و به صريح مرسلة جميل السابقة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حتى يقرّ بالسرقة مرّتين،فإن رجع ضمن السرقة و لم يقطع إذا لم يكن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للخلاف و موضع آخر من النهاية </w:t>
      </w:r>
      <w:r>
        <w:rPr>
          <w:rStyle w:val="FootnoteAnchor"/>
          <w:rtl w:val="true"/>
        </w:rPr>
        <w:footnoteReference w:id="680"/>
      </w:r>
      <w:r>
        <w:rPr>
          <w:rFonts w:ascii="Amiri" w:hAnsi="Amiri" w:eastAsia="Amiri" w:cs="Amiri"/>
          <w:color w:val="111111"/>
          <w:sz w:val="28"/>
          <w:sz w:val="28"/>
          <w:szCs w:val="28"/>
          <w:rtl w:val="true"/>
          <w:lang w:bidi="ar-SA"/>
        </w:rPr>
        <w:t>،فللإمام الخيار بين قطعه و العفو عنه،مدّعياً عليه في الأول الإجماع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بعده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،فأقرّ </w:t>
      </w:r>
      <w:bookmarkStart w:id="93" w:name="pg11409_90715"/>
    </w:p>
    <w:p>
      <w:pPr>
        <w:pStyle w:val="BookText"/>
        <w:rPr/>
      </w:pPr>
      <w:bookmarkEnd w:id="93"/>
      <w:r>
        <w:rPr>
          <w:rFonts w:ascii="Amiri" w:hAnsi="Amiri" w:eastAsia="Amiri" w:cs="Amiri"/>
          <w:color w:val="111111"/>
          <w:sz w:val="28"/>
          <w:sz w:val="28"/>
          <w:szCs w:val="28"/>
          <w:rtl w:val="true"/>
          <w:lang w:bidi="ar-SA"/>
        </w:rPr>
        <w:t>عنده بالسرقة،فقال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شيئاً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نعم،سورة البقرة،قال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وهبت يدك لسورة البقرة،فقال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تعطّل حدّا من حدود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ما هذا،إذا قامت البيّنة فليس للإمام أن يعفو عنه، و إذا أقرّ الرجل على نفسه فذاك إلى الإمام،فإن شاء عفا،و إن شاء قطع</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 قريب منه آخر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موهون بعدم قائل به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الخبران بعد الإغماض عمّا في سندهما ليس فيهما التخيير بعد الرجوع،بل ظاهرهما ثبوته للإمام مطلقا و لو لم يرجع،و لا قائل به،إلّا أن يقيّدا بصورة الرجوع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محل تردّد كما هو ظاهر التحرير و غيره </w:t>
      </w:r>
      <w:r>
        <w:rPr>
          <w:rStyle w:val="FootnoteAnchor"/>
          <w:rtl w:val="true"/>
        </w:rPr>
        <w:footnoteReference w:id="683"/>
      </w:r>
      <w:r>
        <w:rPr>
          <w:rFonts w:ascii="Amiri" w:hAnsi="Amiri" w:eastAsia="Amiri" w:cs="Amiri"/>
          <w:color w:val="111111"/>
          <w:sz w:val="28"/>
          <w:sz w:val="28"/>
          <w:szCs w:val="28"/>
          <w:rtl w:val="true"/>
          <w:lang w:bidi="ar-SA"/>
        </w:rPr>
        <w:t>،فللتوقف فيها مجال،و لكن مقتضاه المصير إلى القول الثاني؛ لبناء الحدود على التخفيف،و اندرائها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الأصحاب عدم الفرق هنا بين الرجوع و التوبة،فمن أسقط القطع حتماً أو تخييراً في الأوّل أسقطه في الثاني كذلك </w:t>
      </w:r>
      <w:r>
        <w:rPr>
          <w:rStyle w:val="FootnoteAnchor"/>
          <w:rtl w:val="true"/>
        </w:rPr>
        <w:footnoteReference w:id="684"/>
      </w:r>
      <w:r>
        <w:rPr>
          <w:rFonts w:ascii="Amiri" w:hAnsi="Amiri" w:eastAsia="Amiri" w:cs="Amiri"/>
          <w:color w:val="111111"/>
          <w:sz w:val="28"/>
          <w:sz w:val="28"/>
          <w:szCs w:val="28"/>
          <w:rtl w:val="true"/>
          <w:lang w:bidi="ar-SA"/>
        </w:rPr>
        <w:t>،و من قال بالعدم قال به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w:t>
      </w:r>
    </w:p>
    <w:p>
      <w:pPr>
        <w:pStyle w:val="Heading4"/>
        <w:numPr>
          <w:ilvl w:val="3"/>
          <w:numId w:val="1"/>
        </w:numPr>
        <w:rPr/>
      </w:pPr>
      <w:bookmarkStart w:id="94" w:name="__RefHeading___Toc1102649_73709187"/>
      <w:bookmarkStart w:id="95" w:name="_Toc34"/>
      <w:bookmarkEnd w:id="94"/>
      <w:r>
        <w:rPr>
          <w:rtl w:val="true"/>
        </w:rPr>
        <w:t>الحدّ</w:t>
      </w:r>
      <w:bookmarkEnd w:id="95"/>
    </w:p>
    <w:p>
      <w:pPr>
        <w:pStyle w:val="BookText"/>
        <w:rPr/>
      </w:pPr>
      <w:r>
        <w:rPr>
          <w:rFonts w:ascii="Amiri" w:hAnsi="Amiri" w:eastAsia="Amiri" w:cs="Amiri"/>
          <w:color w:val="111111"/>
          <w:sz w:val="28"/>
          <w:sz w:val="28"/>
          <w:szCs w:val="28"/>
          <w:rtl w:val="true"/>
          <w:lang w:bidi="ar-SA"/>
        </w:rPr>
        <w:t>الحدّ و كيفيته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قطع اليد،بالكتاب و السنّة و إجماع الأُمّة،و يختص عندنا ب الأصابع الأربع من اليد اليمنى،و تترك له الراحة و الإبهام </w:t>
      </w:r>
    </w:p>
    <w:p>
      <w:pPr>
        <w:pStyle w:val="BookText"/>
        <w:rPr/>
      </w:pPr>
      <w:r>
        <w:rPr>
          <w:rFonts w:ascii="Amiri" w:hAnsi="Amiri" w:eastAsia="Amiri" w:cs="Amiri"/>
          <w:color w:val="111111"/>
          <w:sz w:val="28"/>
          <w:sz w:val="28"/>
          <w:szCs w:val="28"/>
          <w:rtl w:val="true"/>
          <w:lang w:bidi="ar-SA"/>
        </w:rPr>
        <w:t>و لو عاد ف سرق بعد ذلك أيضاً قطعت رجله اليسرى من مفصل القدم،و يترك له العقب و لو عاد ف سرق مرّة ثالثة حبس في السجن دائماً و أُنفق عليه من بيت المال مع فقره،لا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عاد ف سرق في السجن أيضاً قتل بلا خلاف في شيء من ذلك أجده إلّا ما سيأتي إليه الإشارة بل عليه الإجماع في الظاهر، المصرّح به في جملة من العبائر </w:t>
      </w:r>
      <w:r>
        <w:rPr>
          <w:rStyle w:val="FootnoteAnchor"/>
          <w:rtl w:val="true"/>
        </w:rPr>
        <w:footnoteReference w:id="685"/>
      </w:r>
      <w:r>
        <w:rPr>
          <w:rFonts w:ascii="Amiri" w:hAnsi="Amiri" w:eastAsia="Amiri" w:cs="Amiri"/>
          <w:color w:val="111111"/>
          <w:sz w:val="28"/>
          <w:sz w:val="28"/>
          <w:szCs w:val="28"/>
          <w:rtl w:val="true"/>
          <w:lang w:bidi="ar-SA"/>
        </w:rPr>
        <w:t>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مع ذلك مستفيضة كادت تكون متواترة،ففي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السارق إذا سرق قطعت يمينه،و إذا سرق مرَّة أُخرى قطعت رجله اليسرى،ثم إذا سرق مرّة أُخرى سجنه و ترك رجله اليمنى يمشي عليها إلى الغائط و يده اليسرى يأكل بها و يستنجي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لأستحيي من اللّه تعالى أن أتركه لا ينتفع بشيء،و لكني أسجنه حتى يموت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رجل السارق بعد قطع اليد،ثم لا يقطع بعد،فإن عاد حبس في السجن و أُنفق عليه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و نحوه آخر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السارق قطعت يده من وسط الكفّ،فإن عاد </w:t>
      </w:r>
    </w:p>
    <w:p>
      <w:pPr>
        <w:pStyle w:val="BookText"/>
        <w:rPr/>
      </w:pPr>
      <w:r>
        <w:rPr>
          <w:rFonts w:ascii="Amiri" w:hAnsi="Amiri" w:eastAsia="Amiri" w:cs="Amiri"/>
          <w:color w:val="111111"/>
          <w:sz w:val="28"/>
          <w:sz w:val="28"/>
          <w:szCs w:val="28"/>
          <w:rtl w:val="true"/>
          <w:lang w:bidi="ar-SA"/>
        </w:rPr>
        <w:t>قطعت رجله من وسط القدم،فإن عاد استودع السجن،فإن سرق في السجن قتل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السارق لمَ تقطع يده اليمنى و رجله اليسرى و لا تقطع يده اليمنى و رجله اليمنى؟فقال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سألت،إذا قطعت يده اليمنى و رجله اليمنى سقط على جانبه الأيسر و لم يقدر على القيام، و إذا قطعت يده اليمنى و رجله اليسرى اعتدل و استوى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يقوم و قد قطعت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ليس من حيث رأيت يقطع،إنّما يقطع الرجل من الكعب و يترك له من قدمه ما يقوم عليه و يصلّي و يعبد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تقطع اليد؟قال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الأربع أصابع و يترك الإبهام يعتمد عليها في الصلاة،و يغسل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ظاهرهما و لا سيّما الأوّل أنّ محل القطع في الرجل إنّما هو الكعب الذي هو عندنا وسط القدم عند معقد الشراك،كما تقدّم في بحث الوضوء مشروحاً،و صرّح به الرواية الأُولى منهما و جماعة من أصحابنا </w:t>
      </w:r>
      <w:r>
        <w:rPr>
          <w:rStyle w:val="FootnoteAnchor"/>
          <w:rtl w:val="true"/>
        </w:rPr>
        <w:footnoteReference w:id="691"/>
      </w:r>
      <w:r>
        <w:rPr>
          <w:rFonts w:ascii="Amiri" w:hAnsi="Amiri" w:eastAsia="Amiri" w:cs="Amiri"/>
          <w:color w:val="111111"/>
          <w:sz w:val="28"/>
          <w:sz w:val="28"/>
          <w:szCs w:val="28"/>
          <w:rtl w:val="true"/>
          <w:lang w:bidi="ar-SA"/>
        </w:rPr>
        <w:t xml:space="preserve">، كالشيخ في المبسوط و الخلاف و التبيان،و السيّدين </w:t>
      </w:r>
      <w:r>
        <w:rPr>
          <w:rStyle w:val="FootnoteAnchor"/>
          <w:rtl w:val="true"/>
        </w:rPr>
        <w:footnoteReference w:id="692"/>
      </w:r>
      <w:r>
        <w:rPr>
          <w:rFonts w:ascii="Amiri" w:hAnsi="Amiri" w:eastAsia="Amiri" w:cs="Amiri"/>
          <w:color w:val="111111"/>
          <w:sz w:val="28"/>
          <w:sz w:val="28"/>
          <w:szCs w:val="28"/>
          <w:rtl w:val="true"/>
          <w:lang w:bidi="ar-SA"/>
        </w:rPr>
        <w:t xml:space="preserve">في الغنية و الانتصار، و الحلّي في السرائر </w:t>
      </w:r>
      <w:r>
        <w:rPr>
          <w:rStyle w:val="FootnoteAnchor"/>
          <w:rtl w:val="true"/>
        </w:rPr>
        <w:footnoteReference w:id="693"/>
      </w:r>
      <w:r>
        <w:rPr>
          <w:rFonts w:ascii="Amiri" w:hAnsi="Amiri" w:eastAsia="Amiri" w:cs="Amiri"/>
          <w:color w:val="111111"/>
          <w:sz w:val="28"/>
          <w:sz w:val="28"/>
          <w:szCs w:val="28"/>
          <w:rtl w:val="true"/>
          <w:lang w:bidi="ar-SA"/>
        </w:rPr>
        <w:t>،مدّعين عليه إجماع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التصريح به أيضاً عن الصدوق في المقنع و الحلبي في الكافي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و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حمزة في الجامع و الوسيلة،و الفاضل في التلخيص </w:t>
      </w:r>
      <w:r>
        <w:rPr>
          <w:rStyle w:val="FootnoteAnchor"/>
          <w:rtl w:val="true"/>
        </w:rPr>
        <w:footnoteReference w:id="695"/>
      </w:r>
      <w:r>
        <w:rPr>
          <w:rFonts w:ascii="Amiri" w:hAnsi="Amiri" w:eastAsia="Amiri" w:cs="Amiri"/>
          <w:color w:val="111111"/>
          <w:sz w:val="28"/>
          <w:sz w:val="28"/>
          <w:szCs w:val="28"/>
          <w:rtl w:val="true"/>
          <w:lang w:bidi="ar-SA"/>
        </w:rPr>
        <w:t xml:space="preserve">،و غيرهم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يكون المقطوع من عظامها الأصابع و المشط،و يبقى الرسغ و العظم الزورقي و النردي و العقب و ما بينه و بين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العبارة هنا و في الشرائع و المقنعة و النهاية و مجمع البيان و المراسم،و سائر كتب الفاضل ما عدا التلخيص،و الروضتين </w:t>
      </w:r>
      <w:r>
        <w:rPr>
          <w:rStyle w:val="FootnoteAnchor"/>
          <w:rtl w:val="true"/>
        </w:rPr>
        <w:footnoteReference w:id="697"/>
      </w:r>
      <w:r>
        <w:rPr>
          <w:rFonts w:ascii="Amiri" w:hAnsi="Amiri" w:eastAsia="Amiri" w:cs="Amiri"/>
          <w:color w:val="111111"/>
          <w:sz w:val="28"/>
          <w:sz w:val="28"/>
          <w:szCs w:val="28"/>
          <w:rtl w:val="true"/>
          <w:lang w:bidi="ar-SA"/>
        </w:rPr>
        <w:t xml:space="preserve">،فعُبِّر فيها بمفصل القدم و ترك العقب،الظاهرين </w:t>
      </w:r>
      <w:r>
        <w:rPr>
          <w:rStyle w:val="FootnoteAnchor"/>
          <w:rtl w:val="true"/>
        </w:rPr>
        <w:footnoteReference w:id="698"/>
      </w:r>
      <w:r>
        <w:rPr>
          <w:rFonts w:ascii="Amiri" w:hAnsi="Amiri" w:eastAsia="Amiri" w:cs="Amiri"/>
          <w:color w:val="111111"/>
          <w:sz w:val="28"/>
          <w:sz w:val="28"/>
          <w:szCs w:val="28"/>
          <w:rtl w:val="true"/>
          <w:lang w:bidi="ar-SA"/>
        </w:rPr>
        <w:t>في كون القطع من أصل الساق، أي المفصل بين الساق و القدم،و صرّح به الشيخان في كتبهما المذكورة، و عليه فلا تبقى من عظام القدم إلّا عظم العقب و ما بينه و بين عظم الساق، و تسمّيه الأطبّاء كعباً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عليه في المختلف </w:t>
      </w:r>
      <w:r>
        <w:rPr>
          <w:rStyle w:val="FootnoteAnchor"/>
          <w:rtl w:val="true"/>
        </w:rPr>
        <w:footnoteReference w:id="699"/>
      </w:r>
      <w:r>
        <w:rPr>
          <w:rFonts w:ascii="IRNazanin" w:hAnsi="IRNazanin" w:eastAsia="IRNazanin"/>
          <w:color w:val="111111"/>
          <w:sz w:val="28"/>
          <w:sz w:val="28"/>
          <w:szCs w:val="28"/>
          <w:rtl w:val="true"/>
          <w:lang w:bidi="fa-IR"/>
        </w:rPr>
        <w:t xml:space="preserve">بالموثق </w:t>
      </w:r>
      <w:r>
        <w:rPr>
          <w:rStyle w:val="FootnoteAnchor"/>
          <w:rtl w:val="true"/>
        </w:rPr>
        <w:footnoteReference w:id="700"/>
      </w:r>
      <w:r>
        <w:rPr>
          <w:rFonts w:ascii="Amiri" w:hAnsi="Amiri" w:eastAsia="Amiri" w:cs="Amiri"/>
          <w:color w:val="111111"/>
          <w:sz w:val="28"/>
          <w:sz w:val="28"/>
          <w:szCs w:val="28"/>
          <w:rtl w:val="true"/>
          <w:lang w:bidi="ar-SA"/>
        </w:rPr>
        <w:t xml:space="preserve">و غيره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 السارق </w:t>
      </w:r>
    </w:p>
    <w:p>
      <w:pPr>
        <w:pStyle w:val="BookText"/>
        <w:rPr/>
      </w:pPr>
      <w:r>
        <w:rPr>
          <w:rFonts w:ascii="Amiri" w:hAnsi="Amiri" w:eastAsia="Amiri" w:cs="Amiri"/>
          <w:color w:val="111111"/>
          <w:sz w:val="28"/>
          <w:sz w:val="28"/>
          <w:szCs w:val="28"/>
          <w:rtl w:val="true"/>
          <w:lang w:bidi="ar-SA"/>
        </w:rPr>
        <w:t>و يترك إبهامه و صدر راحته،و تقطع رجله و يترك عقبه يمشي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نحوهما خبر آخر </w:t>
      </w:r>
      <w:r>
        <w:rPr>
          <w:rStyle w:val="FootnoteAnchor"/>
          <w:rtl w:val="true"/>
        </w:rPr>
        <w:footnoteReference w:id="702"/>
      </w: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الرجل من المفصل و يترك العقب يطأ عليه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محل إشكال،و مقتضاه المصير إلى الأوّل؛ تقليلاً للعقوبة و درءاً للحدّ و لو شيء منه بالشبهة الحاصلة من اختلاف الفتوى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ترجيحه أيضاً؛ للإجماعات المحكيّة و الروايتين المعتضدتين بها و بالشهرة بين القدماء،و بالصحيح 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قطع اليد قطعها دون المفصل،فإذا قطع الرجل قطعها من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مرّ من كونه عندنا حقيقةً في وسط القدم دون أصل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تعارضها النصوص المقابلة؛ لضعف جملة منها،و قصور باقيها عن الصحة و المقاومة لما مرّ من الأدلّة،مع موافقتها للعامّة كما يستفاد من الشيخ في المبسوط و الخلاف،حيث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عندنا في الرجل من عند معقد الشراك من عند الناتئ على ظهر القدم و يترك ما يمشي عليه،و عندهم المفصل الذي بين الساق و القدم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فلتحمل على التقيّة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كون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الأُولى التي هي أوضحها طريقاً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التقية في زمانه في غاية من الشدّة، كما مرّ إليه الإشارة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ذلك فهي غير صريحة الدلالة؛ لما فيها من تعليل إبقاء العقب بحكمة ضرورة المشي عليها و الوطء بها،و الظاهر أنّهما لا يتحققان بمجرّد العقب المجرّد،بل به و بما يتّصل به إلى الكعب من عظام القدم،فينبغي أن يصرف به لفظ العقب عمّا هو ظاهر فيه من التجرّد الى ما يوافق الأوّل،بأن يراد منه ما يقابل صدر القدم من الأصابع و المشط إلى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التعليل بعينه موجود في كلام الأصحاب حتى القائلين بالقول الأخير،فيمكن حمل كلامهم أيضاً على ما حمل عليه النصوص،و عليه فيرتفع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لهذا لم ينقله عنّا أكثر الأصحاب،بل عامّة من وقفت على كلامهم،عدا الفاضل في المختلف </w:t>
      </w:r>
      <w:r>
        <w:rPr>
          <w:rStyle w:val="FootnoteAnchor"/>
          <w:rtl w:val="true"/>
        </w:rPr>
        <w:footnoteReference w:id="706"/>
      </w:r>
      <w:r>
        <w:rPr>
          <w:rFonts w:ascii="Amiri" w:hAnsi="Amiri" w:eastAsia="Amiri" w:cs="Amiri"/>
          <w:color w:val="111111"/>
          <w:sz w:val="28"/>
          <w:sz w:val="28"/>
          <w:szCs w:val="28"/>
          <w:rtl w:val="true"/>
          <w:lang w:bidi="ar-SA"/>
        </w:rPr>
        <w:t>،حيث نقل القولين و رجّح الثاني منهما،و هذا و إن كان صريحاً في اختياره إيّاه،بحيث لا يحتمل الحمل على ما قدّمناه،لكنّه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تكرّرت السرقة من غير حدّ يتخلّلها كفى حدّ واحد إذا أقرّ بها دفعة،أو شهدت بها البيّنات كذلك،بلا خلاف على الظاهر، المصرّح به في الخلاف </w:t>
      </w:r>
      <w:r>
        <w:rPr>
          <w:rStyle w:val="FootnoteAnchor"/>
          <w:rtl w:val="true"/>
        </w:rPr>
        <w:footnoteReference w:id="707"/>
      </w:r>
      <w:r>
        <w:rPr>
          <w:rFonts w:ascii="Amiri" w:hAnsi="Amiri" w:eastAsia="Amiri" w:cs="Amiri"/>
          <w:color w:val="111111"/>
          <w:sz w:val="28"/>
          <w:sz w:val="28"/>
          <w:szCs w:val="28"/>
          <w:rtl w:val="true"/>
          <w:lang w:bidi="ar-SA"/>
        </w:rPr>
        <w:t xml:space="preserve">،بل عليه في الغنية </w:t>
      </w:r>
      <w:r>
        <w:rPr>
          <w:rStyle w:val="FootnoteAnchor"/>
          <w:rtl w:val="true"/>
        </w:rPr>
        <w:footnoteReference w:id="708"/>
      </w:r>
      <w:r>
        <w:rPr>
          <w:rFonts w:ascii="Amiri" w:hAnsi="Amiri" w:eastAsia="Amiri" w:cs="Amiri"/>
          <w:color w:val="111111"/>
          <w:sz w:val="28"/>
          <w:sz w:val="28"/>
          <w:szCs w:val="28"/>
          <w:rtl w:val="true"/>
          <w:lang w:bidi="ar-SA"/>
        </w:rPr>
        <w:t>الوفاق،و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اختصاص ما دلّ على تعدّد القطع بتعدّد السرقة بصورة تخلّل القطع للأُولى،لا مطلقاً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فلم يقدر عليه،ثم سرق مرّة أُخرى فلم يقدر عليه،و سرق مرّة أُخرى،فجاءت البيّنة فشهدوا عليه بالسرقة الأُولى و السرقة الأخيرة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يده بالسرقة الأُولى،و لا تقطع </w:t>
      </w:r>
    </w:p>
    <w:p>
      <w:pPr>
        <w:pStyle w:val="BookText"/>
        <w:rPr/>
      </w:pPr>
      <w:r>
        <w:rPr>
          <w:rFonts w:ascii="Amiri" w:hAnsi="Amiri" w:eastAsia="Amiri" w:cs="Amiri"/>
          <w:color w:val="111111"/>
          <w:sz w:val="28"/>
          <w:sz w:val="28"/>
          <w:szCs w:val="28"/>
          <w:rtl w:val="true"/>
          <w:lang w:bidi="ar-SA"/>
        </w:rPr>
        <w:t>رجله بالسرقة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الشهود شهدوا عليه بالسرقة الاُولى ثم أمسكوا حتى يقطع ثم شهدوا عليه بالسرقة الأخيرة قطعت رجله اليسرى</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 القطع للأُولى،كما في القواعد و عن المقنع و الفقيه و الكافي للحلبي </w:t>
      </w:r>
      <w:r>
        <w:rPr>
          <w:rStyle w:val="FootnoteAnchor"/>
          <w:rtl w:val="true"/>
        </w:rPr>
        <w:footnoteReference w:id="711"/>
      </w:r>
      <w:r>
        <w:rPr>
          <w:rFonts w:ascii="Amiri" w:hAnsi="Amiri" w:eastAsia="Amiri" w:cs="Amiri"/>
          <w:color w:val="111111"/>
          <w:sz w:val="28"/>
          <w:sz w:val="28"/>
          <w:szCs w:val="28"/>
          <w:rtl w:val="true"/>
          <w:lang w:bidi="ar-SA"/>
        </w:rPr>
        <w:t xml:space="preserve">و اختاره في الغنية مدّعياً عليه إجماع الإمامية </w:t>
      </w:r>
      <w:r>
        <w:rPr>
          <w:rStyle w:val="FootnoteAnchor"/>
          <w:rtl w:val="true"/>
        </w:rPr>
        <w:footnoteReference w:id="712"/>
      </w:r>
      <w:r>
        <w:rPr>
          <w:rFonts w:ascii="Amiri" w:hAnsi="Amiri" w:eastAsia="Amiri" w:cs="Amiri"/>
          <w:color w:val="111111"/>
          <w:sz w:val="28"/>
          <w:sz w:val="28"/>
          <w:szCs w:val="28"/>
          <w:rtl w:val="true"/>
          <w:lang w:bidi="ar-SA"/>
        </w:rPr>
        <w:t>،و هو حجة أُخرى بعد الرواية؛ مضافاً إلى ثبوت القطع بها أوّلاً فيكون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للأخيرة،كما في الشرائع و السرائر و النهاية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منهما علّة مستقلّة،كما اختاره شيخنا في المسالك و الروضة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القولين مع عدم وضوحها غير مكافئة لما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عفو المسروق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الصحيحة و ما قبلها من الأدلّة حتى الإجماع الاكتفاء بالحدّ الواحد أيضاً لو شهدت بيّنة عليه بسرقة ثم شهدت اخرى عليه بأُخرى قبل القطع للأُولى،و عليه شيخنا في كتابيه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يده و رجله؛ لأنّ كل واحدة توجب القطع،فتقطع اليد </w:t>
      </w:r>
    </w:p>
    <w:p>
      <w:pPr>
        <w:pStyle w:val="BookText"/>
        <w:rPr/>
      </w:pPr>
      <w:r>
        <w:rPr>
          <w:rFonts w:ascii="Amiri" w:hAnsi="Amiri" w:eastAsia="Amiri" w:cs="Amiri"/>
          <w:color w:val="111111"/>
          <w:sz w:val="28"/>
          <w:sz w:val="28"/>
          <w:szCs w:val="28"/>
          <w:rtl w:val="true"/>
          <w:lang w:bidi="ar-SA"/>
        </w:rPr>
        <w:t xml:space="preserve">للأُولى و الرجل للثانية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لعدم دليل على إيجاب كل منهما القطع مطلقا،بل ما دلّ عليه من النصوص المتقدمة مختصّة بصورة تخلّل القطع بين السرقتين،كما عرفته،و لو سلّم فهو مخصّص بما ذكرناه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الصحيحة ثبوت قطع الرجل للثانية إذا شهدت بيّنتها بعد قطع اليد للأولى ببيّنتها،كما عليه الشيخ في النهاية و الخلاف </w:t>
      </w:r>
      <w:r>
        <w:rPr>
          <w:rStyle w:val="FootnoteAnchor"/>
          <w:rtl w:val="true"/>
        </w:rPr>
        <w:footnoteReference w:id="716"/>
      </w:r>
      <w:r>
        <w:rPr>
          <w:rFonts w:ascii="Amiri" w:hAnsi="Amiri" w:eastAsia="Amiri" w:cs="Amiri"/>
          <w:color w:val="111111"/>
          <w:sz w:val="28"/>
          <w:sz w:val="28"/>
          <w:szCs w:val="28"/>
          <w:rtl w:val="true"/>
          <w:lang w:bidi="ar-SA"/>
        </w:rPr>
        <w:t xml:space="preserve">مدّعيا فيه الوفاق،و عليه الصدوق و غيره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السرائر و الفاضلين في الشرائع و المختلف و التحرير و الشهيدين </w:t>
      </w:r>
      <w:r>
        <w:rPr>
          <w:rStyle w:val="FootnoteAnchor"/>
          <w:rtl w:val="true"/>
        </w:rPr>
        <w:footnoteReference w:id="718"/>
      </w:r>
      <w:r>
        <w:rPr>
          <w:rFonts w:ascii="Amiri" w:hAnsi="Amiri" w:eastAsia="Amiri" w:cs="Amiri"/>
          <w:color w:val="111111"/>
          <w:sz w:val="28"/>
          <w:sz w:val="28"/>
          <w:szCs w:val="28"/>
          <w:rtl w:val="true"/>
          <w:lang w:bidi="ar-SA"/>
        </w:rPr>
        <w:t xml:space="preserve">،و يعضدهم الأصل المتقدّم،و به استدلّ في المسالك و الروضة </w:t>
      </w:r>
      <w:r>
        <w:rPr>
          <w:rStyle w:val="FootnoteAnchor"/>
          <w:rtl w:val="true"/>
        </w:rPr>
        <w:footnoteReference w:id="719"/>
      </w:r>
      <w:r>
        <w:rPr>
          <w:rFonts w:ascii="Amiri" w:hAnsi="Amiri" w:eastAsia="Amiri" w:cs="Amiri"/>
          <w:color w:val="111111"/>
          <w:sz w:val="28"/>
          <w:sz w:val="28"/>
          <w:szCs w:val="28"/>
          <w:rtl w:val="true"/>
          <w:lang w:bidi="ar-SA"/>
        </w:rPr>
        <w:t>،مضافا إلى قيام الشبهة الدارئة،و أجاب عن الرواية كغيره بضعف الطريق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نظر،لاختصاص الضعف بطريقه في التهذيب،و إلاّ فهو في الكافي صحيح على الصحيح،أو حسن كالصحيح على المشهور،و مع ذلك الضعف في التهذيب بسهل الذي ضعفه سهل عندهم،فالقول به غير بعيد،سيّما مع اعتضاده بما مرّ عن الخلاف من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موهون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ندرة القائل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برجوعه عنه في المبسوط،كما صرّح به الحلّي </w:t>
      </w:r>
    </w:p>
    <w:p>
      <w:pPr>
        <w:pStyle w:val="BookText"/>
        <w:rPr/>
      </w:pPr>
      <w:r>
        <w:rPr>
          <w:rFonts w:ascii="Amiri" w:hAnsi="Amiri" w:eastAsia="Amiri" w:cs="Amiri"/>
          <w:color w:val="111111"/>
          <w:sz w:val="28"/>
          <w:sz w:val="28"/>
          <w:szCs w:val="28"/>
          <w:rtl w:val="true"/>
          <w:lang w:bidi="ar-SA"/>
        </w:rPr>
        <w:t xml:space="preserve">في السرائر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يقطع اليسار مع وجود اليمين مطلقاً و لو كانت شلّاء، و كذا تقطع و لو كانت اليسار شلّاء أو كانتا شلّاءين،وفاقاً للأكثر،بل المشهور كما قيل </w:t>
      </w:r>
      <w:r>
        <w:rPr>
          <w:rStyle w:val="FootnoteAnchor"/>
          <w:rtl w:val="true"/>
        </w:rPr>
        <w:footnoteReference w:id="722"/>
      </w:r>
      <w:r>
        <w:rPr>
          <w:rFonts w:ascii="Amiri" w:hAnsi="Amiri" w:eastAsia="Amiri" w:cs="Amiri"/>
          <w:color w:val="111111"/>
          <w:sz w:val="28"/>
          <w:sz w:val="28"/>
          <w:szCs w:val="28"/>
          <w:rtl w:val="true"/>
          <w:lang w:bidi="ar-SA"/>
        </w:rPr>
        <w:t xml:space="preserve">،بل في الغنية و الخلاف عليه إجماع الإمامية </w:t>
      </w:r>
      <w:r>
        <w:rPr>
          <w:rStyle w:val="FootnoteAnchor"/>
          <w:rtl w:val="true"/>
        </w:rPr>
        <w:footnoteReference w:id="72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العمومات،و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أشلّ اليد اليمنى أو أشلّ الشمال سرق،فقال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الأشلّ إذا سرق قطعت يمينه على كل حال، شلاء كانت أو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القاضي و ابن حمزة و الفاضل في المختلف و شيخنا في المسالك </w:t>
      </w:r>
      <w:r>
        <w:rPr>
          <w:rStyle w:val="FootnoteAnchor"/>
          <w:rtl w:val="true"/>
        </w:rPr>
        <w:footnoteReference w:id="726"/>
      </w:r>
      <w:r>
        <w:rPr>
          <w:rFonts w:ascii="Amiri" w:hAnsi="Amiri" w:eastAsia="Amiri" w:cs="Amiri"/>
          <w:color w:val="111111"/>
          <w:sz w:val="28"/>
          <w:sz w:val="28"/>
          <w:szCs w:val="28"/>
          <w:rtl w:val="true"/>
          <w:lang w:bidi="ar-SA"/>
        </w:rPr>
        <w:t>في قطع اليمين الشلّاء،فقيّدوه بما إذا لم يخف معه التلف على النفس بإخبار أهل العلم بالطبّ أنّها متى قطعت بقيت أفواه العروق مفتّحة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يخلو عن قوة؛ احتياطاً لبقاء النفس،مضافاً إلى الأصل،و عدم </w:t>
      </w:r>
    </w:p>
    <w:p>
      <w:pPr>
        <w:pStyle w:val="BookText"/>
        <w:rPr/>
      </w:pPr>
      <w:r>
        <w:rPr>
          <w:rFonts w:ascii="Amiri" w:hAnsi="Amiri" w:eastAsia="Amiri" w:cs="Amiri"/>
          <w:color w:val="111111"/>
          <w:sz w:val="28"/>
          <w:sz w:val="28"/>
          <w:szCs w:val="28"/>
          <w:rtl w:val="true"/>
          <w:lang w:bidi="ar-SA"/>
        </w:rPr>
        <w:t>معلومية شمول العمومات لمثل محل الفرض؛ لاختصاصها بحكم التبادر باليد الصحيحة،أو الشلّاء التي لا يخاف بقطعها تلف النفس المحترمة،إذ ليس المقصود بالقطع هنا إتلافها،و عليه يحمل الصحيحان بتخصيصهما بالشلل المأمون مع قطعه على النفس،و كذا الكلام في الإجماعين المنقولين،مع وهن ثانيهما برجوع الناقل له عنه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 </w:t>
      </w:r>
      <w:r>
        <w:rPr>
          <w:rStyle w:val="FootnoteAnchor"/>
          <w:rtl w:val="true"/>
        </w:rPr>
        <w:footnoteReference w:id="727"/>
      </w:r>
      <w:r>
        <w:rPr>
          <w:rFonts w:ascii="Amiri" w:hAnsi="Amiri" w:eastAsia="Amiri" w:cs="Amiri"/>
          <w:color w:val="111111"/>
          <w:sz w:val="28"/>
          <w:sz w:val="28"/>
          <w:szCs w:val="28"/>
          <w:rtl w:val="true"/>
          <w:lang w:bidi="ar-SA"/>
        </w:rPr>
        <w:t>في قطعها مع شلل اليسار فمنعه،قال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يخلد الحبس؛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الرجل و يده اليسرى شلّاء لم تقطع يمينه و لا رجله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مع أنّ المعهود من حكمة الشارع إبقاء إحدى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شاذّ،و مستنده مع ضعفه قاصر عن المقاومة لما قابلة من الصحيح و الإجماع المنقول المعتضد بالشهرة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 يسار قطعت اليمين </w:t>
      </w:r>
      <w:r>
        <w:rPr>
          <w:rStyle w:val="FootnoteAnchor"/>
          <w:rtl w:val="true"/>
        </w:rPr>
        <w:footnoteReference w:id="729"/>
      </w:r>
      <w:r>
        <w:rPr>
          <w:rFonts w:ascii="Amiri" w:hAnsi="Amiri" w:eastAsia="Amiri" w:cs="Amiri"/>
          <w:color w:val="111111"/>
          <w:sz w:val="28"/>
          <w:sz w:val="28"/>
          <w:szCs w:val="28"/>
          <w:rtl w:val="true"/>
          <w:lang w:bidi="ar-SA"/>
        </w:rPr>
        <w:t>أيضاً،وفاقاً للمشهور؛ للعمومات،و خصوص عموم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730"/>
      </w:r>
      <w:r>
        <w:rPr>
          <w:rFonts w:ascii="Amiri" w:hAnsi="Amiri" w:eastAsia="Amiri" w:cs="Amiri"/>
          <w:color w:val="111111"/>
          <w:sz w:val="28"/>
          <w:sz w:val="28"/>
          <w:szCs w:val="28"/>
          <w:rtl w:val="true"/>
          <w:lang w:bidi="ar-SA"/>
        </w:rPr>
        <w:t>أيضاً،فكشلّاء اليسار؛ لبعض ما مرّ فيه،مضافاً إلى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قطعت يده اليسرى في قصاص فسرق ما يصنع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و لا يترك بغير ساق</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عنه بالحمل على إظهاره التوبة،و هو بعيد بلا شبهة،إلّا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مندوحة عنه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الرواية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أنّه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له يسار قطعت رجله اليسرى،و لو لم يكن له رجل يسرى لم يكن عليه أكثر من الحبس </w:t>
      </w:r>
      <w:r>
        <w:rPr>
          <w:rStyle w:val="FootnoteAnchor"/>
          <w:rtl w:val="true"/>
        </w:rPr>
        <w:footnoteReference w:id="732"/>
      </w:r>
      <w:r>
        <w:rPr>
          <w:rFonts w:ascii="Amiri" w:hAnsi="Amiri" w:eastAsia="Amiri" w:cs="Amiri"/>
          <w:color w:val="111111"/>
          <w:sz w:val="28"/>
          <w:sz w:val="28"/>
          <w:szCs w:val="28"/>
          <w:rtl w:val="true"/>
          <w:lang w:bidi="ar-SA"/>
        </w:rPr>
        <w:t>و حجته غير واضحة عدا وجه الحكمة المتقدّمة سنداً للإسكافي، و هو مع ضعفه و عدم مقاومته لأدلّة المشهور مقتضاه عدم قطع اليسار، لا قطع الرجل كما ذكره،أو التخليد في الحبس كما عليه الإسكافي،فهو أعمّ منهما،و لا دليل على التعيين إلّا بعض الوجوه القياسية التي لا تصلح لإثبات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يحتمل على قولهما بعدم قطع اليسار ثبوت التعزير،كما هو الأصل في ارتكاب كل محرّم لم يرد فيه نصّ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ما في قول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الكل أي كلّ من العمل بالرواية و ما في النهاية تردّد إذ لا وجه له بالإضافة إلى ما في النهاية كما عرفته،بل بالإضافة إلى الرواية أيضاً،إلّا أنّ احتماله بالإضافة إليها أقرب </w:t>
      </w:r>
      <w:r>
        <w:rPr>
          <w:rStyle w:val="FootnoteAnchor"/>
          <w:rtl w:val="true"/>
        </w:rPr>
        <w:footnoteReference w:id="733"/>
      </w:r>
      <w:r>
        <w:rPr>
          <w:rFonts w:ascii="Amiri" w:hAnsi="Amiri" w:eastAsia="Amiri" w:cs="Amiri"/>
          <w:color w:val="111111"/>
          <w:sz w:val="28"/>
          <w:sz w:val="28"/>
          <w:szCs w:val="28"/>
          <w:rtl w:val="true"/>
          <w:lang w:bidi="ar-SA"/>
        </w:rPr>
        <w:t>لصحتها،و وجود قائل بها، و مناسبتها لوجه الحكمة،و إن كان جميع ذلك لا يعارض أدلّة الأكثر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له يمين فهل يقطع اليسار،أم ينتقل إلى الرجل؟ثم مع فقدهما هل يحبس،أم لا،بل يعزّر؟وجوه و أقوال،أحوطها الاكتفاء بالتعزير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ذهبت يمينه قبل السرقة،و لو ذهبت بعدها و قبل القطع بها لم يقطع اليسار قولاً واحداً؛ لتعلق القطع بالذاهبة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الحدّ بالتوبة قبل قيام البيّنة على السرقة و لا يسقط بعدها بلا خلاف في الأوّل على الظاهر،المصرّح به في بعض العبائر </w:t>
      </w:r>
      <w:r>
        <w:rPr>
          <w:rStyle w:val="FootnoteAnchor"/>
          <w:rtl w:val="true"/>
        </w:rPr>
        <w:footnoteReference w:id="734"/>
      </w:r>
      <w:r>
        <w:rPr>
          <w:rFonts w:ascii="Amiri" w:hAnsi="Amiri" w:eastAsia="Amiri" w:cs="Amiri"/>
          <w:color w:val="111111"/>
          <w:sz w:val="28"/>
          <w:sz w:val="28"/>
          <w:szCs w:val="28"/>
          <w:rtl w:val="true"/>
          <w:lang w:bidi="ar-SA"/>
        </w:rPr>
        <w:t xml:space="preserve">،بل عليه دعوى الوفاق في المسالك </w:t>
      </w:r>
      <w:r>
        <w:rPr>
          <w:rStyle w:val="FootnoteAnchor"/>
          <w:rtl w:val="true"/>
        </w:rPr>
        <w:footnoteReference w:id="735"/>
      </w:r>
      <w:r>
        <w:rPr>
          <w:rFonts w:ascii="Amiri" w:hAnsi="Amiri" w:eastAsia="Amiri" w:cs="Amiri"/>
          <w:color w:val="111111"/>
          <w:sz w:val="28"/>
          <w:sz w:val="28"/>
          <w:szCs w:val="28"/>
          <w:rtl w:val="true"/>
          <w:lang w:bidi="ar-SA"/>
        </w:rPr>
        <w:t>،و هو الحجة؛ مضافاً إلى الأولوية؛ لسقوط العقوبة الأُخرويّة بها فالدنيويّة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إذا جاء من قبل نفسه تائباً إلى اللّه تعالى و ردّ سرقته على صاحبها فلا قطع عليه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أو شرب الخمر أو زنى،فلم يعلم بذلك منه و لم يؤخذ حتى تاب و صلح،فقال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الأظهر الأشهر في الثاني،بل قيل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 أيضاً؛ للأصل،و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قامت البينة فليس للإمام أن يعفو</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للحلبيّين </w:t>
      </w:r>
      <w:r>
        <w:rPr>
          <w:rStyle w:val="FootnoteAnchor"/>
          <w:rtl w:val="true"/>
        </w:rPr>
        <w:footnoteReference w:id="740"/>
      </w:r>
      <w:r>
        <w:rPr>
          <w:rFonts w:ascii="Amiri" w:hAnsi="Amiri" w:eastAsia="Amiri" w:cs="Amiri"/>
          <w:color w:val="111111"/>
          <w:sz w:val="28"/>
          <w:sz w:val="28"/>
          <w:szCs w:val="28"/>
          <w:rtl w:val="true"/>
          <w:lang w:bidi="ar-SA"/>
        </w:rPr>
        <w:t xml:space="preserve">،فأطلقا جواز عفو الإمام مع التوبة بعد الرفع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مع شذوذه،و عدم صراحته غير واضح المستند،عدا ما ربما يتوهم من إطلاق الصحيح السابق و تاليه،لكن سياقهما سيّما الثاني ظاهر في التوبة قبل البيّنة،مع أنّ مقتضاهما تحتّم السقوط لا تخيّر الإمام بينه و بين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الجواب عن الأولوية لو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يتخيّر الإمام معها أي مع التوبة بعد الإقرار في الإقامة للحدّ و إسقاطه،أم يتعيّن عليه الأوّل،أم الثاني؟أقوال،مضت إليها الإشارة في بحث تحتّم القطع مع الرجوع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ثمّة أنّ القول الأوّل مبني على رواية فيها ضعف سنداً و دلالة؛ لعدم إيماء فيها إلى رجوع أو توبة بعد الإقرار،و جبره بالتقييد بهما من جهة الإجماع لا يدفع وهنها الحاصل به في مقام التعارض،لكنّها معتضدة بدعوى الإجماع على مضمونها في الخلاف و الغنية </w:t>
      </w:r>
      <w:r>
        <w:rPr>
          <w:rStyle w:val="FootnoteAnchor"/>
          <w:rtl w:val="true"/>
        </w:rPr>
        <w:footnoteReference w:id="742"/>
      </w:r>
      <w:r>
        <w:rPr>
          <w:rFonts w:ascii="Amiri" w:hAnsi="Amiri" w:eastAsia="Amiri" w:cs="Amiri"/>
          <w:color w:val="111111"/>
          <w:sz w:val="28"/>
          <w:sz w:val="28"/>
          <w:szCs w:val="28"/>
          <w:rtl w:val="true"/>
          <w:lang w:bidi="ar-SA"/>
        </w:rPr>
        <w:t>،لكنّها موهونة بشهرة خلافها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اختلفوا في أنّ الأشبه تحتّم الحد أو سقوطه،و قد عرفت رجحانه و لو من جهة الشبهة الناشئة من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يضمن الحاكم و لا الحدّاد سراية الحدّ إلى عضو أو نفس، أيّ حدٍّ كان حتى التعزير،فلا دية له مطلقاً،وفاقاً للنهاية و الخلاف و المبسوط و الغنية و ابن حمزة و الحلّي و الفاضلين و الشهيدين </w:t>
      </w:r>
      <w:r>
        <w:rPr>
          <w:rStyle w:val="FootnoteAnchor"/>
          <w:rtl w:val="true"/>
        </w:rPr>
        <w:footnoteReference w:id="743"/>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للأصل،و آية ما عَلَى الْمُحْسِنِينَ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قتله الحدّ و القصاص فلا دية 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الاستبصار </w:t>
      </w:r>
      <w:r>
        <w:rPr>
          <w:rStyle w:val="FootnoteAnchor"/>
          <w:rtl w:val="true"/>
        </w:rPr>
        <w:footnoteReference w:id="747"/>
      </w:r>
      <w:r>
        <w:rPr>
          <w:rFonts w:ascii="Amiri" w:hAnsi="Amiri" w:eastAsia="Amiri" w:cs="Amiri"/>
          <w:color w:val="111111"/>
          <w:sz w:val="28"/>
          <w:sz w:val="28"/>
          <w:szCs w:val="28"/>
          <w:rtl w:val="true"/>
          <w:lang w:bidi="ar-SA"/>
        </w:rPr>
        <w:t>في حدّ الآدمي،فيضمن الإمام دية المحدود على بيت المال؛ للمباشرة،و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ضربناه حدّا من حدود اللّه تعالى فمات فلا دية له علينا،و من ضربناه حدّا في شيء من حقوق الناس فإنّ ديته علينا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نظر،سيّما في مقابلة أدلّة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الإيضاح دعوى تواتر الرواية </w:t>
      </w:r>
      <w:r>
        <w:rPr>
          <w:rStyle w:val="FootnoteAnchor"/>
          <w:rtl w:val="true"/>
        </w:rPr>
        <w:footnoteReference w:id="749"/>
      </w:r>
      <w:r>
        <w:rPr>
          <w:rFonts w:ascii="Amiri" w:hAnsi="Amiri" w:eastAsia="Amiri" w:cs="Amiri"/>
          <w:color w:val="111111"/>
          <w:sz w:val="28"/>
          <w:sz w:val="28"/>
          <w:szCs w:val="28"/>
          <w:rtl w:val="true"/>
          <w:lang w:bidi="ar-SA"/>
        </w:rPr>
        <w:t>،و لم تثبت،فإنّها مروية في كتب الحديث ضعيفاً من طرق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أنّ محل الخلاف هو التعزير دون الحدّ،و صرّح به في التنقيح </w:t>
      </w:r>
      <w:r>
        <w:rPr>
          <w:rStyle w:val="FootnoteAnchor"/>
          <w:rtl w:val="true"/>
        </w:rPr>
        <w:footnoteReference w:id="750"/>
      </w:r>
      <w:r>
        <w:rPr>
          <w:rFonts w:ascii="Amiri" w:hAnsi="Amiri" w:eastAsia="Amiri" w:cs="Amiri"/>
          <w:color w:val="111111"/>
          <w:sz w:val="28"/>
          <w:sz w:val="28"/>
          <w:szCs w:val="28"/>
          <w:rtl w:val="true"/>
          <w:lang w:bidi="ar-SA"/>
        </w:rPr>
        <w:t xml:space="preserve">،و ربما يظهر أيضاً من الخلاف و المبسوط </w:t>
      </w:r>
      <w:r>
        <w:rPr>
          <w:rStyle w:val="FootnoteAnchor"/>
          <w:rtl w:val="true"/>
        </w:rPr>
        <w:footnoteReference w:id="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مقدّر فلا خطأ فيه،بخلاف التعزير فإنّ تقديره مبني على الاجتهاد الذي يجوز فيه الخطأ</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يتمّ مع كون الحاكم الذي يقيم الحدود غير المعصوم،و إلّا </w:t>
      </w:r>
      <w:bookmarkStart w:id="96" w:name="pg11409_90729"/>
    </w:p>
    <w:p>
      <w:pPr>
        <w:pStyle w:val="BookText"/>
        <w:rPr/>
      </w:pPr>
      <w:bookmarkEnd w:id="96"/>
      <w:r>
        <w:rPr>
          <w:rFonts w:ascii="Amiri" w:hAnsi="Amiri" w:eastAsia="Amiri" w:cs="Amiri"/>
          <w:color w:val="111111"/>
          <w:sz w:val="28"/>
          <w:sz w:val="28"/>
          <w:szCs w:val="28"/>
          <w:rtl w:val="true"/>
          <w:lang w:bidi="ar-SA"/>
        </w:rPr>
        <w:t xml:space="preserve">لم يفترق الحال بين الحدّ و التعزير،و المسألة مفروضة فيما هو أعمّ من ذلك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02651_73709187"/>
      <w:bookmarkStart w:id="98" w:name="_Toc35"/>
      <w:bookmarkEnd w:id="97"/>
      <w:r>
        <w:rPr>
          <w:rtl w:val="true"/>
        </w:rPr>
        <w:t>الخامس في اللواحق،و فيه مسائل</w:t>
      </w:r>
      <w:bookmarkEnd w:id="98"/>
    </w:p>
    <w:p>
      <w:pPr>
        <w:pStyle w:val="Heading5"/>
        <w:numPr>
          <w:ilvl w:val="4"/>
          <w:numId w:val="1"/>
        </w:numPr>
        <w:rPr/>
      </w:pPr>
      <w:bookmarkStart w:id="99" w:name="__RefHeading___Toc1102653_73709187"/>
      <w:bookmarkStart w:id="100" w:name="_Toc36"/>
      <w:bookmarkEnd w:id="99"/>
      <w:r>
        <w:rPr>
          <w:rtl w:val="true"/>
        </w:rPr>
        <w:t>الأولى إذا سرق اثنان نصاباً</w:t>
      </w:r>
      <w:bookmarkEnd w:id="10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اللواحق،و فيه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اثنان فصاعداً نصاباً واحداً،أو زائداً مع عدم بلوغ نصيب كل منهما نصاباً قال المفيد و المرتضى و الشيخ في النهاية </w:t>
      </w:r>
      <w:r>
        <w:rPr>
          <w:rStyle w:val="FootnoteAnchor"/>
          <w:rtl w:val="true"/>
        </w:rPr>
        <w:footnoteReference w:id="753"/>
      </w:r>
      <w:r>
        <w:rPr>
          <w:rFonts w:ascii="Amiri" w:hAnsi="Amiri" w:eastAsia="Amiri" w:cs="Amiri"/>
          <w:color w:val="111111"/>
          <w:sz w:val="28"/>
          <w:sz w:val="28"/>
          <w:szCs w:val="28"/>
          <w:rtl w:val="true"/>
          <w:lang w:bidi="ar-SA"/>
        </w:rPr>
        <w:t xml:space="preserve">و الأتباع أجمع كما في المسالك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يقطعان معاً،و الظاهر أنّه مذهب أكثر القدماء،بل في الانتصار و الغنية </w:t>
      </w:r>
      <w:r>
        <w:rPr>
          <w:rStyle w:val="FootnoteAnchor"/>
          <w:rtl w:val="true"/>
        </w:rPr>
        <w:footnoteReference w:id="755"/>
      </w:r>
      <w:r>
        <w:rPr>
          <w:rFonts w:ascii="Amiri" w:hAnsi="Amiri" w:eastAsia="Amiri" w:cs="Amiri"/>
          <w:color w:val="111111"/>
          <w:sz w:val="28"/>
          <w:sz w:val="28"/>
          <w:szCs w:val="28"/>
          <w:rtl w:val="true"/>
          <w:lang w:bidi="ar-SA"/>
        </w:rPr>
        <w:t>عليه إجماع الإمامية،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الرواية المروية في الخلاف،قال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أصحابنا أنّها إذا بلغت السرقة نصاباً و أخرجوها بأجمعهم وجب عليهم القطع، و لم يفصّلوا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مرسلة؛ إذ لم نقف عليها في كتب الحديث،و لا نقلها ناقل من الأصحاب،و لا أشار إليها أحد منهم في الباب،و إنّما احتجّوا لهم بتحقق الموجب للقطع و هو سرقة النصاب و قد صدر عنهما،فيقطعان؛ و هو كما ترى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نفر نحروا بعيراً فأكلوه فامتحنوا أيّهم نحر فشهدوا على أنفسهم أنّهم نحروه جميعاً، </w:t>
      </w:r>
      <w:bookmarkStart w:id="101" w:name="pg11409_90730"/>
    </w:p>
    <w:p>
      <w:pPr>
        <w:pStyle w:val="BookText"/>
        <w:rPr/>
      </w:pPr>
      <w:bookmarkEnd w:id="101"/>
      <w:r>
        <w:rPr>
          <w:rFonts w:ascii="Amiri" w:hAnsi="Amiri" w:eastAsia="Amiri" w:cs="Amiri"/>
          <w:color w:val="111111"/>
          <w:sz w:val="28"/>
          <w:sz w:val="28"/>
          <w:szCs w:val="28"/>
          <w:rtl w:val="true"/>
          <w:lang w:bidi="ar-SA"/>
        </w:rPr>
        <w:t>لم يخصّوا أحداً دون أحد،فقضى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تقطع أيمانهم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عام من حيث ترك الاستفصال عن بلوغ نصيب كل منهم النصاب و عدمه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و الخلاف و الإسكافي و الحلّي </w:t>
      </w:r>
      <w:r>
        <w:rPr>
          <w:rStyle w:val="FootnoteAnchor"/>
          <w:rtl w:val="true"/>
        </w:rPr>
        <w:footnoteReference w:id="758"/>
      </w:r>
      <w:r>
        <w:rPr>
          <w:rFonts w:ascii="Amiri" w:hAnsi="Amiri" w:eastAsia="Amiri" w:cs="Amiri"/>
          <w:color w:val="111111"/>
          <w:sz w:val="28"/>
          <w:sz w:val="28"/>
          <w:szCs w:val="28"/>
          <w:rtl w:val="true"/>
          <w:lang w:bidi="ar-SA"/>
        </w:rPr>
        <w:t>اشترط بلوغ نصيب كل واحد نصاباً و عليه عامّة متأخّري الأصحاب،و في الخلاف عليه الإجماع،و هو الأوفق بالأصل؛ لاختصاص ما دلّ على قطع السارق نصاباً بحكم التبادر بصورة انفراده به لا مطلقاً؛ مضافاً إلى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وهنه بعدم موافق له من القدماء عدا الإسكافي،و هو بالإضافة إلى باقيهم شاذّ،و كذا الحلّي،مع أنّه بعد الناقل معارض بمثله، بل و أرجح منه بالتعدّد،و عدم ظهور الوهن فيه،و الاعتضاد بالرواية المرسلة المنجبرة بالشهرة القديمة،و عموم الصحيحة المتقدمة،لكنّها قضية في واقعة،و الشهرة الجابرة معارضة بالشهرة العظيمة المتأخّرة القريبة من الإجماع،فلم يبق للقدماء غير الإجماع المنقول المعارض بالمثل، و رجحان الأوّل بما مرّ يقابل بالأصل المرجِّح لهذا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محل تردّد،كما هو ظاهر المتن،و لكن مقتضاه ترجيح القول الأخير للشبهة الدارئة للحدّ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102655_73709187"/>
      <w:bookmarkStart w:id="103" w:name="_Toc37"/>
      <w:bookmarkEnd w:id="102"/>
      <w:r>
        <w:rPr>
          <w:rtl w:val="true"/>
        </w:rPr>
        <w:t>الثانية لو قامت الحجة بالسرقة</w:t>
      </w:r>
      <w:bookmarkEnd w:id="1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سرقتين موجبتين للقطع و لم يقطع بينهما </w:t>
      </w:r>
    </w:p>
    <w:p>
      <w:pPr>
        <w:pStyle w:val="BookText"/>
        <w:rPr/>
      </w:pPr>
      <w:r>
        <w:rPr>
          <w:rFonts w:ascii="Amiri" w:hAnsi="Amiri" w:eastAsia="Amiri" w:cs="Amiri"/>
          <w:color w:val="111111"/>
          <w:sz w:val="28"/>
          <w:sz w:val="28"/>
          <w:szCs w:val="28"/>
          <w:rtl w:val="true"/>
          <w:lang w:bidi="ar-SA"/>
        </w:rPr>
        <w:t xml:space="preserve">و قامت الحجة أي البيّنة عليه بالسرقة الأُولى فأمسكت ليقطع،ثم شهدت عليه ب السرقة ال اُخرى،قال الصدوق و الشيخ في النهاية و الخلاف </w:t>
      </w:r>
      <w:r>
        <w:rPr>
          <w:rStyle w:val="FootnoteAnchor"/>
          <w:rtl w:val="true"/>
        </w:rPr>
        <w:footnoteReference w:id="759"/>
      </w:r>
      <w:r>
        <w:rPr>
          <w:rFonts w:ascii="Amiri" w:hAnsi="Amiri" w:eastAsia="Amiri" w:cs="Amiri"/>
          <w:color w:val="111111"/>
          <w:sz w:val="28"/>
          <w:sz w:val="28"/>
          <w:szCs w:val="28"/>
          <w:rtl w:val="true"/>
          <w:lang w:bidi="ar-SA"/>
        </w:rPr>
        <w:t xml:space="preserve">قطعت يده بالأُولى و رجله بالأُخرى و ادّعى في الخلاف عليه الوفاق و مع ذلك </w:t>
      </w:r>
      <w:r>
        <w:rPr>
          <w:rStyle w:val="FootnoteAnchor"/>
          <w:rtl w:val="true"/>
        </w:rPr>
        <w:footnoteReference w:id="760"/>
      </w:r>
      <w:r>
        <w:rPr>
          <w:rFonts w:ascii="Amiri" w:hAnsi="Amiri" w:eastAsia="Amiri" w:cs="Amiri"/>
          <w:color w:val="111111"/>
          <w:sz w:val="28"/>
          <w:sz w:val="28"/>
          <w:szCs w:val="28"/>
          <w:rtl w:val="true"/>
          <w:lang w:bidi="ar-SA"/>
        </w:rPr>
        <w:t>به رواية صحيحة،و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الشهود شهدوا عليه بالسرقة الاُولى ثم أمسكوا حتى يقطع،ثم شهدوا عليه بالسرقة الأخيرة قطعت رجله اليسرى</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رجع عنه في المبسوط </w:t>
      </w:r>
      <w:r>
        <w:rPr>
          <w:rStyle w:val="FootnoteAnchor"/>
          <w:rtl w:val="true"/>
        </w:rPr>
        <w:footnoteReference w:id="762"/>
      </w:r>
      <w:r>
        <w:rPr>
          <w:rFonts w:ascii="Amiri" w:hAnsi="Amiri" w:eastAsia="Amiri" w:cs="Amiri"/>
          <w:color w:val="111111"/>
          <w:sz w:val="28"/>
          <w:sz w:val="28"/>
          <w:szCs w:val="28"/>
          <w:rtl w:val="true"/>
          <w:lang w:bidi="ar-SA"/>
        </w:rPr>
        <w:t xml:space="preserve">،و تبعه الحلّي و الفاضلان و الشهيدان </w:t>
      </w:r>
      <w:r>
        <w:rPr>
          <w:rStyle w:val="FootnoteAnchor"/>
          <w:rtl w:val="true"/>
        </w:rPr>
        <w:footnoteReference w:id="763"/>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764"/>
      </w:r>
      <w:r>
        <w:rPr>
          <w:rFonts w:ascii="Amiri" w:hAnsi="Amiri" w:eastAsia="Amiri" w:cs="Amiri"/>
          <w:color w:val="111111"/>
          <w:sz w:val="28"/>
          <w:sz w:val="28"/>
          <w:szCs w:val="28"/>
          <w:rtl w:val="true"/>
          <w:lang w:bidi="ar-SA"/>
        </w:rPr>
        <w:t>،و هو الأوفق بالأصل،مع اختصاص ما دل على تعدّد القطع بتعدّد السرقة بصورة تخلّل القطع بينهما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المنقول موهون زيادةً على ندرة القائل به برجوع الناقل عنه إلى خلافه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متأخروا الأصحاب عن الرواية بضعف السند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لاختصاصه بطريق التهذيب،و إلّا فهو في الكافي مروي بطريق حسن </w:t>
      </w:r>
      <w:r>
        <w:rPr>
          <w:rStyle w:val="FootnoteAnchor"/>
          <w:rtl w:val="true"/>
        </w:rPr>
        <w:footnoteReference w:id="765"/>
      </w:r>
      <w:r>
        <w:rPr>
          <w:rFonts w:ascii="Amiri" w:hAnsi="Amiri" w:eastAsia="Amiri" w:cs="Amiri"/>
          <w:color w:val="111111"/>
          <w:sz w:val="28"/>
          <w:sz w:val="28"/>
          <w:szCs w:val="28"/>
          <w:rtl w:val="true"/>
          <w:lang w:bidi="ar-SA"/>
        </w:rPr>
        <w:t xml:space="preserve">قريب من الصحيح،فطرحه مشكل،و لكنّ العمل به أيضاً </w:t>
      </w:r>
      <w:bookmarkStart w:id="104" w:name="pg11409_90732"/>
    </w:p>
    <w:p>
      <w:pPr>
        <w:pStyle w:val="BookText"/>
        <w:rPr/>
      </w:pPr>
      <w:bookmarkEnd w:id="104"/>
      <w:r>
        <w:rPr>
          <w:rFonts w:ascii="Amiri" w:hAnsi="Amiri" w:eastAsia="Amiri" w:cs="Amiri"/>
          <w:color w:val="111111"/>
          <w:sz w:val="28"/>
          <w:sz w:val="28"/>
          <w:szCs w:val="28"/>
          <w:rtl w:val="true"/>
          <w:lang w:bidi="ar-SA"/>
        </w:rPr>
        <w:t>لا يخلو عن إشكال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التمسك بعصمة الدم إلّا في موضع اليقين عملاً بالنص المتواتر بدفع الحدّ بالشبهات</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102657_73709187"/>
      <w:bookmarkStart w:id="106" w:name="_Toc38"/>
      <w:bookmarkEnd w:id="105"/>
      <w:r>
        <w:rPr>
          <w:rtl w:val="true"/>
        </w:rPr>
        <w:t>الثالثة قطع السارق موقوف</w:t>
      </w:r>
      <w:bookmarkEnd w:id="10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السارق موقوف عندنا على مرافعة المسروق منه له إلى الإمام تغليباً لحق الناس فيه فلو لم يرافعه إليه لم يرفعه الإمام و لم يقطعه و إن قامت عليه البيّنة حسبة </w:t>
      </w:r>
      <w:r>
        <w:rPr>
          <w:rStyle w:val="FootnoteAnchor"/>
          <w:rtl w:val="true"/>
        </w:rPr>
        <w:footnoteReference w:id="766"/>
      </w:r>
      <w:r>
        <w:rPr>
          <w:rFonts w:ascii="Amiri" w:hAnsi="Amiri" w:eastAsia="Amiri" w:cs="Amiri"/>
          <w:color w:val="111111"/>
          <w:sz w:val="28"/>
          <w:sz w:val="28"/>
          <w:szCs w:val="28"/>
          <w:rtl w:val="true"/>
          <w:lang w:bidi="ar-SA"/>
        </w:rPr>
        <w:t>أو أقرّ بها مرّتين،و كذا لو علم بسرقته،كما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على الإمام إذا نظر إلى رجل يزني أو يشرب خمراً أن يقيم عليه الحدّ،و لا يحتاج إلى بيّنة مع نظره؛ لأنّه أمين اللّه في خلقه،و إذا نظر إلى رجل يسرق فالواجب عليه أن يزبره و ينهاه و يمضي و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الحق إذا كان للّه تعالى فالواجب على الإمام إقامته،و 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وهبه المالك العينَ بعد السرقة،أو عفا عن القطع قبل المرافعة سقط القطع و إن كان لو رافعه لم يسقط عنه الحدّ مطلقاً و لو عفا عنه أو وهبه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 في الصحيح </w:t>
      </w:r>
      <w:r>
        <w:rPr>
          <w:rStyle w:val="FootnoteAnchor"/>
          <w:rtl w:val="true"/>
        </w:rPr>
        <w:footnoteReference w:id="768"/>
      </w:r>
      <w:r>
        <w:rPr>
          <w:rFonts w:ascii="IRNazanin" w:hAnsi="IRNazanin" w:eastAsia="IRNazanin"/>
          <w:color w:val="111111"/>
          <w:sz w:val="28"/>
          <w:sz w:val="28"/>
          <w:szCs w:val="28"/>
          <w:rtl w:val="true"/>
          <w:lang w:bidi="fa-IR"/>
        </w:rPr>
        <w:t xml:space="preserve">و الحسن </w:t>
      </w:r>
      <w:r>
        <w:rPr>
          <w:rStyle w:val="FootnoteAnchor"/>
          <w:rtl w:val="true"/>
        </w:rPr>
        <w:footnoteReference w:id="769"/>
      </w:r>
      <w:r>
        <w:rPr>
          <w:rFonts w:ascii="Amiri" w:hAnsi="Amiri" w:eastAsia="Amiri" w:cs="Amiri"/>
          <w:color w:val="111111"/>
          <w:sz w:val="28"/>
          <w:sz w:val="28"/>
          <w:szCs w:val="28"/>
          <w:rtl w:val="true"/>
          <w:lang w:bidi="ar-SA"/>
        </w:rPr>
        <w:t xml:space="preserve">و غيرهما </w:t>
      </w:r>
      <w:r>
        <w:rPr>
          <w:rStyle w:val="FootnoteAnchor"/>
          <w:rtl w:val="true"/>
        </w:rPr>
        <w:footnoteReference w:id="770"/>
      </w:r>
      <w:r>
        <w:rPr>
          <w:rFonts w:ascii="Amiri" w:hAnsi="Amiri" w:eastAsia="Amiri" w:cs="Amiri"/>
          <w:color w:val="111111"/>
          <w:sz w:val="28"/>
          <w:sz w:val="28"/>
          <w:szCs w:val="28"/>
          <w:rtl w:val="true"/>
          <w:lang w:bidi="ar-SA"/>
        </w:rPr>
        <w:t xml:space="preserve">لصفوان بن أُميّة حين سُرِقَ رداؤه فقبض السارق </w:t>
      </w:r>
    </w:p>
    <w:p>
      <w:pPr>
        <w:pStyle w:val="BookText"/>
        <w:rPr/>
      </w:pPr>
      <w:r>
        <w:rPr>
          <w:rFonts w:ascii="Amiri" w:hAnsi="Amiri" w:eastAsia="Amiri" w:cs="Amiri"/>
          <w:color w:val="111111"/>
          <w:sz w:val="28"/>
          <w:sz w:val="28"/>
          <w:szCs w:val="28"/>
          <w:rtl w:val="true"/>
          <w:lang w:bidi="ar-SA"/>
        </w:rPr>
        <w:t>و قدّمه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كان ذلك قبل أن ينتهي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سارقاً فعفا عنه فذاك له،فإذا رفع إلى الإمام قطعه،فإن قال الذي سرق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أهب له،لم يدعه الإمام حتى يقطعه إذا رفعه إليه،و إنّما الهبة قبل أن يرفع إلى الإمام،و ذاك قول اللّه عزَّ و جلَّ وَ الْحافِظُونَ لِحُدُودِ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فإذا انتهى إلى الإمام فليس لأحدٍ أن يتركه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للّه تعالى دون الإمام،فأمّا ما كان من حقوق الناس فلا بأس 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يشفعنّ في حدّ إذا بلغ الإمام،فإنّه لا يملكه، و اشفع فيما لم يبلغ الإمام إذا رأيت الدم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كما في نسخة،و بدّل الدم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أُخرى</w:t>
      </w:r>
      <w:r>
        <w:rPr>
          <w:rFonts w:eastAsia="Amiri" w:cs="Amiri" w:ascii="Amiri" w:hAnsi="Amiri"/>
          <w:color w:val="111111"/>
          <w:sz w:val="28"/>
          <w:szCs w:val="28"/>
          <w:rtl w:val="true"/>
          <w:lang w:bidi="ar-SA"/>
        </w:rPr>
        <w:t xml:space="preserve">. </w:t>
      </w:r>
      <w:bookmarkStart w:id="107" w:name="pg11409_90734"/>
    </w:p>
    <w:p>
      <w:pPr>
        <w:pStyle w:val="Heading3"/>
        <w:numPr>
          <w:ilvl w:val="2"/>
          <w:numId w:val="1"/>
        </w:numPr>
        <w:rPr/>
      </w:pPr>
      <w:bookmarkStart w:id="108" w:name="__RefHeading___Toc1102659_73709187"/>
      <w:bookmarkStart w:id="109" w:name="_Toc39"/>
      <w:bookmarkEnd w:id="107"/>
      <w:bookmarkEnd w:id="108"/>
      <w:r>
        <w:rPr>
          <w:rtl w:val="true"/>
        </w:rPr>
        <w:t>الفصل السادس في المحارب</w:t>
      </w:r>
      <w:bookmarkEnd w:id="109"/>
    </w:p>
    <w:p>
      <w:pPr>
        <w:pStyle w:val="BookText"/>
        <w:rPr/>
      </w:pPr>
      <w:r>
        <w:rPr>
          <w:rFonts w:ascii="Amiri" w:hAnsi="Amiri" w:eastAsia="Amiri" w:cs="Amiri"/>
          <w:color w:val="111111"/>
          <w:sz w:val="28"/>
          <w:sz w:val="28"/>
          <w:szCs w:val="28"/>
          <w:rtl w:val="true"/>
          <w:lang w:bidi="ar-SA"/>
        </w:rPr>
        <w:t xml:space="preserve">الفصل السادس في بيان حدّ المحارب و هو كلّ مجرِّدٍ سلاحاً كالسيف أو غيره كالحجر و نحوه في برٍّ أو بحرٍ مصرٍ أو غيره ليلاً أو نهاراً لإخافة السابلة و المتردّدين من المسلمين مطلقاً و إن لم يكن المحارب من أهلها أي أهل الإخافة، بأن كان ضعيفاً عنها،و لا من أهل الفتنة،و لا ذكراً على الأشبه الأقوى، و عليه عامّة متأخّري أصحابنا،و في كنز العرفان نسبه إلى الفقهاء </w:t>
      </w:r>
      <w:r>
        <w:rPr>
          <w:rStyle w:val="FootnoteAnchor"/>
          <w:rtl w:val="true"/>
        </w:rPr>
        <w:footnoteReference w:id="775"/>
      </w:r>
      <w:r>
        <w:rPr>
          <w:rFonts w:ascii="Amiri" w:hAnsi="Amiri" w:eastAsia="Amiri" w:cs="Amiri"/>
          <w:color w:val="111111"/>
          <w:sz w:val="28"/>
          <w:sz w:val="28"/>
          <w:szCs w:val="28"/>
          <w:rtl w:val="true"/>
          <w:lang w:bidi="ar-SA"/>
        </w:rPr>
        <w:t>،مشعراً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الآية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شموله للإناث و إن كان فيه نوع غموض،بناءً على أنّ الضمير للذكور و دخول الإناث فيهم مجاز،إلّا أنّ العموم لهنّ جاء من قبل النصوص،ففي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السلاح في مصر من الأمصار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حقيقة للذكور و الإناث و أهل الريبة و الإخافة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للشيخين،فاشترطا كونه من أهل الريبة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للإسكافي </w:t>
      </w:r>
      <w:r>
        <w:rPr>
          <w:rStyle w:val="FootnoteAnchor"/>
          <w:rtl w:val="true"/>
        </w:rPr>
        <w:footnoteReference w:id="779"/>
      </w:r>
      <w:r>
        <w:rPr>
          <w:rFonts w:ascii="Amiri" w:hAnsi="Amiri" w:eastAsia="Amiri" w:cs="Amiri"/>
          <w:color w:val="111111"/>
          <w:sz w:val="28"/>
          <w:sz w:val="28"/>
          <w:szCs w:val="28"/>
          <w:rtl w:val="true"/>
          <w:lang w:bidi="ar-SA"/>
        </w:rPr>
        <w:t>،فاشترط الذكورة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الشيخان فلعلّهما استندا إلى مفهوم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السلاح باللّيل فهو محارب،إلّا أن يكون رجلاً ليس من أهل الريبة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المتيقن و الحدود تدرأ بالشبهات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البحث على تقدير وجود السبب أعني المحاربة فيتحقق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اشتراط قصد الإخافة في المحاربة مضافاً إلى الاتفاق عليه على الظاهر إلّا من نادر </w:t>
      </w:r>
      <w:r>
        <w:rPr>
          <w:rStyle w:val="FootnoteAnchor"/>
          <w:rtl w:val="true"/>
        </w:rPr>
        <w:footnoteReference w:id="782"/>
      </w:r>
      <w:r>
        <w:rPr>
          <w:rFonts w:ascii="Amiri" w:hAnsi="Amiri" w:eastAsia="Amiri" w:cs="Amiri"/>
          <w:color w:val="111111"/>
          <w:sz w:val="28"/>
          <w:sz w:val="28"/>
          <w:szCs w:val="28"/>
          <w:rtl w:val="true"/>
          <w:lang w:bidi="ar-SA"/>
        </w:rPr>
        <w:t>،مع عدم صدقها عرفاً إلّا به المروي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شهر إلى صاحبه بالرمح و السكين،فقال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يلعب فلا بأس</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عدم اشتراط السلاح من نحو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أقبل بنار فأشعلها في دار قوم فاحترقت و احترق متاعهم،أنّه يغرم قيمة الدار و ما </w:t>
      </w:r>
    </w:p>
    <w:p>
      <w:pPr>
        <w:pStyle w:val="BookText"/>
        <w:rPr/>
      </w:pPr>
      <w:r>
        <w:rPr>
          <w:rFonts w:ascii="Amiri" w:hAnsi="Amiri" w:eastAsia="Amiri" w:cs="Amiri"/>
          <w:color w:val="111111"/>
          <w:sz w:val="28"/>
          <w:sz w:val="28"/>
          <w:szCs w:val="28"/>
          <w:rtl w:val="true"/>
          <w:lang w:bidi="ar-SA"/>
        </w:rPr>
        <w:t xml:space="preserve">فيها،ثم يقتل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صدق المحاربة بكلّ ما يتحقق به الإخافة و لو حجراً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يفهم من الروضة عدم اشتراط قصد الإخافة و أنّ به قولاً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ضعفه و شذوذه لم أجده،مع أنّه اشترطه في المسالك </w:t>
      </w:r>
      <w:r>
        <w:rPr>
          <w:rStyle w:val="FootnoteAnchor"/>
          <w:rtl w:val="true"/>
        </w:rPr>
        <w:footnoteReference w:id="786"/>
      </w:r>
      <w:r>
        <w:rPr>
          <w:rFonts w:ascii="Amiri" w:hAnsi="Amiri" w:eastAsia="Amiri" w:cs="Amiri"/>
          <w:color w:val="111111"/>
          <w:sz w:val="28"/>
          <w:sz w:val="28"/>
          <w:szCs w:val="28"/>
          <w:rtl w:val="true"/>
          <w:lang w:bidi="ar-SA"/>
        </w:rPr>
        <w:t>من دون خلاف فيه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ذلك بالإقرار من أهله و لو مرّة،أو بشهادة عدلين بلا إشكال و لا خلاف أجده إلّا من الديلمي و المختلف </w:t>
      </w:r>
      <w:r>
        <w:rPr>
          <w:rStyle w:val="FootnoteAnchor"/>
          <w:rtl w:val="true"/>
        </w:rPr>
        <w:footnoteReference w:id="787"/>
      </w:r>
      <w:r>
        <w:rPr>
          <w:rFonts w:ascii="Amiri" w:hAnsi="Amiri" w:eastAsia="Amiri" w:cs="Amiri"/>
          <w:color w:val="111111"/>
          <w:sz w:val="28"/>
          <w:sz w:val="28"/>
          <w:szCs w:val="28"/>
          <w:rtl w:val="true"/>
          <w:lang w:bidi="ar-SA"/>
        </w:rPr>
        <w:t>،حيث حكي عنهما القول بأنّ كلّ حدٍّ يثبت بشهادة عدلين يعتبر فيه الإقرار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الكلّية،مع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خرج منه ما اشترط فيه التكرار بدليل خارج،فيبقى غيره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يستند إلى الاستقراء،و فحوى ما دلّ على اعتبار التكرار في نحو السرقة و غيرها ممّا هو أضعف حدّا فهنا أولى،فتأمّل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بعض اللصوص على بعض أو على غيرهم،أو لهما لم تقبل شهادته قطعاً؛ لفسقه المانع عن قبولها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شهد بعض المأخوذين لبعض منهم على القاطع عليهم الطريق مطلقاً،على الأشهر الأقوى؛ للتهمة،و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رفقة </w:t>
      </w:r>
    </w:p>
    <w:p>
      <w:pPr>
        <w:pStyle w:val="BookText"/>
        <w:rPr/>
      </w:pPr>
      <w:r>
        <w:rPr>
          <w:rFonts w:ascii="Amiri" w:hAnsi="Amiri" w:eastAsia="Amiri" w:cs="Amiri"/>
          <w:color w:val="111111"/>
          <w:sz w:val="28"/>
          <w:sz w:val="28"/>
          <w:szCs w:val="28"/>
          <w:rtl w:val="true"/>
          <w:lang w:bidi="ar-SA"/>
        </w:rPr>
        <w:t>كانوا في طريق قطع عليهم الطريق فأخذوا اللصوص،فشهد بعضهم لبعض؟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شهادتهم إلّا بإقرار اللصوص،أو بشهادة من غيرهم عليهم</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بالقبول لو لم يتعرّض لما أُخذ منه؛ لوجود العدالة المانعة من التهجّم على غير الواقع،و منع التهمة المانعة،بل هو كشهادة بعض غرماء المديون لبعض،و شهادة المشهود لهما بوصية من تركة للشاهدين بوصية منها أيضاً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على تقدير تسليمه اجتهاد في مقابلة النص المعتبر و لو بعمل الأكثر،بل الأشهر كما صرّح به بعض من تأخّر </w:t>
      </w:r>
      <w:r>
        <w:rPr>
          <w:rStyle w:val="FootnoteAnchor"/>
          <w:rtl w:val="true"/>
        </w:rPr>
        <w:footnoteReference w:id="791"/>
      </w:r>
      <w:r>
        <w:rPr>
          <w:rFonts w:ascii="Amiri" w:hAnsi="Amiri" w:eastAsia="Amiri" w:cs="Amiri"/>
          <w:color w:val="111111"/>
          <w:sz w:val="28"/>
          <w:sz w:val="28"/>
          <w:szCs w:val="28"/>
          <w:rtl w:val="true"/>
          <w:lang w:bidi="ar-SA"/>
        </w:rPr>
        <w:t>،فلا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الشاهد مأخوذاً احتمل قبول شهادته؛ لعدم التهمة، مع خروجه عن مورد الفتوى و الرواية؛ لظهورهما و لو بحكم التبادر في صورة كونه مأخوذاً،و بالقبول هنا صرّح جمع </w:t>
      </w:r>
      <w:r>
        <w:rPr>
          <w:rStyle w:val="FootnoteAnchor"/>
          <w:rtl w:val="true"/>
        </w:rPr>
        <w:footnoteReference w:id="792"/>
      </w:r>
      <w:r>
        <w:rPr>
          <w:rFonts w:ascii="Amiri" w:hAnsi="Amiri" w:eastAsia="Amiri" w:cs="Amiri"/>
          <w:color w:val="111111"/>
          <w:sz w:val="28"/>
          <w:sz w:val="28"/>
          <w:szCs w:val="28"/>
          <w:rtl w:val="true"/>
          <w:lang w:bidi="ar-SA"/>
        </w:rPr>
        <w:t>من غير أن يذكروا خلافاً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حدّه القتل أو الصلب أو القطع مخالفاً أي قطع اليد اليمنى و الرجل اليسرى كما يقطعان في السرقة،و صرّح به جماعة من الأصحاب </w:t>
      </w:r>
      <w:r>
        <w:rPr>
          <w:rStyle w:val="FootnoteAnchor"/>
          <w:rtl w:val="true"/>
        </w:rPr>
        <w:footnoteReference w:id="793"/>
      </w:r>
      <w:r>
        <w:rPr>
          <w:rFonts w:ascii="Amiri" w:hAnsi="Amiri" w:eastAsia="Amiri" w:cs="Amiri"/>
          <w:color w:val="111111"/>
          <w:sz w:val="28"/>
          <w:sz w:val="28"/>
          <w:szCs w:val="28"/>
          <w:rtl w:val="true"/>
          <w:lang w:bidi="ar-SA"/>
        </w:rPr>
        <w:t xml:space="preserve">،و يستفاد من بعض أخبار الباب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النفي من مصره إلى مصرٍ آخر،ثم إلى آخر،و هكذا إلى أن يتوب،أو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هذه الأُمور بعد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 السنّة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للأصحاب اختلاف في أنّها هل على التخيير،أو الترتيب؟ ف قال المفيد و الديلمي و الحلّي و الصدوق في صريح الهداية و ظاهر المقنع </w:t>
      </w:r>
      <w:r>
        <w:rPr>
          <w:rStyle w:val="FootnoteAnchor"/>
          <w:rtl w:val="true"/>
        </w:rPr>
        <w:footnoteReference w:id="795"/>
      </w:r>
      <w:r>
        <w:rPr>
          <w:rFonts w:ascii="Amiri" w:hAnsi="Amiri" w:eastAsia="Amiri" w:cs="Amiri"/>
          <w:color w:val="111111"/>
          <w:sz w:val="28"/>
          <w:sz w:val="28"/>
          <w:szCs w:val="28"/>
          <w:rtl w:val="true"/>
          <w:lang w:bidi="ar-SA"/>
        </w:rPr>
        <w:t xml:space="preserve">كما حكي بالتخيير و عليه أكثر المتأخّرين،و منهم الماتن في الشرائع </w:t>
      </w:r>
      <w:r>
        <w:rPr>
          <w:rStyle w:val="FootnoteAnchor"/>
          <w:rtl w:val="true"/>
        </w:rPr>
        <w:footnoteReference w:id="796"/>
      </w:r>
      <w:r>
        <w:rPr>
          <w:rFonts w:ascii="IRNazanin" w:hAnsi="IRNazanin" w:eastAsia="IRNazanin"/>
          <w:color w:val="111111"/>
          <w:sz w:val="28"/>
          <w:sz w:val="28"/>
          <w:szCs w:val="28"/>
          <w:rtl w:val="true"/>
          <w:lang w:bidi="fa-IR"/>
        </w:rPr>
        <w:t>و هنا؛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لظاهر الآية،بناءً على أنّ 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التخيير،مع التصريح في الصحاح بأنّها له في القرآن حيث وقع </w:t>
      </w:r>
      <w:r>
        <w:rPr>
          <w:rStyle w:val="FootnoteAnchor"/>
          <w:rtl w:val="true"/>
        </w:rPr>
        <w:footnoteReference w:id="797"/>
      </w:r>
      <w:r>
        <w:rPr>
          <w:rFonts w:ascii="Amiri" w:hAnsi="Amiri" w:eastAsia="Amiri" w:cs="Amiri"/>
          <w:color w:val="111111"/>
          <w:sz w:val="28"/>
          <w:sz w:val="28"/>
          <w:szCs w:val="28"/>
          <w:rtl w:val="true"/>
          <w:lang w:bidi="ar-SA"/>
        </w:rPr>
        <w:t xml:space="preserve">،و منها في خصوص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 أن يفعل ما يشاء</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799"/>
      </w:r>
      <w:r>
        <w:rPr>
          <w:rFonts w:ascii="IRNazanin" w:hAnsi="IRNazanin" w:eastAsia="IRNazanin"/>
          <w:color w:val="111111"/>
          <w:sz w:val="28"/>
          <w:sz w:val="28"/>
          <w:szCs w:val="28"/>
          <w:rtl w:val="true"/>
          <w:lang w:bidi="fa-IR"/>
        </w:rPr>
        <w:t xml:space="preserve">و الموثق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الإمام،إن شاء قطع،و إن شاء صلب،و إن شاء نفى،و 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إلى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ينفى من مصرٍ إلى مصرٍ 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الموثق الوارد في شأن نزول الآية صريح في التخيير،و جواز </w:t>
      </w:r>
    </w:p>
    <w:p>
      <w:pPr>
        <w:pStyle w:val="BookText"/>
        <w:rPr/>
      </w:pPr>
      <w:r>
        <w:rPr>
          <w:rFonts w:ascii="Amiri" w:hAnsi="Amiri" w:eastAsia="Amiri" w:cs="Amiri"/>
          <w:color w:val="111111"/>
          <w:sz w:val="28"/>
          <w:sz w:val="28"/>
          <w:szCs w:val="28"/>
          <w:rtl w:val="true"/>
          <w:lang w:bidi="ar-SA"/>
        </w:rPr>
        <w:t>الاكتفاء بقطع المحارب خاصّة دون قتله و لو قَتَل،فقد دلّ على قطع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من بني ضبّة و قد قتلوا ثلاثة ممّن كان في إبل الصدقة مقتصراً عليه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و الإسكافي و التقي و ابن زهرة و أتباع الشيخ كما في نكت الإرشاد و المسالك </w:t>
      </w:r>
      <w:r>
        <w:rPr>
          <w:rStyle w:val="FootnoteAnchor"/>
          <w:rtl w:val="true"/>
        </w:rPr>
        <w:footnoteReference w:id="802"/>
      </w:r>
      <w:r>
        <w:rPr>
          <w:rFonts w:ascii="Amiri" w:hAnsi="Amiri" w:eastAsia="Amiri" w:cs="Amiri"/>
          <w:color w:val="111111"/>
          <w:sz w:val="28"/>
          <w:sz w:val="28"/>
          <w:szCs w:val="28"/>
          <w:rtl w:val="true"/>
          <w:lang w:bidi="ar-SA"/>
        </w:rPr>
        <w:t>بالترتيب قال في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عليه الإجماع،و هو ظاهر المصنف في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إلى الأكثر </w:t>
      </w:r>
      <w:r>
        <w:rPr>
          <w:rStyle w:val="FootnoteAnchor"/>
          <w:rtl w:val="true"/>
        </w:rPr>
        <w:footnoteReference w:id="803"/>
      </w:r>
      <w:r>
        <w:rPr>
          <w:rFonts w:ascii="Amiri" w:hAnsi="Amiri" w:eastAsia="Amiri" w:cs="Amiri"/>
          <w:color w:val="111111"/>
          <w:sz w:val="28"/>
          <w:sz w:val="28"/>
          <w:szCs w:val="28"/>
          <w:rtl w:val="true"/>
          <w:lang w:bidi="ar-SA"/>
        </w:rPr>
        <w:t xml:space="preserve">،و لكن اختلفوا في كيفيته،ففي النهاية و المهذّب و فقه القرآن للراوندي </w:t>
      </w:r>
      <w:r>
        <w:rPr>
          <w:rStyle w:val="FootnoteAnchor"/>
          <w:rtl w:val="true"/>
        </w:rPr>
        <w:footnoteReference w:id="804"/>
      </w:r>
      <w:r>
        <w:rPr>
          <w:rFonts w:ascii="Amiri" w:hAnsi="Amiri" w:eastAsia="Amiri" w:cs="Amiri"/>
          <w:color w:val="111111"/>
          <w:sz w:val="28"/>
          <w:sz w:val="28"/>
          <w:szCs w:val="28"/>
          <w:rtl w:val="true"/>
          <w:lang w:bidi="ar-SA"/>
        </w:rPr>
        <w:t>أنّه يقتل إن قتل،و لو عفا وليّ الدم قتل حدّا لا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و أخذ المال استعيد منه عينه أو بدله و قطعت يده اليمنى و رجله اليسرى،ثم قتل و صلب و إن أخذ المال و لم يقتل قطع مخالفاً و نُفي و لو جرح و لم يأخذ المال اقتصّ منه و نُفي و لو اقتصر على شهر السلاح مخيفاً نُفي لا غير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التبيان و المبسوط و الخلاف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قُتِلَ،و إن قَتَلَ و أخذ المال قُتِلَ و صُلب،و إن اقتصر على أخذ المال و لم يقتل قطعت يده و رجله من خلاف،و إن اقتصر على الإخافة فإنّما عليه 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المبسوط و الخلاف </w:t>
      </w:r>
      <w:r>
        <w:rPr>
          <w:rStyle w:val="FootnoteAnchor"/>
          <w:rtl w:val="true"/>
        </w:rPr>
        <w:footnoteReference w:id="806"/>
      </w:r>
      <w:r>
        <w:rPr>
          <w:rFonts w:ascii="Amiri" w:hAnsi="Amiri" w:eastAsia="Amiri" w:cs="Amiri"/>
          <w:color w:val="111111"/>
          <w:sz w:val="28"/>
          <w:sz w:val="28"/>
          <w:szCs w:val="28"/>
          <w:rtl w:val="true"/>
          <w:lang w:bidi="ar-SA"/>
        </w:rPr>
        <w:t>أنّه ينفى على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المبسوط </w:t>
      </w:r>
      <w:r>
        <w:rPr>
          <w:rStyle w:val="FootnoteAnchor"/>
          <w:rtl w:val="true"/>
        </w:rPr>
        <w:footnoteReference w:id="807"/>
      </w:r>
      <w:r>
        <w:rPr>
          <w:rFonts w:ascii="Amiri" w:hAnsi="Amiri" w:eastAsia="Amiri" w:cs="Amiri"/>
          <w:color w:val="111111"/>
          <w:sz w:val="28"/>
          <w:sz w:val="28"/>
          <w:szCs w:val="28"/>
          <w:rtl w:val="true"/>
          <w:lang w:bidi="ar-SA"/>
        </w:rPr>
        <w:t>أنّه يتحتّم عليه القتل إذا قتل لأخذ المال،و أمّا إن قتل لغيره فالقود واجب غير متحتّم،أي يجوز لولي المقتول العفو مجاناً و على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 إمّا جنى جناية أو لم يجن،فإذا جنى جناية لم يخل إمّا جنى في المحاربة أو في غيرها،فإن جنى في المحاربة لم يجز العفو عنه و لا الصلح على مال،و إن جنى في غير المحاربة جاز فيه ذلك، و إن لم يجن و أخاف و نُفي عن البلد و على هذا حتى يتوب،و إن جنى و جرح اقتصّ منه و نُفى عن البلد،و إن أخذ المال قطع يده و رجله من خلاف و نُفي،و إن قَتَلَ و غرضه في إظهار السلاح القتل كان ولي الدم مخيّراً بين القود و العفو و الدية،و إن كان غرضه المال كان قتله حتماً و صلب بعد القتل،و إن قطع اليد و لم يأخذ المال قطع و نُفي،و إن جرح و قتل اقتصّ منه ثم قتل و صلب،و إن جرح و قطع و أخذ المال جرح و قطع للقصاص أوّلاً إن كان قطع اليد اليسرى،ثم قطع يده اليمنى لأخذه المال،و لم يوال بين القطعين،و إن كان قطع اليمنى قطعت يمناه قصاصاً و رجله اليسرى لأخذ المال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 حجّة على شيء من هذه الكيفيّات من النصوص،و إن دلّ أكثرها على الترتيب في الجملة،لكن شيء منها لا يوافق شيئاً منها،فهي شاذّة،مع ضعف أسانيدها جملة،و لذا اعترضها الماتن و جماعة </w:t>
      </w:r>
      <w:r>
        <w:rPr>
          <w:rStyle w:val="FootnoteAnchor"/>
          <w:rtl w:val="true"/>
        </w:rPr>
        <w:footnoteReference w:id="809"/>
      </w:r>
      <w:r>
        <w:rPr>
          <w:rFonts w:ascii="Amiri" w:hAnsi="Amiri" w:eastAsia="Amiri" w:cs="Amiri"/>
          <w:color w:val="111111"/>
          <w:sz w:val="28"/>
          <w:sz w:val="28"/>
          <w:szCs w:val="28"/>
          <w:rtl w:val="true"/>
          <w:lang w:bidi="ar-SA"/>
        </w:rPr>
        <w:t xml:space="preserve">بأنّها </w:t>
      </w:r>
    </w:p>
    <w:p>
      <w:pPr>
        <w:pStyle w:val="BookText"/>
        <w:rPr/>
      </w:pPr>
      <w:r>
        <w:rPr>
          <w:rFonts w:ascii="Amiri" w:hAnsi="Amiri" w:eastAsia="Amiri" w:cs="Amiri"/>
          <w:color w:val="111111"/>
          <w:sz w:val="28"/>
          <w:sz w:val="28"/>
          <w:szCs w:val="28"/>
          <w:rtl w:val="true"/>
          <w:lang w:bidi="ar-SA"/>
        </w:rPr>
        <w:t>لا تنفكّ من ضعف في إسناد،أو اضطراب في متن،أو قصور في دلالة، فالأولى التمسك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لولا الشهرة القديمة الظاهرة و المحكية في النكت و غيره </w:t>
      </w:r>
      <w:r>
        <w:rPr>
          <w:rStyle w:val="FootnoteAnchor"/>
          <w:rtl w:val="true"/>
        </w:rPr>
        <w:footnoteReference w:id="810"/>
      </w:r>
      <w:r>
        <w:rPr>
          <w:rFonts w:ascii="Amiri" w:hAnsi="Amiri" w:eastAsia="Amiri" w:cs="Amiri"/>
          <w:color w:val="111111"/>
          <w:sz w:val="28"/>
          <w:sz w:val="28"/>
          <w:szCs w:val="28"/>
          <w:rtl w:val="true"/>
          <w:lang w:bidi="ar-SA"/>
        </w:rPr>
        <w:t xml:space="preserve">،و حكاية الإجماع المتقدمة الجابرة لضعف الروايات،مع مخالفتها لما عليه أكثر العامّة كما في النكت و يستفاد من بعضها،و لذا حمل الشيخ </w:t>
      </w:r>
      <w:r>
        <w:rPr>
          <w:rStyle w:val="FootnoteAnchor"/>
          <w:rtl w:val="true"/>
        </w:rPr>
        <w:footnoteReference w:id="811"/>
      </w:r>
      <w:r>
        <w:rPr>
          <w:rFonts w:ascii="Amiri" w:hAnsi="Amiri" w:eastAsia="Amiri" w:cs="Amiri"/>
          <w:color w:val="111111"/>
          <w:sz w:val="28"/>
          <w:sz w:val="28"/>
          <w:szCs w:val="28"/>
          <w:rtl w:val="true"/>
          <w:lang w:bidi="ar-SA"/>
        </w:rPr>
        <w:t>الأخبار المخيِّرة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الروايات في كيفية الترتيب إنّما يضعّف إثبات كيفية خاصّة منها،لا أصله في مقابلة القول بالتخيير بعد اتفاقها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جملة ما يدل عليه بحسب السند صحيح،و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عن 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فمفوّض ذلك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نحو </w:t>
      </w:r>
      <w:r>
        <w:rPr>
          <w:rStyle w:val="FootnoteAnchor"/>
          <w:rtl w:val="true"/>
        </w:rPr>
        <w:footnoteReference w:id="812"/>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سهولة حمل الصحيح السابق </w:t>
      </w:r>
      <w:r>
        <w:rPr>
          <w:rStyle w:val="FootnoteAnchor"/>
          <w:rtl w:val="true"/>
        </w:rPr>
        <w:footnoteReference w:id="814"/>
      </w:r>
      <w:r>
        <w:rPr>
          <w:rFonts w:ascii="Amiri" w:hAnsi="Amiri" w:eastAsia="Amiri" w:cs="Amiri"/>
          <w:color w:val="111111"/>
          <w:sz w:val="28"/>
          <w:sz w:val="28"/>
          <w:szCs w:val="28"/>
          <w:rtl w:val="true"/>
          <w:lang w:bidi="ar-SA"/>
        </w:rPr>
        <w:t>المخيِّر على الترتيب،كما لا يخفى على المنصف اللبيب،لكن ينافيه الخبر الوارد في شأن النزول لكنّه قاصر السند عن الصحة،فالقول بالترتيب أقرب إلى الترجيح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يبقى الكلام في الكيفية،هل هي على ما في النهاية </w:t>
      </w:r>
      <w:r>
        <w:rPr>
          <w:rStyle w:val="FootnoteAnchor"/>
          <w:rtl w:val="true"/>
        </w:rPr>
        <w:footnoteReference w:id="815"/>
      </w:r>
      <w:r>
        <w:rPr>
          <w:rFonts w:ascii="Amiri" w:hAnsi="Amiri" w:eastAsia="Amiri" w:cs="Amiri"/>
          <w:color w:val="111111"/>
          <w:sz w:val="28"/>
          <w:sz w:val="28"/>
          <w:szCs w:val="28"/>
          <w:rtl w:val="true"/>
          <w:lang w:bidi="ar-SA"/>
        </w:rPr>
        <w:t xml:space="preserve">،أو غيرها من كتب الجماعة؟و عدم المرجّح مع ضعف آحاد النصوص يقتضي </w:t>
      </w:r>
    </w:p>
    <w:p>
      <w:pPr>
        <w:pStyle w:val="BookText"/>
        <w:rPr/>
      </w:pPr>
      <w:r>
        <w:rPr>
          <w:rFonts w:ascii="Amiri" w:hAnsi="Amiri" w:eastAsia="Amiri" w:cs="Amiri"/>
          <w:color w:val="111111"/>
          <w:sz w:val="28"/>
          <w:sz w:val="28"/>
          <w:szCs w:val="28"/>
          <w:rtl w:val="true"/>
          <w:lang w:bidi="ar-SA"/>
        </w:rPr>
        <w:t xml:space="preserve">التوقف فيها،و إن كان ما في النهاية لعلّه </w:t>
      </w:r>
      <w:r>
        <w:rPr>
          <w:rStyle w:val="FootnoteAnchor"/>
          <w:rtl w:val="true"/>
        </w:rPr>
        <w:footnoteReference w:id="816"/>
      </w:r>
      <w:r>
        <w:rPr>
          <w:rFonts w:ascii="Amiri" w:hAnsi="Amiri" w:eastAsia="Amiri" w:cs="Amiri"/>
          <w:color w:val="111111"/>
          <w:sz w:val="28"/>
          <w:sz w:val="28"/>
          <w:szCs w:val="28"/>
          <w:rtl w:val="true"/>
          <w:lang w:bidi="ar-SA"/>
        </w:rPr>
        <w:t>أقرب و أولى؛ لشهرتها و قبول النصوص التنزيل عليها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التخيير هل هو مطلق حتى في صورة ما إذا قَتَل المحارب، فللإمام فيها أيضاً الاقتصار على النفي مثلاً،كما هو ظاهر المتن و غيره؟أم يتعيّن فيها اختيار القتل،كما صرّح به المفيد و كثير </w:t>
      </w:r>
      <w:r>
        <w:rPr>
          <w:rStyle w:val="FootnoteAnchor"/>
          <w:rtl w:val="true"/>
        </w:rPr>
        <w:footnoteReference w:id="817"/>
      </w:r>
      <w:r>
        <w:rPr>
          <w:rFonts w:ascii="IRNazanin" w:hAnsi="IRNazanin" w:eastAsia="IRNazanin"/>
          <w:color w:val="111111"/>
          <w:sz w:val="28"/>
          <w:sz w:val="28"/>
          <w:szCs w:val="28"/>
          <w:rtl w:val="true"/>
          <w:lang w:bidi="fa-IR"/>
        </w:rPr>
        <w:t>؟وجهان،أجودهما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الثاني،لكن قصاصاً لا حدّا،فلو عفا ولي الدم أو كان المقتول ممّن لا يقتصّ له من القاتل سقط القتل قصاصاً و ثبت حدّا،مخيّراً بينه و بين باقي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هذا نظر شيخنا في الروضة حيث تنظّر فيما أطلقه الجماعة من تعيين القتل في تلك الصورة،فقال بعد نقل القول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قتل المحارب تعيّن قتله و لم يكتف بغيره من الحدود،سواء قتل مكافئاً أم لا،و سواء عفا الولّي أم لا،على ما ذكره جماعة من الأصحاب،و في بعض أفراده نظر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الأحوط ما ذكروه،بل لعلّه المعيّن كما في الصحيح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تاب قبل القدرة عليه سقطت عنه العقوبة،و لو تاب بعد ذلك لم تسقط بلا خلاف كما في نظائره،و يدلُّ على الحكمين معاً هنا الآية،صريحاً في الأوّل و مفهوماً في الثاني،و نحوها بعض النصوص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إنّ توبته قبل القدرة عليه بعيدة عن التهمة،بخلافها بعد ذلك، فإنّه متّهم بقصد الدفع،مضافاً فيه إلى استصحاب لزوم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يسقط بالتوبة ما يتعلق به من حقوق الناس كالقتل و الجرح و المال في شيء من الحالين،بلا خلاف و لا إشكال؛ إذا لا مدخل للتوبة فيه،بل يتوقف على إسقاط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يصلب المحارب حيّاً إلى أن يموت على القول بالتخيير و اختاره الإمام؛ لأنّه أحد أفراد الحدّ و قسيم للقتل،و هو يقتضي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مقتولاً على القول الآخر المفصِّل؛ لأنّ صلبه على هذا القول على تقدير قتله و أخذه المال،و قد تقدم أنّه يقتل أوّلاً ثم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يترك المصلوب على خشبته أكثر من ثلاثة أيّام من حين صلبه و لو 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بعد الإجماع الظاهر،المصرّح به في الخلاف </w:t>
      </w:r>
      <w:r>
        <w:rPr>
          <w:rStyle w:val="FootnoteAnchor"/>
          <w:rtl w:val="true"/>
        </w:rPr>
        <w:footnoteReference w:id="820"/>
      </w:r>
      <w:r>
        <w:rPr>
          <w:rFonts w:ascii="Amiri" w:hAnsi="Amiri" w:eastAsia="Amiri" w:cs="Amiri"/>
          <w:color w:val="111111"/>
          <w:sz w:val="28"/>
          <w:sz w:val="28"/>
          <w:szCs w:val="28"/>
          <w:rtl w:val="true"/>
          <w:lang w:bidi="ar-SA"/>
        </w:rPr>
        <w:t>النصوص،منها القويّان،أحدهما النبوي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المصلوب بعد ثلاثة أيّام حتى ينزل فيدفن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الثاني المرتضوي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رجلاً بالحيرة ثلاثة أيّام،ثم أنزله يوم الرابع و صلّى عليه و دفنه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المصلوب ينزل عن الخشبة بعد ثلاثة أيّام و يغسل و يدفن،و لا يجوز صلبه أكثر من ثلاثة أيّام</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للعامة قول بتركه حتى يسيل صديداً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اللّيالي غير معتبرة،نعم تدخل اللّيلتان المتوسّطتان تبعاً للأيام؛ لتوقفها عليهما،فلو صُلِب أوّل النهار وجب إنزاله عشية الثالث،و يحتمل اعتبار ثلاثة أيّام بلياليها بناءً على دخولها في مفهومها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الأحوط الأوّل بناءً على عدم تحتّم الصلب ثلاثة و حرمته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بعد ذلك و يغسل و يحنّط على القول بصلبه حيّاً و كذا على غيره إن لم يؤمر بالاغتسال قبل قتله،و إن أُمِرَ به قبله أو قبل الصلب سقط وجوب غسله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القولين على ما يفهم من ظاهر </w:t>
      </w:r>
      <w:r>
        <w:rPr>
          <w:rStyle w:val="FootnoteAnchor"/>
          <w:rtl w:val="true"/>
        </w:rPr>
        <w:footnoteReference w:id="826"/>
      </w:r>
      <w:r>
        <w:rPr>
          <w:rFonts w:ascii="Amiri" w:hAnsi="Amiri" w:eastAsia="Amiri" w:cs="Amiri"/>
          <w:color w:val="111111"/>
          <w:sz w:val="28"/>
          <w:sz w:val="28"/>
          <w:szCs w:val="28"/>
          <w:rtl w:val="true"/>
          <w:lang w:bidi="ar-SA"/>
        </w:rPr>
        <w:t xml:space="preserve">الماتن هنا و في الشرائع و الفاضل في القواعد </w:t>
      </w:r>
      <w:r>
        <w:rPr>
          <w:rStyle w:val="FootnoteAnchor"/>
          <w:rtl w:val="true"/>
        </w:rPr>
        <w:footnoteReference w:id="827"/>
      </w:r>
      <w:r>
        <w:rPr>
          <w:rFonts w:ascii="Amiri" w:hAnsi="Amiri" w:eastAsia="Amiri" w:cs="Amiri"/>
          <w:color w:val="111111"/>
          <w:sz w:val="28"/>
          <w:sz w:val="28"/>
          <w:szCs w:val="28"/>
          <w:rtl w:val="true"/>
          <w:lang w:bidi="ar-SA"/>
        </w:rPr>
        <w:t>وجوب تقديم الغسل على الثاني،و عدمه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غير واضح،و لذا سوّى بين القولين جماعة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يجب أن يكفّن و يصلّى عليه و يدفن إذا كان مسلماً،بلا خلاف منّا،كما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للعامّة قول بأنّه لا يغسل و لا يصلّى عليه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ينفى المحارب اختياراً أو حتماً ينفى بما هو الظاهر من معناه،المصرّح به في كلام الأصحاب،مدّعياً بعضهم </w:t>
      </w:r>
      <w:r>
        <w:rPr>
          <w:rStyle w:val="FootnoteAnchor"/>
          <w:rtl w:val="true"/>
        </w:rPr>
        <w:footnoteReference w:id="830"/>
      </w:r>
      <w:r>
        <w:rPr>
          <w:rFonts w:ascii="Amiri" w:hAnsi="Amiri" w:eastAsia="Amiri" w:cs="Amiri"/>
          <w:color w:val="111111"/>
          <w:sz w:val="28"/>
          <w:sz w:val="28"/>
          <w:szCs w:val="28"/>
          <w:rtl w:val="true"/>
          <w:lang w:bidi="ar-SA"/>
        </w:rPr>
        <w:t xml:space="preserve">الإجماع عليه </w:t>
      </w:r>
    </w:p>
    <w:p>
      <w:pPr>
        <w:pStyle w:val="BookText"/>
        <w:rPr/>
      </w:pPr>
      <w:r>
        <w:rPr>
          <w:rFonts w:ascii="Amiri" w:hAnsi="Amiri" w:eastAsia="Amiri" w:cs="Amiri"/>
          <w:color w:val="111111"/>
          <w:sz w:val="28"/>
          <w:sz w:val="28"/>
          <w:szCs w:val="28"/>
          <w:rtl w:val="true"/>
          <w:lang w:bidi="ar-SA"/>
        </w:rPr>
        <w:t>و أكثر أخبار الباب،و هو أن يخرج عن بلده إلى غيره و يكتب إلى كلّ بلدٍ يأوي إليه بالمنع عن مؤاكلته و مشاربته و مجالسته،و معاملته حتى يتوب فإن لم يتب استمرّ النفي إلى أن يموت،و نفيه عن الأرض كناية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 معناه إيداعه الحبس </w:t>
      </w:r>
      <w:r>
        <w:rPr>
          <w:rStyle w:val="FootnoteAnchor"/>
          <w:rtl w:val="true"/>
        </w:rPr>
        <w:footnoteReference w:id="831"/>
      </w:r>
      <w:r>
        <w:rPr>
          <w:rFonts w:ascii="Amiri" w:hAnsi="Amiri" w:eastAsia="Amiri" w:cs="Amiri"/>
          <w:color w:val="111111"/>
          <w:sz w:val="28"/>
          <w:sz w:val="28"/>
          <w:szCs w:val="28"/>
          <w:rtl w:val="true"/>
          <w:lang w:bidi="ar-SA"/>
        </w:rPr>
        <w:t xml:space="preserve">،كما عليه بعض العامّة </w:t>
      </w:r>
      <w:r>
        <w:rPr>
          <w:rStyle w:val="FootnoteAnchor"/>
          <w:rtl w:val="true"/>
        </w:rPr>
        <w:footnoteReference w:id="832"/>
      </w:r>
      <w:r>
        <w:rPr>
          <w:rFonts w:ascii="Amiri" w:hAnsi="Amiri" w:eastAsia="Amiri" w:cs="Amiri"/>
          <w:color w:val="111111"/>
          <w:sz w:val="28"/>
          <w:sz w:val="28"/>
          <w:szCs w:val="28"/>
          <w:rtl w:val="true"/>
          <w:lang w:bidi="ar-SA"/>
        </w:rPr>
        <w:t xml:space="preserve">، و ادّعى عليه الإجماع في الغنية </w:t>
      </w:r>
      <w:r>
        <w:rPr>
          <w:rStyle w:val="FootnoteAnchor"/>
          <w:rtl w:val="true"/>
        </w:rPr>
        <w:footnoteReference w:id="833"/>
      </w:r>
      <w:r>
        <w:rPr>
          <w:rFonts w:ascii="Amiri" w:hAnsi="Amiri" w:eastAsia="Amiri" w:cs="Amiri"/>
          <w:color w:val="111111"/>
          <w:sz w:val="28"/>
          <w:sz w:val="28"/>
          <w:szCs w:val="28"/>
          <w:rtl w:val="true"/>
          <w:lang w:bidi="ar-SA"/>
        </w:rPr>
        <w:t>،لكن على التخيير بينه و بين 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اخرى أنّ معناه رميه في البحر ليكون عدلاً للقتل و الصلب و القطع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حملها على ما إذا كان المحارب كافراً أو مرتدّاً عن الدين فيكون الإمام مخيّراً بين قتله بأيّ نحوٍ من الأنحاء الأربعة شاء،و أمّا إذا كان جانياً </w:t>
      </w:r>
      <w:r>
        <w:rPr>
          <w:rStyle w:val="FootnoteAnchor"/>
          <w:rtl w:val="true"/>
        </w:rPr>
        <w:footnoteReference w:id="835"/>
      </w:r>
      <w:r>
        <w:rPr>
          <w:rFonts w:ascii="Amiri" w:hAnsi="Amiri" w:eastAsia="Amiri" w:cs="Amiri"/>
          <w:color w:val="111111"/>
          <w:sz w:val="28"/>
          <w:sz w:val="28"/>
          <w:szCs w:val="28"/>
          <w:rtl w:val="true"/>
          <w:lang w:bidi="ar-SA"/>
        </w:rPr>
        <w:t xml:space="preserve">مسلماً غير مرتدّ عن الدين فإنّما يعاقبه الإمام على نحو جنايته،و يكون معنى النفي ما سبق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اللصّ بالكسر واحد اللصوص،و هو السارق،و بالضم لغة محارب كما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محارب للّه تعالى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فاقتله،فما دخل عليك فعليّ</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ظاهر السرائر إجماعنا عليه،لكن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حكمه حكم المحارب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الفرق بينهما،و عدم كونه محارباً حقيقةً،و عليه نبّه شيخنا في المسالك و الروضة </w:t>
      </w:r>
      <w:r>
        <w:rPr>
          <w:rStyle w:val="FootnoteAnchor"/>
          <w:rtl w:val="true"/>
        </w:rPr>
        <w:footnoteReference w:id="839"/>
      </w:r>
      <w:r>
        <w:rPr>
          <w:rFonts w:ascii="Amiri" w:hAnsi="Amiri" w:eastAsia="Amiri" w:cs="Amiri"/>
          <w:color w:val="111111"/>
          <w:sz w:val="28"/>
          <w:sz w:val="28"/>
          <w:szCs w:val="28"/>
          <w:rtl w:val="true"/>
          <w:lang w:bidi="ar-SA"/>
        </w:rPr>
        <w:t>،فقال فيها بعد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اللصّ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بحكم المحارب في أنّه يجوز دفعه و لو بالقتال،و لو لم يندفع إلّا بالقتل كان دمه هدراً،أمّا لو تمكّن الحاكم منه لم يحدّه حدّ المحارب مطلقاً،و إنّما أُطلق عليه اسم المحارب تبعاً لإطلاق النصوص،نعم لو تظاهر بذلك فهو محارب مطلقا،و بذلك قيّده المصنف في الدروس،و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لما ذكره في المسالك من قصور النصوص سنداً عن إفادة الحكم مطلقا،مع اختصاص النصوص الواردة بحكم المحارب بمن جرّد سلاحاً أو حمله،فيرجع في غيره إلى القواعد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عدم عمل الأصحاب بما فيها من جواز القتل،و أنّ دمه هدر مطلقاً،بل قيّدوه بما إذا روعي فيه مراتب الأمر بالمعروف و النهي عن المنكر فيتدرّج في الدفع من الأدنى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يجوز للإنسان دفعه عن نفسه مطلقاً،و كذا عن ماله إذا تغلّب عليه،و غلب على نفسه السلامة 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الأوّل و لو ظنّ على نفسه التلف؛ لإطلاق النصوص،و وجوب حفظ النفس،و غايته العطب،و هو غاية عمل المفسد،فيكون الدفاع أرجح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أمكن السلامة بالهرب كان أحد أسباب الحفظ،فيجب عيناً إن </w:t>
      </w:r>
    </w:p>
    <w:p>
      <w:pPr>
        <w:pStyle w:val="BookText"/>
        <w:rPr/>
      </w:pPr>
      <w:r>
        <w:rPr>
          <w:rFonts w:ascii="Amiri" w:hAnsi="Amiri" w:eastAsia="Amiri" w:cs="Amiri"/>
          <w:color w:val="111111"/>
          <w:sz w:val="28"/>
          <w:sz w:val="28"/>
          <w:szCs w:val="28"/>
          <w:rtl w:val="true"/>
          <w:lang w:bidi="ar-SA"/>
        </w:rPr>
        <w:t>توقّف عليه،أو تخييراً إن أمكن به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الثاني مع الاضطرار به و التضرر بفقده ضرراً يجب دفعه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المال لغيره أمانة في يده،و ربما وجب الدفع عنه مطلقاً من باب النهي عن المنكر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مع عدم التغرير بالنفس،و إلّا فلا يجب،بل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و بين النفس حيث يجب الدفع عنه مطلقا دون المال جواز المسامحة فيه بما لا يجوز التسامح به في النفس،و للصحيح </w:t>
      </w:r>
      <w:r>
        <w:rPr>
          <w:rStyle w:val="FootnoteAnchor"/>
          <w:rtl w:val="true"/>
        </w:rPr>
        <w:footnoteReference w:id="841"/>
      </w:r>
      <w:r>
        <w:rPr>
          <w:rFonts w:ascii="Amiri" w:hAnsi="Amiri" w:eastAsia="Amiri" w:cs="Amiri"/>
          <w:color w:val="111111"/>
          <w:sz w:val="28"/>
          <w:sz w:val="28"/>
          <w:szCs w:val="28"/>
          <w:rtl w:val="true"/>
          <w:lang w:bidi="ar-SA"/>
        </w:rPr>
        <w:t xml:space="preserve">و غيره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أنا لتركت المال و لم أُقاتل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يقتصر في جميع ذلك على الأسهل،فإن لم يندفع به ارتقى إلى الصعب،فإن لم يندفع فإلى الأصعب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اقتصاراً على ما تندفع به الضرورة،مع قصور النصوص المرخِّصة للمقاتلة على الإطلاق كما عرفته عن الصحة،فلا يخرج بها عن مقتضى القواعد المقرّرة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كفاه التنبيه على تيقّظه بتنحنح و نحوه اقتصر عليه إن خاف من الصياح أن يؤخذ فيقتل أو يجرح،و لو كفاه الصياح و الاستغاثة في موضع يلحقه المنجد اقتصر عليه،فإن لم يندفع به خاصمه باليد أو بالعصا،فإن لم يفد فبالسلاح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ضمان على الدافع لو جنى على اللصّ في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دم المدفوع و لو بالقتل هدراً إجماعاً ظاهراً و محكيّاً </w:t>
      </w:r>
      <w:r>
        <w:rPr>
          <w:rStyle w:val="FootnoteAnchor"/>
          <w:rtl w:val="true"/>
        </w:rPr>
        <w:footnoteReference w:id="843"/>
      </w:r>
      <w:r>
        <w:rPr>
          <w:rFonts w:ascii="Amiri" w:hAnsi="Amiri" w:eastAsia="Amiri" w:cs="Amiri"/>
          <w:color w:val="111111"/>
          <w:sz w:val="28"/>
          <w:sz w:val="28"/>
          <w:szCs w:val="28"/>
          <w:rtl w:val="true"/>
          <w:lang w:bidi="ar-SA"/>
        </w:rPr>
        <w:t>،و النصوص به مستفيضة جدّاً،منها زيادةً على ما مضى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عدا على رجل ليضربه فدفعه عن نفسه فجرحه أو قتله فلا شيء عليه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 كالموثق،بل كالصحيح على ما قيل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المحارب فاقتله،فما أصابك فدمه في عنقي</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يدخل في بيتي يريد نفسي و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فاُشهد اللّه و من سمع أنّ دمه في عنقي</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يريد أهلك و مالك فإن استطعت أن تبدره و تضربه فابدره و اضربه</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مؤمن داره محارباً له فدمه مباح في تلك الحال للمؤمن و هو في عنقي</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الأصل،مع اختصاص ما دلّ على الضمان بالجناية بحكم التبادر بها في غير مفروض المسألة،مع وقوعها بأمر الشارع فلا تستعقب </w:t>
      </w:r>
    </w:p>
    <w:p>
      <w:pPr>
        <w:pStyle w:val="BookText"/>
        <w:rPr/>
      </w:pPr>
      <w:r>
        <w:rPr>
          <w:rFonts w:ascii="Amiri" w:hAnsi="Amiri" w:eastAsia="Amiri" w:cs="Amiri"/>
          <w:color w:val="111111"/>
          <w:sz w:val="28"/>
          <w:sz w:val="28"/>
          <w:szCs w:val="28"/>
          <w:rtl w:val="true"/>
          <w:lang w:bidi="ar-SA"/>
        </w:rPr>
        <w:t>ضماناً كما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كابر امرأة أو جارية على نفسها،أو غلاماً ليفعل بهما محرّماً فدفعه كلّ منهم فأدّى الدفع إلى تلفه،أو دخل داراً فزجروه و لم يخرج،فأدّى الزجر و الدفع إلى تلفه،أو ذهاب بعض أعضائه لم يكن على الدافع ضمان لو راعى في الدفع ما مرّ،و المستند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النصوص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راود امرأة على نفسها حراماً فرمته بحجر فأصاب </w:t>
      </w:r>
      <w:r>
        <w:rPr>
          <w:rStyle w:val="FootnoteAnchor"/>
          <w:rtl w:val="true"/>
        </w:rPr>
        <w:footnoteReference w:id="850"/>
      </w:r>
      <w:r>
        <w:rPr>
          <w:rFonts w:ascii="Amiri" w:hAnsi="Amiri" w:eastAsia="Amiri" w:cs="Amiri"/>
          <w:color w:val="111111"/>
          <w:sz w:val="28"/>
          <w:sz w:val="28"/>
          <w:szCs w:val="28"/>
          <w:rtl w:val="true"/>
          <w:lang w:bidi="ar-SA"/>
        </w:rPr>
        <w:t>منه فقتل،قال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شيء فيما بينها و بين اللّه عزّ و جلّ،و إن قدّمت إلى إمام عادل أهدر دمه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السفر و معه جارية له،فيجيء قوم يريدون أخذ جاريته،أ يمنع جاريته من أن تؤخذ و إن خاف على نفسه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إن كانت معه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الاُمّ و البنت و ابنة العمّ و القرابة يمنعهنّ و إن خاف على نفسه القتل؟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المال يريدون أخذه في سفره فيمنعه و إن خاف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فيه من جواز الدفع مع خوف التلف على النفس محمول على ما إذا لم يبلغ حدّ الظنّ، و ذلك لما عرفت من أنّه لو ظنّ العطب </w:t>
      </w:r>
    </w:p>
    <w:p>
      <w:pPr>
        <w:pStyle w:val="BookText"/>
        <w:rPr/>
      </w:pPr>
      <w:r>
        <w:rPr>
          <w:rFonts w:ascii="Amiri" w:hAnsi="Amiri" w:eastAsia="Amiri" w:cs="Amiri"/>
          <w:color w:val="111111"/>
          <w:sz w:val="28"/>
          <w:sz w:val="28"/>
          <w:szCs w:val="28"/>
          <w:rtl w:val="true"/>
          <w:lang w:bidi="ar-SA"/>
        </w:rPr>
        <w:t xml:space="preserve">و الهلاك بالدفع سلّم المال و لم يجز له الدفع؛ حفظاً للنفس،مع ضعف هذا المرسل و معارضته بالصحيح و غيره المتقدّمين </w:t>
      </w:r>
      <w:r>
        <w:rPr>
          <w:rStyle w:val="FootnoteAnchor"/>
          <w:rtl w:val="true"/>
        </w:rPr>
        <w:footnoteReference w:id="853"/>
      </w:r>
      <w:r>
        <w:rPr>
          <w:rFonts w:ascii="Amiri" w:hAnsi="Amiri" w:eastAsia="Amiri" w:cs="Amiri"/>
          <w:color w:val="111111"/>
          <w:sz w:val="28"/>
          <w:sz w:val="28"/>
          <w:szCs w:val="28"/>
          <w:rtl w:val="true"/>
          <w:lang w:bidi="ar-SA"/>
        </w:rPr>
        <w:t>الدالين على جواز ترك الدفاع في المال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اختصاص جواز الترك بالمال دون النفس و العرض، و أنّه يجب الدفع فيهما مطلقاً،و به صرّح الأصحاب في النفس،و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العرض مع ظنّ الهلاك فمحل نظر،بل الظاهر جواز الاستسلام حينئذٍ،كما صرّح به في التحرير و غيره </w:t>
      </w:r>
      <w:r>
        <w:rPr>
          <w:rStyle w:val="FootnoteAnchor"/>
          <w:rtl w:val="true"/>
        </w:rPr>
        <w:footnoteReference w:id="854"/>
      </w:r>
      <w:r>
        <w:rPr>
          <w:rFonts w:ascii="Amiri" w:hAnsi="Amiri" w:eastAsia="Amiri" w:cs="Amiri"/>
          <w:color w:val="111111"/>
          <w:sz w:val="28"/>
          <w:sz w:val="28"/>
          <w:szCs w:val="28"/>
          <w:rtl w:val="true"/>
          <w:lang w:bidi="ar-SA"/>
        </w:rPr>
        <w:t xml:space="preserve">لأولوية حفظ النفس من حفظ العرض،كما يستفاد من جملة من الأخبار </w:t>
      </w:r>
      <w:r>
        <w:rPr>
          <w:rStyle w:val="FootnoteAnchor"/>
          <w:rtl w:val="true"/>
        </w:rPr>
        <w:footnoteReference w:id="855"/>
      </w:r>
      <w:r>
        <w:rPr>
          <w:rFonts w:ascii="Amiri" w:hAnsi="Amiri" w:eastAsia="Amiri" w:cs="Amiri"/>
          <w:color w:val="111111"/>
          <w:sz w:val="28"/>
          <w:sz w:val="28"/>
          <w:szCs w:val="28"/>
          <w:rtl w:val="true"/>
          <w:lang w:bidi="ar-SA"/>
        </w:rPr>
        <w:t xml:space="preserve">الواردة في درء الحدّ عن المستكرهة على الزناء؛ معلّلةً بقوله تعالى فَمَنِ اضْطُرَّ غَيْرَ باغٍ وَ لا عادٍ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الدافع كان كالشهيد في الأجر؛ للنصوص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w:t>
      </w:r>
      <w:r>
        <w:rPr>
          <w:rStyle w:val="FootnoteAnchor"/>
          <w:rtl w:val="true"/>
        </w:rPr>
        <w:footnoteReference w:id="85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فيهما،أو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ثالث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يجوز الدفع إذا كان مقبلاً،فإذا ولّى فضربه كان ضامناً لما يجنيه </w:t>
      </w:r>
    </w:p>
    <w:p>
      <w:pPr>
        <w:pStyle w:val="BookText"/>
        <w:rPr/>
      </w:pPr>
      <w:r>
        <w:rPr>
          <w:rFonts w:ascii="Amiri" w:hAnsi="Amiri" w:eastAsia="Amiri" w:cs="Amiri"/>
          <w:color w:val="111111"/>
          <w:sz w:val="28"/>
          <w:sz w:val="28"/>
          <w:szCs w:val="28"/>
          <w:rtl w:val="true"/>
          <w:lang w:bidi="ar-SA"/>
        </w:rPr>
        <w:t>اتفاقاً؛ إذ لا يجوز الضرب إلّا للدفع،و لا دفع مع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 المستلب و هو الذي يأخذ المال جهراً و يهرب،مع كونه غير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المختلس و هو الذي يأخذ المال خفيةً من غير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المحتال على أموال الناس بالتزوير في الشهادة و الرسائل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المُبنِج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أعطى أحداً البنج حتى خرج من العقل ثم أخذ منه شيئاً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من سقى غيره مُرقداً أي مُنَوّماً فأخذ منه شيئاً،إجماعاً على الظاهر،المصرّح به في بعض العبائر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للأصل،و خروجهم عن نصوص السرقة و المحارب؛ لعدم صدق تعريفهما عليهم،كما ظهر من تعريفهما و تعريفهم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في الأوّلين،منها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اختلس ثوباً من السوق،فقالوا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سرق هذا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أقطع في الدغارة المعلنة،و لكن أقطع من يأخذ ثم يخفي</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أقطع في الدغارة المعلنة و هي الخلسة و لكن أُعزّره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و نحوهما كثير من الأخبار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منها تفسير المختلس بما مرّ في تفسير المستلب،كما في </w:t>
      </w:r>
    </w:p>
    <w:p>
      <w:pPr>
        <w:pStyle w:val="BookText"/>
        <w:rPr/>
      </w:pPr>
      <w:r>
        <w:rPr>
          <w:rFonts w:ascii="Amiri" w:hAnsi="Amiri" w:eastAsia="Amiri" w:cs="Amiri"/>
          <w:color w:val="111111"/>
          <w:sz w:val="28"/>
          <w:sz w:val="28"/>
          <w:szCs w:val="28"/>
          <w:rtl w:val="true"/>
          <w:lang w:bidi="ar-SA"/>
        </w:rPr>
        <w:t xml:space="preserve">السرائر و عن النهاية و المهذّب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أُريد به ما يعمّ المستلب </w:t>
      </w:r>
      <w:r>
        <w:rPr>
          <w:rStyle w:val="FootnoteAnchor"/>
          <w:rtl w:val="true"/>
        </w:rPr>
        <w:footnoteReference w:id="865"/>
      </w:r>
      <w:r>
        <w:rPr>
          <w:rFonts w:ascii="Amiri" w:hAnsi="Amiri" w:eastAsia="Amiri" w:cs="Amiri"/>
          <w:color w:val="111111"/>
          <w:sz w:val="28"/>
          <w:sz w:val="28"/>
          <w:szCs w:val="28"/>
          <w:rtl w:val="true"/>
          <w:lang w:bidi="ar-SA"/>
        </w:rPr>
        <w:t xml:space="preserve">،و ما ذكرناه في تفسيره أشهر بين الفقهاء،و به صرّح في مجمع البحرين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 يستلب قطع</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يستعاد منهم ما أخذوا و يعزَّرون بما يردعهم و يزجرهم؛ لفعلهم المحرّم،و النصوص،منها زيادةً على ما مرّ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عليه السلام برجل اختلس درّة من اذن جارية،فقال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الدغارة المعلنة فضربه و حبسه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 خلسة اختلسها لم يقطع،و لكن يضرب ضرباً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الصحيح من قطع الكاذب في الرسالة </w:t>
      </w:r>
      <w:r>
        <w:rPr>
          <w:rStyle w:val="FootnoteAnchor"/>
          <w:rtl w:val="true"/>
        </w:rPr>
        <w:footnoteReference w:id="870"/>
      </w:r>
      <w:r>
        <w:rPr>
          <w:rFonts w:ascii="Amiri" w:hAnsi="Amiri" w:eastAsia="Amiri" w:cs="Amiri"/>
          <w:color w:val="111111"/>
          <w:sz w:val="28"/>
          <w:sz w:val="28"/>
          <w:szCs w:val="28"/>
          <w:rtl w:val="true"/>
          <w:lang w:bidi="ar-SA"/>
        </w:rPr>
        <w:t xml:space="preserve">،فمحمول إمّا على ما ذكره الشيخ من كون القطع للإفساد لا للسرقة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مناقشة للتعليل بها في آخر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أنّه قضية في واقعة ثبت القطع فيها بالمصلحة،و إلّا فالرواية شاذّة،لا عامل بها بالكلية،مخالفة للأُصول كما عرفته</w:t>
      </w:r>
      <w:r>
        <w:rPr>
          <w:rFonts w:eastAsia="Amiri" w:cs="Amiri" w:ascii="Amiri" w:hAnsi="Amiri"/>
          <w:color w:val="111111"/>
          <w:sz w:val="28"/>
          <w:szCs w:val="28"/>
          <w:rtl w:val="true"/>
          <w:lang w:bidi="ar-SA"/>
        </w:rPr>
        <w:t xml:space="preserve">. </w:t>
      </w:r>
      <w:bookmarkStart w:id="110" w:name="pg11409_90753"/>
    </w:p>
    <w:p>
      <w:pPr>
        <w:pStyle w:val="Heading3"/>
        <w:numPr>
          <w:ilvl w:val="2"/>
          <w:numId w:val="1"/>
        </w:numPr>
        <w:rPr/>
      </w:pPr>
      <w:bookmarkStart w:id="111" w:name="__RefHeading___Toc1102661_73709187"/>
      <w:bookmarkStart w:id="112" w:name="_Toc40"/>
      <w:bookmarkEnd w:id="110"/>
      <w:bookmarkEnd w:id="111"/>
      <w:r>
        <w:rPr>
          <w:rtl w:val="true"/>
        </w:rPr>
        <w:t>الفصل السابع في إتيان البهائم و وطء الأموات،و ما يتبعه</w:t>
      </w:r>
      <w:bookmarkEnd w:id="112"/>
    </w:p>
    <w:p>
      <w:pPr>
        <w:pStyle w:val="BookText"/>
        <w:rPr/>
      </w:pPr>
      <w:r>
        <w:rPr>
          <w:rFonts w:ascii="Amiri" w:hAnsi="Amiri" w:eastAsia="Amiri" w:cs="Amiri"/>
          <w:color w:val="111111"/>
          <w:sz w:val="28"/>
          <w:sz w:val="28"/>
          <w:szCs w:val="28"/>
          <w:rtl w:val="true"/>
          <w:lang w:bidi="ar-SA"/>
        </w:rPr>
        <w:t>الفصل السابع في بيان حدّ إتيان البهائم و وطء الأموات،و ما يتبعه من الأحكام،و حدّ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إذا وطئ البالغ العاقل المختار بهيمةً مأكولة اللحم أي مقصودةً بالأكل عادةً كالشاة و البقرة و نحوهما ممّا يسمّى في العرف بهيمة،دون نحو الطير ممّا لم يسمّ بها فيه و إن سمّي بها لغةً،كما عن الزجّاج،حيث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ذات الروح التي لا تميّز،سمّيت بذلك لذلك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للأصل،و عدم انصراف الإطلاق إلى المستثنى بحكم العرف المرجّح على اللغة حيث حصل بينهما معارضة،مع أنّه ذكر جماعة </w:t>
      </w:r>
      <w:r>
        <w:rPr>
          <w:rStyle w:val="FootnoteAnchor"/>
          <w:rtl w:val="true"/>
        </w:rPr>
        <w:footnoteReference w:id="873"/>
      </w:r>
      <w:r>
        <w:rPr>
          <w:rFonts w:ascii="Amiri" w:hAnsi="Amiri" w:eastAsia="Amiri" w:cs="Amiri"/>
          <w:color w:val="111111"/>
          <w:sz w:val="28"/>
          <w:sz w:val="28"/>
          <w:szCs w:val="28"/>
          <w:rtl w:val="true"/>
          <w:lang w:bidi="ar-SA"/>
        </w:rPr>
        <w:t>أنّها لغةً ذات الأربع من حيوان البرّ و البحر،و هو الموافق للعرف حرم لحمها و لحم نسلها و لبنهما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اشتبهت الموطوءة في قطيع محصور قسّم نصفين و أُقرع </w:t>
      </w:r>
      <w:r>
        <w:rPr>
          <w:rStyle w:val="FootnoteAnchor"/>
          <w:rtl w:val="true"/>
        </w:rPr>
        <w:footnoteReference w:id="874"/>
      </w:r>
      <w:r>
        <w:rPr>
          <w:rFonts w:ascii="Amiri" w:hAnsi="Amiri" w:eastAsia="Amiri" w:cs="Amiri"/>
          <w:color w:val="111111"/>
          <w:sz w:val="28"/>
          <w:sz w:val="28"/>
          <w:szCs w:val="28"/>
          <w:rtl w:val="true"/>
          <w:lang w:bidi="ar-SA"/>
        </w:rPr>
        <w:t xml:space="preserve">بينهما،بأن يكتب رقعتان في كل واحدة اسم نصف منهما،ثم يخرج على ما فيه المحرّم،فإذا خرج أحد النصفين قسّم كذلك و أُقرع، و هكذا حتى تبقى واحدة،ف يعمل بها ما يعمل بالمعلومة ابتداءً،و هو </w:t>
      </w:r>
    </w:p>
    <w:p>
      <w:pPr>
        <w:pStyle w:val="BookText"/>
        <w:rPr/>
      </w:pPr>
      <w:r>
        <w:rPr>
          <w:rFonts w:ascii="Amiri" w:hAnsi="Amiri" w:eastAsia="Amiri" w:cs="Amiri"/>
          <w:color w:val="111111"/>
          <w:sz w:val="28"/>
          <w:sz w:val="28"/>
          <w:szCs w:val="28"/>
          <w:rtl w:val="true"/>
          <w:lang w:bidi="ar-SA"/>
        </w:rPr>
        <w:t>أن تذبح و تحرق،و يغرم الواطئ قيمتها يوم الوطء إن لم تكن له و لو كان المهمّ و المقصود منها ظهرها،كالبغل،و الحمار، و الدابّة،اغرم ثمنها إن لم تكن له أو مطلقاً،على اختلاف القولين الآتيين في التصدق به أو ردّه على الواطئ،و إنّما ذكر الشرط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أُخرجت إلى غير بلده الذي فعل فيه و بيعت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شيء من ذلك على الظاهر،المصرّح به في بعض العبائر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للمعتبرة المستفيضة،ففي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البهيمة للفاعل ذبحت،فإذا ماتت أُحرقت بالنار و لم ينتفع بها،و ضرب هو خمسة و عشرين سوطاً ربع حدّ الزاني،و إن لم تكن البهيمة له قوّمت و أُخذ ثمنها منه و دفع إلى صاحبها و ذبحت و أُحرقت بالنار و لم ينتفع بها،و ضرب خمسة و عشرين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ذنب البهيمة؟قال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ذنب لها،و 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هذا و أمر به لكيلا يجترئ الناس بالبهائم و ينقطع النسل</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بهيمة شاة أو ناقة أو بقرة،قال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يجلد حدّا غير الحدّ،ثم ينفى من بلاده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 لحم تلك البهيمة محرّم و لبنها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البهيمة،قال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دون الحدّ، و يغرم قيمة البهيمة لصاحبها؛ لأنّه أفسدها عليه،و تذبح و تحرق إن كانت ممّا يؤكل لحمه،و إن كانت مما يركب ظهره غرم قيمتها و جلد دون الحدّ، و أخرجها من المدينة التي فعل بها إلى بلاد اخرى حيث لا تعرف،فيبيعها فيها كيلا يعيّر بها صاحبها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يقيّد إطلاق ما مرّ من الصحيح و غيره بحملها على مأكولة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و إن كان ليس في شيء منها ما يدل على تحريم النسل صريحاً إلّا أنّه و تحريم اللبن أيضاً مستفاد من النهي عن الانتفاع بها في جملة منها،و عمومه يستلزم تحريمهما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بل الصحيح كما قيل </w:t>
      </w:r>
      <w:r>
        <w:rPr>
          <w:rStyle w:val="FootnoteAnchor"/>
          <w:rtl w:val="true"/>
        </w:rPr>
        <w:footnoteReference w:id="879"/>
      </w:r>
      <w:r>
        <w:rPr>
          <w:rFonts w:ascii="Amiri" w:hAnsi="Amiri" w:eastAsia="Amiri" w:cs="Amiri"/>
          <w:color w:val="111111"/>
          <w:sz w:val="28"/>
          <w:sz w:val="28"/>
          <w:szCs w:val="28"/>
          <w:rtl w:val="true"/>
          <w:lang w:bidi="ar-SA"/>
        </w:rPr>
        <w:t>،و لا يبعد المروي في التهذيب في أواخر كتاب الصيد و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نظر إلى راع نزا على شاة،قال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عرفها ذبحها و أحرقها،و إن لم يعرفها قسّمها نصفين أبداً،حتى يقع السهم بها،فتذبح،و تحرق،و قد نجت سائرها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المذكور فيه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 نصفين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العبارة و غيرها، و أكثر العبارات خالية عنه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و التحرير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 الإطلاق أعمّ من التنصيف،إلّا أن يحمل عليه بقرينة النصّ الذي هو المستند في هذا الحكم </w:t>
      </w:r>
    </w:p>
    <w:p>
      <w:pPr>
        <w:pStyle w:val="BookText"/>
        <w:rPr/>
      </w:pPr>
      <w:r>
        <w:rPr>
          <w:rFonts w:ascii="Amiri" w:hAnsi="Amiri" w:eastAsia="Amiri" w:cs="Amiri"/>
          <w:color w:val="111111"/>
          <w:sz w:val="28"/>
          <w:sz w:val="28"/>
          <w:szCs w:val="28"/>
          <w:rtl w:val="true"/>
          <w:lang w:bidi="ar-SA"/>
        </w:rPr>
        <w:t>المخالف للأصل المقرّر في شبهة المحصور من وجوب اجتناب الجميع و لو من باب المقدمة،و للأخبار المخالفة له فيها أيضاً؛ لدلالتها على حلّ الجميع ما لم يعرف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التنصيف لو كان العدد فرداً،و على النصّ يجب التنصيف ما أمكن،و المعتبر منه العدد لا القيمة،فإذا كان فرداً جعلت الزائدة مع 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لزوم الصدقة بثمنها الذي بيعت به على الفقراء و المساكين كما عن المفيد و ابن حمزة </w:t>
      </w:r>
      <w:r>
        <w:rPr>
          <w:rStyle w:val="FootnoteAnchor"/>
          <w:rtl w:val="true"/>
        </w:rPr>
        <w:footnoteReference w:id="882"/>
      </w:r>
      <w:r>
        <w:rPr>
          <w:rFonts w:ascii="Amiri" w:hAnsi="Amiri" w:eastAsia="Amiri" w:cs="Amiri"/>
          <w:color w:val="111111"/>
          <w:sz w:val="28"/>
          <w:sz w:val="28"/>
          <w:szCs w:val="28"/>
          <w:rtl w:val="true"/>
          <w:lang w:bidi="ar-SA"/>
        </w:rPr>
        <w:t xml:space="preserve">،أم دفعه إلى الواطئ كما عن الشيخ و الحلّي </w:t>
      </w:r>
      <w:r>
        <w:rPr>
          <w:rStyle w:val="FootnoteAnchor"/>
          <w:rtl w:val="true"/>
        </w:rPr>
        <w:footnoteReference w:id="883"/>
      </w:r>
      <w:r>
        <w:rPr>
          <w:rFonts w:ascii="Amiri" w:hAnsi="Amiri" w:eastAsia="Amiri" w:cs="Amiri"/>
          <w:color w:val="111111"/>
          <w:sz w:val="28"/>
          <w:sz w:val="28"/>
          <w:szCs w:val="28"/>
          <w:rtl w:val="true"/>
          <w:lang w:bidi="ar-SA"/>
        </w:rPr>
        <w:t>قولان و وجّه الأوّل لعدم النص عليه بكون ذلك عقوبة على الجناية،فلو أُعيد إليه الثمن لم يحصل العقوبة،و لتكون الصدقة مكفّرةً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العقوبة بذلك غير متحقق،بل الظاهر خلافها؛ لتعليل بيعها في الأخبار في بلد لا يعرف فيه كيلا يعيّر بها،و عقوبة الفاعل حاصلة بالتعزير،و تكفير الذنب متوقّف على التوبة،و هي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بقاء الملك على مالكه و البراءة من وجوب الصدقة،و الأخبار خالية عن تعيين ما يصنع به،و كذا عبارة جماعة من الأصحاب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الماتن هنا و في الشرائع </w:t>
      </w:r>
      <w:r>
        <w:rPr>
          <w:rStyle w:val="FootnoteAnchor"/>
          <w:rtl w:val="true"/>
        </w:rPr>
        <w:footnoteReference w:id="884"/>
      </w:r>
      <w:r>
        <w:rPr>
          <w:rFonts w:ascii="Amiri" w:hAnsi="Amiri" w:eastAsia="Amiri" w:cs="Amiri"/>
          <w:color w:val="111111"/>
          <w:sz w:val="28"/>
          <w:sz w:val="28"/>
          <w:szCs w:val="28"/>
          <w:rtl w:val="true"/>
          <w:lang w:bidi="ar-SA"/>
        </w:rPr>
        <w:t>و عامة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الأشبه بأُصول المذهب أنّه يعاد إليه و هذا الأصل في محلّه إن كان </w:t>
      </w:r>
    </w:p>
    <w:p>
      <w:pPr>
        <w:pStyle w:val="BookText"/>
        <w:rPr/>
      </w:pPr>
      <w:r>
        <w:rPr>
          <w:rFonts w:ascii="Amiri" w:hAnsi="Amiri" w:eastAsia="Amiri" w:cs="Amiri"/>
          <w:color w:val="111111"/>
          <w:sz w:val="28"/>
          <w:sz w:val="28"/>
          <w:szCs w:val="28"/>
          <w:rtl w:val="true"/>
          <w:lang w:bidi="ar-SA"/>
        </w:rPr>
        <w:t>الفاعل هو المالك،و إن كان غيره فالظاهر أنّ تغريمه القيمة يوجب ملكه للبهيمة،و إلّا لبقي الملك بغير مالك،أو جمع للمالك بين العوض و المعوّض عنه،و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كما عبّر به الماتن و كثير </w:t>
      </w:r>
      <w:r>
        <w:rPr>
          <w:rStyle w:val="FootnoteAnchor"/>
          <w:rtl w:val="true"/>
        </w:rPr>
        <w:footnoteReference w:id="886"/>
      </w:r>
      <w:r>
        <w:rPr>
          <w:rFonts w:ascii="Amiri" w:hAnsi="Amiri" w:eastAsia="Amiri" w:cs="Amiri"/>
          <w:color w:val="111111"/>
          <w:sz w:val="28"/>
          <w:sz w:val="28"/>
          <w:szCs w:val="28"/>
          <w:rtl w:val="true"/>
          <w:lang w:bidi="ar-SA"/>
        </w:rPr>
        <w:t>،و هو عوض المثمن المقتضي لثبوت معاوضة،و الأصل فيها رجوع كلّ من العوضين إلى صاحب الآخر،و لعلّه السرّ في تخصيصهم لهذه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و هو عوض أيضاً،و بذلك صرّح الشهيدان في النكت و الروضة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يعزّر الواطئ بما يراه الحاكم على التقديرين أي سواء قلنا بالتصدق أو بالردّ على الواطئ،كما هو ظاهر العبارة،أو سواء وطئ مأكولة اللحم أو غيرها،كما هو مقتضى النصوص و الفتاوي،من غير خلاف بينهما في ثبوت العقوبة على الواطئ مطلقاً،و إن اختلفت في تقديرها بما ذكرناه كما هو ظاهر أكثرهما،بل عليه عامّة متأخّري أصحابنا، و من النصوص عليه زيادةً على ما مضى الخبران،بل الصحيحان كما قيل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يقع على البهيمة،قال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حدّ و لكن يضرب </w:t>
      </w:r>
    </w:p>
    <w:p>
      <w:pPr>
        <w:pStyle w:val="BookText"/>
        <w:rPr/>
      </w:pPr>
      <w:r>
        <w:rPr>
          <w:rFonts w:ascii="Amiri" w:hAnsi="Amiri" w:eastAsia="Amiri" w:cs="Amiri"/>
          <w:color w:val="111111"/>
          <w:sz w:val="28"/>
          <w:sz w:val="28"/>
          <w:szCs w:val="28"/>
          <w:rtl w:val="true"/>
          <w:lang w:bidi="ar-SA"/>
        </w:rPr>
        <w:t>تعزيراً</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المروي عن قرب الإسناد،و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رجم عليه و لا حدّ، و لكن يعاقب عقوبة موجعة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بخمسة </w:t>
      </w:r>
      <w:r>
        <w:rPr>
          <w:rStyle w:val="FootnoteAnchor"/>
          <w:rtl w:val="true"/>
        </w:rPr>
        <w:footnoteReference w:id="892"/>
      </w:r>
      <w:r>
        <w:rPr>
          <w:rFonts w:ascii="Amiri" w:hAnsi="Amiri" w:eastAsia="Amiri" w:cs="Amiri"/>
          <w:color w:val="111111"/>
          <w:sz w:val="28"/>
          <w:sz w:val="28"/>
          <w:szCs w:val="28"/>
          <w:rtl w:val="true"/>
          <w:lang w:bidi="ar-SA"/>
        </w:rPr>
        <w:t>و عشرين سوطاً ربع حدّ الزاني،كما في الصحيح المتقدم و 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بتمام حدّ الزاني،كما في الصحيح </w:t>
      </w:r>
      <w:r>
        <w:rPr>
          <w:rStyle w:val="FootnoteAnchor"/>
          <w:rtl w:val="true"/>
        </w:rPr>
        <w:footnoteReference w:id="893"/>
      </w:r>
      <w:r>
        <w:rPr>
          <w:rFonts w:ascii="Amiri" w:hAnsi="Amiri" w:eastAsia="Amiri" w:cs="Amiri"/>
          <w:color w:val="111111"/>
          <w:sz w:val="28"/>
          <w:sz w:val="28"/>
          <w:szCs w:val="28"/>
          <w:rtl w:val="true"/>
          <w:lang w:bidi="ar-SA"/>
        </w:rPr>
        <w:t xml:space="preserve">و غيره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بالقتل مطلقا،كما فيهما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ما ذكرناه؛ لشهرة ما دلّ عليه نصّاً و فتوى،و قصور المقابل له من وجوه شتّى،مع مخالفة بعضها بعضاً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الشيخ </w:t>
      </w:r>
      <w:r>
        <w:rPr>
          <w:rStyle w:val="FootnoteAnchor"/>
          <w:rtl w:val="true"/>
        </w:rPr>
        <w:footnoteReference w:id="896"/>
      </w:r>
      <w:r>
        <w:rPr>
          <w:rFonts w:ascii="Amiri" w:hAnsi="Amiri" w:eastAsia="Amiri" w:cs="Amiri"/>
          <w:color w:val="111111"/>
          <w:sz w:val="28"/>
          <w:sz w:val="28"/>
          <w:szCs w:val="28"/>
          <w:rtl w:val="true"/>
          <w:lang w:bidi="ar-SA"/>
        </w:rPr>
        <w:t xml:space="preserve">بين هذه الأخبار بحمل التعزير على ما إذا كان الفعل </w:t>
      </w:r>
    </w:p>
    <w:p>
      <w:pPr>
        <w:pStyle w:val="BookText"/>
        <w:rPr/>
      </w:pPr>
      <w:r>
        <w:rPr>
          <w:rFonts w:ascii="Amiri" w:hAnsi="Amiri" w:eastAsia="Amiri" w:cs="Amiri"/>
          <w:color w:val="111111"/>
          <w:sz w:val="28"/>
          <w:sz w:val="28"/>
          <w:szCs w:val="28"/>
          <w:rtl w:val="true"/>
          <w:lang w:bidi="ar-SA"/>
        </w:rPr>
        <w:t>دون الإيلاج،و الحدّ إذا أولج حدّ الزاني،و هو الرجم أو القتل إن كان محصناً،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الجلد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بحمل أخبار القتل على ما إذا تكرّر منه الفعل ثلاثاً مع تخلّل التعزير؛ لما روي من قتل أصحاب الكبائر مطلقاً إذا أُقيم عليهم الحدّ مرّتين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ما تضمن منها على حدّ الزاني على التقية،كما ذكره أيضاً،فقال بعد ذكر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على هذا الوجه إن كان مراداً بهذه الأخبار أن تكون خرجت مخرج التقية؛ لأنّ ذلك مذهب العامّة؛ لأنّهم يراعون في كون الإنسان زانياً إيلاج فرج في فرج،و لا يفرّقون بين الإنسان و غيره من البهائم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بهذه الأخبار إلى الأخبار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موجب هذا الحكم بشهادة عدلين أو الإقرار و لو مرّة وفاقاً للمشهور؛ عملاً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و ابن حمزة </w:t>
      </w:r>
      <w:r>
        <w:rPr>
          <w:rStyle w:val="FootnoteAnchor"/>
          <w:rtl w:val="true"/>
        </w:rPr>
        <w:footnoteReference w:id="900"/>
      </w:r>
      <w:r>
        <w:rPr>
          <w:rFonts w:ascii="Amiri" w:hAnsi="Amiri" w:eastAsia="Amiri" w:cs="Amiri"/>
          <w:color w:val="111111"/>
          <w:sz w:val="28"/>
          <w:sz w:val="28"/>
          <w:szCs w:val="28"/>
          <w:rtl w:val="true"/>
          <w:lang w:bidi="ar-SA"/>
        </w:rPr>
        <w:t xml:space="preserve">،فاشترطا الإقرار مرّتين،و يظهر من المختلف الميل إليه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نعرف له مستنداً،إلّا أن يكون الاستقراء،و لا بأس به إن أفاد ظنّاً معتمداً،و يحتمل مطلقاً؛ لإيراثه الشبهة الدارئة لا أقلّ منها،فتأمّل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بالنسبة إلى العقوبة،و أمّا بالنسبة إلى باقي الأحكام فالظاهر ثبوته بالإقرار مرّة إذا كانت الدابة لنفسه،و إلّا فلا يثبت بإقراره و إن تكرّر سوى ما يتعلّق به من التعزير دون التحريم و البيع؛ لأنّه متعلّق بحق الغير،فلا يسمع،إلّا أن يصدِّقه المالك،فيثبت باقي الأحكام؛ لزوال المانع من نفوذه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يثبت بشهادة النساء منفردات و لا منضمّات للأصل،و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العمومات</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تكرّر الوطء مع التعزير ثلاثاً قتل في الرابعة أو الثالثة،على الخلاف المتقدّم إليه الإشارة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وطء المرأة الميتة كوطء الحيّة في الحدّ و اعتبار الإحصان و غير ذلك،بلا خلاف،بل عليه الإجماع في ظاهر بعض العبارات </w:t>
      </w:r>
      <w:r>
        <w:rPr>
          <w:rStyle w:val="FootnoteAnchor"/>
          <w:rtl w:val="true"/>
        </w:rPr>
        <w:footnoteReference w:id="903"/>
      </w:r>
      <w:r>
        <w:rPr>
          <w:rFonts w:ascii="Amiri" w:hAnsi="Amiri" w:eastAsia="Amiri" w:cs="Amiri"/>
          <w:color w:val="111111"/>
          <w:sz w:val="28"/>
          <w:sz w:val="28"/>
          <w:szCs w:val="28"/>
          <w:rtl w:val="true"/>
          <w:lang w:bidi="ar-SA"/>
        </w:rPr>
        <w:t>،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كونه زناءً إجماعاً كما في الانتصار و السرائر </w:t>
      </w:r>
      <w:r>
        <w:rPr>
          <w:rStyle w:val="FootnoteAnchor"/>
          <w:rtl w:val="true"/>
        </w:rPr>
        <w:footnoteReference w:id="904"/>
      </w:r>
      <w:r>
        <w:rPr>
          <w:rFonts w:ascii="Amiri" w:hAnsi="Amiri" w:eastAsia="Amiri" w:cs="Amiri"/>
          <w:color w:val="111111"/>
          <w:sz w:val="28"/>
          <w:sz w:val="28"/>
          <w:szCs w:val="28"/>
          <w:rtl w:val="true"/>
          <w:lang w:bidi="ar-SA"/>
        </w:rPr>
        <w:t>،فيدخل في عموم ما دلّ على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حرمة المؤمن ميتاً كحرمته حيّاً،كما ورد في النصوص عموماً و خصوصاً،و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نبش امرأة فسلبها ثيابها ثم نكحها،قال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الميّت كحرمة الحيّ،تقطع يده لنبشه و سلبه الثياب،و يقام عليه الحدّ في الزناء،إن أُحصن رُجم،و إن لم يكن أُحصن جُلد مائة</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وطئها حيّةً و ميتةً في الحدّ و غيره و لكن يغلظ في العقوبة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الحدّ</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اتفاقاً ظاهراً،مصرّحاً به في كلام بعض أصحابنا </w:t>
      </w:r>
      <w:r>
        <w:rPr>
          <w:rStyle w:val="FootnoteAnchor"/>
          <w:rtl w:val="true"/>
        </w:rPr>
        <w:footnoteReference w:id="907"/>
      </w:r>
      <w:r>
        <w:rPr>
          <w:rFonts w:ascii="Amiri" w:hAnsi="Amiri" w:eastAsia="Amiri" w:cs="Amiri"/>
          <w:color w:val="111111"/>
          <w:sz w:val="28"/>
          <w:sz w:val="28"/>
          <w:szCs w:val="28"/>
          <w:rtl w:val="true"/>
          <w:lang w:bidi="ar-SA"/>
        </w:rPr>
        <w:t>لأنّ الفعل هنا أفحش قطعاً،و ورد به المرسل كالموثّق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يأتي المرأة و هي 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وزره أعظم من ذلك الذي يأتيها و هي حيّة</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زوجت ه أو أمته المحلّلة له فلا حدّ عليه و لكن يعزّر كما قطع به الأكثر،بل لم أجد خلافاً فيه؛ لسقوط الحدّ بالشبهة و بقاء 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زنى بميتة،قال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حُمل على الإنكار،و على ما دون الإيلاج كالتفخيذ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التعزير فلانتهاكه حرمتها كما قالوا،و ظاهرهم الاتفاق على حرمة وطئها بعد الموت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يثبت إلّا بأربعة شهود ذكور عدول،وفاقاً للمشهور،بل لعلّه لا خلاف فيه بين المتأخّرين؛ لأنّه زناء في الجملة،بل أفحش كما عرفته، فيتناوله عموم أدلّة توقف ثبوته على الأربعة؛ لأنّ شهادة الواحد قذف، و لا يندفع حدّه إلّا بكمال أربعة 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للشيخين و ابن حمزة و جماعة </w:t>
      </w:r>
      <w:r>
        <w:rPr>
          <w:rStyle w:val="FootnoteAnchor"/>
          <w:rtl w:val="true"/>
        </w:rPr>
        <w:footnoteReference w:id="91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بشهادة عدلين؛ لأنّها شهادة على فعل واحد يوجب حدّا واحداً،كوطء البهيمة، بخلاف الزناء بالحيّة،فإنّه يوجب حدّين،فاعتبر فيه الأربعة لأنّها شهادة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هذا التعليل إلى رواية إسماعيل بن أبي حنيفة،عن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القتل يجوز فيه شاهدان،و الزناء لا يجوز فيه إلّا أربعة شهود،و القتل أشدّ من الزناء؟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القتل فعل واحد،و الزناء فعلان،فمن ثمّ لا يجوز إلّا أربعة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شاهدان،و على المرأة شاهدان</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هذه الرواية مراد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أنّه يكفي اثنان؛ لأنّها شهادة على فعل واحد و إلّا فلم نقف على رواية خاصّة تدل على ذلك صريحاً و لا ظاهراً سواها،و هي قاصرة السند كما ترى،و إن اعتبرت برواية البزنطي المجمع على تصحيح ما يصح عنه عن راويها، مضعَّفة التعليل بانتقاضه بالوطء الإكراهي و الزناء بالمجنونة،فإنّهما كذلك مع اشتراط الأربعة فيهما إجماعاً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فالمتحقق اعتبار الأربعة من غير تعليل،بل في كثير من النصوص ما ينافي تعليله و إن توقف الزناء على الأربعة و القتل على اثنين،مع أنّه أعظم دليل على بطلان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الأوّل أقرب إلى الترجيح،سيّما مع اعتضاده بالشبهة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الإقرار هنا تابع للشهادة بلا خلاف،فمن اعتبر فيها أربعاً اعتبره فيه أيضاً،و من اكتفى بالاثنين اكتفى بهما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لاط بميت كان كمن لاط بحيّ سواء في الحدّ و لكن يعزّر هنا زيادةً على الحدّ المقرّر له من القتل أو الجلد، بلا خلاف؛ لما مرّ في سابقه؛ لأنّهما من باب واحد،بل ثبوت ما فيه هنا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استمنى أي استدعى إخراج المني بيده أو بشيء من أعضائه أو أعضاء غيره سوى الزوجة و الأمة المحلّلة له عزّر بما يراه الإمام و الحاكم،لفعله المحرّم؛ إجماعاً،و لقوله تعالى 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فهذا الفعل ممّا وراء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سئل عن الخضخضة،فقال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 عظيم،و قد نهى اللّه تعالى عنه في كتابه،و فاعله كناكح نفسه،و لو علمت بما يفعله ما أكلت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لي يا بن رسول اللّه من كتاب اللّه تعالى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الوسائل عن أحمد بن محمد بن عيسى في نوادره،عن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الخضخضة،فقال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الفواحش</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ينكح البهيمة أو يدلك،فقال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أنزل به الرجل ماءه من هذا و شبهه زناء</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بكونه زناءً أي في التحريم لا الحدّ،إجماعاً فتوًى و نصّاً، 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عبث بذكره حتى أنزل،فضرب يده بالدرّة حتى 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قريب منه آخر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يعبث بيديه حتى ينزل،قال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لم يبلغ ذلك شيئاً</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نفسه و لا شيء عليه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حُملا على نفي الحدّ،لا التعزير؛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فعل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الخبرين ما يدل على أنّه تعزيره مطلقاً،بل يحتمل الاختصاص بالقضية التي فعله فيها،و الفعل ليس عامّاً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هذا الفعل بشهادة عدلين،أو الإقرار مرّتين بلا خلاف؛ لما مرّ في 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قيل يكفي الإقرار مرّة كما عليه الأكثر كان حسناً لعموم الخبر،إلّا ما أخرجه الدليل من اعتبار العدد،و هو هنا منفي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بالإقرار مرّتين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أنّه لا يثبت بدونه، و لا يخلو عن وجه كما مرّ،سيّما مع حصول الشبهة بالاختلاف،فيدرأ بها الحدّ،فتأمّل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تعالى</w:t>
      </w:r>
      <w:r>
        <w:rPr>
          <w:rFonts w:eastAsia="Amiri" w:cs="Amiri" w:ascii="Amiri" w:hAnsi="Amiri"/>
          <w:color w:val="111111"/>
          <w:sz w:val="28"/>
          <w:szCs w:val="28"/>
          <w:rtl w:val="true"/>
          <w:lang w:bidi="ar-SA"/>
        </w:rPr>
        <w:t xml:space="preserve">. </w:t>
      </w:r>
      <w:bookmarkStart w:id="113" w:name="pg11409_90766"/>
    </w:p>
    <w:p>
      <w:pPr>
        <w:pStyle w:val="Heading2"/>
        <w:numPr>
          <w:ilvl w:val="1"/>
          <w:numId w:val="1"/>
        </w:numPr>
        <w:rPr/>
      </w:pPr>
      <w:bookmarkStart w:id="114" w:name="__RefHeading___Toc1102663_73709187"/>
      <w:bookmarkStart w:id="115" w:name="_Toc41"/>
      <w:bookmarkEnd w:id="113"/>
      <w:bookmarkEnd w:id="114"/>
      <w:r>
        <w:rPr>
          <w:rtl w:val="true"/>
        </w:rPr>
        <w:t>كتاب القصاص</w:t>
      </w:r>
      <w:bookmarkEnd w:id="115"/>
    </w:p>
    <w:p>
      <w:pPr>
        <w:pStyle w:val="Heading3"/>
        <w:numPr>
          <w:ilvl w:val="2"/>
          <w:numId w:val="1"/>
        </w:numPr>
        <w:rPr/>
      </w:pPr>
      <w:bookmarkStart w:id="116" w:name="__RefHeading___Toc1102665_73709187"/>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كتاب القصاص بالكسر،و هو اسم لاستيفاء مثل الجناية من قتل،أو قطع،أو ضرب،أو جرح،واصلة اقتفاء الأثر،يقال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أثره،إذا تبعه،فكأنّ المقتصّ يتبع أثر الجاني فيفعل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في النفس و إمّا في الطرف فالكلام في هذا الكتاب يقع في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Heading3"/>
        <w:numPr>
          <w:ilvl w:val="2"/>
          <w:numId w:val="1"/>
        </w:numPr>
        <w:rPr/>
      </w:pPr>
      <w:bookmarkStart w:id="118" w:name="__RefHeading___Toc1102667_73709187"/>
      <w:bookmarkStart w:id="119" w:name="_Toc43"/>
      <w:bookmarkEnd w:id="118"/>
      <w:r>
        <w:rPr>
          <w:rtl w:val="true"/>
        </w:rPr>
        <w:t>القسم الأول في قصاص النفس</w:t>
      </w:r>
      <w:r>
        <w:rPr>
          <w:rtl w:val="true"/>
        </w:rPr>
        <w:t>(</w:t>
      </w:r>
      <w:r>
        <w:rPr>
          <w:rtl w:val="true"/>
        </w:rPr>
        <w:t>القود</w:t>
      </w:r>
      <w:r>
        <w:rPr>
          <w:rtl w:val="true"/>
        </w:rPr>
        <w:t>)</w:t>
      </w:r>
      <w:bookmarkEnd w:id="119"/>
    </w:p>
    <w:p>
      <w:pPr>
        <w:pStyle w:val="Heading4"/>
        <w:numPr>
          <w:ilvl w:val="3"/>
          <w:numId w:val="1"/>
        </w:numPr>
        <w:rPr/>
      </w:pPr>
      <w:bookmarkStart w:id="120" w:name="__RefHeading___Toc1102669_73709187"/>
      <w:bookmarkStart w:id="121" w:name="_Toc44"/>
      <w:bookmarkEnd w:id="120"/>
      <w:r>
        <w:rPr>
          <w:rtl w:val="true"/>
        </w:rPr>
        <w:t>الموجب</w:t>
      </w:r>
      <w:bookmarkEnd w:id="121"/>
    </w:p>
    <w:p>
      <w:pPr>
        <w:pStyle w:val="Heading5"/>
        <w:numPr>
          <w:ilvl w:val="4"/>
          <w:numId w:val="1"/>
        </w:numPr>
        <w:rPr/>
      </w:pPr>
      <w:bookmarkStart w:id="122" w:name="__RefHeading___Toc1102671_73709187"/>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القود في النفس،و هو بفتح الواو القصاص،يقال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أقدت القاتل بالقتيل أي قتلته به،و سمّي قوداً لأنّهم يقودون الجاني بحبل أو غيره،قاله الأزهري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موجبه إزهاق البالغ العاقل أي إخراجه النفس المعصومة التي لا يجوز إتلافها المكافأة لنفس المزهق لها في الإسلام،و الحرّية، و غيرهما من الاعتبارات الآتية عمداً قيد في الإزهاق،أي إزهاقها في حالة العمد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جماعة قيد العدوان،محترزين به عن نحو المقتول قصاصاً، فإنّه يصدق عليه التعريف لكن لا عدوان فيه،فخرج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مستغنى عنه؛ لإمكان إخراجه </w:t>
      </w:r>
      <w:r>
        <w:rPr>
          <w:rStyle w:val="FootnoteAnchor"/>
          <w:rtl w:val="true"/>
        </w:rPr>
        <w:footnoteReference w:id="922"/>
      </w:r>
      <w:r>
        <w:rPr>
          <w:rFonts w:ascii="Amiri" w:hAnsi="Amiri" w:eastAsia="Amiri" w:cs="Amiri"/>
          <w:color w:val="111111"/>
          <w:sz w:val="28"/>
          <w:sz w:val="28"/>
          <w:szCs w:val="28"/>
          <w:rtl w:val="true"/>
          <w:lang w:bidi="ar-SA"/>
        </w:rPr>
        <w:t>بقيد المعصومة،فإنّ غير المعصوم أعمّ من كونه بالأصل كالحربي،و العارض كالقاتل على وجه يوجب القصاص،فلا احتياج إلى الزيادة كما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بالمعصومة في كلامهم ما لا يباح إزهاقها للكلّ،و بالقيد الزائد إخراج ما يباح قتله بالنسبة إلى شخص دون آخر،فإنّ القاتل معصوم بالنسبة إلى غير وليّ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هذه القيود يظهر من القول الآتي في الشروط، فلا احتياج إلى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العمد بالقصد إلى القتل بما يقتل و لو نادراً إذا اتفق القتل به،كما هنا و في الشرائع،و كتب الفاضل،و محتمل السرائر،و صريح الفاضل المقداد في الكنز و شرح الكتاب،و عن ابن حمزة،و هو ظاهر الغنية نافياً الخلاف عنه،و عليه شيخنا الشهيد الثاني في كتابيه،و غيره من المتأخّرين </w:t>
      </w:r>
      <w:r>
        <w:rPr>
          <w:rStyle w:val="FootnoteAnchor"/>
          <w:rtl w:val="true"/>
        </w:rPr>
        <w:footnoteReference w:id="923"/>
      </w:r>
      <w:r>
        <w:rPr>
          <w:rFonts w:ascii="Amiri" w:hAnsi="Amiri" w:eastAsia="Amiri" w:cs="Amiri"/>
          <w:color w:val="111111"/>
          <w:sz w:val="28"/>
          <w:sz w:val="28"/>
          <w:szCs w:val="28"/>
          <w:rtl w:val="true"/>
          <w:lang w:bidi="ar-SA"/>
        </w:rPr>
        <w:t>،و لعلّه عليه عامّتهم،بل لم أجد الخلاف فيه و إن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اللمعة </w:t>
      </w:r>
      <w:r>
        <w:rPr>
          <w:rStyle w:val="FootnoteAnchor"/>
          <w:rtl w:val="true"/>
        </w:rPr>
        <w:footnoteReference w:id="924"/>
      </w:r>
      <w:r>
        <w:rPr>
          <w:rFonts w:ascii="Amiri" w:hAnsi="Amiri" w:eastAsia="Amiri" w:cs="Amiri"/>
          <w:color w:val="111111"/>
          <w:sz w:val="28"/>
          <w:sz w:val="28"/>
          <w:szCs w:val="28"/>
          <w:rtl w:val="true"/>
          <w:lang w:bidi="ar-SA"/>
        </w:rPr>
        <w:t>التردّد فيه،حيث نسب ما في العبارة إلى القيل، مشعراً بتمريضه،أو متردّداً فيه،و لعلّه ينشأ</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العمد يتحقق بقصد القتل لغةً و عرفاً من غير نظر إلى الآلة، فيدخل في عموم أدلّة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ظاهر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العمد كلّ من اعتمد شيئاً فأصابه بحديدة،أو بحجر،أو بعصاً،أو بوكزة،فهذا كلّه عمد،و الخطأ من اعتمد شيئاً فأصاب غيره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عندنا ليقيدون بالوكزة،و إنّما الخطأ أن يريد الشيء فيصيب غيره</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 كالصحيح بابن أبي عمير،عن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العمد كلّ ما عمد به الضرب ففيه القود،و إنّما الخطأ أن يريد الشيء فيصيب غيره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المرسل الآخر المروي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أُريد به ففيه القود،و إنّما الخطأ أن يريد الشيء فيصيب غيره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الخبر الآخر المروي عنه أيضاً </w:t>
      </w:r>
      <w:r>
        <w:rPr>
          <w:rStyle w:val="FootnoteAnchor"/>
          <w:rtl w:val="true"/>
        </w:rPr>
        <w:footnoteReference w:id="931"/>
      </w:r>
      <w:r>
        <w:rPr>
          <w:rFonts w:ascii="Amiri" w:hAnsi="Amiri" w:eastAsia="Amiri" w:cs="Amiri"/>
          <w:color w:val="111111"/>
          <w:sz w:val="28"/>
          <w:sz w:val="28"/>
          <w:szCs w:val="28"/>
          <w:rtl w:val="true"/>
          <w:lang w:bidi="ar-SA"/>
        </w:rPr>
        <w:t>،إلى غير ذلك من الأخبار الدالّة على القول الأول عموماً،بل ظهوراً في بعضها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الاحتياط،و أنّه لمّا لم يكن الآلة مما يقتل عادةً فمجامعة القصد معها كالقصد بلا 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المعتبرة الأُخر المستفيضة،منها زيادةً على النصوص الدالّة على عدم العمد بضرب الرجل بالعصا أو الحجر بضربة واحدة فمات بها قبل أن يتكلم </w:t>
      </w:r>
      <w:r>
        <w:rPr>
          <w:rStyle w:val="FootnoteAnchor"/>
          <w:rtl w:val="true"/>
        </w:rPr>
        <w:footnoteReference w:id="932"/>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الرجل بالشيء الذي لا يقتل 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 الذي يضرب بالشيء الذي يقتل بمثله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الخطأ شبه العمد أن يقتل بالسيف </w:t>
      </w:r>
      <w:r>
        <w:rPr>
          <w:rStyle w:val="FootnoteAnchor"/>
          <w:rtl w:val="true"/>
        </w:rPr>
        <w:footnoteReference w:id="934"/>
      </w:r>
      <w:r>
        <w:rPr>
          <w:rFonts w:ascii="Amiri" w:hAnsi="Amiri" w:eastAsia="Amiri" w:cs="Amiri"/>
          <w:color w:val="111111"/>
          <w:sz w:val="28"/>
          <w:sz w:val="28"/>
          <w:szCs w:val="28"/>
          <w:rtl w:val="true"/>
          <w:lang w:bidi="ar-SA"/>
        </w:rPr>
        <w:t>أو بالعصا أو بالحجارة،إنّ دية ذلك تغلظ،و هي مائة من الإبل</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 الجواب عن النصوص المتقدمة بحمل العمد فيها على ما يشمل شبه العمد؛ لمقابلته بالخطإ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بإمكان حمل الأخبار الأخيرة على صورة عدم القصد إلى القتل،كما هو الغالب في الضرب بما لا يقتل إلّا نادراً،مع ضعف الشاهد على الحمل الأوّل بتضمن جملة منها التصريح بالقود في العمد،و هو لا يجامع حمله على شبه العمد،أو ما يعمّه،هذا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داعي إلى هذا الحمل سوى الاحتياط الغير اللازم مراعاته بعد قيام الدليل من العمومات و النصوص الصحيحة الظاهرة على خلافه، </w:t>
      </w:r>
    </w:p>
    <w:p>
      <w:pPr>
        <w:pStyle w:val="BookText"/>
        <w:rPr/>
      </w:pPr>
      <w:r>
        <w:rPr>
          <w:rFonts w:ascii="Amiri" w:hAnsi="Amiri" w:eastAsia="Amiri" w:cs="Amiri"/>
          <w:color w:val="111111"/>
          <w:sz w:val="28"/>
          <w:sz w:val="28"/>
          <w:szCs w:val="28"/>
          <w:rtl w:val="true"/>
          <w:lang w:bidi="ar-SA"/>
        </w:rPr>
        <w:t>و التعليل بعده في غاية من الضعف،سيّما في مقابلتها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المعارضة مع ضعف دلالتها جملةً كما عرفته أكثرها ضعيفة السند،و المعتبرة منها بحسبه غير مكافئة للأدلّة من وجوه عديدة، مع مخالفة الصحيح منها و ما في معناه للإجماع ظاهراً؛ لجعلهما القتل بالسيف من قسم شبه العمد مطلقاً،و لا قائل به مطلقاً و لو لم يقصد القتل به؛ لكونه ممّا يقتل غالباً،و لا خلاف بينهم في أنّ القتل بمثله عمد مطلقاً، كما أشار إليه الماتن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القتل بما يقتل غالباً فإنّه عمد و إن لم يقصد القتل بل قصد الفعل خاصّة،و يفهم من الغنية </w:t>
      </w:r>
      <w:r>
        <w:rPr>
          <w:rStyle w:val="FootnoteAnchor"/>
          <w:rtl w:val="true"/>
        </w:rPr>
        <w:footnoteReference w:id="93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بعصا فلم يرفع عنه حتى قتل،أ يدفع إلى أولياء المقتول؟قال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يترك يعبث به،و لكن يجاز عليه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 بمعناه غيره </w:t>
      </w:r>
      <w:r>
        <w:rPr>
          <w:rStyle w:val="FootnoteAnchor"/>
          <w:rtl w:val="true"/>
        </w:rPr>
        <w:footnoteReference w:id="938"/>
      </w:r>
      <w:r>
        <w:rPr>
          <w:rFonts w:ascii="Amiri" w:hAnsi="Amiri" w:eastAsia="Amiri" w:cs="Amiri"/>
          <w:color w:val="111111"/>
          <w:sz w:val="28"/>
          <w:sz w:val="28"/>
          <w:szCs w:val="28"/>
          <w:rtl w:val="true"/>
          <w:lang w:bidi="ar-SA"/>
        </w:rPr>
        <w:t>،و فيها الصحيح أيضاً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عامّة لصورتي قصد القتل بذلك الضرب و عدمه،من حيث ترك الاستفصال،و لا ريب أنّ مثل الضرب الواقع فيها ممّا يقتل غالباً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 مع ذلك بأنّ القصد إلى الفعل حينئذٍ كالقصد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حسن،و بموجب ذلك يترجّح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بما لا يقتل غالباً و لم يقصد القتل به،بل قصد الفعل خاصّة فاتفق قتله به ف الأظهر الأشهر كما هنا و في المسالك </w:t>
      </w:r>
      <w:r>
        <w:rPr>
          <w:rStyle w:val="FootnoteAnchor"/>
          <w:rtl w:val="true"/>
        </w:rPr>
        <w:footnoteReference w:id="939"/>
      </w:r>
      <w:r>
        <w:rPr>
          <w:rFonts w:ascii="Amiri" w:hAnsi="Amiri" w:eastAsia="Amiri" w:cs="Amiri"/>
          <w:color w:val="111111"/>
          <w:sz w:val="28"/>
          <w:sz w:val="28"/>
          <w:szCs w:val="28"/>
          <w:rtl w:val="true"/>
          <w:lang w:bidi="ar-SA"/>
        </w:rPr>
        <w:t xml:space="preserve">أنّه خطأ شبيه عمد،و عليه عامّة من تأخّر،حتى الشهيد في اللمعة </w:t>
      </w:r>
      <w:r>
        <w:rPr>
          <w:rStyle w:val="FootnoteAnchor"/>
          <w:rtl w:val="true"/>
        </w:rPr>
        <w:footnoteReference w:id="940"/>
      </w:r>
      <w:r>
        <w:rPr>
          <w:rFonts w:ascii="Amiri" w:hAnsi="Amiri" w:eastAsia="Amiri" w:cs="Amiri"/>
          <w:color w:val="111111"/>
          <w:sz w:val="28"/>
          <w:sz w:val="28"/>
          <w:szCs w:val="28"/>
          <w:rtl w:val="true"/>
          <w:lang w:bidi="ar-SA"/>
        </w:rPr>
        <w:t xml:space="preserve">، بل عليه الإجماع في الغنية </w:t>
      </w:r>
      <w:r>
        <w:rPr>
          <w:rStyle w:val="FootnoteAnchor"/>
          <w:rtl w:val="true"/>
        </w:rPr>
        <w:footnoteReference w:id="94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الأدلّة المتقدّمة سنداً للقول الثاني في المسألة السابقة، و منها أخبارها المنجبرة هنا بالشهرة العظيمة،و حكاية الإجماع المزبورة، مع وضوح الدلالة من غير جهة الإطلاق،و هو ظهورها في صورة عدم القصد إلى القتل بمقتضى ما عرفت من كونها الغالب من أفراد إطلاقها، و بموجب ذلك تترجّح على المعتبرة المقابلة لها في الصورة السابقة، الشاملة بإطلاقها أو عمومها لمفروضنا هنا،فتقيد أو 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w:t>
      </w:r>
      <w:r>
        <w:rPr>
          <w:rStyle w:val="FootnoteAnchor"/>
          <w:rtl w:val="true"/>
        </w:rPr>
        <w:footnoteReference w:id="942"/>
      </w:r>
      <w:r>
        <w:rPr>
          <w:rFonts w:ascii="Amiri" w:hAnsi="Amiri" w:eastAsia="Amiri" w:cs="Amiri"/>
          <w:color w:val="111111"/>
          <w:sz w:val="28"/>
          <w:sz w:val="28"/>
          <w:szCs w:val="28"/>
          <w:rtl w:val="true"/>
          <w:lang w:bidi="ar-SA"/>
        </w:rPr>
        <w:t xml:space="preserve">،فعمد كالسابق،إمّا مطلقا،كما حكاه عنه جماعة </w:t>
      </w:r>
      <w:r>
        <w:rPr>
          <w:rStyle w:val="FootnoteAnchor"/>
          <w:rtl w:val="true"/>
        </w:rPr>
        <w:footnoteReference w:id="943"/>
      </w:r>
      <w:r>
        <w:rPr>
          <w:rFonts w:ascii="Amiri" w:hAnsi="Amiri" w:eastAsia="Amiri" w:cs="Amiri"/>
          <w:color w:val="111111"/>
          <w:sz w:val="28"/>
          <w:sz w:val="28"/>
          <w:szCs w:val="28"/>
          <w:rtl w:val="true"/>
          <w:lang w:bidi="ar-SA"/>
        </w:rPr>
        <w:t xml:space="preserve">،أو في الأشياء المحدّدة خاصّة،كما حكاه عنه بعض الأجلة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مستنده غير واضح،عدا النصوص التي عرفت جوابها،مع شذوذها بإطلاقها لو صحّ النقل الثاني،فلا بدّ من تقييدها اتفاقاً على هذا التقدير،إمّا بحملها على صورة القصد إلى القتل أيضاً،كما عليه الأصحاب،أو ما إذا </w:t>
      </w:r>
    </w:p>
    <w:p>
      <w:pPr>
        <w:pStyle w:val="BookText"/>
        <w:rPr/>
      </w:pPr>
      <w:r>
        <w:rPr>
          <w:rFonts w:ascii="Amiri" w:hAnsi="Amiri" w:eastAsia="Amiri" w:cs="Amiri"/>
          <w:color w:val="111111"/>
          <w:sz w:val="28"/>
          <w:sz w:val="28"/>
          <w:szCs w:val="28"/>
          <w:rtl w:val="true"/>
          <w:lang w:bidi="ar-SA"/>
        </w:rPr>
        <w:t>كانت الآلة محدّدة خاصّة،كما عليه شيخنا،و ليس هذا التقييد أولى من سابقه،بل هو أولى؛ لما عرفت من الأدلّة المرجّحة لقولنا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الفرض كالضرب بالحصاة الصغار و العود الخفيف و نحوهما في غير مقتل بغير قصد القتل؛ لانتفاء القصد إلى القتل،و انتفاء القتل بمثل 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الرمي بالحجر الغامز أي الكابس على البدن لثقله و السهم المحدّد،فإنّه يوجب القود لو قتل مطلقا،و لو لم يقصد القتل به بعد أن قصد به المقتول و كذا لو ألقاه في النار فمات منها أو ضربه بعصا مكرّراً ما لا يحتمله مثله أي مثل المقتول بالنسبة إلى بدنه لصغره،أو مرضه،و زمانه لشدّة الحرّ أو البرد فمات،أو ألقاه إلى الحوت فابتلعه،أو إلى الأسد فافترسه فجميع ذلك عمد يوجب القود لأنّه كالآلة للقتل عادةً يوجبه غالباً و إن 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ظاهراً،و قد مرّ من النصوص ما يدل على الحكم في الضرب بالعصا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الإلقاء في النار الطرح في اللُّجّة في الحكم بالقود،إلّا أن يعلم قدرة الملقى على الخلاص منهما لقلّتهما،أو كونه في طرفهما يمكنه الخروج بأدنى حركة فيترك،فلا قود هنا؛ لأنّه حينئذٍ قاتل نفسه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أمسك واحد شخصاً و قتله آخر و نظر إليهما ثالث، فالقود على القاتل،و يحبس الممسك أبداً حتى يموت و تفقأ عين الناظر كما في القوي </w:t>
      </w:r>
      <w:r>
        <w:rPr>
          <w:rStyle w:val="FootnoteAnchor"/>
          <w:rtl w:val="true"/>
        </w:rPr>
        <w:footnoteReference w:id="945"/>
      </w:r>
      <w:r>
        <w:rPr>
          <w:rFonts w:ascii="Amiri" w:hAnsi="Amiri" w:eastAsia="Amiri" w:cs="Amiri"/>
          <w:color w:val="111111"/>
          <w:sz w:val="28"/>
          <w:sz w:val="28"/>
          <w:szCs w:val="28"/>
          <w:rtl w:val="true"/>
          <w:lang w:bidi="ar-SA"/>
        </w:rPr>
        <w:t xml:space="preserve">المعتضد بالشهرة الظاهرة،و المحكية </w:t>
      </w:r>
      <w:r>
        <w:rPr>
          <w:rStyle w:val="FootnoteAnchor"/>
          <w:rtl w:val="true"/>
        </w:rPr>
        <w:footnoteReference w:id="946"/>
      </w:r>
      <w:r>
        <w:rPr>
          <w:rFonts w:ascii="Amiri" w:hAnsi="Amiri" w:eastAsia="Amiri" w:cs="Amiri"/>
          <w:color w:val="111111"/>
          <w:sz w:val="28"/>
          <w:sz w:val="28"/>
          <w:szCs w:val="28"/>
          <w:rtl w:val="true"/>
          <w:lang w:bidi="ar-SA"/>
        </w:rPr>
        <w:t xml:space="preserve">،بل عليه </w:t>
      </w:r>
    </w:p>
    <w:p>
      <w:pPr>
        <w:pStyle w:val="BookText"/>
        <w:rPr/>
      </w:pPr>
      <w:r>
        <w:rPr>
          <w:rFonts w:ascii="Amiri" w:hAnsi="Amiri" w:eastAsia="Amiri" w:cs="Amiri"/>
          <w:color w:val="111111"/>
          <w:sz w:val="28"/>
          <w:sz w:val="28"/>
          <w:szCs w:val="28"/>
          <w:rtl w:val="true"/>
          <w:lang w:bidi="ar-SA"/>
        </w:rPr>
        <w:t xml:space="preserve">الإجماع عن الخلاف و في الغنية </w:t>
      </w:r>
      <w:r>
        <w:rPr>
          <w:rStyle w:val="FootnoteAnchor"/>
          <w:rtl w:val="true"/>
        </w:rPr>
        <w:footnoteReference w:id="947"/>
      </w:r>
      <w:r>
        <w:rPr>
          <w:rFonts w:ascii="Amiri" w:hAnsi="Amiri" w:eastAsia="Amiri" w:cs="Amiri"/>
          <w:color w:val="111111"/>
          <w:sz w:val="28"/>
          <w:sz w:val="28"/>
          <w:szCs w:val="28"/>
          <w:rtl w:val="true"/>
          <w:lang w:bidi="ar-SA"/>
        </w:rPr>
        <w:t xml:space="preserve">،و يشعر به عبارة المسالك </w:t>
      </w:r>
      <w:r>
        <w:rPr>
          <w:rStyle w:val="FootnoteAnchor"/>
          <w:rtl w:val="true"/>
        </w:rPr>
        <w:footnoteReference w:id="948"/>
      </w:r>
      <w:r>
        <w:rPr>
          <w:rFonts w:ascii="Amiri" w:hAnsi="Amiri" w:eastAsia="Amiri" w:cs="Amiri"/>
          <w:color w:val="111111"/>
          <w:sz w:val="28"/>
          <w:sz w:val="28"/>
          <w:szCs w:val="28"/>
          <w:rtl w:val="true"/>
          <w:lang w:bidi="ar-SA"/>
        </w:rPr>
        <w:t xml:space="preserve">،و صرّح به في الروضة و غيره </w:t>
      </w:r>
      <w:r>
        <w:rPr>
          <w:rStyle w:val="FootnoteAnchor"/>
          <w:rtl w:val="true"/>
        </w:rPr>
        <w:footnoteReference w:id="949"/>
      </w:r>
      <w:r>
        <w:rPr>
          <w:rFonts w:ascii="Amiri" w:hAnsi="Amiri" w:eastAsia="Amiri" w:cs="Amiri"/>
          <w:color w:val="111111"/>
          <w:sz w:val="28"/>
          <w:sz w:val="28"/>
          <w:szCs w:val="28"/>
          <w:rtl w:val="true"/>
          <w:lang w:bidi="ar-SA"/>
        </w:rPr>
        <w:t>،لكن في الحكمين الأوّلين،و بهما وقع التصريح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أمسك أحدهما و قتل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القاتل،و يحبس الآخر حتى يموت غمّاً،كما حبسه حتى مات غمّاً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و نحوهما الموثق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القاتل،و يصبر الصابر</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 يحبس أبداً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أكره حرّا على القتل،فالقصاص على القاتل المباشر؛ لأنّه القاتل عمداً ظلماً لاستبقاء نفسه،فأشبه ما لو قتله في المخمصة ليأكله، فيدخل في عمومات الكتاب و السنّة بالقود ممّن قتل غيره لا المكرِه و كذا أي و من هذا الباب لو أمره بالقتل،فالقصاص على المباشر خاصة و يحبس الآمر أبداً حتى يموت،في المشهور،بل عليه الإجماع في الروضة و غيرها </w:t>
      </w:r>
      <w:r>
        <w:rPr>
          <w:rStyle w:val="FootnoteAnchor"/>
          <w:rtl w:val="true"/>
        </w:rPr>
        <w:footnoteReference w:id="95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بقتل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الذي قتله،و يحبس الآمر بقتله في السجن حتى يموت</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 عدم تحقق الإكراه في القتل،كما عليه أصحابنا،و ادّعى جمع منهم عليه إجماعنا </w:t>
      </w:r>
      <w:r>
        <w:rPr>
          <w:rStyle w:val="FootnoteAnchor"/>
          <w:rtl w:val="true"/>
        </w:rPr>
        <w:footnoteReference w:id="956"/>
      </w:r>
      <w:r>
        <w:rPr>
          <w:rFonts w:ascii="Amiri" w:hAnsi="Amiri" w:eastAsia="Amiri" w:cs="Amiri"/>
          <w:color w:val="111111"/>
          <w:sz w:val="28"/>
          <w:sz w:val="28"/>
          <w:szCs w:val="28"/>
          <w:rtl w:val="true"/>
          <w:lang w:bidi="ar-SA"/>
        </w:rPr>
        <w:t>،و وجهه واضح،مصرَّح به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الدماء،فإذا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المكره بالغاً عاقلاً،و لو اكره المجنون أو الصبي غير المميّز فالقصاص على مكرِههما،على الأقوى؛ لأنّ المباشر حينئذٍ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فيهما بين الحرّ و العبد؛ لعموم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اكره الصبي المميّز فلا قود عليه مطلقاً،على الأشهر الأقوى،كما سيأتي الكلام فيه مفصّلاً،و لا على الآمر؛ لعدم المباشرة،مع خروج الصبي بالتمييز عن كونه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 أيضاً بين كونه حرّا أو عبداً،و إن افترقا بالإضافة إلى الدية عند جماعة </w:t>
      </w:r>
      <w:r>
        <w:rPr>
          <w:rStyle w:val="FootnoteAnchor"/>
          <w:rtl w:val="true"/>
        </w:rPr>
        <w:footnoteReference w:id="959"/>
      </w:r>
      <w:r>
        <w:rPr>
          <w:rFonts w:ascii="Amiri" w:hAnsi="Amiri" w:eastAsia="Amiri" w:cs="Amiri"/>
          <w:color w:val="111111"/>
          <w:sz w:val="28"/>
          <w:sz w:val="28"/>
          <w:szCs w:val="28"/>
          <w:rtl w:val="true"/>
          <w:lang w:bidi="ar-SA"/>
        </w:rPr>
        <w:t>،حيث جعلوها على العاقلة في الأوّل،و متعلّقاً بالرقبة في الثاني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المأمور القاتل عبده أي عبد الآمر ف في القود </w:t>
      </w:r>
    </w:p>
    <w:p>
      <w:pPr>
        <w:pStyle w:val="BookText"/>
        <w:rPr/>
      </w:pPr>
      <w:r>
        <w:rPr>
          <w:rFonts w:ascii="Amiri" w:hAnsi="Amiri" w:eastAsia="Amiri" w:cs="Amiri"/>
          <w:color w:val="111111"/>
          <w:sz w:val="28"/>
          <w:sz w:val="28"/>
          <w:szCs w:val="28"/>
          <w:rtl w:val="true"/>
          <w:lang w:bidi="ar-SA"/>
        </w:rPr>
        <w:t>منه و حبس المولى مخلّداً،أم العكس قولان،أشبههما و أشهرهما بين المتأخّرين أنّه أي العبد كغيره من الأحرار،يقاد منه مع بلوغه و عقله و يخلّد سيّده السجن،و من سيّده مع جنونه أو صباوته و عدم تمييزه،و لا يقاد منهما إذا كان صبيّاً مميّزاً كما مضى؛ لعموم الدليل على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الصحيحة الدالّة على سجن الآمر و قتل المأمور غير معلوم الشمول لنحو المفروض؛ لإطلاقها الغير المنصرف إليه،بناءً على تبادر الحرّ من الرجل الآمر و المأمور فيها،مع التصريح به في المأمور في نسختها الأُخرى المروية في الفقيه،فإنّ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أمر رجلاً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العمومات كفاية إن شاء اللّه تعالى،لكن لا يستفاد منها حبس الآمر مخلّداً، و لعلّه لا قائل بالفرق،فتدبّر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في المعتبرين أنه يقتل به السيّد الآمر،و يخلّد </w:t>
      </w:r>
      <w:r>
        <w:rPr>
          <w:rStyle w:val="FootnoteAnchor"/>
          <w:rtl w:val="true"/>
        </w:rPr>
        <w:footnoteReference w:id="960"/>
      </w:r>
      <w:r>
        <w:rPr>
          <w:rFonts w:ascii="Amiri" w:hAnsi="Amiri" w:eastAsia="Amiri" w:cs="Amiri"/>
          <w:color w:val="111111"/>
          <w:sz w:val="28"/>
          <w:sz w:val="28"/>
          <w:szCs w:val="28"/>
          <w:rtl w:val="true"/>
          <w:lang w:bidi="ar-SA"/>
        </w:rPr>
        <w:t>العبد السجن،ففي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عبده أن يقتل رجلاً، فقتله،فقال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السيّد به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عبد الرجل إلّا كسوطه أو سيفه،يقتل السيّد، و يستودع العبد السجن حتى يموت</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بهما الإسكافي بشرط كون العبد جاهلاً أو مكرهاً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شاذّ،كالمعتبرين،مع قصورهما سنداً،و مكافأة لما مضى، فليطرحا،أو يؤوّلا بما يؤولان إليه،بحملهما على ما إذا كان العبد صغيراً، كما قيل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بعده موقوف على جواز تخليد العبد الصغير الغير المميّز السجن،كما دل أحدهما عليه،و لم أر قائلاً به،مع منافاته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الشيخ </w:t>
      </w:r>
      <w:r>
        <w:rPr>
          <w:rStyle w:val="FootnoteAnchor"/>
          <w:rtl w:val="true"/>
        </w:rPr>
        <w:footnoteReference w:id="965"/>
      </w:r>
      <w:r>
        <w:rPr>
          <w:rFonts w:ascii="Amiri" w:hAnsi="Amiri" w:eastAsia="Amiri" w:cs="Amiri"/>
          <w:color w:val="111111"/>
          <w:sz w:val="28"/>
          <w:sz w:val="28"/>
          <w:szCs w:val="28"/>
          <w:rtl w:val="true"/>
          <w:lang w:bidi="ar-SA"/>
        </w:rPr>
        <w:t>بينهما و بين الصحيحة المقابلة لهما عموماً بحسب نسختها التي رواها بحملهما على من اعتاد أمر عبيده بقتل الناس و إكراههم عليه،فيقتل؛ لإفساده في الأرض،و ربما يعدّ ذلك فتوًى له،قيل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الحلبيّان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الجمع مع بعده إنّما يرفع التعارض بالإضافة إلى ما دلّا عليه من قتل السيّد،و أمّا بالإضافة إلى ما فيهما من تخليد العبد السجن فلا،بل ظاهر الصحيحة يفيد قتله،و الخبران صريحان في تخليده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الأوفق بالأُصول ترجيح الصحيحة و إن حمل الخبران على صورة إفساد السيّد؛ فإنّ إفساده بمجرّده لا يدرأ القتل عن العبد بعد مباشرته للقتل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في الخلاف و الحلّي في السرائر </w:t>
      </w:r>
      <w:r>
        <w:rPr>
          <w:rStyle w:val="FootnoteAnchor"/>
          <w:rtl w:val="true"/>
        </w:rPr>
        <w:footnoteReference w:id="967"/>
      </w:r>
      <w:r>
        <w:rPr>
          <w:rFonts w:ascii="Amiri" w:hAnsi="Amiri" w:eastAsia="Amiri" w:cs="Amiri"/>
          <w:color w:val="111111"/>
          <w:sz w:val="28"/>
          <w:sz w:val="28"/>
          <w:szCs w:val="28"/>
          <w:rtl w:val="true"/>
          <w:lang w:bidi="ar-SA"/>
        </w:rPr>
        <w:t>إن كان العبد القاتل بأمر الغير صغيراً أو مجنوناً سقط القود عن المأمور؛ لنقصه،و عن الآمر؛ لعدم قتله و وجبت الدية على المولى لئلّا يطلّ دم المقتول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اضطرب كلام المبسوط </w:t>
      </w:r>
      <w:r>
        <w:rPr>
          <w:rStyle w:val="FootnoteAnchor"/>
          <w:rtl w:val="true"/>
        </w:rPr>
        <w:footnoteReference w:id="968"/>
      </w:r>
      <w:r>
        <w:rPr>
          <w:rFonts w:ascii="Amiri" w:hAnsi="Amiri" w:eastAsia="Amiri" w:cs="Amiri"/>
          <w:color w:val="111111"/>
          <w:sz w:val="28"/>
          <w:sz w:val="28"/>
          <w:szCs w:val="28"/>
          <w:rtl w:val="true"/>
          <w:lang w:bidi="ar-SA"/>
        </w:rPr>
        <w:t>،فتارة أوجب القود على الآمر حرّا كان المأمور أو عبداً،و أُخرى أوجب الدية على عاقلة المأمور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المأمور إن كان حرّا بالغاً عاقلاً أو مراهقاً اقتصّ منه،و إن كان حرّا صبيّاً أو مجنوناً و لم يكره لزمت الدية عاقلته،و إن اكره كان نصف الدية على عاقلته و نصفها على الآمر المكرِه،و إن كان عبداً للآمر صغيراً أو كبيراً غير مميّز أقتص من الآمر،و إلّا فمن القاتل،قال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لزم القود المباشر خلّد الآمر في الحبس،و إن لزم الآمر خلّد المباشر فيه إلّا أن يكون صبيّاً أو مجنوناً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جرح جان عمداً فسرت الجناية إلى النفس فقتل المجروح دخل قصاص الطرف في قصاص النفس اتفاقاً في الظاهر،و بعدم الخلاف فيه صرّح في بعض العبائر </w:t>
      </w:r>
      <w:r>
        <w:rPr>
          <w:rStyle w:val="FootnoteAnchor"/>
          <w:rtl w:val="true"/>
        </w:rPr>
        <w:footnoteReference w:id="970"/>
      </w:r>
      <w:r>
        <w:rPr>
          <w:rFonts w:ascii="Amiri" w:hAnsi="Amiri" w:eastAsia="Amiri" w:cs="Amiri"/>
          <w:color w:val="111111"/>
          <w:sz w:val="28"/>
          <w:sz w:val="28"/>
          <w:szCs w:val="28"/>
          <w:rtl w:val="true"/>
          <w:lang w:bidi="ar-SA"/>
        </w:rPr>
        <w:t>،و هو الحجة؛ مضافاً إلى النصوص الآتية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جرحه و قتله بعد ذلك ف في الدخول مطلقاً و عدمه كذلك قولان،أحدهما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يدخل قصاص الطرف في قصاص النفس كما في السرائر و عن نكت النهاية و موضع من الخلاف و المبسوط،و إليه مال ابن زهرة </w:t>
      </w:r>
      <w:r>
        <w:rPr>
          <w:rStyle w:val="FootnoteAnchor"/>
          <w:rtl w:val="true"/>
        </w:rPr>
        <w:footnoteReference w:id="971"/>
      </w:r>
      <w:r>
        <w:rPr>
          <w:rFonts w:ascii="Amiri" w:hAnsi="Amiri" w:eastAsia="Amiri" w:cs="Amiri"/>
          <w:color w:val="111111"/>
          <w:sz w:val="28"/>
          <w:sz w:val="28"/>
          <w:szCs w:val="28"/>
          <w:rtl w:val="true"/>
          <w:lang w:bidi="ar-SA"/>
        </w:rPr>
        <w:t xml:space="preserve">لعموم نصوص القصاص من الكتاب و السنّة،و قوله تعالى فَمَنِ اعْتَدى عَلَيْكُمْ فَاعْتَدُوا عَلَيْهِ بِمِثْلِ مَا اعْتَدى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مضافاً إلى 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يدخل كما عن موضع آخر من المبسوط و الخلاف و عن التبصرة و الجامع </w:t>
      </w:r>
      <w:r>
        <w:rPr>
          <w:rStyle w:val="FootnoteAnchor"/>
          <w:rtl w:val="true"/>
        </w:rPr>
        <w:footnoteReference w:id="973"/>
      </w:r>
      <w:r>
        <w:rPr>
          <w:rFonts w:ascii="Amiri" w:hAnsi="Amiri" w:eastAsia="Amiri" w:cs="Amiri"/>
          <w:color w:val="111111"/>
          <w:sz w:val="28"/>
          <w:sz w:val="28"/>
          <w:szCs w:val="28"/>
          <w:rtl w:val="true"/>
          <w:lang w:bidi="ar-SA"/>
        </w:rPr>
        <w:t>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بعمود فسطاط على رأسه ضربة واحدة فأجافه حتى وصلت الضربة إلى الدماغ و ذهب عقله،فقال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المضروب لا يعقل منها أوقات الصلاة و لا يعقل ما قال و لا ما قيل له،فإنّه ينتظر به سنة،فإن مات فيما بينه و بين السنة أُقيد به ضاربه،و إن لم يمت فيما بينه و بين السنة و لم يرجع إليه عقله أغرم ضاربه الدية في ماله لذهاب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الشجة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إنّما ضربه ضربة واحدة فجنت الضربة جنايتين فألزمته أغلظ الجنايتين،و هي الدية،و لو كان ضربه ضربتين فجنت الضربتان جنايتين لألزمته جناية ما جنى كائناً ما كان،إلّا أن يكون فيهما الموت فيقاد به ضاربه بواحدة،و تطرح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ضربه ثلاث ضربات واحدة بعد واحدة فجنت ثلاثة ألزمته جناية ما جنت الثلاث ضربات كائنة ما كانت،ما لم يكن فيها الموت فيقاد به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ضربه عشر ضربات فجنين جناية واحدة ألزمته تلك الجناية التي جنتها العشر ضربات كائنة ما كانت،ما لم يكن فيها الموت</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روى الأصحاب من أنّه إذا مثّل إنسان بغيره و قتله لم يكن عليه إلّا القتل،و لم يجز التمثيل به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فصّل في النهاية </w:t>
      </w:r>
      <w:r>
        <w:rPr>
          <w:rStyle w:val="FootnoteAnchor"/>
          <w:rtl w:val="true"/>
        </w:rPr>
        <w:footnoteReference w:id="9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فرّقه أي الجرح أو الضرب واحداً بعد واحد لم يدخل و إلّا دخل،و عليه الفاضلان في الشرائع و التحرير و الإرشاد و التلخيص،و الشهيد الثاني في المسالك و الروضة </w:t>
      </w:r>
      <w:r>
        <w:rPr>
          <w:rStyle w:val="FootnoteAnchor"/>
          <w:rtl w:val="true"/>
        </w:rPr>
        <w:footnoteReference w:id="977"/>
      </w:r>
      <w:r>
        <w:rPr>
          <w:rFonts w:ascii="Amiri" w:hAnsi="Amiri" w:eastAsia="Amiri" w:cs="Amiri"/>
          <w:color w:val="111111"/>
          <w:sz w:val="28"/>
          <w:sz w:val="28"/>
          <w:szCs w:val="28"/>
          <w:rtl w:val="true"/>
          <w:lang w:bidi="ar-SA"/>
        </w:rPr>
        <w:t>مدّعياً فيها كونه قول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مستندها أي النهاية رواية محمّد بن قيس الصحيحة إليه، و اشتراكه مجبور بابن أبى عمير المجمع على تصحيح ما يصحّ عنه،الراوي عنه و لو بواسطة محمد بن أبي حمزة،و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فقأ عين رجل و قطع أنفه و أُذنيه ثم 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فرّق </w:t>
      </w:r>
      <w:r>
        <w:rPr>
          <w:rStyle w:val="FootnoteAnchor"/>
          <w:rtl w:val="true"/>
        </w:rPr>
        <w:footnoteReference w:id="978"/>
      </w:r>
      <w:r>
        <w:rPr>
          <w:rFonts w:ascii="Amiri" w:hAnsi="Amiri" w:eastAsia="Amiri" w:cs="Amiri"/>
          <w:color w:val="111111"/>
          <w:sz w:val="28"/>
          <w:sz w:val="28"/>
          <w:szCs w:val="28"/>
          <w:rtl w:val="true"/>
          <w:lang w:bidi="ar-SA"/>
        </w:rPr>
        <w:t>ذلك اقتصّ منه ثم يقتل،و إن كان ضربه ضربة واحدة ضرب عنقه و لم يقتصّ منه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رواية أُخرى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على رأسه فذهب سمعه و بصره و اعتقل لسانه ثم 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ضربه ضربة بعد ضربة اقتصّ منه ثم قتل،و إن كان أصابه هذا من ضربة واحدة قتل و لم يقتصّ منه</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اعتضاد الحكم في الشقّ الأوّل بجميع ما مرّ دليلاً للقول الأوّل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من باب السراية التي يدخل معها قصاص </w:t>
      </w:r>
    </w:p>
    <w:p>
      <w:pPr>
        <w:pStyle w:val="BookText"/>
        <w:rPr/>
      </w:pPr>
      <w:r>
        <w:rPr>
          <w:rFonts w:ascii="Amiri" w:hAnsi="Amiri" w:eastAsia="Amiri" w:cs="Amiri"/>
          <w:color w:val="111111"/>
          <w:sz w:val="28"/>
          <w:sz w:val="28"/>
          <w:szCs w:val="28"/>
          <w:rtl w:val="true"/>
          <w:lang w:bidi="ar-SA"/>
        </w:rPr>
        <w:t>الطرف في النفس اتفاقاً كما عرفته،فينبغي عدم الخلاف فيه،و عموم أدلّة القول الأوّل لعلّه لا ينافيه؛ لقضاء العرف بأنّه ما جنى عليه إلّا جناية واحدة، فيكون قتله خاصّة اعتداءً بما اعتدى،و اقتصاص الزائد تعدّياً خارجاً،مع دلالة الصحيح المستدل به للقول الثاني عليه أيضاً؛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الشجّة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إنّما ضرب 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بالتداخل مع اتحاد الضرب مثلاً؛ لاتفاق النصوص عليه و أكثر الفتاوي،مع عدم منافاة العمومات لها،كما مضى، و على تقديرها فلتكن بها مخصَّصة،فإن الخاص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التداخل مع التعدّد،و الأقرب فيه العدم،لتعدّد ما يدل عليه خصوصاً و عموماً،كتاباً و سنّةً،مضافاً إلى الاستصحاب كما تقدّم، و التأيّد بالاعتبار قطعاً،كما نبّه عليه بعض أصحابنا،فقال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بُعد؛ إذ يلزم أن لو قطع يده مثلاً في وقت،ثم يده الأُخرى في سنة، ثم رجله في سنة،و أُخرى في أُخرى،ثم قتله في سنة،لم يلزمه إلّا القود، أو دية النفس،فينبغي اشتراط اتحاد الوقت أو تقاربها،و لكنه غير منضبط </w:t>
      </w:r>
      <w:r>
        <w:rPr>
          <w:rStyle w:val="FootnoteAnchor"/>
          <w:rtl w:val="true"/>
        </w:rPr>
        <w:footnoteReference w:id="9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حسن،و لا يعارض جميع ذلك الصحيح الواحد،مع أنّه عارضه الماتن في نكت النهاية </w:t>
      </w:r>
      <w:r>
        <w:rPr>
          <w:rStyle w:val="FootnoteAnchor"/>
          <w:rtl w:val="true"/>
        </w:rPr>
        <w:footnoteReference w:id="982"/>
      </w: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بعصا فذهب سمعه،و بصره،و لسانه،و عقله،و فرجه، و انقطع جماعه و هو حي،بستّ ديات</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124" w:name="pg11409_90781"/>
    </w:p>
    <w:p>
      <w:pPr>
        <w:pStyle w:val="BookText"/>
        <w:rPr/>
      </w:pPr>
      <w:bookmarkEnd w:id="124"/>
      <w:r>
        <w:rPr>
          <w:rFonts w:ascii="Amiri" w:hAnsi="Amiri" w:eastAsia="Amiri" w:cs="Amiri"/>
          <w:color w:val="111111"/>
          <w:sz w:val="28"/>
          <w:sz w:val="28"/>
          <w:szCs w:val="28"/>
          <w:rtl w:val="true"/>
          <w:lang w:bidi="ar-SA"/>
        </w:rPr>
        <w:t>و لكن وجه المعارضة في مفروض المسألة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الماتن هنا التوقف،كالفاضل في القواعد و الشهيد في اللمعة، و به صرّح في المختلف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Heading5"/>
        <w:numPr>
          <w:ilvl w:val="4"/>
          <w:numId w:val="1"/>
        </w:numPr>
        <w:rPr/>
      </w:pPr>
      <w:bookmarkStart w:id="125" w:name="__RefHeading___Toc1102673_73709187"/>
      <w:bookmarkStart w:id="126" w:name="_Toc46"/>
      <w:bookmarkEnd w:id="125"/>
      <w:r>
        <w:rPr>
          <w:rtl w:val="true"/>
        </w:rPr>
        <w:t>مسائل من الاشتراك</w:t>
      </w:r>
      <w:bookmarkEnd w:id="126"/>
    </w:p>
    <w:p>
      <w:pPr>
        <w:pStyle w:val="Heading6"/>
        <w:numPr>
          <w:ilvl w:val="5"/>
          <w:numId w:val="1"/>
        </w:numPr>
        <w:rPr/>
      </w:pPr>
      <w:bookmarkStart w:id="127" w:name="__RefHeading___Toc1102675_73709187"/>
      <w:bookmarkStart w:id="128" w:name="_Toc47"/>
      <w:bookmarkEnd w:id="127"/>
      <w:r>
        <w:rPr>
          <w:rtl w:val="true"/>
        </w:rPr>
        <w:t>الأولى لو اشترك جماعة في قتل حرٍّ مسلم</w:t>
      </w:r>
      <w:bookmarkEnd w:id="128"/>
    </w:p>
    <w:p>
      <w:pPr>
        <w:pStyle w:val="BookText"/>
        <w:rPr/>
      </w:pPr>
      <w:r>
        <w:rPr>
          <w:rFonts w:ascii="Amiri" w:hAnsi="Amiri" w:eastAsia="Amiri" w:cs="Amiri"/>
          <w:color w:val="111111"/>
          <w:sz w:val="28"/>
          <w:sz w:val="28"/>
          <w:szCs w:val="28"/>
          <w:rtl w:val="true"/>
          <w:lang w:bidi="ar-SA"/>
        </w:rPr>
        <w:t>مسائل أربع من مسائل الاشتراك في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اشترك جماعة في قتل حرٍّ مسلم بأن ألقوه من شاهق،أو في بحر،أو جرحوه جراحات مجتمعة،أو متفرقة،و لو مختلفة كمّية و كيفية،فمات بها فللوليّ وليّ المقتول قتل الجميع مع التكافؤ و يردّ على كل واحد منهم ما فضل عن ديته،فيأخذ كلّ منهم ما فضل من ديته عن جنايته،و له قتل البعض أيضاً و يردّ الآخرون الباقون من الدية ب قدر جنايتهم،فإن فضل للمقتولين فضل عمّا ردّه شركاؤهم قام به الوليّ فلو اشترك ثلاثة في قتل واحد و اختار وليّه قتلهم أدّى إليهم ديتين يقتسمونهما بينهم بالسوية،فنصيب كل واحد منهم ثلثا دية،و يسقط ما يخصّه من الجناية و هو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اثنين أدّى الثالث ثلث الدية عوضاً عما يخصه من الجناية، و يضيف إليه الولي دية كاملة ليصير لكل واحد من المقتولين ثلثا دية،و هو فاضل ديته عن جنايته،و لأن الوليّ استوفى نفسين بنفس فيردّ دية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واحداً أدّى الباقيان إلى ورثته ثلثي الدية،و لا شيء على الوليّ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فضل منهم لقصور ديتهم عن دية المقتول،بأن كانوا عبدين أو امرأة حرّة و أمة و قتلوا رجلاً و نقصت القيمة عن الدية كان الفاضل </w:t>
      </w:r>
    </w:p>
    <w:p>
      <w:pPr>
        <w:pStyle w:val="BookText"/>
        <w:rPr/>
      </w:pPr>
      <w:r>
        <w:rPr>
          <w:rFonts w:ascii="Amiri" w:hAnsi="Amiri" w:eastAsia="Amiri" w:cs="Amiri"/>
          <w:color w:val="111111"/>
          <w:sz w:val="28"/>
          <w:sz w:val="28"/>
          <w:szCs w:val="28"/>
          <w:rtl w:val="true"/>
          <w:lang w:bidi="ar-SA"/>
        </w:rPr>
        <w:t>من دية المقتول على ديتهم له أي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المسألة قبل إجماعنا الظاهر،المصرّح به في الغنية و غيرها من كتب الجماعة </w:t>
      </w:r>
      <w:r>
        <w:rPr>
          <w:rStyle w:val="FootnoteAnchor"/>
          <w:rtl w:val="true"/>
        </w:rPr>
        <w:footnoteReference w:id="985"/>
      </w:r>
      <w:r>
        <w:rPr>
          <w:rFonts w:ascii="Amiri" w:hAnsi="Amiri" w:eastAsia="Amiri" w:cs="Amiri"/>
          <w:color w:val="111111"/>
          <w:sz w:val="28"/>
          <w:sz w:val="28"/>
          <w:szCs w:val="28"/>
          <w:rtl w:val="true"/>
          <w:lang w:bidi="ar-SA"/>
        </w:rPr>
        <w:t>الصحاح المستفيضة و غيرها من المعتبرة، 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قتلا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أولياء المقتول قتلهما أدّوا دية كاملة و قتلوهما،و تكون الدية بين أولياء المقتولين،و إن أرادوا قتل أحدهما فقتلوه و ادّى المتروك نصف الدية إلى أهل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 اشتركوا في قتل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يخيّر أهل المقتول فأيّهم شاؤوا قتلوا،و يرجع أولياؤه على الباقين بتسعة أعشار الدية</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و نحوه الحسن و الموّثق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العشرة على قتل رجل واحد حكم الوالي أن يقتل أيّهم شاؤوا،و ليس لهم أن يقتلوا أكثر من واحد،إنّ اللّه عزّ و جلّ يقول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و إذا قتل ثلاثة واحداً خيّر الولي أيّ الثلاثة شاء أن يقتل،و يضمن الآخران ثلثي الدية لورثة المقتول</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129" w:name="pg11409_90783"/>
    </w:p>
    <w:p>
      <w:pPr>
        <w:pStyle w:val="BookText"/>
        <w:rPr/>
      </w:pPr>
      <w:bookmarkEnd w:id="129"/>
      <w:r>
        <w:rPr>
          <w:rFonts w:ascii="Amiri" w:hAnsi="Amiri" w:eastAsia="Amiri" w:cs="Amiri"/>
          <w:color w:val="111111"/>
          <w:sz w:val="28"/>
          <w:sz w:val="28"/>
          <w:szCs w:val="28"/>
          <w:rtl w:val="true"/>
          <w:lang w:bidi="ar-SA"/>
        </w:rPr>
        <w:t>فمع قصور سنده عن الصحة و إن قرب منها بابن أبي عمير الذي أجمع على تصحيح ما يصح عنه العصابة شاذّ،لا يعترض به الأخبار السابقة؛ لما هي عليه من الاستفاضة،و صحة سند أكثرها،و اعتبار باقيها، و إطباق الفتاوي عليها،و لذا حمله الشيخ تارةً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الفقهاء من لا يجوّز ذلك،و أُخرى على أنّ المراد أنّه ليس له ذلك إلّا بشرط أن يردّ ما يفضل عن دية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ما ذهب إليه قوم من العامّة،و هو مذهب بعض من تقدّم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يجوّز قتل الاثنين و ما زاد عليهما بواحد و لا يردّ فضل ذلك،و ذلك لا يجوز على حال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هذان الحملان لا بأس بهما جمعاً و إن بَعُدا،و لا سيّما الأوّل منهما، كما نبه عليه غير واحد من الأصحاب </w:t>
      </w:r>
      <w:r>
        <w:rPr>
          <w:rStyle w:val="FootnoteAnchor"/>
          <w:rtl w:val="true"/>
        </w:rPr>
        <w:footnoteReference w:id="992"/>
      </w:r>
      <w:r>
        <w:rPr>
          <w:rFonts w:ascii="Amiri" w:hAnsi="Amiri" w:eastAsia="Amiri" w:cs="Amiri"/>
          <w:color w:val="111111"/>
          <w:sz w:val="28"/>
          <w:sz w:val="28"/>
          <w:szCs w:val="28"/>
          <w:rtl w:val="true"/>
          <w:lang w:bidi="ar-SA"/>
        </w:rPr>
        <w:t>،معلّلين بأنّه خلاف المشهور بينهم؛ إذ أكثرهم ذهبوا إلى جواز قتل الجميع كما ذهب إليه أصحابنا، لكنّهم لم يوجبوا ردّاً،بل جعلوا دم كلّ منهم مستحقّاً للوليّ مجّاناً،قالوا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حمله على الاستحباب،و لا بأس به أيضاً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102677_73709187"/>
      <w:bookmarkStart w:id="131" w:name="_Toc48"/>
      <w:bookmarkEnd w:id="130"/>
      <w:r>
        <w:rPr>
          <w:rtl w:val="true"/>
        </w:rPr>
        <w:t>الثانية يقتصّ من الجماعة في الأطراف</w:t>
      </w:r>
      <w:bookmarkEnd w:id="131"/>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من الجماعة في الأطراف كما يقتصّ منهم في النفس لفحوى الأدلّة المتقدّمة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الصحيحة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اجتمعا على قطع يد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أن يقطعهما أدّى إليهما دية و اقتسماها ثم </w:t>
      </w:r>
      <w:bookmarkStart w:id="132" w:name="pg11409_90784"/>
    </w:p>
    <w:p>
      <w:pPr>
        <w:pStyle w:val="BookText"/>
        <w:rPr/>
      </w:pPr>
      <w:bookmarkEnd w:id="132"/>
      <w:r>
        <w:rPr>
          <w:rFonts w:ascii="Amiri" w:hAnsi="Amiri" w:eastAsia="Amiri" w:cs="Amiri"/>
          <w:color w:val="111111"/>
          <w:sz w:val="28"/>
          <w:sz w:val="28"/>
          <w:szCs w:val="28"/>
          <w:rtl w:val="true"/>
          <w:lang w:bidi="ar-SA"/>
        </w:rPr>
        <w:t>يقطعهما،و إن أحبّ أخذ منهما دية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قطع يد أحدهما ردّ الذي لم تقطع يده على الذي قطعت يده ربع الدية</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قطع يده جماعة كان له التخيير في قطع يد الجميع و يردّ فاضل الدية أي دية يده عليهم،يقتسمونه بينهم بالسويّة و له قطع يد البعض منهم،واحداً أو متعدّداً و يردّ عليهم أي على المقطوعين و إنّما جمع الضمير تنبيهاً على ما ذكرنا من دخول المتعدّدين في البعض الذي له الخيار في قطعهم البعض الآخرون بقدر جنايتهم،فإن فضل للبعض المقطوع فضل بأن تعدّد قام به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هنا كما سبق في المسألة السابقة من دون فرق بينهما إلّا من حيث إنّ الشركة في النفس يتحقق بموته بالأمرين أو الأُمور،سواء اجتمعت أم تفرّقت،و هنا لا يتحقق إلّا مع صدور الفعل عنهم أجمع،إمّا بأن يشهدوا عليه بما يوجب قطع يده ثم يرجعوا،أو يكرهوا إنساناً على قطعه،أو يلقوا صخرة على طرفه فيقطعه،أو يضعوا حديدة على المفصل و يعتمدوا عليها جميعاً،و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 كل واحد منهم جزءاً من يده لم يقطع أحدهم،بل يكون على كلّ منهم حقّ جنايته؛ لانفراده بها،و كذا لو وضعوا منشاراً و نحوه على عضوه و مدّه كل واحد مرّة إلى أن حصل القطع؛ لأنّ كل واحد لم يقطع بانفراده و لم يشارك في قطع الجميع،فإن أمكن الاقتصاص من كلّ واحد على حدة ثبت بمقدار جنايته،و إلّا فلا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102679_73709187"/>
      <w:bookmarkStart w:id="134" w:name="_Toc49"/>
      <w:bookmarkEnd w:id="133"/>
      <w:r>
        <w:rPr>
          <w:rtl w:val="true"/>
        </w:rPr>
        <w:t>الثالثة لو اشتركت في قتله امرأتان</w:t>
      </w:r>
      <w:bookmarkEnd w:id="13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اشتركت في قتله أي قتل الحرّ المسلم امرأتان </w:t>
      </w:r>
    </w:p>
    <w:p>
      <w:pPr>
        <w:pStyle w:val="BookText"/>
        <w:rPr/>
      </w:pPr>
      <w:r>
        <w:rPr>
          <w:rFonts w:ascii="Amiri" w:hAnsi="Amiri" w:eastAsia="Amiri" w:cs="Amiri"/>
          <w:color w:val="111111"/>
          <w:sz w:val="28"/>
          <w:sz w:val="28"/>
          <w:szCs w:val="28"/>
          <w:rtl w:val="true"/>
          <w:lang w:bidi="ar-SA"/>
        </w:rPr>
        <w:t>قتلتا به و لا ردّ هنا إذ لا فاضل لهما عن ديته،بناءً على أنّ المرأة نصف الرجل و ديتها نصف ديته،كما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امرأتين قتلتا رجلاً عمداً،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تقتلان به،ما يختلف في هذا أحد</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 للولي قتلهما كذا له قتل إحداهما،و تردّ الأُخرى ما قابل جنايتها و هو ديتها على الولي،و لا شيء للمقتولة أصلاً؛ لاستيفائها بجنايتها بدل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 أي النساء المشتركات في القتل أكثر من امرأتين ردّ الوليّ عليهنّ الفاضل عن ديته إن قتلهنّ جُمع،فإن كنّ ثلاثاً و قتلهنّ ردّ عليهنّ دية امرأة بينهنّ بالسوية،أو أربعاً فدية امرأتين كذلك، و هكذا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قتل بعضاً منهنّ ردّ البعض الآخر ما فضل عن جنايتها، فلو اختار في الثلاث قتل اثنتين ردّت الباقية ثلث ديته بين المقتولتين بالسوية؛ لأنّ ذلك هو الفاضل لهما عن جنايتهما،و هو ثلث ديتهما،أو قتل واحدة ردّت الباقيتان على المقتولة ثلث ديتها،و على الوليّ نصف دية الرجل؛ لأنّ جنايتهما توازي ثلثي دية الرجل،و أولياؤه قد استوفوا بقتل الواحدة نصفها،بقي لهم النصف الآخر يستوفونها من الباقيتين،و كلّ منهنّ إنّما جنت الثلث،فزادت دية كلٍّ على جنايتها بقدر ثلث ديتها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اشترك في قتله رجل و امرأة حرّان فللوليّ قتلهما بعد أن يردّ فاضل دية صاحبه،و هو نصفها إجماعاً؛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الرجل بالردّ وفاقاً للنهاية و القاضي و الحلّي </w:t>
      </w:r>
      <w:r>
        <w:rPr>
          <w:rStyle w:val="FootnoteAnchor"/>
          <w:rtl w:val="true"/>
        </w:rPr>
        <w:footnoteReference w:id="996"/>
      </w:r>
      <w:r>
        <w:rPr>
          <w:rFonts w:ascii="Amiri" w:hAnsi="Amiri" w:eastAsia="Amiri" w:cs="Amiri"/>
          <w:color w:val="111111"/>
          <w:sz w:val="28"/>
          <w:sz w:val="28"/>
          <w:szCs w:val="28"/>
          <w:rtl w:val="true"/>
          <w:lang w:bidi="ar-SA"/>
        </w:rPr>
        <w:t xml:space="preserve">و عامة المتأخّرين،و عزاه شيخنا في المسالك </w:t>
      </w:r>
      <w:r>
        <w:rPr>
          <w:rStyle w:val="FootnoteAnchor"/>
          <w:rtl w:val="true"/>
        </w:rPr>
        <w:footnoteReference w:id="997"/>
      </w:r>
      <w:r>
        <w:rPr>
          <w:rFonts w:ascii="Amiri" w:hAnsi="Amiri" w:eastAsia="Amiri" w:cs="Amiri"/>
          <w:color w:val="111111"/>
          <w:sz w:val="28"/>
          <w:sz w:val="28"/>
          <w:szCs w:val="28"/>
          <w:rtl w:val="true"/>
          <w:lang w:bidi="ar-SA"/>
        </w:rPr>
        <w:t xml:space="preserve">إلى الأكثر،و في الروضة </w:t>
      </w:r>
      <w:r>
        <w:rPr>
          <w:rStyle w:val="FootnoteAnchor"/>
          <w:rtl w:val="true"/>
        </w:rPr>
        <w:footnoteReference w:id="998"/>
      </w:r>
      <w:r>
        <w:rPr>
          <w:rFonts w:ascii="Amiri" w:hAnsi="Amiri" w:eastAsia="Amiri" w:cs="Amiri"/>
          <w:color w:val="111111"/>
          <w:sz w:val="28"/>
          <w:sz w:val="28"/>
          <w:szCs w:val="28"/>
          <w:rtl w:val="true"/>
          <w:lang w:bidi="ar-SA"/>
        </w:rPr>
        <w:t>إلى المشهور؛ استناداً إلى أنّهما نفسان جنتا على نفس واحدة،فكان على كل واحد نصف الدية،و مع قتلهما فالفاضل للرجل خاصّة؛ لأنّ القدر المستوفى منه أكثر قيمة من جنايته بقدر ضعفه،و المستوفى من المرأة بقدر جنايتها،فلا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المفيد </w:t>
      </w:r>
      <w:r>
        <w:rPr>
          <w:rStyle w:val="FootnoteAnchor"/>
          <w:rtl w:val="true"/>
        </w:rPr>
        <w:footnoteReference w:id="999"/>
      </w:r>
      <w:r>
        <w:rPr>
          <w:rFonts w:ascii="Amiri" w:hAnsi="Amiri" w:eastAsia="Amiri" w:cs="Amiri"/>
          <w:color w:val="111111"/>
          <w:sz w:val="28"/>
          <w:sz w:val="28"/>
          <w:szCs w:val="28"/>
          <w:rtl w:val="true"/>
          <w:lang w:bidi="ar-SA"/>
        </w:rPr>
        <w:t>رحمه اللّه خاصّة،حيث جعل الردّ بين الرجل و المرأة أثلاثاً للرجل ثلثان،و للمرأة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غير واضح،عدا ما يتخيل له من أنّ جناية الرجل ضعف جناية المرأة؛ لأنّ الجاني نفس و نصف نفس جنت على نفس،فتكون الجناية بينهما أثلاثاً بحسب ذلك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بعد ما عرفت ظاهر،مع ظهور الصحيح في خلافه،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لم يدرك و امرأة قتلا رجلاً خطأً،فقال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خطأ المرأة و الغلام عمد،فإن أحبّ أولياء المقتول أن يقتلوهما قتلوهما و ردّوا على أولياء الغلام خمسة آلاف درهم،و إن أحبّوا أن يقتلوا الغلام قتلوه و تردّ المرأة على أولياء الغلام ربع الدية،و إن أحبّ أولياء المقتول أن يقتلوا </w:t>
      </w:r>
      <w:bookmarkStart w:id="135" w:name="pg11409_90787"/>
    </w:p>
    <w:p>
      <w:pPr>
        <w:pStyle w:val="BookText"/>
        <w:rPr/>
      </w:pPr>
      <w:bookmarkEnd w:id="135"/>
      <w:r>
        <w:rPr>
          <w:rFonts w:ascii="Amiri" w:hAnsi="Amiri" w:eastAsia="Amiri" w:cs="Amiri"/>
          <w:color w:val="111111"/>
          <w:sz w:val="28"/>
          <w:sz w:val="28"/>
          <w:szCs w:val="28"/>
          <w:rtl w:val="true"/>
          <w:lang w:bidi="ar-SA"/>
        </w:rPr>
        <w:t>المرأة قتلوها و يردّ الغلام على أولياء المرأة ربع الدية،و إن أحبّ أولياء المقتول أن يأخذوا الدية كان على الغلام نصف الدية،و على المرأة نصف الدية</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مختلّ المتن من وجوه غير خفيّة،و لذا لم نجعله على المختار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الوليّ الرجل ردّت المرأة عليه نصف الدية </w:t>
      </w:r>
      <w:r>
        <w:rPr>
          <w:rStyle w:val="FootnoteAnchor"/>
          <w:rtl w:val="true"/>
        </w:rPr>
        <w:footnoteReference w:id="1001"/>
      </w:r>
      <w:r>
        <w:rPr>
          <w:rFonts w:ascii="Amiri" w:hAnsi="Amiri" w:eastAsia="Amiri" w:cs="Amiri"/>
          <w:color w:val="111111"/>
          <w:sz w:val="28"/>
          <w:sz w:val="28"/>
          <w:szCs w:val="28"/>
          <w:rtl w:val="true"/>
          <w:lang w:bidi="ar-SA"/>
        </w:rPr>
        <w:t>لأنّه مقدار جنايتها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المرأة خاصّة فلا ردّ لها إذ لا فاضل لها عن جنايتها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 للوليّ مطالبة الرجل الباقي بنصف الدية في مقابل جنايته،بلا خلاف في المقامين،إلّا من النهاية و القاضي </w:t>
      </w:r>
      <w:r>
        <w:rPr>
          <w:rStyle w:val="FootnoteAnchor"/>
          <w:rtl w:val="true"/>
        </w:rPr>
        <w:footnoteReference w:id="1002"/>
      </w:r>
      <w:r>
        <w:rPr>
          <w:rFonts w:ascii="Amiri" w:hAnsi="Amiri" w:eastAsia="Amiri" w:cs="Amiri"/>
          <w:color w:val="111111"/>
          <w:sz w:val="28"/>
          <w:sz w:val="28"/>
          <w:szCs w:val="28"/>
          <w:rtl w:val="true"/>
          <w:lang w:bidi="ar-SA"/>
        </w:rPr>
        <w:t>في الأوّل، فأوجبا على المرأة ردّ ربع الدية مائتين و خمسين ديناراً،و هو نصف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واضح،عدا ما يتخيّل للمفيد رحمه اللّه و قد عرفت ما فيه،مع أنّه لا يجامع حكمهما سابقاً باختصاص الردّ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الصحيحة السابقة إشارة إلى ما قالا،و لكن قد عرفت ما فيها</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102681_73709187"/>
      <w:bookmarkStart w:id="137" w:name="_Toc50"/>
      <w:bookmarkEnd w:id="136"/>
      <w:r>
        <w:rPr>
          <w:rtl w:val="true"/>
        </w:rPr>
        <w:t>الرابعة لو اشترك حرّ و عبد</w:t>
      </w:r>
      <w:bookmarkEnd w:id="1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اشترك في قتله حرّ و عبد،قال الشيخان في النهاية و المقنعة و القاضي في المهذب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أي للوليّ قتلهما </w:t>
      </w:r>
    </w:p>
    <w:p>
      <w:pPr>
        <w:pStyle w:val="BookText"/>
        <w:rPr/>
      </w:pPr>
      <w:r>
        <w:rPr>
          <w:rFonts w:ascii="Amiri" w:hAnsi="Amiri" w:eastAsia="Amiri" w:cs="Amiri"/>
          <w:color w:val="111111"/>
          <w:sz w:val="28"/>
          <w:sz w:val="28"/>
          <w:szCs w:val="28"/>
          <w:rtl w:val="true"/>
          <w:lang w:bidi="ar-SA"/>
        </w:rPr>
        <w:t xml:space="preserve">و يردّ على سيّد العبد قيمته،و له قتل الحرّ خاصّة و يردّ عليه أي على الحرّ المقتول سيّد العبد خمسة آلاف درهم،أو يسلم العبد إليهم أي إلى أولياء الحرّ الشريك في القتل أو يقتل العبد خاصّة و ليس لمولاه على شريكه الحرّ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و لا إشكال فيما ذكروه من الخيار في قتلهما معاً،أو قتل أحدهما؛ لما مضى،و نفى الخلاف عن الجميع في الغنية </w:t>
      </w:r>
      <w:r>
        <w:rPr>
          <w:rStyle w:val="FootnoteAnchor"/>
          <w:rtl w:val="true"/>
        </w:rPr>
        <w:footnoteReference w:id="1004"/>
      </w:r>
      <w:r>
        <w:rPr>
          <w:rFonts w:ascii="Amiri" w:hAnsi="Amiri" w:eastAsia="Amiri" w:cs="Amiri"/>
          <w:color w:val="111111"/>
          <w:sz w:val="28"/>
          <w:sz w:val="28"/>
          <w:szCs w:val="28"/>
          <w:rtl w:val="true"/>
          <w:lang w:bidi="ar-SA"/>
        </w:rPr>
        <w:t>هنا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فيما ذكروه في صورة قتلهما من ردّ قيمة العبد إلى سيّده خاصّة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الردّ بالسيّد مع أنّ الحرّ إنّما جنى نصف الجناية،و ردّ تمام ثمنه مع أنّه إنّما جنى نصف الجناية،فلا يستحقّ سيّده إلّا ما زاد عليه و لم يزد على دية الحرّ،و إن لم يزد قيمته عن نصف دية الحرّ فلا شيء لسيّده؛ لاستيفائه بجنايته،كما لا شيء عليه لو نقص القيمة عنه؛ إذ لا يجني الجاني على أكثر من نفسه،كما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يشكل ما ذكروه في الصورة الثانية من ردّ السيّد على الحرّ نصف الدية،فإنّه على إطلاقه لا وجه له؛ لأنّه إنّما يلزمه ذلك لو زادت قيمة العبد على نصف دية الحرّ بمثله،أمّا لو زادت عنه بما دونه فليس عليه إلّا الزيادة،كما لا شيء عليه سوى القيمة فيما لو نقصت عنه أو ساواه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ذكروه في الثالثة من أنّه ليس لمولى العبد على الحرّ شيء بالكلّيّة،فإنّه على إطلاقه أيضاً لا وجه له،بل ذلك مع عدم زيادة القيمة عن النصف،أمّا مع الزيادة عنه فيلزم الحرّ للسيّد تلك الزيادة،و للولي </w:t>
      </w:r>
    </w:p>
    <w:p>
      <w:pPr>
        <w:pStyle w:val="BookText"/>
        <w:rPr/>
      </w:pPr>
      <w:r>
        <w:rPr>
          <w:rFonts w:ascii="Amiri" w:hAnsi="Amiri" w:eastAsia="Amiri" w:cs="Amiri"/>
          <w:color w:val="111111"/>
          <w:sz w:val="28"/>
          <w:sz w:val="28"/>
          <w:szCs w:val="28"/>
          <w:rtl w:val="true"/>
          <w:lang w:bidi="ar-SA"/>
        </w:rPr>
        <w:t>ما زاد عليها إلى نصف الدية،يعني تتمّته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وجه الإشكال أيضاً فيما أطلقه الحلبي و الحلّي </w:t>
      </w:r>
      <w:r>
        <w:rPr>
          <w:rStyle w:val="FootnoteAnchor"/>
          <w:rtl w:val="true"/>
        </w:rPr>
        <w:footnoteReference w:id="1006"/>
      </w:r>
      <w:r>
        <w:rPr>
          <w:rFonts w:ascii="Amiri" w:hAnsi="Amiri" w:eastAsia="Amiri" w:cs="Amiri"/>
          <w:color w:val="111111"/>
          <w:sz w:val="28"/>
          <w:sz w:val="28"/>
          <w:szCs w:val="28"/>
          <w:rtl w:val="true"/>
          <w:lang w:bidi="ar-SA"/>
        </w:rPr>
        <w:t>في الصورة الاُولى من ردّ قيمة العبد على السيّد و ورثة الحرّ،و في الثانية من ردّ السيّد على ورثة الحرّ نصف ديته،و في الثالثة من ردّ الحرّ نصف قيمة العبد على سيّده،إلّا أن يبني قولهما على فرضهما بلوغ القيمة تمام الدية من دون 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الحقّ الذي يقتضيه قواعد الأصحاب في الجنايات،و عليه عمل أكثرهم،بل جميع المتأخرين على الظاهر،المصرّح به في المسالك </w:t>
      </w:r>
      <w:r>
        <w:rPr>
          <w:rStyle w:val="FootnoteAnchor"/>
          <w:rtl w:val="true"/>
        </w:rPr>
        <w:footnoteReference w:id="1007"/>
      </w:r>
      <w:r>
        <w:rPr>
          <w:rFonts w:ascii="Amiri" w:hAnsi="Amiri" w:eastAsia="Amiri" w:cs="Amiri"/>
          <w:color w:val="111111"/>
          <w:sz w:val="28"/>
          <w:sz w:val="28"/>
          <w:szCs w:val="28"/>
          <w:rtl w:val="true"/>
          <w:lang w:bidi="ar-SA"/>
        </w:rPr>
        <w:t>أنّ نصف الجناية على الحرّ،و نصفها على العبد بمقتضى الشركة فلو قتلهما الوليّ ردّ على الحرّ نصف ديته لأنّه الفاضل عن جنايته و على مولى العبد ما فضل من قيمته عن نصف الدية إن كان له فضل،ما لم يتجاوز دية الحرّ،فيردّ إليها،و إن لم يكن له فضل فلا شيء للمولى،و لا عليه إن 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الحرّ يردّ مولى العبد عليه أي على الحرّ الشريك في القتل نصف الدية بل أقلّ الأمرين منه و من القيمة؛ لأنّ الأقل إن كان هو الأوّل فلا يلزم الجاني سواه،و إن كان الثاني فلا يجني الجاني على أكثر من نفسه،و يلزم الوليّ هنا كمال نصف الدية لأولياء الحرّ،و لا يلزم على المولى،بل عليه أقل الأمرين خاصّة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دفع العبد إليهم يسترقّونه،و ليس لهم قتله إجماعاً كما في </w:t>
      </w:r>
    </w:p>
    <w:p>
      <w:pPr>
        <w:pStyle w:val="BookText"/>
        <w:rPr/>
      </w:pPr>
      <w:r>
        <w:rPr>
          <w:rFonts w:ascii="Amiri" w:hAnsi="Amiri" w:eastAsia="Amiri" w:cs="Amiri"/>
          <w:color w:val="111111"/>
          <w:sz w:val="28"/>
          <w:sz w:val="28"/>
          <w:szCs w:val="28"/>
          <w:rtl w:val="true"/>
          <w:lang w:bidi="ar-SA"/>
        </w:rPr>
        <w:t>الغنية،و ليس فيه شبهة،و يختصّون بالعبد ما لم تزد قيمته عن النصف و إلّا فتكون الزيادة للمولى و يكون معهم شريكاً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العبد ردّ شريكه الحرّ على المولى ما فضل عن نصف الدية،إن كان في قيمة العبد فضل عن جنايته،بأن تجاوزت قيمته نصف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استوعب قيمته الدية فله جميع المردود من الحرّ،و إن كانت أقلّ فالزائد من المردود عن قيمته بعد حطّ مقابل جنايته لوليّ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فيها فضل،بأن كانت نصف دية الحرّ أو أنقص ردّ الحرّ عوض جنايته و هو نصف الدية على الوليّ إن شاء،و إلّا قتله الوليّ إن لم يعف عنه،و ردّ عليه 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هذه القواعد المقتضية لهذا التفصيل يظهر ممّا مضى و يأتي من الكلام في جناية العبد على الحرّ و ديته،و ربما يشير إليه و لو في الجملة الصحيح الآتي في المسألة الآتية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و حرّ قتلا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قتل الحرّ،و إن شاء قتل العبد،فإن اختار قتل الحرّ ضرب جنبي العبد</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فمع ضعف سنده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يدل على أنّه لا يجب على مولاه أن يردّ على ورثة الحرّ نصف الدية أو يسلّم العبد إليهم؛ لأنّه لو كان حرّا لكان عليه ذلك، على ما بيّناه،فحكم العبد حكمه على السواء،و إنّما يجب مع ذلك التعزير كما يجب على الأحرار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قتلت امرأة حرّة و عبد على الشركة رجلاً حرّا فعلى كل واحد منهما نصف الدية لاشتراكهما في الجناية،و للوليّ الخيار في قتلهما معاً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قتلهما أو قتل العبد خاصّة فلا ردّ على المرأة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فإن كانت قيمته بقدر جنايته فلا ردّ على مولاه أيضاً فإن زادت قيمته عن جنايته ردّت المرأة أو الولي على مولاه الزيادة ما لم تزد على الدية فتردّ إليها،و لو قصرت الزيادة عنها ردّت المتمّم لها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المرأة خاصّة ردّ السيّد على الوليّ نصف الدية إن بلغته قيمة العبد،و إلّا فلا شيء عليه له سوى القيمة،أو دفع العبد إليهم يسترقّونه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هذه المسألة بعين ما مرّ في سابقتها من القواعد المقررة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الصحيح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 عبد قتلا رجلاً خطأً،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خطأ المرأة و العبد مثل العمد،فإن أحبّ أولياء المقتول أن يقتلوهما قتلوهما،فإن كانت قيمة العبد أكثر من خمسة آلاف درهم، فليردّوا على سيّد العبد ما يفضل بعد الخمسة آلاف درهم،و إن أحبّوا أن يقتلوا المرأة و يأخذوا العبد أخذوا،إلّا أن تكون قيمته أكثر من خمسة آلاف درهم،فليردّوا على مولى العبد ما يفضل بعد الخمسة آلاف درهم و يأخذوا العبد أو يفتديه سيّده،و إن كانت قيمة العبد أقلّ من خمسة آلاف درهم فليس لهم إلّا العبد</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138" w:name="pg11409_90792"/>
    </w:p>
    <w:p>
      <w:pPr>
        <w:pStyle w:val="Heading4"/>
        <w:numPr>
          <w:ilvl w:val="3"/>
          <w:numId w:val="1"/>
        </w:numPr>
        <w:rPr/>
      </w:pPr>
      <w:bookmarkStart w:id="139" w:name="__RefHeading___Toc1102683_73709187"/>
      <w:bookmarkStart w:id="140" w:name="_Toc51"/>
      <w:bookmarkEnd w:id="138"/>
      <w:bookmarkEnd w:id="139"/>
      <w:r>
        <w:rPr>
          <w:rtl w:val="true"/>
        </w:rPr>
        <w:t>القول</w:t>
      </w:r>
      <w:r>
        <w:rPr>
          <w:rtl w:val="true"/>
        </w:rPr>
        <w:t>:</w:t>
      </w:r>
      <w:r>
        <w:rPr>
          <w:rtl w:val="true"/>
        </w:rPr>
        <w:t>في الشرائط المعتبرة في القصاص</w:t>
      </w:r>
      <w:bookmarkEnd w:id="140"/>
    </w:p>
    <w:p>
      <w:pPr>
        <w:pStyle w:val="Heading5"/>
        <w:numPr>
          <w:ilvl w:val="4"/>
          <w:numId w:val="1"/>
        </w:numPr>
        <w:rPr/>
      </w:pPr>
      <w:bookmarkStart w:id="141" w:name="__RefHeading___Toc1102685_73709187"/>
      <w:bookmarkStart w:id="142" w:name="_Toc52"/>
      <w:bookmarkEnd w:id="141"/>
      <w:r>
        <w:rPr>
          <w:rtl w:val="true"/>
        </w:rPr>
        <w:t>الأوّل الحرّية</w:t>
      </w:r>
      <w:bookmarkEnd w:id="142"/>
    </w:p>
    <w:p>
      <w:pPr>
        <w:pStyle w:val="Heading6"/>
        <w:numPr>
          <w:ilvl w:val="5"/>
          <w:numId w:val="1"/>
        </w:numPr>
        <w:rPr/>
      </w:pPr>
      <w:bookmarkStart w:id="143" w:name="__RefHeading___Toc1102687_73709187"/>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الشرائط المعتبرة في القصاص،و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 و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لا يقتل الحرّ بالعبد،بل يقتل بالحرّ مثله،كما في نصّ الكتاب اَلْحُرُّ بِالْحُرِّ وَ الْعَبْدُ بِالْعَبْدِ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و لا ردّ إجماعاً،و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يقتل بالحرة لكن مع الردّ من وليّها عليه نصف ديته؛ لأنّ ديته ضعف ديتها؛ و للصحاح المستفيضة و غيرها،الآتي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تقتل الحرّة بالحرّة إجماعاً،و لا ردّ كما في نظيره و بالحرّ إجماعاً،و لتلك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امرأته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أهلها أن يقتلوه قتلوه و يؤدّوا إلى أهله نصف الدية، و إن شاؤوا أخذوا نصف الدية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قتلت زوجها متعمّدة،قال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أهله أن يقتلوها قتلوها،و ليس يجني أحد أكثر من جنايته على نفسه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يقتل المرأة متعمّداً فأراد أهل المرأة أن يقتلوه،قال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لهم إذا أدّوا إلى أهله نصف الدية،و إن قبلوا الدية فلهم نصف دية الرجل،و إن قتلت المرأة الرجل قتلت به،ليس لهم إلّا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نحوهما أخبار كثيرة هي ما بين صحيحة و معتبرة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يؤخذ منها أي من الحرّة في الفرض الأخير الفضل من دية الرجل الذي قتلت به،و هو نصف ديته،كما يتوهّم من كون ديتها نصف ديته،و يوجد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قتلت رجلاً،قال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تقتل،و يؤدّي وليّها بقية المال</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الأصحّ أنّه لا يؤخذ منها؛ للأصل،و قوله تعالى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 للتصريح به في تلك الصحاح المستفيضة و غيرها من المعتبرة،معلّلة بأنّ الجاني لا يجني 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المخالفة مع وحدتها،و قصور سندها محتملة للتقية،كما صرّح به بعض الأجلة </w:t>
      </w:r>
      <w:r>
        <w:rPr>
          <w:rStyle w:val="FootnoteAnchor"/>
          <w:rtl w:val="true"/>
        </w:rPr>
        <w:footnoteReference w:id="1017"/>
      </w:r>
      <w:r>
        <w:rPr>
          <w:rFonts w:ascii="Amiri" w:hAnsi="Amiri" w:eastAsia="Amiri" w:cs="Amiri"/>
          <w:color w:val="111111"/>
          <w:sz w:val="28"/>
          <w:sz w:val="28"/>
          <w:szCs w:val="28"/>
          <w:rtl w:val="true"/>
          <w:lang w:bidi="ar-SA"/>
        </w:rPr>
        <w:t xml:space="preserve">،شاذّة،كما صرّح به الشيخ و جماعة كالشهيدين و غيرهما </w:t>
      </w:r>
      <w:r>
        <w:rPr>
          <w:rStyle w:val="FootnoteAnchor"/>
          <w:rtl w:val="true"/>
        </w:rPr>
        <w:footnoteReference w:id="1018"/>
      </w:r>
      <w:r>
        <w:rPr>
          <w:rFonts w:ascii="Amiri" w:hAnsi="Amiri" w:eastAsia="Amiri" w:cs="Amiri"/>
          <w:color w:val="111111"/>
          <w:sz w:val="28"/>
          <w:sz w:val="28"/>
          <w:szCs w:val="28"/>
          <w:rtl w:val="true"/>
          <w:lang w:bidi="ar-SA"/>
        </w:rPr>
        <w:t>،و احتمل أوّلهما دعوى الإجماع على خلافها،و ذكر ثانيهما و بعض من تبعه أنّه لا نعلم قائلاً من الأصحاب بمضمونها،و إن كان قول المصنف و كلام غيره يشعر بالخلاف،و احتمل التابع و غيره كون الإشارة إلى الخلاف للرواية لا للقول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،إلّا أنّه يحكى عن الراوندي </w:t>
      </w:r>
      <w:r>
        <w:rPr>
          <w:rStyle w:val="FootnoteAnchor"/>
          <w:rtl w:val="true"/>
        </w:rPr>
        <w:footnoteReference w:id="1019"/>
      </w:r>
      <w:r>
        <w:rPr>
          <w:rFonts w:ascii="Amiri" w:hAnsi="Amiri" w:eastAsia="Amiri" w:cs="Amiri"/>
          <w:color w:val="111111"/>
          <w:sz w:val="28"/>
          <w:sz w:val="28"/>
          <w:szCs w:val="28"/>
          <w:rtl w:val="true"/>
          <w:lang w:bidi="ar-SA"/>
        </w:rPr>
        <w:t xml:space="preserve">حمل الرواية على يسار </w:t>
      </w:r>
    </w:p>
    <w:p>
      <w:pPr>
        <w:pStyle w:val="BookText"/>
        <w:rPr/>
      </w:pPr>
      <w:r>
        <w:rPr>
          <w:rFonts w:ascii="Amiri" w:hAnsi="Amiri" w:eastAsia="Amiri" w:cs="Amiri"/>
          <w:color w:val="111111"/>
          <w:sz w:val="28"/>
          <w:sz w:val="28"/>
          <w:szCs w:val="28"/>
          <w:rtl w:val="true"/>
          <w:lang w:bidi="ar-SA"/>
        </w:rPr>
        <w:t>المرأة،و الصحاح على إعسارها؛ جمعاً،و ظاهره المخالفة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تعالى اَلْحُرُّ بِالْحُرِّ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اَلْأُنْثى بِالْأُنْثى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ناسخ لقوله تعالى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21"/>
      </w:r>
      <w:r>
        <w:rPr>
          <w:rStyle w:val="FootnoteAnchor"/>
          <w:rtl w:val="true"/>
        </w:rPr>
        <w:footnoteReference w:id="1022"/>
      </w:r>
      <w:r>
        <w:rPr>
          <w:rFonts w:ascii="Amiri" w:hAnsi="Amiri" w:eastAsia="Amiri" w:cs="Amiri"/>
          <w:color w:val="111111"/>
          <w:sz w:val="28"/>
          <w:sz w:val="28"/>
          <w:szCs w:val="28"/>
          <w:rtl w:val="true"/>
          <w:lang w:bidi="ar-SA"/>
        </w:rPr>
        <w:t>و ظاهره أنه لا يكتفى بالاقتصاص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المروي في الوسائل عن المرتضى في رسالته المحكم و المتشابه،بإسناده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الناسخ ما كان مثبتاً في التوراة من الفرائض في القصاص،و هو قوله تعالى وَ كَتَبْنا عَلَيْهِمْ فِيها أَنَّ النَّفْسَ بِالنَّفْسِ وَ الْعَيْنَ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الآية،فكان الذكر و الأُنثى و الحرّ و العبد شرعاً،فنسخ اللّه تعالى ما في التوراة بقوله تعالى كُتِبَ عَلَيْكُمُ الْقِصاصُ فِي الْقَتْلى الْحُرُّ بِالْحُرِّ وَ الْعَبْدُ بِالْعَبْدِ وَ الْأُنْثى بِالْأُنْثى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هذه الآية وَ كَتَبْنا عَلَيْهِمْ فِيها أَنَّ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بالنسخ في الرواية التخصيص لا معناه المعروف؛ جمعاً بينها و بين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حسن،و إلّا فطرح الرواية الأُولى متعيّن؛ للإجماع على جواز </w:t>
      </w:r>
    </w:p>
    <w:p>
      <w:pPr>
        <w:pStyle w:val="BookText"/>
        <w:rPr/>
      </w:pPr>
      <w:r>
        <w:rPr>
          <w:rFonts w:ascii="Amiri" w:hAnsi="Amiri" w:eastAsia="Amiri" w:cs="Amiri"/>
          <w:color w:val="111111"/>
          <w:sz w:val="28"/>
          <w:sz w:val="28"/>
          <w:szCs w:val="28"/>
          <w:rtl w:val="true"/>
          <w:lang w:bidi="ar-SA"/>
        </w:rPr>
        <w:t xml:space="preserve">الاقتصاص من الذكر بالأُنثى و بالعكس على الظاهر،المصرّح به في كنز العرفان و غيره </w:t>
      </w:r>
      <w:r>
        <w:rPr>
          <w:rStyle w:val="FootnoteAnchor"/>
          <w:rtl w:val="true"/>
        </w:rPr>
        <w:footnoteReference w:id="1026"/>
      </w:r>
      <w:r>
        <w:rPr>
          <w:rFonts w:ascii="Amiri" w:hAnsi="Amiri" w:eastAsia="Amiri" w:cs="Amiri"/>
          <w:color w:val="111111"/>
          <w:sz w:val="28"/>
          <w:sz w:val="28"/>
          <w:szCs w:val="28"/>
          <w:rtl w:val="true"/>
          <w:lang w:bidi="ar-SA"/>
        </w:rPr>
        <w:t>،و الاختلاف في الثاني في أخذ الفاضل منها على تقديره لا ينافيه،فإنّه أمر آخر،هذا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الكنز في النسخ قولاً بالعكس،فقال في تفسير قوله تعالى اَلْحُرُّ بِالْحُرِّ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منسوخ بقوله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حكاية ما في التوراة،فلا ينسخ القرآن، 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فلأصالة عدم النسخ؛ إذ لا منافاة بينهما،و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قوله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عامّ،و هذا خاصّ،و قد تقرّر في الأُصول بناء العام على الخاص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تتساوى المرأة و الرجل في الجراح قصاصاً و ديةً،حتى تبلغ ثلث دية الحرّ أو تتجاوزه على الاختلاف فينتصف بعد ذلك ديتها و يقتصّ لها منه مع ردّ التفاوت عليه و له منها،و لا ردّ عليها مطلقاً،كما في قصاص النفس قد مضى،بلا خلاف في شيء من ذلك أجده،إلّا ما 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البلوغ إلى الثلث مذهب المشهور على الظاهر،المصرّح به في جملة من العبائر </w:t>
      </w:r>
      <w:r>
        <w:rPr>
          <w:rStyle w:val="FootnoteAnchor"/>
          <w:rtl w:val="true"/>
        </w:rPr>
        <w:footnoteReference w:id="1028"/>
      </w:r>
      <w:r>
        <w:rPr>
          <w:rFonts w:ascii="IRNazanin" w:hAnsi="IRNazanin" w:eastAsia="IRNazanin"/>
          <w:color w:val="111111"/>
          <w:sz w:val="28"/>
          <w:sz w:val="28"/>
          <w:szCs w:val="28"/>
          <w:rtl w:val="true"/>
          <w:lang w:bidi="fa-IR"/>
        </w:rPr>
        <w:t xml:space="preserve">،بل و عن الخلاف </w:t>
      </w:r>
      <w:r>
        <w:rPr>
          <w:rStyle w:val="FootnoteAnchor"/>
          <w:rtl w:val="true"/>
        </w:rPr>
        <w:footnoteReference w:id="1029"/>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و غيرها من المعتبرة،ففي الصحيح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رجل قطع إصبعاً من أصابع المرأة،كم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من </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ثلاثاً فيكون عليه ثلاثون و يقطع أربعاً فيكون عليه عشرون،هذا كان يبلغنا و نحن بالعراق فنبرأ ممّن قاله،و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به شيطان،فقال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 هذا حكم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تعاقل الرجل إلى ثلث الدية،و إذا بلغت الثلث رجعت إلى النصف،يا أبان إنّك أخذتني بالقياس،و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بينها و بين الرجل قصاص؟قال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الجراحات حتى تبلغ الثلث سواء،فإذا بلغت الثلث ارتفع الرجل و سفلت المرأة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للنهاية و السرائر و الإرشاد </w:t>
      </w:r>
      <w:r>
        <w:rPr>
          <w:rStyle w:val="FootnoteAnchor"/>
          <w:rtl w:val="true"/>
        </w:rPr>
        <w:footnoteReference w:id="1032"/>
      </w:r>
      <w:r>
        <w:rPr>
          <w:rFonts w:ascii="Amiri" w:hAnsi="Amiri" w:eastAsia="Amiri" w:cs="Amiri"/>
          <w:color w:val="111111"/>
          <w:sz w:val="28"/>
          <w:sz w:val="28"/>
          <w:szCs w:val="28"/>
          <w:rtl w:val="true"/>
          <w:lang w:bidi="ar-SA"/>
        </w:rPr>
        <w:t>،فاعتبروا التجاوز؛ للنصوص،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 النساء في القصاص السنّ بالسنّ،و الشجّة بالشجّة،و الإصبع بالإصبع سواء حتى تبلغ الجراحات ثلث الدية،فإذا جازت الثلث صيرت دية الرجال في الجراحات ثلثي الدية،و دية النساء ثلث الدية</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إصبع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إصبعه حتى ينتهي </w:t>
      </w:r>
    </w:p>
    <w:p>
      <w:pPr>
        <w:pStyle w:val="BookText"/>
        <w:rPr/>
      </w:pPr>
      <w:r>
        <w:rPr>
          <w:rFonts w:ascii="Amiri" w:hAnsi="Amiri" w:eastAsia="Amiri" w:cs="Amiri"/>
          <w:color w:val="111111"/>
          <w:sz w:val="28"/>
          <w:sz w:val="28"/>
          <w:szCs w:val="28"/>
          <w:rtl w:val="true"/>
          <w:lang w:bidi="ar-SA"/>
        </w:rPr>
        <w:t>إلى ثلث دية المرأة،فإذا جاز الثلث أُضعف الرجل</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قصور سند جملة منها،و عدم مكافأتها لما مضى من وجوه شتّى غير واضحة الدلالة إلّا من حيث مفهوم اشتراط الجواز في الذيل،و هو معارض بمفهوم الغاية في الصدر،و الجمع بينهما كما يمكن بصرف مفهوم الغاية إلى الشرط كذا يمكن بالعكس،فلا يمكن الاستدلال بها إلا مع المرجّح،المفقود في المقام،إن لم نقل بوجوده على الخلاف من جهة الشهرة،و الصحاح المستفيضة،و حكاية الإجماع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فدلالة النصوص على خلافها غير واضحة؛ لتعارض المفهومين فيها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وجه التردّد في نسبة الخلاف إلى النهاية،حيث اشتركت مع النصوص في العلّة التي نشأ منها عدم وضوح الدلالة،حيث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تتساوى جراحهما ما لم تتجاوز ثلث الدية،فإذا بلغت ثلث الدية نقصت المرأة و زيد الرجل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عبارة الفاضل في الإرشاد،حيث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يقتصّ للرجل من المرأة و بالعكس،و لا ردّ ما لم يتجاوز ثلث الدية،فينتصف المرأة، و كذا يتساويان في الدية ما لم تبلغ الثلث،فينتصف المرأة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شهرة نسبة الخلاف إلى النهاية لكدت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المسألة،و إنّ التعبير بالتجاوز عن الثلث إنّما وقع مسامحةً،أو نظراً إلى كون </w:t>
      </w:r>
    </w:p>
    <w:p>
      <w:pPr>
        <w:pStyle w:val="BookText"/>
        <w:rPr/>
      </w:pPr>
      <w:r>
        <w:rPr>
          <w:rFonts w:ascii="Amiri" w:hAnsi="Amiri" w:eastAsia="Amiri" w:cs="Amiri"/>
          <w:color w:val="111111"/>
          <w:sz w:val="28"/>
          <w:sz w:val="28"/>
          <w:szCs w:val="28"/>
          <w:rtl w:val="true"/>
          <w:lang w:bidi="ar-SA"/>
        </w:rPr>
        <w:t>البلوغ إلى الثلث من دون زيادة و نقيصة من الأفراد النادرة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فلو قطع أربعاً من أصابعها لم يقطع منه الأربع إلّا بعد ردّ دية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لها القصاص في إصبعين من دون ردّ؟وجهان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 قطع إصبعين ذلك،فالزائد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 الدالّ على أنّه ليس لها الاقتصاص له في الجناية الخاصّة إلّا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الإشكال لو طلبت القصاص في الثلاث و العفو في الرابعة، و عدم إجابتها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القطع بضربة واحدة،و لو كان بأزيد من ضربة ثبت لها دية الأربع،أو القصاص في الجميع من غير ردّ؛ لثبوت الحكم السابق، فيستصحب،و كذا حكم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يقتل العبد بالعبد كما في صريح الكتاب و السنّة،و بالأمة و الأمة بالأمة و بالعبد بلا خلاف؛ لإطلاق اَلنَّفْسَ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التساوي في القيمة،فلا يقتصّ من الجاني مع زيادة قيمته إلّا بعد ردّ الزيادة،أم لا يشترط،كما هو ظاهر إطلاق الأدلّة و العبارة و نحوها من عبائر الجماعة؟احتمالان،بل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w:t>
      </w:r>
      <w:r>
        <w:rPr>
          <w:rStyle w:val="FootnoteAnchor"/>
          <w:rtl w:val="true"/>
        </w:rPr>
        <w:footnoteReference w:id="1037"/>
      </w:r>
      <w:r>
        <w:rPr>
          <w:rFonts w:ascii="Amiri" w:hAnsi="Amiri" w:eastAsia="Amiri" w:cs="Amiri"/>
          <w:color w:val="111111"/>
          <w:sz w:val="28"/>
          <w:sz w:val="28"/>
          <w:szCs w:val="28"/>
          <w:rtl w:val="true"/>
          <w:lang w:bidi="ar-SA"/>
        </w:rPr>
        <w:t>،من الإطلاق، و من أنّ ضمان المملوك يراعى فيه المالية،فلا يستوفي الزائد بالناقص،بل بالمساوي،و ثبوت ردّ الزائد من هذا الوجه لا ينافي الإطلاق بالقصاص؛ لصدقه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قوّى هذا في المسالك </w:t>
      </w:r>
      <w:r>
        <w:rPr>
          <w:rStyle w:val="FootnoteAnchor"/>
          <w:rtl w:val="true"/>
        </w:rPr>
        <w:footnoteReference w:id="1038"/>
      </w:r>
      <w:r>
        <w:rPr>
          <w:rFonts w:ascii="Amiri" w:hAnsi="Amiri" w:eastAsia="Amiri" w:cs="Amiri"/>
          <w:color w:val="111111"/>
          <w:sz w:val="28"/>
          <w:sz w:val="28"/>
          <w:szCs w:val="28"/>
          <w:rtl w:val="true"/>
          <w:lang w:bidi="ar-SA"/>
        </w:rPr>
        <w:t xml:space="preserve">،و حكي السابق عن صريح ابن حمزة </w:t>
      </w:r>
      <w:r>
        <w:rPr>
          <w:rStyle w:val="FootnoteAnchor"/>
          <w:rtl w:val="true"/>
        </w:rPr>
        <w:footnoteReference w:id="1039"/>
      </w:r>
      <w:r>
        <w:rPr>
          <w:rFonts w:ascii="Amiri" w:hAnsi="Amiri" w:eastAsia="Amiri" w:cs="Amiri"/>
          <w:color w:val="111111"/>
          <w:sz w:val="28"/>
          <w:sz w:val="28"/>
          <w:szCs w:val="28"/>
          <w:rtl w:val="true"/>
          <w:lang w:bidi="ar-SA"/>
        </w:rPr>
        <w:t xml:space="preserve">، و ربما يميل إليه الفاضل في التحرير </w:t>
      </w:r>
      <w:r>
        <w:rPr>
          <w:rStyle w:val="FootnoteAnchor"/>
          <w:rtl w:val="true"/>
        </w:rPr>
        <w:footnoteReference w:id="1040"/>
      </w:r>
      <w:r>
        <w:rPr>
          <w:rFonts w:ascii="Amiri" w:hAnsi="Amiri" w:eastAsia="Amiri" w:cs="Amiri"/>
          <w:color w:val="111111"/>
          <w:sz w:val="28"/>
          <w:sz w:val="28"/>
          <w:szCs w:val="28"/>
          <w:rtl w:val="true"/>
          <w:lang w:bidi="ar-SA"/>
        </w:rPr>
        <w:t xml:space="preserve">،حيث نسب إطلاق القصاص مع عدم اعتبار الردّ إلى الأصحاب،و ظاهر الشهيدين في اللمعتين </w:t>
      </w:r>
      <w:r>
        <w:rPr>
          <w:rStyle w:val="FootnoteAnchor"/>
          <w:rtl w:val="true"/>
        </w:rPr>
        <w:footnoteReference w:id="1041"/>
      </w:r>
      <w:r>
        <w:rPr>
          <w:rFonts w:ascii="IRNazanin" w:hAnsi="IRNazanin" w:eastAsia="IRNazanin"/>
          <w:color w:val="111111"/>
          <w:sz w:val="28"/>
          <w:sz w:val="28"/>
          <w:szCs w:val="28"/>
          <w:rtl w:val="true"/>
          <w:lang w:bidi="fa-IR"/>
        </w:rPr>
        <w:t xml:space="preserve">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 xml:space="preserve">) </w:t>
      </w:r>
      <w:r>
        <w:rPr>
          <w:rStyle w:val="FootnoteAnchor"/>
          <w:rtl w:val="true"/>
        </w:rPr>
        <w:footnoteReference w:id="1042"/>
      </w:r>
      <w:r>
        <w:rPr>
          <w:rFonts w:ascii="Amiri" w:hAnsi="Amiri" w:eastAsia="Amiri" w:cs="Amiri"/>
          <w:color w:val="111111"/>
          <w:sz w:val="28"/>
          <w:sz w:val="28"/>
          <w:szCs w:val="28"/>
          <w:rtl w:val="true"/>
          <w:lang w:bidi="ar-SA"/>
        </w:rPr>
        <w:t>و لكنّ القول بعدم الاشتراط أوفق بالأصل،مضافاً إلى ما سبق من إطلاق النص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يقتل الحرّ بالعبد و لا بالأمة مطلقا،و لو كان لغيره بل يلزم قيمته يوم قتل بإجماعنا،على الظاهر،المصرّح به في المسالك و الروضة و غيرهما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به مع ذلك مستفيضة،و فيها الصحاح و غيرها،ففي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حرّ بعبد،و لكن يضرب ضرباً شديداً،و يغرم ثمنه دية العبد</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الحرّ بالعبد،و إذا قتل الحرّ العبد غرم ثمنه و ضرب ضرباً شديداً</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الموثق كالصحيح </w:t>
      </w:r>
      <w:r>
        <w:rPr>
          <w:rStyle w:val="FootnoteAnchor"/>
          <w:rtl w:val="true"/>
        </w:rPr>
        <w:footnoteReference w:id="1046"/>
      </w:r>
      <w:r>
        <w:rPr>
          <w:rFonts w:ascii="Amiri" w:hAnsi="Amiri" w:eastAsia="Amiri" w:cs="Amiri"/>
          <w:color w:val="111111"/>
          <w:sz w:val="28"/>
          <w:sz w:val="28"/>
          <w:szCs w:val="28"/>
          <w:rtl w:val="true"/>
          <w:lang w:bidi="ar-SA"/>
        </w:rPr>
        <w:t xml:space="preserve">و غيره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إطلاقها بلزوم القيمة مقيّد بما إذا لا يتجاوز دية الحرّ فإنّ مع التجاوز يردّ إليها،بإجماعنا على الظاهر،المصرَّح به في كثير من العبائر؛ 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الحرّ العبد غرم قيمته و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قيمته عشرين ألف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يجاوز بقيمة عبد دية الأحرار</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اختلفا أي الحرّ الجاني و مولى العبد المجنيّ عليه في القيمة فالقول قول الجاني لأصالة عدم الزيادة؛ و كونه منكراً فيقدّم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للخبر </w:t>
      </w:r>
      <w:r>
        <w:rPr>
          <w:rStyle w:val="FootnoteAnchor"/>
          <w:rtl w:val="true"/>
        </w:rPr>
        <w:footnoteReference w:id="1049"/>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عبداً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 و لا يجاوز بقيمته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يقوّمه و هو 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لمولاه شهود أنّ قيمته يوم قتله كانت كذا و كذا أخذ بها قاتله،و إن لم يكن له شهود على ذلك كانت القيمة على من قتله مع يمينه يشهد باللّه تعالى ماله قيمة أكثر ممّا قوّمته،فإن أبى أن يحلف و ردّ اليمين على المولى،فإن حلف المولى اعطي ما حلف عليه،و لا يجاوز بقيمته عشرة آلاف</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يعزّر القاتل بما يراه الحاكم و يلزمه الكفّارة لقتل المؤمن عمداً،و هي عتق رقبة،و صيام شهرين متتابعين،و إطعام ستّين مسكيناً، بلا خلاف في شيء من ذلك،و المعتبرة بها مع ذلك مستفيضة،و قد تقدّم ما يتعلق منها بالكفّارة في كتابها،و النصوص الدالّة على التعزير قد عرفتها، مضافاً إلى ما سبق في الحدود من الدليل عليه في فعل كلّ محرّم 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العبد المجني عليه ملكه أي ملك الجاني عزّر و كفّر و لا يقتل به،كما لو كان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الجاني هنا بين كونه حرّا أو عبداً،كما يقتضيه إطلاق العبارة و غيرها من سائر الفتاوي،و به صرّح بعض أصحابنا،و لهذا يحسن تخصيصه بالذكر مع معلوميّة عدم قتل الحرّ بالعبد مطلقا،لكنّه يتّجه على القول بملكيّة العبد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التخصيص وجهاً آخر ،و هو الاتفاق على غرامة الجاني قيمة المجني عليه لو كان لغيره،و الاختلاف فيها لو كان له،فبين مفتٍ بها مع التصدّق على الفقراء كأكثر القدماء،بل لم يُرَ فيهم مخالف عدا الإسكافي </w:t>
      </w:r>
      <w:r>
        <w:rPr>
          <w:rStyle w:val="FootnoteAnchor"/>
          <w:rtl w:val="true"/>
        </w:rPr>
        <w:footnoteReference w:id="1051"/>
      </w:r>
      <w:r>
        <w:rPr>
          <w:rFonts w:ascii="Amiri" w:hAnsi="Amiri" w:eastAsia="Amiri" w:cs="Amiri"/>
          <w:color w:val="111111"/>
          <w:sz w:val="28"/>
          <w:sz w:val="28"/>
          <w:szCs w:val="28"/>
          <w:rtl w:val="true"/>
          <w:lang w:bidi="ar-SA"/>
        </w:rPr>
        <w:t>،فإنّه أورده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بالتردّد،كالماتن هنا؛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الصدقة بقيمته رواية مسمع بن عبد الملك،عن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إليه رجل عذّب عبده حتى مات،فضربه مائة نكالاً،و حبسه سنة،و غرّمه قيمة العبد و تصدّق بها عنه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ضعف لسهل الضعيف على المشهور،و محمد بن الحسن ابن شمون الغالي،و عبد اللّه بن عبد الرحمن الضعيف،مع تضمّنها الحبس بسنة،و لم نَرَ به قائلاً،و مع ذلك معارضة بظواهر المعتبرة المستفيضة التي فيها الصحاح و الموثقات و غيرها،الواردة في مقام الحاجة خالية عن ذكر التصدّق بالقيمة،و لم يذكر فيها سوى الكفّارة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عبارته في الشرائع،و عبارة الفاضل في كتبه التي وقفت عليها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يجبر جميع ذلك فتوى الأصحاب بمضمونها،سيّما نحو ابن زهرة و الحلّي </w:t>
      </w:r>
      <w:r>
        <w:rPr>
          <w:rStyle w:val="FootnoteAnchor"/>
          <w:rtl w:val="true"/>
        </w:rPr>
        <w:footnoteReference w:id="1054"/>
      </w:r>
      <w:r>
        <w:rPr>
          <w:rFonts w:ascii="Amiri" w:hAnsi="Amiri" w:eastAsia="Amiri" w:cs="Amiri"/>
          <w:color w:val="111111"/>
          <w:sz w:val="28"/>
          <w:sz w:val="28"/>
          <w:szCs w:val="28"/>
          <w:rtl w:val="true"/>
          <w:lang w:bidi="ar-SA"/>
        </w:rPr>
        <w:t>اللذين لا يعملان بالأخبار الصحيحة فضلاً عن مثل هذه الرواية،فعملهما بها أقوى قرينة على قيام قاطع لهما على العمل بها من إجماع أو غيره،و أيّهما كان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الأوّل نفي الخلاف عنها بين أصحابنا،حيث قال بعد ذكر هذا الحكم و أحكام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بين أصحابنا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مروية في الفقيه بطريقه إلى السكوني،و هو قوي، و معتضدة بالمرسل </w:t>
      </w:r>
      <w:r>
        <w:rPr>
          <w:rStyle w:val="FootnoteAnchor"/>
          <w:rtl w:val="true"/>
        </w:rPr>
        <w:footnoteReference w:id="1055"/>
      </w:r>
      <w:r>
        <w:rPr>
          <w:rFonts w:ascii="Amiri" w:hAnsi="Amiri" w:eastAsia="Amiri" w:cs="Amiri"/>
          <w:color w:val="111111"/>
          <w:sz w:val="28"/>
          <w:sz w:val="28"/>
          <w:szCs w:val="28"/>
          <w:rtl w:val="true"/>
          <w:lang w:bidi="ar-SA"/>
        </w:rPr>
        <w:t xml:space="preserve">و غيره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يضرب ضرباً وجيعاً،و يؤخذ منه قيمته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الأخذ للتصدّق؛ إجماعاً و جمعاً،هذا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الضعف بسهل سهل،و التضمّن للحبس سنة غير قادح،إمّا لعدم استلزام خروج بعض الرواية عن الحجية خروجها عنها كملاً،أو لأنّ الحبس قد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مصلحة فيكون تتمّة لتعزيره،كما جعله الضرب مائة، و لعلّه لهذا لم يقدح بهذا في الرواية أحد من أصحابنا عدا بعض متأخّري المتأخّرين </w:t>
      </w:r>
      <w:r>
        <w:rPr>
          <w:rStyle w:val="FootnoteAnchor"/>
          <w:rtl w:val="true"/>
        </w:rPr>
        <w:footnoteReference w:id="1057"/>
      </w:r>
      <w:r>
        <w:rPr>
          <w:rFonts w:ascii="Amiri" w:hAnsi="Amiri" w:eastAsia="Amiri" w:cs="Amiri"/>
          <w:color w:val="111111"/>
          <w:sz w:val="28"/>
          <w:sz w:val="28"/>
          <w:szCs w:val="28"/>
          <w:rtl w:val="true"/>
          <w:lang w:bidi="ar-SA"/>
        </w:rPr>
        <w:t>،و هو لما عرفت ضعيف،كضعف ما قدح به فيها أيضاً من عدم ظهورها في القتل عمداً،بل ظاهرها أنّه قصد الضرب خاصّة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غريب جدّاً فإنّ مضمونها صريح في ضربه حتى مات،و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القتل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فمثل هذا الضرب ممّا يقتل غالباً،بل قطعاً،فيكون قتلاً عمداً،و لو لم يكن للقتل قاصداً،كما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خلوّ الروايات البيانية عن ذلك غايته الظهور في نفيه،و هو لا يعارض الروايات الصريحة بإثباته،بل هي بالنسبة إليها كالعام بالنسبة إلى الخاصّ مقدّم عليه قطعاً،و التكافؤ المشترط في التقدّم حاصل بما عرفت من فتوى الأصحاب بمضمونها،كما هو الحال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الشهيد في النكت،فقال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المذهب قد يعرف بخبر الواحد الضعيف؛ لاشتماله على القرائن،كما يعرف مذاهب الطوائف،و قد نبّه الشيخ المحقّق على هذا في المعتبر،و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فتوى مشاهير الأصحاب </w:t>
      </w:r>
      <w:r>
        <w:rPr>
          <w:rStyle w:val="FootnoteAnchor"/>
          <w:rtl w:val="true"/>
        </w:rPr>
        <w:footnoteReference w:id="1058"/>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قال،و إن لم يرتضه كثير من الأبدال؛ لوجوه مدخولة بيّنتها مع صحة ما ذكره في رسالة مفردة في الإجماع،هذا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المعتبرة المستفيضة المتقدمة المتضمنة للصحاح و الموثقات و غيرها،الدالّة على عدم قتل الحرّ بالعبد،و أنّه يلزم الجاني بالقيمة و يعزّر، مطلقة لا تنصيص في شيء منها بكون الجاني مولى المجني عليه أم غيره، فينسحب الحكم فيها بتغريمه القيمة إلى هنا أيضاً،غاية الأمر سكوتها عن مصرفها،و حيث ثبتت القيمة بإطلاقها هنا كان مصرفها الفقراء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غفل الأصحاب عن هذه الروايات فلم يستدلّوا بها مع وضوح دلالتها على الحكم هنا بمعونة ما ذكرنا،و أظنّ الاستدلال بها من خصائص الكتاب،و الحمد للّه تعالى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عدم استدلالهم بها تخيّل اختصاصها بحكم التبادر </w:t>
      </w:r>
    </w:p>
    <w:p>
      <w:pPr>
        <w:pStyle w:val="BookText"/>
        <w:rPr/>
      </w:pPr>
      <w:r>
        <w:rPr>
          <w:rFonts w:ascii="Amiri" w:hAnsi="Amiri" w:eastAsia="Amiri" w:cs="Amiri"/>
          <w:color w:val="111111"/>
          <w:sz w:val="28"/>
          <w:sz w:val="28"/>
          <w:szCs w:val="28"/>
          <w:rtl w:val="true"/>
          <w:lang w:bidi="ar-SA"/>
        </w:rPr>
        <w:t>بالجاني غير المولى،و أثره بعد تسليمه مندفع بفتوى الأصحاب على العموم،كما اندفع بها ما توجّه على ما مرّ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عدم قتل الحرّ بالعبد مطلقاً مذهب الأكثر،على الظاهر،المصرّح به في كلام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كالشيخين و القاضي و ابن حمزة و ابن إدريس و الفاضلين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أيضاً من المتأخرين؛ تمسّكاً بظاهر الكتاب،و ما مرّ من صحاح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اعتاد الجاني ذلك أي قتل العبيد قتل به و المراد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لتعدّدها،منها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مملوكه أو مملوكته،قال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المملوك له أُدّب و حبس،إلّا أن يكون معروفاً بقتل المماليك،فيقتل به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مملوكه؟قال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غير معروف بالقتل ضرب ضرباً شديداً،و أُخذ منه قيمة العبد،فتدفع إلى بيت مال المسلمين، 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متعوّداً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للقتل قتل به</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حرّا بعبد</w:t>
      </w:r>
      <w:r>
        <w:rPr>
          <w:rFonts w:eastAsia="Amiri" w:cs="Amiri" w:ascii="Amiri" w:hAnsi="Amiri"/>
          <w:color w:val="111111"/>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بحملها على المعتاد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بمضمونها أفتى جماعة من الأصحاب،و منهم ابن زهرة نافياً </w:t>
      </w:r>
    </w:p>
    <w:p>
      <w:pPr>
        <w:pStyle w:val="BookText"/>
        <w:rPr/>
      </w:pPr>
      <w:r>
        <w:rPr>
          <w:rFonts w:ascii="Amiri" w:hAnsi="Amiri" w:eastAsia="Amiri" w:cs="Amiri"/>
          <w:color w:val="111111"/>
          <w:sz w:val="28"/>
          <w:sz w:val="28"/>
          <w:szCs w:val="28"/>
          <w:rtl w:val="true"/>
          <w:lang w:bidi="ar-SA"/>
        </w:rPr>
        <w:t>الخلاف عنه في ظاهر كلامه،قال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لفساده في الأرض لا على وجه القصاص،و كذا لو كان معتاداً لقتل أهل الذّمة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وجه حسن،و النصوص شاهدة،و لا منافاة بينها و بين ما مرّ من الأدلّة بعدم قتل الحرّ بالعبد؛ لظهورها في النفي على جهة القصاص،و نحن نقول به،و لكنّه لا ينافي ثبوته من جهة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دية الأمة المملوكة قيمتها ما لم تتجاوز دية الحرّة فتردّ إليها مطلقا،لذكرٍ كانت أم لأُنثى،كما في العبد،بلا خلاف،بل عليه الإجماع في بعض العبائر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يتجاوز بدية العبد الذمّي دية الحرّ منهم أي من أهل الذمّة و لا بدية الأمة الذمّية دية الحرّة الذمّية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العبارة يقتضي عدم الفرق في الحكم بين كون المولى مسلماً أم ذمّيا،و به صرّح المولى الأردبيلي رحمه اللّه في شرح الإرشاد </w:t>
      </w:r>
      <w:r>
        <w:rPr>
          <w:rStyle w:val="FootnoteAnchor"/>
          <w:rtl w:val="true"/>
        </w:rPr>
        <w:footnoteReference w:id="1066"/>
      </w:r>
      <w:r>
        <w:rPr>
          <w:rFonts w:ascii="Amiri" w:hAnsi="Amiri" w:eastAsia="Amiri" w:cs="Amiri"/>
          <w:color w:val="111111"/>
          <w:sz w:val="28"/>
          <w:sz w:val="28"/>
          <w:szCs w:val="28"/>
          <w:rtl w:val="true"/>
          <w:lang w:bidi="ar-SA"/>
        </w:rPr>
        <w:t xml:space="preserve">، و لكن ظاهر الفاضلين في الشرائع و الإرشاد و صريح التحرير و القواعد </w:t>
      </w:r>
      <w:r>
        <w:rPr>
          <w:rStyle w:val="FootnoteAnchor"/>
          <w:rtl w:val="true"/>
        </w:rPr>
        <w:footnoteReference w:id="1067"/>
      </w:r>
      <w:r>
        <w:rPr>
          <w:rFonts w:ascii="Amiri" w:hAnsi="Amiri" w:eastAsia="Amiri" w:cs="Amiri"/>
          <w:color w:val="111111"/>
          <w:sz w:val="28"/>
          <w:sz w:val="28"/>
          <w:szCs w:val="28"/>
          <w:rtl w:val="true"/>
          <w:lang w:bidi="ar-SA"/>
        </w:rPr>
        <w:t xml:space="preserve">الفرق بينهما،و اختصاص الحكم بما في العبارة بكون المولى ذمّيا،و لو كان مسلماً اعتبر في دية عبده الذمّي عدم تجاوز دية الحرّ المسلم،و تبعهما الشهيد الثاني في المسالك </w:t>
      </w:r>
      <w:r>
        <w:rPr>
          <w:rStyle w:val="FootnoteAnchor"/>
          <w:rtl w:val="true"/>
        </w:rPr>
        <w:footnoteReference w:id="1068"/>
      </w:r>
      <w:r>
        <w:rPr>
          <w:rFonts w:ascii="Amiri" w:hAnsi="Amiri" w:eastAsia="Amiri" w:cs="Amiri"/>
          <w:color w:val="111111"/>
          <w:sz w:val="28"/>
          <w:sz w:val="28"/>
          <w:szCs w:val="28"/>
          <w:rtl w:val="true"/>
          <w:lang w:bidi="ar-SA"/>
        </w:rPr>
        <w:t>من غير نقل خلاف،فإن تمّ إجماعاً،و إلّا فوجهه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مبني على الرواية المحكية عن الإيضاح </w:t>
      </w:r>
      <w:r>
        <w:rPr>
          <w:rStyle w:val="FootnoteAnchor"/>
          <w:rtl w:val="true"/>
        </w:rPr>
        <w:footnoteReference w:id="1069"/>
      </w:r>
      <w:r>
        <w:rPr>
          <w:rFonts w:ascii="Amiri" w:hAnsi="Amiri" w:eastAsia="Amiri" w:cs="Amiri"/>
          <w:color w:val="111111"/>
          <w:sz w:val="28"/>
          <w:sz w:val="28"/>
          <w:szCs w:val="28"/>
          <w:rtl w:val="true"/>
          <w:lang w:bidi="ar-SA"/>
        </w:rPr>
        <w:t xml:space="preserve">،مع إطلاق سائر الأخبار بالردّ إلى دية الحرّ،و كون الردّ خلاف الأصل،فيقتصر على المتيقن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العبد حرّا عمداً قتل به اتفاقاً،فإنّ النفس بالنفس،و فيما سيأتي من الأدلّة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كون الحرّ مولاه أم غيره،و يفرّق بينهما في قتله خطأً بثبوت الدية للحرّ المجنيّ عليه لو لم يكن مولاه،و عدمه لو كان مولاه، 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قتل مولاه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به،و 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يضمن مولاه جنايته،بل يتعلّق برقبته و يكون وليّ الدم بالخيار بين قتله و استرقاقه للمعتبرة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إذا قتل الحرّ دفع إلى أولياء المقتول،فإن شاءوا قتلوه،و إن شاءوا استرقّوه</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في شيء من ذلك أجده،بل عليه الإجماع في الغنية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هذه الأدلّة يقتضي جواز الاسترقاق و لو مع عدم رضى </w:t>
      </w:r>
    </w:p>
    <w:p>
      <w:pPr>
        <w:pStyle w:val="BookText"/>
        <w:rPr/>
      </w:pPr>
      <w:r>
        <w:rPr>
          <w:rFonts w:ascii="Amiri" w:hAnsi="Amiri" w:eastAsia="Amiri" w:cs="Amiri"/>
          <w:color w:val="111111"/>
          <w:sz w:val="28"/>
          <w:sz w:val="28"/>
          <w:szCs w:val="28"/>
          <w:rtl w:val="true"/>
          <w:lang w:bidi="ar-SA"/>
        </w:rPr>
        <w:t xml:space="preserve">المولى،كما صرّح به </w:t>
      </w:r>
      <w:r>
        <w:rPr>
          <w:rStyle w:val="FootnoteAnchor"/>
          <w:rtl w:val="true"/>
        </w:rPr>
        <w:footnoteReference w:id="1075"/>
      </w:r>
      <w:r>
        <w:rPr>
          <w:rFonts w:ascii="Amiri" w:hAnsi="Amiri" w:eastAsia="Amiri" w:cs="Amiri"/>
          <w:color w:val="111111"/>
          <w:sz w:val="28"/>
          <w:sz w:val="28"/>
          <w:szCs w:val="28"/>
          <w:rtl w:val="true"/>
          <w:lang w:bidi="ar-SA"/>
        </w:rPr>
        <w:t xml:space="preserve">جماعة </w:t>
      </w:r>
      <w:r>
        <w:rPr>
          <w:rStyle w:val="FootnoteAnchor"/>
          <w:rtl w:val="true"/>
        </w:rPr>
        <w:footnoteReference w:id="1076"/>
      </w:r>
      <w:r>
        <w:rPr>
          <w:rFonts w:ascii="Amiri" w:hAnsi="Amiri" w:eastAsia="Amiri" w:cs="Amiri"/>
          <w:color w:val="111111"/>
          <w:sz w:val="28"/>
          <w:sz w:val="28"/>
          <w:szCs w:val="28"/>
          <w:rtl w:val="true"/>
          <w:lang w:bidi="ar-SA"/>
        </w:rPr>
        <w:t>معلّلين زيادةً على ما مرّ من النصوص بأنّ الشارع سلّط الوليّ على إتلافه بدون رضاء المولى المستلزم لزوال ملكه عنه،فإزالته مع بقاء نفسه أولى؛ لما يتضمّن من حقن دم المؤمن،و هو مطلوب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توقف استرقاقه على رضاه؛ لأنّ ثبوت المال في العمد بدل القود يتوقّف على التراضي،و ربما حكي هذا قولاً </w:t>
      </w:r>
      <w:r>
        <w:rPr>
          <w:rStyle w:val="FootnoteAnchor"/>
          <w:rtl w:val="true"/>
        </w:rPr>
        <w:footnoteReference w:id="1077"/>
      </w:r>
      <w:r>
        <w:rPr>
          <w:rFonts w:ascii="IRNazanin" w:hAnsi="IRNazanin" w:eastAsia="IRNazanin"/>
          <w:color w:val="111111"/>
          <w:sz w:val="28"/>
          <w:sz w:val="28"/>
          <w:szCs w:val="28"/>
          <w:rtl w:val="true"/>
          <w:lang w:bidi="fa-IR"/>
        </w:rPr>
        <w:t>،و لم أجد 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فالأوّل أقوى؛ لإطلاق النصّ و الفتوى،مع الأولويّة 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للمولى فكّه مع كراهة الوليّ كما ليس للقاتل دفع الدية إلى وليّ المقتول إلّا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جرح العبد حرّا فللمجروح القصاص منه،فإنّ الجروح قصاص و إن شاء المجروح استرقّه إن استوعبته الجناية بحيث لا يبقى من قيمته بعد إخراجها شيء بالمرّة و إن قصرت الجناية عن قيمته استرقّ المجني عليه منه بنسبة الجناية،أو يباع العبد فيأخذ من ثمنه حقه من أرش الجناية، و لو افتداه المولى و فكّه فداه بأرش الجناية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في شيء من ذلك أجده،إلّا في الحكم الأخير،فقيل بما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الفكّ بأرش الجناية زادت عن قيمته أم نقصت؛ لأنّه الواجب لتلك الجناية،و إليه ذهب في الخلاف مدّعياً عليه الإجماع </w:t>
      </w:r>
      <w:r>
        <w:rPr>
          <w:rStyle w:val="FootnoteAnchor"/>
          <w:rtl w:val="true"/>
        </w:rPr>
        <w:footnoteReference w:id="10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 أنّه الأظهر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مروي؛ و هو ظاهر النهاية و ابن إدريس و كثير من الأصحاب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يفكّه بأقلّ الأمرين من القيمة و أرش الجناية؛ لأنّ الجاني لا يجني أكثر من نفسه،و المولى لا يعقل مملوكه،فالزائد لا يلزمه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في المبسوط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في عبد جرح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الحرّ اقتصّ منه،و إن شاء أخذه إن كانت الجراحة تحيط برقبته،و إن كانت الجراحة لا تحيط برقبته افتداه مولاه،فإن أبى مولاه أن يفتديه كان للحرّ المجروح من العبد بقدر دية جراحته،و الباقي للمولى،يباع العبد فيأخذ المجروح حقّه،و يردّ الباقي على المولى</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يقاد العبد بمولاة أي يقتصّ منه له لو جنى عليه متعمّداً إن شاء الوليّ للمولى الاقتصاص منه؛ لإطلاق ما دلّ على الاقتصاص من العبد للحرّ،أو فحواه؛ و لخصوص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قتل مولاه متعمّداً،قال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به،قضى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قتل عبد مثله أو جرحه عمداً فإن كانا أي العبدان لواحد فالمولى بالخيار بين الاقتصاص من الجاني منهما أو العفو </w:t>
      </w:r>
    </w:p>
    <w:p>
      <w:pPr>
        <w:pStyle w:val="BookText"/>
        <w:rPr/>
      </w:pPr>
      <w:r>
        <w:rPr>
          <w:rFonts w:ascii="Amiri" w:hAnsi="Amiri" w:eastAsia="Amiri" w:cs="Amiri"/>
          <w:color w:val="111111"/>
          <w:sz w:val="28"/>
          <w:sz w:val="28"/>
          <w:szCs w:val="28"/>
          <w:rtl w:val="true"/>
          <w:lang w:bidi="ar-SA"/>
        </w:rPr>
        <w:t>عنه؛ لعموم الأدلّة؛ و خصوص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مملوكان قتل أحدهما صاحبه،إله أن يقيده به دون السلطان إن أحبّ ذلك؟قال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ماله يفعل فيه ما شاء؛ إن شاء قتل،و إن شاء عفا</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كانا لاثنين ف يأتي فيه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للمولى أي مولى المجني عليه قتله أي الجاني،من دون ردّ فيما لو زاد الجاني المجني عليه قيمةً،أو مع ردّ الزيادة،على اختلاف القولين المتقدم إليهما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يتراضى الموليان عن قتله أو جرحه بدية أو أرش فلا يقتصّ منه بعده،بل يلزم ما تراضيا عليه،كما هو واضح،و سيظهر وجهه ممّا دلّ على جواز الصلح بالدية عن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ما ذكر في جناية العبد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على مثله أو حرّ خطأ كان لمولى القاتل فكّه ب أقلّ الأمرين من أرش الجناية و قيمته أو بالأرش مطلقا،على الخلاف الذي مضى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دفعه أي العبد الجاني إلى المجني عليه أو وليّه ليسترقّه و له أي للمولى حينئذٍ منه أي من العبد ما فضل من قيمته عن قيمة المقتول و أرش الجناية و لا يضمن المولى ما يعوز و ينقص من قيمة الجاني عن الدية أو أرش الجناية،فإنّ الجاني لا يجنى على أكثر من نفسه،و لإطلاق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العبد الحرّ فدفع إلى أولياء الحرّ فلا شيء على مواليه</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أنّه لا خلاف فيه،و لا في ثبوت الخيار المزبور لمولى الجاني دون وليّ المجنيّ عليه،و سيأتي من النصوص في المدبّر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بأنّه لا يتسلّط وليّ المقتول هنا على إزالة ملكه عنه بالقتل ليحمل عليه الاسترقاق،و إنّما تعلّق حقّه بالدية من مال المولى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 قتل رجلاً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مولاه حين كاتبه اشترط عليه إن عجز فهو ردّ في الرقّ فهو بمنزلة المملوك، يدفع إلى أولياء المقتول،فإن شاؤوا قتلوا و إن شاؤوا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تعيّن الدفع،و هو شاذّ،إلّا أن يحمل كونه على وجه الخيار لكن يشكل ما فيه من الحكم بالقصاص في الخطأ،إلّا أن يحمل الخطأ فيه على ما يقابل الصواب لا العمد،و حينئذٍ يخرج الخبر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المدبّر في جميع ذلك كالقنّ فيقتل إن قتل عمداً حرّا أو عبداً،أو يدفع إلى وليّ المقتول يسترقّه،أو يفديه مولاه بالأقلّ،كما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فداه أو بقي منه شيء بعد أرش الجناية بقي على تدبيره، إجماعاً على الظاهر،المصرّح به في القواعد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استرقّه كلّه وليّ الدم ففي خروجه عن التدبير قولان اختار أوّلهما الحلّي </w:t>
      </w:r>
      <w:r>
        <w:rPr>
          <w:rStyle w:val="FootnoteAnchor"/>
          <w:rtl w:val="true"/>
        </w:rPr>
        <w:footnoteReference w:id="1088"/>
      </w:r>
      <w:r>
        <w:rPr>
          <w:rFonts w:ascii="Amiri" w:hAnsi="Amiri" w:eastAsia="Amiri" w:cs="Amiri"/>
          <w:color w:val="111111"/>
          <w:sz w:val="28"/>
          <w:sz w:val="28"/>
          <w:szCs w:val="28"/>
          <w:rtl w:val="true"/>
          <w:lang w:bidi="ar-SA"/>
        </w:rPr>
        <w:t>و أكثر المتأخرين،بل عامّتهم؛ لأنّه انتقل إلى ملك غير المدبِّر،فيخرج عن التدبير،كالبيع؛ 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مدبَّر قتل رجلاً </w:t>
      </w:r>
    </w:p>
    <w:p>
      <w:pPr>
        <w:pStyle w:val="BookText"/>
        <w:rPr/>
      </w:pPr>
      <w:r>
        <w:rPr>
          <w:rFonts w:ascii="Amiri" w:hAnsi="Amiri" w:eastAsia="Amiri" w:cs="Amiri"/>
          <w:color w:val="111111"/>
          <w:sz w:val="28"/>
          <w:sz w:val="28"/>
          <w:szCs w:val="28"/>
          <w:rtl w:val="true"/>
          <w:lang w:bidi="ar-SA"/>
        </w:rPr>
        <w:t>عمداً؟فقال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قتله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إلى أولياء المقتول فيكون لهم،فإن شاؤوا استرقّوه،و ليس لهم قتله،إنّ المدبّر مملوك</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ثانيهما الشيخان و الصدوق و الإسكافي </w:t>
      </w:r>
      <w:r>
        <w:rPr>
          <w:rStyle w:val="FootnoteAnchor"/>
          <w:rtl w:val="true"/>
        </w:rPr>
        <w:footnoteReference w:id="1090"/>
      </w:r>
      <w:r>
        <w:rPr>
          <w:rFonts w:ascii="Amiri" w:hAnsi="Amiri" w:eastAsia="Amiri" w:cs="Amiri"/>
          <w:color w:val="111111"/>
          <w:sz w:val="28"/>
          <w:sz w:val="28"/>
          <w:szCs w:val="28"/>
          <w:rtl w:val="true"/>
          <w:lang w:bidi="ar-SA"/>
        </w:rPr>
        <w:t>لقولهم بلزوم الاستسعاء كما حكي،و هو فرع بقاء التدبير لاستصحاب بقائه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مدبّر قتل رجلاً خطأً،من يضمن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يصالح عنه مولاه،فإن أبى دفع إلى أولياء المقتول يخدمهم حتى يموت الذي دبّره،ثم يرجع حرّا لا سبيل عليه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النص الآتي الدالّ على الاستسعاء المتفرّع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المزيل،و هو ما مرّ من الدليل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بمعارضته بمثله،بل و أجود منه،مع احتمال ضعف دلالته؛ إذ ليس فيه استرقاق وليّ الدم له،بل غاية ما فيه دفعه إليه يخدمه، و هو أعمّ من استرقاقه و عدمه،لو لم نقل بظهوره في الثاني،فيحمل عليه، و يكون المقصود من الدفع للخدمة احتساب أُجرتها عن الدية مع بقاء العبد على الملكية،و حينئذٍ يصح الحكم ببقاء التدبير بلا شبهة،و يكون من قبيل ما لو افتداه المولى ببذل الدية أو أرش الجناية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الحمل على هذا ما سيأتي من الرواية في الاستسعاء؛ إذ ليس فيها التصريح بدفعه رقّاً لأولياء الدم،بل غايتها الدفع إليهم مطلقاً، فيحتمل الحمل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ضعفها سنداً،و عدم مكافأتها كما قبلها لأدلّة القول الأوّل جدّاً،سيّما مع اشتهارها شهرة عظيمة بين أصحابنا،فالقول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بتقدير أن لا يخرج عن التدبير هل يسعى بعد موت المولى في فكّ رقبته من أولياء الدم،أم لا؟ المرويّ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يسعى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مدبّر قتل رجلاً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رويتم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 برمّته إلى أولياء المقتول،فإذا مات الذي دبره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اللّه،فيطلّ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 برمّته إلى أولياء المقتول،فإذا مات الذي دبّره استسعى في قيمته</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سنده كما مرّ يمنع عن العمل به،مع مخالفته الأصل،و ظاهر الصحيح الثاني؛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حرّا لا سبيل عليه</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و لعلّه لذا قال المفيد بالعدم كما حكي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الرواية الاستسعاء في قيمة نفسه،كما عن الصدوق و الإسكافي </w:t>
      </w:r>
      <w:r>
        <w:rPr>
          <w:rStyle w:val="FootnoteAnchor"/>
          <w:rtl w:val="true"/>
        </w:rPr>
        <w:footnoteReference w:id="1095"/>
      </w:r>
      <w:r>
        <w:rPr>
          <w:rFonts w:ascii="Amiri" w:hAnsi="Amiri" w:eastAsia="Amiri" w:cs="Amiri"/>
          <w:color w:val="111111"/>
          <w:sz w:val="28"/>
          <w:sz w:val="28"/>
          <w:szCs w:val="28"/>
          <w:rtl w:val="true"/>
          <w:lang w:bidi="ar-SA"/>
        </w:rPr>
        <w:t xml:space="preserve">،و عن الشيخ في النهاية و الكتابين </w:t>
      </w:r>
      <w:r>
        <w:rPr>
          <w:rStyle w:val="FootnoteAnchor"/>
          <w:rtl w:val="true"/>
        </w:rPr>
        <w:footnoteReference w:id="1096"/>
      </w:r>
      <w:r>
        <w:rPr>
          <w:rFonts w:ascii="Amiri" w:hAnsi="Amiri" w:eastAsia="Amiri" w:cs="Amiri"/>
          <w:color w:val="111111"/>
          <w:sz w:val="28"/>
          <w:sz w:val="28"/>
          <w:szCs w:val="28"/>
          <w:rtl w:val="true"/>
          <w:lang w:bidi="ar-SA"/>
        </w:rPr>
        <w:t xml:space="preserve">الاستسعاء في دية </w:t>
      </w:r>
    </w:p>
    <w:p>
      <w:pPr>
        <w:pStyle w:val="BookText"/>
        <w:rPr/>
      </w:pPr>
      <w:r>
        <w:rPr>
          <w:rFonts w:ascii="Amiri" w:hAnsi="Amiri" w:eastAsia="Amiri" w:cs="Amiri"/>
          <w:color w:val="111111"/>
          <w:sz w:val="28"/>
          <w:sz w:val="28"/>
          <w:szCs w:val="28"/>
          <w:rtl w:val="true"/>
          <w:lang w:bidi="ar-SA"/>
        </w:rPr>
        <w:t>المقتول،و هو مع منافاته لظاهرها،و النصوص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الجاني لا يجنى على أكثر من نفسه لا دليل عليه،و لذا نسبه الماتن في الشرائع إلى الوهم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 بعض الفقهاء كلام الشيخ بأنّ دية المقتول الآن هي قيمة العبد؛ لأنّه لا يطالب بأكثر من نفسه،فجاز أن يطلق عليها أنّها دية المقتول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به،و إن لم يرتضه في التنقيح،قائلاً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عدول عن الحقيقة إلى المجاز بغير دليل </w:t>
      </w:r>
      <w:r>
        <w:rPr>
          <w:rStyle w:val="FootnoteAnchor"/>
          <w:rtl w:val="true"/>
        </w:rPr>
        <w:footnoteReference w:id="1099"/>
      </w:r>
      <w:r>
        <w:rPr>
          <w:rFonts w:ascii="Amiri" w:hAnsi="Amiri" w:eastAsia="Amiri" w:cs="Amiri"/>
          <w:color w:val="111111"/>
          <w:sz w:val="28"/>
          <w:sz w:val="28"/>
          <w:szCs w:val="28"/>
          <w:rtl w:val="true"/>
          <w:lang w:bidi="ar-SA"/>
        </w:rPr>
        <w:t>صوناً لفتوى الشيخ عن المخالفة للخبر الذي استند هو إليه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المكاتب إن لم يؤدّ من مكاتبته شيئاً،أ و كان مشروطاً كان كالرقّ المحض بلا خلاف،للصحيحين،مضى أحدهما في جناية العبد خطأً </w:t>
      </w:r>
      <w:r>
        <w:rPr>
          <w:rStyle w:val="FootnoteAnchor"/>
          <w:rtl w:val="true"/>
        </w:rPr>
        <w:footnoteReference w:id="1100"/>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أدّى من مكاتبته شيئاً فإنه يقاصّ للعبد منه،و يغرم المولى كلّ ما جنى المكاتب؛ لأنّه عبده ما لم يؤدّ من مكاتبته شيئاً</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مطلقاً و قد أدّى شيئاً تحرر منه بقدر ما أدّى فإن قتل حرّا مكافئاً له في الحرّية و لو كان عبداً من جهة،ما لم تنقص حرّيته عن حرّيته،و إلّا فلا يقتصّ له منه ما لم يتساو حرّيتهما أو يزد حرّية المقتول على حرّية القاتل عمداً قتل به و إن قتل مملوكاً محضاً أو مبعّضاً مع نقصان حرّيته عن حرّية </w:t>
      </w:r>
    </w:p>
    <w:p>
      <w:pPr>
        <w:pStyle w:val="BookText"/>
        <w:rPr/>
      </w:pPr>
      <w:r>
        <w:rPr>
          <w:rFonts w:ascii="Amiri" w:hAnsi="Amiri" w:eastAsia="Amiri" w:cs="Amiri"/>
          <w:color w:val="111111"/>
          <w:sz w:val="28"/>
          <w:sz w:val="28"/>
          <w:szCs w:val="28"/>
          <w:rtl w:val="true"/>
          <w:lang w:bidi="ar-SA"/>
        </w:rPr>
        <w:t>القاتل فلا قود عليه؛ لفقد التكافؤ المشترط فيه و تعلّقت الجناية حينئذٍ بذمّته و بما فيه من الرقّية مبعّضة فبقدر ما فيه من الحرّية بذمّته، و بما فيه من الرقية برقبته و يسعى في نصيب الحرّية من قيمة المقتول و ما بإزائها منها و يسترقّ وليّ الدم الباقي منه،أو يباع في نصيب الرقّ من قيمته و إن أمكنه،أو كان ما في يده يفي بتمام قيمة المقتول؛ لأنّه لما فيه من الرقّية يتعلّق من جنايته ما بإزائها برقبته،و تبطل الكتابة حينئذٍ؛ لانتقاله إلى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حرّا،أو قنّاً،أو مبعّضاً خطأً فعلى الإمام أن يؤدّي عنه بقدر ما فيه من الحرّية إن لم يكن له عاقلة،فإنّه عاقلته،بلا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مولاه حين كاتبه لم يشترط عليه،و كان قد أدّى من مكاتبته شيئاً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من المكاتب بقدر ما أدّى من مكاتبته،و إنّ على الإمام أن يؤدّي إلى أولياء المقتول من الدية بقدر ما أُعتق من المكاتب،و لا يبطل دم امرئ مسلم،و أرى أن يكون ما بقي على المكاتب ما لم يؤدّه،فلأولياء المقتول أن يستخدموه حياته بقدر ما بقي عليه و ليس لهم أن يبيعوه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للمولى الخيار بين فكّ ما فيه من نصيب الرقّية بالأرش أو بأقلّ الأمرين،على الخلاف المتقدم،و تبقى الكتابة بحالها باقية،و بين تسليم حصّة الرّق إلى وليّ المقتول ليقاصّ بالجناية و تبطل الكتابة، و له التصرف فيه كيف شاء من بيع،أو استخدام،أو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الذي يقتضيه الأُصول،و عليه أكثر المتأخرين على الظاهر، المصرّح به في المسالك </w:t>
      </w:r>
      <w:r>
        <w:rPr>
          <w:rStyle w:val="FootnoteAnchor"/>
          <w:rtl w:val="true"/>
        </w:rPr>
        <w:footnoteReference w:id="1103"/>
      </w:r>
      <w:r>
        <w:rPr>
          <w:rFonts w:ascii="Amiri" w:hAnsi="Amiri" w:eastAsia="Amiri" w:cs="Amiri"/>
          <w:color w:val="111111"/>
          <w:sz w:val="28"/>
          <w:sz w:val="28"/>
          <w:szCs w:val="28"/>
          <w:rtl w:val="true"/>
          <w:lang w:bidi="ar-SA"/>
        </w:rPr>
        <w:t xml:space="preserve">،بل المشهور بين الأصحاب مطلقاً،كما في المهذّب و غيره </w:t>
      </w:r>
      <w:r>
        <w:rPr>
          <w:rStyle w:val="FootnoteAnchor"/>
          <w:rtl w:val="true"/>
        </w:rPr>
        <w:footnoteReference w:id="1104"/>
      </w:r>
      <w:r>
        <w:rPr>
          <w:rFonts w:ascii="Amiri" w:hAnsi="Amiri" w:eastAsia="Amiri" w:cs="Amiri"/>
          <w:color w:val="111111"/>
          <w:sz w:val="28"/>
          <w:sz w:val="28"/>
          <w:szCs w:val="28"/>
          <w:rtl w:val="true"/>
          <w:lang w:bidi="ar-SA"/>
        </w:rPr>
        <w:t>،و في المسالك أنّ في بعض الأخبار 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عليه،بل في الصحيح المتقدّم قريباً ما ينافي جواز بيعه لوليّ الدم، و أن ليس له سوى استخدامه حياته و لم يقولوا به،بل حكي القول به عن الصدوق و المفيد و الديلمي </w:t>
      </w:r>
      <w:r>
        <w:rPr>
          <w:rStyle w:val="FootnoteAnchor"/>
          <w:rtl w:val="true"/>
        </w:rPr>
        <w:footnoteReference w:id="1105"/>
      </w:r>
      <w:r>
        <w:rPr>
          <w:rFonts w:ascii="Amiri" w:hAnsi="Amiri" w:eastAsia="Amiri" w:cs="Amiri"/>
          <w:color w:val="111111"/>
          <w:sz w:val="28"/>
          <w:sz w:val="28"/>
          <w:szCs w:val="28"/>
          <w:rtl w:val="true"/>
          <w:lang w:bidi="ar-SA"/>
        </w:rPr>
        <w:t xml:space="preserve">،و نفى عنه البأس في المختلف </w:t>
      </w:r>
      <w:r>
        <w:rPr>
          <w:rStyle w:val="FootnoteAnchor"/>
          <w:rtl w:val="true"/>
        </w:rPr>
        <w:footnoteReference w:id="1106"/>
      </w:r>
      <w:r>
        <w:rPr>
          <w:rFonts w:ascii="Amiri" w:hAnsi="Amiri" w:eastAsia="Amiri" w:cs="Amiri"/>
          <w:color w:val="111111"/>
          <w:sz w:val="28"/>
          <w:sz w:val="28"/>
          <w:szCs w:val="28"/>
          <w:rtl w:val="true"/>
          <w:lang w:bidi="ar-SA"/>
        </w:rPr>
        <w:t>،و يمكن حمله على كراهة البيع أو حرمته إذا أُريد بيعه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جعفر المروية بطريق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أدّى المكاتب نصف ما عليه فهو بمنزلة الحرّ و هي طويلة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المكاتب إذا أدّى نصف 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الحرّ في الحدود و غير ذلك من قتل و غيره</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و لم أرَ مفتياً بها صرحياً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الشيخ جمع في الاستبصار </w:t>
      </w:r>
      <w:r>
        <w:rPr>
          <w:rStyle w:val="FootnoteAnchor"/>
          <w:rtl w:val="true"/>
        </w:rPr>
        <w:footnoteReference w:id="1108"/>
      </w:r>
      <w:r>
        <w:rPr>
          <w:rFonts w:ascii="Amiri" w:hAnsi="Amiri" w:eastAsia="Amiri" w:cs="Amiri"/>
          <w:color w:val="111111"/>
          <w:sz w:val="28"/>
          <w:sz w:val="28"/>
          <w:szCs w:val="28"/>
          <w:rtl w:val="true"/>
          <w:lang w:bidi="ar-SA"/>
        </w:rPr>
        <w:t>بينها و بين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يحتسب منه ما أعتق منه فيؤدّي به دية الحرّ،و ما رقّ منه دية الرقّ</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بحمله على التفصيل الذي تضمّنته الرواية،و لذا نسبه الأصحاب إلى القول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 لاحتمال إرادته بذلك مجرّد الجمع لا الفتوى،مع أنّه ذكر بعض الأفاضل أنّ الذي في الاستبصار أنّ حكمه حكم الحرّ في دية أعضائه و نفسه إذا جني عليه،لا في جناياته،و إن تضمّنها الخبر،فيحتمل أن يكون إنّما يراه كالحرّ في ذلك خاصّة،كما يرى الصدوق مع نصّه في المقنع على ما سمعته في موضعين متقاربين،قال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فقأ حرّ عين مكاتب أو كسر سنّه فإن كان أدّى نصف مكاتبته فقأ عين الحرّ،أو أخذ ديته إن كان خطأً، فإنّه بمنزلة الحرّ و إن كان لم يؤدّ النصف قوّم فأدّى بقدر ما أُعتق منه،و إن فقأ مكاتب عين مملوك و قد أدّى نصف مكاتبته قوّم المملوك و أدّى المكاتب إلى مولى العبد نصف ثمنه </w:t>
      </w:r>
      <w:r>
        <w:rPr>
          <w:rStyle w:val="FootnoteAnchor"/>
          <w:rtl w:val="true"/>
        </w:rPr>
        <w:footnoteReference w:id="11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بما سمعته إلى ما حكاه عنه سابقاً،فقال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المكاتب إذا قتل رجلاً خطأً فعليه من الدية بقدر ما أدّى من مكاتبته، و على مولاه ما بقي من قيمته،فإن عجز المكاتب فلا عاقلة له فإنّما ذلك على إمام المسلمين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العبارة يظهر ما في نسبة جماعة </w:t>
      </w:r>
      <w:r>
        <w:rPr>
          <w:rStyle w:val="FootnoteAnchor"/>
          <w:rtl w:val="true"/>
        </w:rPr>
        <w:footnoteReference w:id="1112"/>
      </w:r>
      <w:r>
        <w:rPr>
          <w:rFonts w:ascii="Amiri" w:hAnsi="Amiri" w:eastAsia="Amiri" w:cs="Amiri"/>
          <w:color w:val="111111"/>
          <w:sz w:val="28"/>
          <w:sz w:val="28"/>
          <w:szCs w:val="28"/>
          <w:rtl w:val="true"/>
          <w:lang w:bidi="ar-SA"/>
        </w:rPr>
        <w:t>مختار المفيد إلى الصدوق،فإنّ بين مختاريهما فرقاً واضحاً،و كذا في نسبة مختاره إلى الديلمي؛ على ما يظهر من عبارته التي حكاها الفاضل المتقدم عنه في المراسم،و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يزن عنه بقدر ما عتق منه،و يستسعي في البقيّة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145" w:name="pg11409_90817"/>
    </w:p>
    <w:p>
      <w:pPr>
        <w:pStyle w:val="BookText"/>
        <w:rPr/>
      </w:pPr>
      <w:bookmarkEnd w:id="145"/>
      <w:r>
        <w:rPr>
          <w:rFonts w:ascii="IRNazanin" w:hAnsi="IRNazanin" w:eastAsia="IRNazanin"/>
          <w:color w:val="111111"/>
          <w:sz w:val="28"/>
          <w:sz w:val="28"/>
          <w:szCs w:val="28"/>
          <w:rtl w:val="true"/>
          <w:lang w:bidi="fa-IR"/>
        </w:rPr>
        <w:t>و هنا</w:t>
      </w:r>
    </w:p>
    <w:p>
      <w:pPr>
        <w:pStyle w:val="Heading6"/>
        <w:numPr>
          <w:ilvl w:val="5"/>
          <w:numId w:val="1"/>
        </w:numPr>
        <w:rPr/>
      </w:pPr>
      <w:bookmarkStart w:id="146" w:name="__RefHeading___Toc1102689_73709187"/>
      <w:bookmarkStart w:id="147" w:name="_Toc54"/>
      <w:bookmarkEnd w:id="146"/>
      <w:r>
        <w:rPr>
          <w:rtl w:val="true"/>
        </w:rPr>
        <w:t>مسائل</w:t>
      </w:r>
      <w:bookmarkEnd w:id="147"/>
    </w:p>
    <w:p>
      <w:pPr>
        <w:pStyle w:val="Heading6"/>
        <w:numPr>
          <w:ilvl w:val="5"/>
          <w:numId w:val="1"/>
        </w:numPr>
        <w:rPr/>
      </w:pPr>
      <w:bookmarkStart w:id="148" w:name="__RefHeading___Toc1102691_73709187"/>
      <w:bookmarkStart w:id="149" w:name="_Toc55"/>
      <w:bookmarkEnd w:id="148"/>
      <w:r>
        <w:rPr>
          <w:rtl w:val="true"/>
        </w:rPr>
        <w:t>الأولى لو قتل الحرّ حرّين</w:t>
      </w:r>
      <w:bookmarkEnd w:id="149"/>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الحرّ حرّين فصاعداً عمداً فليس للأولياء إلّا قتله بلا خلاف أجده،بل عليه الإجماع عن المبسوط و الخلاف كما ستسمعه،و هو الحجّة؛ مضافاً إلى الأصل،و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الجاني لا يجنى على أكثر من نفسه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قتلوه لم يكن لهم المطالبة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قتله أحدهم،فهل للباقي المطالبة بالدية؟فيه وجهان،بل قولان،من أنّ الجناية لم توجب سوى القصاص،و من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و اختار هذا الفاضل في القواعد في هذا الكتاب،و إن تردّد فيه في الديات،و تبعه ولده في الشرح،و الفاضل المقداد في شرح الكتاب،و شيخنا في المسالك،و إن كان ظاهره التردّد فيه في الروضة،و حكي عن الإسكافي و ابن زهرة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العبارة و نحوها الأوّل،كما عن النهاية و الوسيلة و السرائر و الجامع و المبسوط و الخلاف </w:t>
      </w:r>
      <w:r>
        <w:rPr>
          <w:rStyle w:val="FootnoteAnchor"/>
          <w:rtl w:val="true"/>
        </w:rPr>
        <w:footnoteReference w:id="1117"/>
      </w:r>
      <w:r>
        <w:rPr>
          <w:rFonts w:ascii="Amiri" w:hAnsi="Amiri" w:eastAsia="Amiri" w:cs="Amiri"/>
          <w:color w:val="111111"/>
          <w:sz w:val="28"/>
          <w:sz w:val="28"/>
          <w:szCs w:val="28"/>
          <w:rtl w:val="true"/>
          <w:lang w:bidi="ar-SA"/>
        </w:rPr>
        <w:t>،مدّعى فيهما الإجماع،و هو الأوفق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قتل العبد حرّين فصاعداً على التعاقب واحداً بعد واحد ففي رواية علي بن عقبة،عن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قتل أربعة أحرار،واحداً بعد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لأولياء الأخير من القتلى،إن شاءُوا قتلوه،و إن شاءُوا استرقّوه؛ لأنّه إذا قتل الأوّل استحقّه أولياؤه،فإذا قتل الثاني استُحقّ من أولياء الأوّل فصار لأولياء الثاني</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صحيحة أنّهما يشتركان فيه ما لم يحكم به لوليّ الأوّل </w:t>
      </w:r>
      <w:r>
        <w:rPr>
          <w:rStyle w:val="FootnoteAnchor"/>
          <w:rtl w:val="true"/>
        </w:rPr>
        <w:footnoteReference w:id="1119"/>
      </w:r>
      <w:r>
        <w:rPr>
          <w:rFonts w:ascii="Amiri" w:hAnsi="Amiri" w:eastAsia="Amiri" w:cs="Amiri"/>
          <w:color w:val="111111"/>
          <w:sz w:val="28"/>
          <w:sz w:val="28"/>
          <w:szCs w:val="28"/>
          <w:rtl w:val="true"/>
          <w:lang w:bidi="ar-SA"/>
        </w:rPr>
        <w:t xml:space="preserve">و باختلافهما اختلف الأصحاب،فبين مفتٍ بالأُولى، كالشيخ في النهاية </w:t>
      </w:r>
      <w:r>
        <w:rPr>
          <w:rStyle w:val="FootnoteAnchor"/>
          <w:rtl w:val="true"/>
        </w:rPr>
        <w:footnoteReference w:id="1120"/>
      </w:r>
      <w:r>
        <w:rPr>
          <w:rFonts w:ascii="Amiri" w:hAnsi="Amiri" w:eastAsia="Amiri" w:cs="Amiri"/>
          <w:color w:val="111111"/>
          <w:sz w:val="28"/>
          <w:sz w:val="28"/>
          <w:szCs w:val="28"/>
          <w:rtl w:val="true"/>
          <w:lang w:bidi="ar-SA"/>
        </w:rPr>
        <w:t xml:space="preserve">،و مفتٍ بالثانية كهو في الاستبصار و عن الإسكافي و الحلّي </w:t>
      </w:r>
      <w:r>
        <w:rPr>
          <w:rStyle w:val="FootnoteAnchor"/>
          <w:rtl w:val="true"/>
        </w:rPr>
        <w:footnoteReference w:id="1121"/>
      </w:r>
      <w:r>
        <w:rPr>
          <w:rFonts w:ascii="Amiri" w:hAnsi="Amiri" w:eastAsia="Amiri" w:cs="Amiri"/>
          <w:color w:val="111111"/>
          <w:sz w:val="28"/>
          <w:sz w:val="28"/>
          <w:szCs w:val="28"/>
          <w:rtl w:val="true"/>
          <w:lang w:bidi="ar-SA"/>
        </w:rPr>
        <w:t>،و عليه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الأقوى؛ لصحة سندها،و اعتضادها بفتوى أكثر الأصحاب،بل كلّهم؛ لرجوع الشيخ عن الأُولى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بالاعتبار؛ لاشتراكهما في الاستحقاق،و عدم الانتقال بمجرّد الجناية بدون الاسترقاق،فإنّ الأصل في مقتضى العمد القصاص،فلا وجه لتردّد الماتن هنا،مع فتواه في الشرائع </w:t>
      </w:r>
      <w:r>
        <w:rPr>
          <w:rStyle w:val="FootnoteAnchor"/>
          <w:rtl w:val="true"/>
        </w:rPr>
        <w:footnoteReference w:id="1122"/>
      </w:r>
      <w:r>
        <w:rPr>
          <w:rFonts w:ascii="Amiri" w:hAnsi="Amiri" w:eastAsia="Amiri" w:cs="Amiri"/>
          <w:color w:val="111111"/>
          <w:sz w:val="28"/>
          <w:sz w:val="28"/>
          <w:szCs w:val="28"/>
          <w:rtl w:val="true"/>
          <w:lang w:bidi="ar-SA"/>
        </w:rPr>
        <w:t>بالثانية صريحاً،بل طرح الاُولى متعيّن جدّاً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حملها على ما لو اختار أولياء السابق استرقاقه قبل جنايته </w:t>
      </w:r>
    </w:p>
    <w:p>
      <w:pPr>
        <w:pStyle w:val="BookText"/>
        <w:rPr/>
      </w:pPr>
      <w:r>
        <w:rPr>
          <w:rFonts w:ascii="IRNazanin" w:hAnsi="IRNazanin" w:eastAsia="IRNazanin"/>
          <w:color w:val="111111"/>
          <w:sz w:val="28"/>
          <w:sz w:val="28"/>
          <w:szCs w:val="28"/>
          <w:rtl w:val="true"/>
          <w:lang w:bidi="fa-IR"/>
        </w:rPr>
        <w:t>على اللاحق؛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احترز بالتعاقب عمّا لو قتلهما دفعةً،فإنّ أولياء المقتولين يشتركون فيه حينئذٍ اتفاقاً،كما في شرح الشرائع للصيمري و المسالك و غيرهما </w:t>
      </w:r>
      <w:r>
        <w:rPr>
          <w:rStyle w:val="FootnoteAnchor"/>
          <w:rtl w:val="true"/>
        </w:rPr>
        <w:footnoteReference w:id="1123"/>
      </w:r>
      <w:r>
        <w:rPr>
          <w:rFonts w:ascii="Amiri" w:hAnsi="Amiri" w:eastAsia="Amiri" w:cs="Amiri"/>
          <w:color w:val="111111"/>
          <w:sz w:val="28"/>
          <w:sz w:val="28"/>
          <w:szCs w:val="28"/>
          <w:rtl w:val="true"/>
          <w:lang w:bidi="ar-SA"/>
        </w:rPr>
        <w:t xml:space="preserve">، و في غيرها نفي الخلاف عنه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الحكم به للأوّل اختياره استرقاقه قبل جنايته على الثاني،و إن لم يحكم به حاكم،و مع اختياره الاسترقاق لو قَتَل بعد ذلك فهو للثاني،فإن اختار استرقاقه ثم قَتَل فهو للثالث،و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نبّهوا بذلك على خلاف الشيخ في الاستبصار </w:t>
      </w:r>
      <w:r>
        <w:rPr>
          <w:rStyle w:val="FootnoteAnchor"/>
          <w:rtl w:val="true"/>
        </w:rPr>
        <w:footnoteReference w:id="1125"/>
      </w:r>
      <w:r>
        <w:rPr>
          <w:rFonts w:ascii="Amiri" w:hAnsi="Amiri" w:eastAsia="Amiri" w:cs="Amiri"/>
          <w:color w:val="111111"/>
          <w:sz w:val="28"/>
          <w:sz w:val="28"/>
          <w:szCs w:val="28"/>
          <w:rtl w:val="true"/>
          <w:lang w:bidi="ar-SA"/>
        </w:rPr>
        <w:t>،حيث اشترط في ذلك حكم الحاكم به،و ظاهر الرواية الصحيحة معه،فإنّ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جرح رجلين،قال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إن كانت الجناية محيطة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جرح رجلاً في أوّل النهار و آخر في آخر النهار؟قال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بينهما ما لم يحكم الوالي في المجروح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جنى بعد ذلك جناية فإنّ جنايته على الأخير</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 في المختلف </w:t>
      </w:r>
      <w:r>
        <w:rPr>
          <w:rStyle w:val="FootnoteAnchor"/>
          <w:rtl w:val="true"/>
        </w:rPr>
        <w:footnoteReference w:id="1127"/>
      </w:r>
      <w:r>
        <w:rPr>
          <w:rFonts w:ascii="Amiri" w:hAnsi="Amiri" w:eastAsia="Amiri" w:cs="Amiri"/>
          <w:color w:val="111111"/>
          <w:sz w:val="28"/>
          <w:sz w:val="28"/>
          <w:szCs w:val="28"/>
          <w:rtl w:val="true"/>
          <w:lang w:bidi="ar-SA"/>
        </w:rPr>
        <w:t>على ما يجب أن يحكم به،و هو الانتقال المستند إلى الاختيار،و في المسالك بعد نقل ما مرّ عن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جعل حكم الحاكم به كناية عن اختيار الأوّل الاسترقاق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 xml:space="preserve">. </w:t>
      </w:r>
      <w:bookmarkStart w:id="150" w:name="pg11409_90820"/>
    </w:p>
    <w:p>
      <w:pPr>
        <w:pStyle w:val="Heading6"/>
        <w:numPr>
          <w:ilvl w:val="5"/>
          <w:numId w:val="1"/>
        </w:numPr>
        <w:rPr/>
      </w:pPr>
      <w:bookmarkStart w:id="151" w:name="__RefHeading___Toc1102693_73709187"/>
      <w:bookmarkStart w:id="152" w:name="_Toc56"/>
      <w:bookmarkEnd w:id="150"/>
      <w:bookmarkEnd w:id="151"/>
      <w:r>
        <w:rPr>
          <w:rtl w:val="true"/>
        </w:rPr>
        <w:t>الثانية لو قطع يمين رجلين</w:t>
      </w:r>
      <w:bookmarkEnd w:id="15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حرّ يمين رجلين حرّين قطعت يمينه للأوّل و يساره للثاني كما لو قطع يمينه و لا يمين له،بلا خلاف أجده،بل عليه الإجماع في المسالك،و عن الخلاف و الغنية </w:t>
      </w:r>
      <w:r>
        <w:rPr>
          <w:rStyle w:val="FootnoteAnchor"/>
          <w:rtl w:val="true"/>
        </w:rPr>
        <w:footnoteReference w:id="1129"/>
      </w:r>
      <w:r>
        <w:rPr>
          <w:rFonts w:ascii="Amiri" w:hAnsi="Amiri" w:eastAsia="Amiri" w:cs="Amiri"/>
          <w:color w:val="111111"/>
          <w:sz w:val="28"/>
          <w:sz w:val="28"/>
          <w:szCs w:val="28"/>
          <w:rtl w:val="true"/>
          <w:lang w:bidi="ar-SA"/>
        </w:rPr>
        <w:t>،و هو الحجّة المخصِّصة لعموم ما دلّ على اعتبار المماثلة؛ مضافاً إلى ما سيأتي من الرواية الدالّة عليه صريحاً و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النهاية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قطع يداً و ليس له يدان قطعت رجله باليد،و كذا لو قطع أيدي جماعة قطعت يداه بالأوّل فالأوّل و الرجل بالأخير فالأخير،و لمن يبقى بعد ذلك الدية و نحوه في الخلاف </w:t>
      </w:r>
      <w:r>
        <w:rPr>
          <w:rStyle w:val="FootnoteAnchor"/>
          <w:rtl w:val="true"/>
        </w:rPr>
        <w:footnoteReference w:id="1131"/>
      </w:r>
      <w:r>
        <w:rPr>
          <w:rFonts w:ascii="Amiri" w:hAnsi="Amiri" w:eastAsia="Amiri" w:cs="Amiri"/>
          <w:color w:val="111111"/>
          <w:sz w:val="28"/>
          <w:sz w:val="28"/>
          <w:szCs w:val="28"/>
          <w:rtl w:val="true"/>
          <w:lang w:bidi="ar-SA"/>
        </w:rPr>
        <w:t xml:space="preserve">،و تبعه أكثر الأصحاب بل لم نقف لهم على مخالف،عدا الحلّي و شيخنا الشهيد الثاني </w:t>
      </w:r>
      <w:r>
        <w:rPr>
          <w:rStyle w:val="FootnoteAnchor"/>
          <w:rtl w:val="true"/>
        </w:rPr>
        <w:footnoteReference w:id="1132"/>
      </w:r>
      <w:r>
        <w:rPr>
          <w:rFonts w:ascii="Amiri" w:hAnsi="Amiri" w:eastAsia="Amiri" w:cs="Amiri"/>
          <w:color w:val="111111"/>
          <w:sz w:val="28"/>
          <w:sz w:val="28"/>
          <w:szCs w:val="28"/>
          <w:rtl w:val="true"/>
          <w:lang w:bidi="ar-SA"/>
        </w:rPr>
        <w:t>،حيث اعتبرا المماثلة،فلم يجوّزا قطع الرجل باليد،و أوجبا الدية؛ عملاً منهما بالعمومات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شاذّان،محكي على خلافهما الإجماع عن الخلاف و في الغنية </w:t>
      </w:r>
      <w:r>
        <w:rPr>
          <w:rStyle w:val="FootnoteAnchor"/>
          <w:rtl w:val="true"/>
        </w:rPr>
        <w:footnoteReference w:id="1133"/>
      </w:r>
      <w:r>
        <w:rPr>
          <w:rFonts w:ascii="Amiri" w:hAnsi="Amiri" w:eastAsia="Amiri" w:cs="Amiri"/>
          <w:color w:val="111111"/>
          <w:sz w:val="28"/>
          <w:sz w:val="28"/>
          <w:szCs w:val="28"/>
          <w:rtl w:val="true"/>
          <w:lang w:bidi="ar-SA"/>
        </w:rPr>
        <w:t>،و هو الحجّة،مضافاً إلى الرواية المشار إليها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استناداً إلى رواية حبيب السجستاني الصحيحة إليه، و كالصحيحة من أصلها؛ لرواية الحسن بن محبوب المجمع على تصحيح ما يصحّ عنه،و مع ذلك مروية في الكتب الثلاثة و المحاسن للبرقي عنه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قطع يدين لرجلين اليمينين،قال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 تقطع يمينه للذي قطع يمينه أوّلاً،و تقطع يساره للذي قطع يمينه </w:t>
      </w:r>
    </w:p>
    <w:p>
      <w:pPr>
        <w:pStyle w:val="BookText"/>
        <w:rPr/>
      </w:pPr>
      <w:r>
        <w:rPr>
          <w:rFonts w:ascii="Amiri" w:hAnsi="Amiri" w:eastAsia="Amiri" w:cs="Amiri"/>
          <w:color w:val="111111"/>
          <w:sz w:val="28"/>
          <w:sz w:val="28"/>
          <w:szCs w:val="28"/>
          <w:rtl w:val="true"/>
          <w:lang w:bidi="ar-SA"/>
        </w:rPr>
        <w:t>أخيراً؛ لأنّه إنّما قطع يد الرجل الأخير و يمينه قصاص للرجل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يقطع اليد اليمنى و الرجل اليسرى،قال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فيما يجب من حقوق اللّه تعالى،فأمّا ما كان من حقوق المسلمين فإنّه يؤخذ لهم حقوقهم في القصاص،اليد باليد إذا كان للقاطع يدان،و الرجل باليد إن لم يكن للقاطع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توجب عليه الدية و تترك له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توجب عليه الدية إذا قطع يد رجل و ليس للقاطع يدان و لا رجلان،فثمّ توجب عليه الدية؛ لأنّه ليس له جارحة يقاصّ منها</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مع اعتبار سندها بما عرفته من القرب من الصحّة معلّلة سليمة عن المعارض بالكلّية عدا العمومات المتقدّم إليها الإشارة، و هي بها مخصَّصة؛ لحصول المكافأة،سيّما مع عمل الأصحاب بها و وصفهم لها بالصحة،و إن لم يظهر وجهه؛ لأنّ حبيباً لم ينصّوا على توثيقه ،و إنّما ذكروا أنّه كان شارياً </w:t>
      </w:r>
      <w:r>
        <w:rPr>
          <w:rStyle w:val="FootnoteAnchor"/>
          <w:rtl w:val="true"/>
        </w:rPr>
        <w:footnoteReference w:id="1135"/>
      </w:r>
      <w:r>
        <w:rPr>
          <w:rFonts w:ascii="Amiri" w:hAnsi="Amiri" w:eastAsia="Amiri" w:cs="Amiri"/>
          <w:color w:val="111111"/>
          <w:sz w:val="28"/>
          <w:sz w:val="28"/>
          <w:szCs w:val="28"/>
          <w:rtl w:val="true"/>
          <w:lang w:bidi="ar-SA"/>
        </w:rPr>
        <w:t xml:space="preserve">و انتقل إلينا </w:t>
      </w:r>
      <w:r>
        <w:rPr>
          <w:rStyle w:val="FootnoteAnchor"/>
          <w:rtl w:val="true"/>
        </w:rPr>
        <w:footnoteReference w:id="1136"/>
      </w:r>
      <w:r>
        <w:rPr>
          <w:rFonts w:ascii="Amiri" w:hAnsi="Amiri" w:eastAsia="Amiri" w:cs="Amiri"/>
          <w:color w:val="111111"/>
          <w:sz w:val="28"/>
          <w:sz w:val="28"/>
          <w:szCs w:val="28"/>
          <w:rtl w:val="true"/>
          <w:lang w:bidi="ar-SA"/>
        </w:rPr>
        <w:t>،و في إلحاقه بذلك بالحسن فضلاً عن الصحيح بُعد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 الوصف بها إضافيّاً؛ لصحة الطريق إلى الراوي،و لكن مثله غير نافع لحجّية الحديث إن لم يكن الراوي بصفة الصحيح،و لذا استجود الشهيد الثاني في الروضة </w:t>
      </w:r>
      <w:r>
        <w:rPr>
          <w:rStyle w:val="FootnoteAnchor"/>
          <w:rtl w:val="true"/>
        </w:rPr>
        <w:footnoteReference w:id="1137"/>
      </w:r>
      <w:r>
        <w:rPr>
          <w:rFonts w:ascii="Amiri" w:hAnsi="Amiri" w:eastAsia="Amiri" w:cs="Amiri"/>
          <w:color w:val="111111"/>
          <w:sz w:val="28"/>
          <w:sz w:val="28"/>
          <w:szCs w:val="28"/>
          <w:rtl w:val="true"/>
          <w:lang w:bidi="ar-SA"/>
        </w:rPr>
        <w:t>طرح الرواية،و العمل بعمومات المماثلة</w:t>
      </w:r>
      <w:r>
        <w:rPr>
          <w:rFonts w:eastAsia="Amiri" w:cs="Amiri" w:ascii="Amiri" w:hAnsi="Amiri"/>
          <w:color w:val="111111"/>
          <w:sz w:val="28"/>
          <w:szCs w:val="28"/>
          <w:rtl w:val="true"/>
          <w:lang w:bidi="ar-SA"/>
        </w:rPr>
        <w:t xml:space="preserve">. </w:t>
      </w:r>
      <w:bookmarkStart w:id="153" w:name="pg11409_90822"/>
    </w:p>
    <w:p>
      <w:pPr>
        <w:pStyle w:val="BookText"/>
        <w:rPr/>
      </w:pPr>
      <w:bookmarkEnd w:id="153"/>
      <w:r>
        <w:rPr>
          <w:rFonts w:ascii="Amiri" w:hAnsi="Amiri" w:eastAsia="Amiri" w:cs="Amiri"/>
          <w:color w:val="111111"/>
          <w:sz w:val="28"/>
          <w:sz w:val="28"/>
          <w:szCs w:val="28"/>
          <w:rtl w:val="true"/>
          <w:lang w:bidi="ar-SA"/>
        </w:rPr>
        <w:t>و هو ضعيف في الغاية؛ لعدم انحصار الحجة في الرواية الصحيحة، بل القربية منها كذلك،و الرواية كذلك كما عرفته،و على تقدير ضعفها ففتوى الأصحاب لها جابرة،سيّما مع دعوى جملة منهم عليه إجماع الإمامية،و عدم ظهور مخالف لهم بالكلّية عدا الحلّي،و هو شاذّ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تردّد الماتن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 يجب الاقتصار في مخالفة العمومات على مورد النص،و هو التقاصّ في الرجل باليد،و به قطع الفاضل في التحرير و غيره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للحلبي </w:t>
      </w:r>
      <w:r>
        <w:rPr>
          <w:rStyle w:val="FootnoteAnchor"/>
          <w:rtl w:val="true"/>
        </w:rPr>
        <w:footnoteReference w:id="1139"/>
      </w:r>
      <w:r>
        <w:rPr>
          <w:rFonts w:ascii="Amiri" w:hAnsi="Amiri" w:eastAsia="Amiri" w:cs="Amiri"/>
          <w:color w:val="111111"/>
          <w:sz w:val="28"/>
          <w:sz w:val="28"/>
          <w:szCs w:val="28"/>
          <w:rtl w:val="true"/>
          <w:lang w:bidi="ar-SA"/>
        </w:rPr>
        <w:t>،فعمّم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القول في أصابع اليدين و الرجلين و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نظر إلى ما مرّ في الرواية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ذكر هذه المسألة في قصاص الطرف كما فعله جماعة أولى من ذكرها هنا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102695_73709187"/>
      <w:bookmarkStart w:id="155" w:name="_Toc57"/>
      <w:bookmarkEnd w:id="154"/>
      <w:r>
        <w:rPr>
          <w:rtl w:val="true"/>
        </w:rPr>
        <w:t>الثالثة إذا قتل العبد حرّا عمداً فأعتقه</w:t>
      </w:r>
      <w:bookmarkEnd w:id="155"/>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 العبد حرّا عمداً فأعتقه بعد ذلك مولاه ففي صحة العتق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بقاء ملكه عليه،و تغليب الحرّية،و كون الأصل في قضية العمد القتل دون الاسترقاق،و هو باق مع العتق؛ لأنّ المقتول مكافئ للحرّ لو كانت الحرّية ابتداءً،فمع طريانها أولى،هذا،مع كون العتق أقوى من الجناية؛ لنفوذه في ملك الغير و هو الشريك،بخلافها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تسلّط الوليّ على إزالة ملكه عنه بالقتل أو الاسترقاق،فيضعف ملك المولى له،و تعلّق حق الغير به قصاصاً أو استرقاقاً،و هو يمنع </w:t>
      </w:r>
    </w:p>
    <w:p>
      <w:pPr>
        <w:pStyle w:val="BookText"/>
        <w:rPr/>
      </w:pPr>
      <w:r>
        <w:rPr>
          <w:rFonts w:ascii="IRNazanin" w:hAnsi="IRNazanin" w:eastAsia="IRNazanin"/>
          <w:color w:val="111111"/>
          <w:sz w:val="28"/>
          <w:sz w:val="28"/>
          <w:szCs w:val="28"/>
          <w:rtl w:val="true"/>
          <w:lang w:bidi="fa-IR"/>
        </w:rPr>
        <w:t>الاسترقاق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الأشبه عند الماتن هنا و في الشرائع و شيخنا في شرحه و فخر الدين و الفاضل المقداد في الشرح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ينعتق؛ لأنّ للوليّ التخيير في الاقتصاص و الاسترقاق بالنصّ و الوفاق،و هو ينافي صحة العتق؛ لعدم إمكان أحد فردي متعلّق الخيار معه،و إن أمكن الفرد الآخر الذي هو الاقتصاص،فإنّ إلزام الوليّ به إجبار لا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ببقاء الخيار معه و أنّه إن اقتصّ منه أو استرقّه بطل عتقه، و إن عفا على مال و افتكّه مولاه عتق،و كذا لو عفا عنه مطلقا،كما في التحرير و غيره </w:t>
      </w:r>
      <w:r>
        <w:rPr>
          <w:rStyle w:val="FootnoteAnchor"/>
          <w:rtl w:val="true"/>
        </w:rPr>
        <w:footnoteReference w:id="1141"/>
      </w:r>
      <w:r>
        <w:rPr>
          <w:rFonts w:ascii="Amiri" w:hAnsi="Amiri" w:eastAsia="Amiri" w:cs="Amiri"/>
          <w:color w:val="111111"/>
          <w:sz w:val="28"/>
          <w:sz w:val="28"/>
          <w:szCs w:val="28"/>
          <w:rtl w:val="true"/>
          <w:lang w:bidi="ar-SA"/>
        </w:rPr>
        <w:t>لم يلزم المحذور،لكن يلزم محذور آخر،و هو كون العتق موقوفاً مع أنّ من شرطه التنجيز و عدم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عن ضرر مثل هذا التعليق،و يخصّ التعليق الممنوع منه بما ذكره في صيغة العتق،لا ما كان موجباً لتوقّفه من خارج كما نحن فيه،فتدبّر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قتله له خطأً ففي رواية عمرو بن شمر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قتل حرّا خطأً،فلمّا قتله أعتقه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عتقه،و ضمّنه الدية</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و مقتضاها كما ترى أنه يصحّ العتق و يضمن المولى الدية و به أفتى في النهاية و الفاضل في القواعد </w:t>
      </w:r>
      <w:r>
        <w:rPr>
          <w:rStyle w:val="FootnoteAnchor"/>
          <w:rtl w:val="true"/>
        </w:rPr>
        <w:footnoteReference w:id="1143"/>
      </w:r>
      <w:r>
        <w:rPr>
          <w:rFonts w:ascii="Amiri" w:hAnsi="Amiri" w:eastAsia="Amiri" w:cs="Amiri"/>
          <w:color w:val="111111"/>
          <w:sz w:val="28"/>
          <w:sz w:val="28"/>
          <w:szCs w:val="28"/>
          <w:rtl w:val="true"/>
          <w:lang w:bidi="ar-SA"/>
        </w:rPr>
        <w:t xml:space="preserve">لها؛ و لأنّ الخيار في الخطأ إلى السيّد إن </w:t>
      </w:r>
    </w:p>
    <w:p>
      <w:pPr>
        <w:pStyle w:val="BookText"/>
        <w:rPr/>
      </w:pPr>
      <w:r>
        <w:rPr>
          <w:rFonts w:ascii="Amiri" w:hAnsi="Amiri" w:eastAsia="Amiri" w:cs="Amiri"/>
          <w:color w:val="111111"/>
          <w:sz w:val="28"/>
          <w:sz w:val="28"/>
          <w:szCs w:val="28"/>
          <w:rtl w:val="true"/>
          <w:lang w:bidi="ar-SA"/>
        </w:rPr>
        <w:t>شاء سلّمه،و إن شاء فداه،فعتقه دليل على اختياره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عمرو ضعف مشهور ،و مع ذلك مرسلة،فلا تصلح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بجواز إعسار السيّد و عجزه عن الدية،فلو حكمنا بصحة العتق لزم أن يطلّ دم امرئ مسلم،و هو باطل،و من ثمّ قيّدها الفاضل </w:t>
      </w:r>
      <w:r>
        <w:rPr>
          <w:rStyle w:val="FootnoteAnchor"/>
          <w:rtl w:val="true"/>
        </w:rPr>
        <w:footnoteReference w:id="1144"/>
      </w:r>
      <w:r>
        <w:rPr>
          <w:rFonts w:ascii="Amiri" w:hAnsi="Amiri" w:eastAsia="Amiri" w:cs="Amiri"/>
          <w:color w:val="111111"/>
          <w:sz w:val="28"/>
          <w:sz w:val="28"/>
          <w:szCs w:val="28"/>
          <w:rtl w:val="true"/>
          <w:lang w:bidi="ar-SA"/>
        </w:rPr>
        <w:t>بصورة يسار المولى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هذا بأنّه قد يدافع مع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الأشبه اشتراط الصحة بتقديم المولى الضمان للدية على العتق مع رضاء وليّ الدم به،أو أدائه لها قبله؛ فراراً عن ذينك المحذورين،و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يقيّد الصحة بأداء المولى الدية من دون اعتبار تقديم الأداء، حتى لو أدّاها بعد العتق صحّ و لو لم يضمنها قبله،كما في المسالك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حينئذٍ بأنّ العتق لا يقع موقوفاً؛ لبنائه على التغليب،بل إمّا أن يحكم بصحته منجّزاً أو ببطلانه رأساً،فلا وجه للحكم بالصحة متزلزلاً إلى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عبارة الماتن هنا و في الشرائع </w:t>
      </w:r>
      <w:r>
        <w:rPr>
          <w:rStyle w:val="FootnoteAnchor"/>
          <w:rtl w:val="true"/>
        </w:rPr>
        <w:footnoteReference w:id="1146"/>
      </w:r>
      <w:r>
        <w:rPr>
          <w:rFonts w:ascii="Amiri" w:hAnsi="Amiri" w:eastAsia="Amiri" w:cs="Amiri"/>
          <w:color w:val="111111"/>
          <w:sz w:val="28"/>
          <w:sz w:val="28"/>
          <w:szCs w:val="28"/>
          <w:rtl w:val="true"/>
          <w:lang w:bidi="ar-SA"/>
        </w:rPr>
        <w:t>كفاية تقديم الضمان للدية قبل العتق في لزوم صحته مطلقاً،أدّاها قبله أم لا،رضي الوليّ بالضمان أم 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في صورة عدم الأداء مع عدم ظهور رضاء الوليّ بضمانها، بأنّه قد يضمنها و يدافع بعد ذلك عن الأداء،كما ورد على الفاضل في </w:t>
      </w:r>
      <w:bookmarkStart w:id="156" w:name="pg11409_90825"/>
    </w:p>
    <w:p>
      <w:pPr>
        <w:pStyle w:val="BookText"/>
        <w:rPr/>
      </w:pPr>
      <w:bookmarkEnd w:id="156"/>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فالأجود التعبير بما قدّمناه،وفاقاً للفاضل المقداد في شرح الكتاب </w:t>
      </w:r>
      <w:r>
        <w:rPr>
          <w:rStyle w:val="FootnoteAnchor"/>
          <w:rtl w:val="true"/>
        </w:rPr>
        <w:footnoteReference w:id="1147"/>
      </w:r>
      <w:r>
        <w:rPr>
          <w:rFonts w:ascii="Amiri" w:hAnsi="Amiri" w:eastAsia="Amiri" w:cs="Amiri"/>
          <w:color w:val="111111"/>
          <w:sz w:val="28"/>
          <w:sz w:val="28"/>
          <w:szCs w:val="28"/>
          <w:rtl w:val="true"/>
          <w:lang w:bidi="ar-SA"/>
        </w:rPr>
        <w:t>،حيث لم يعبّر عن الأشبه بما في المتن،بل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هنا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دفع الدية أوّلاً أو ضمن و رضي الوليّ صحّ العتق،و إلّا فلا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02697_73709187"/>
      <w:bookmarkStart w:id="158" w:name="_Toc58"/>
      <w:bookmarkEnd w:id="157"/>
      <w:r>
        <w:rPr>
          <w:rtl w:val="true"/>
        </w:rPr>
        <w:t>الشرط الثاني الدين</w:t>
      </w:r>
      <w:bookmarkEnd w:id="158"/>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فلا يقتل مسلم بكافر مطلقاً ذمّيا كان أو غيره إجماعاً من العلماء كافّة في الحربي على الظاهر،المصرَّح به في الإيضاح </w:t>
      </w:r>
      <w:r>
        <w:rPr>
          <w:rStyle w:val="FootnoteAnchor"/>
          <w:rtl w:val="true"/>
        </w:rPr>
        <w:footnoteReference w:id="1148"/>
      </w:r>
      <w:r>
        <w:rPr>
          <w:rFonts w:ascii="Amiri" w:hAnsi="Amiri" w:eastAsia="Amiri" w:cs="Amiri"/>
          <w:color w:val="111111"/>
          <w:sz w:val="28"/>
          <w:sz w:val="28"/>
          <w:szCs w:val="28"/>
          <w:rtl w:val="true"/>
          <w:lang w:bidi="ar-SA"/>
        </w:rPr>
        <w:t xml:space="preserve">،و من الإمامية خاصة مطلقاً،حتى الذمّي مع عدم اعتياد قتله،كما ادّعاه جماعة حدّ الاستفاضة،كالحلّي في السرائر و فخر الدين في الإيضاح و شيخنا في المسالك </w:t>
      </w:r>
      <w:r>
        <w:rPr>
          <w:rStyle w:val="FootnoteAnchor"/>
          <w:rtl w:val="true"/>
        </w:rPr>
        <w:footnoteReference w:id="1149"/>
      </w:r>
      <w:r>
        <w:rPr>
          <w:rFonts w:ascii="Amiri" w:hAnsi="Amiri" w:eastAsia="Amiri" w:cs="Amiri"/>
          <w:color w:val="111111"/>
          <w:sz w:val="28"/>
          <w:sz w:val="28"/>
          <w:szCs w:val="28"/>
          <w:rtl w:val="true"/>
          <w:lang w:bidi="ar-SA"/>
        </w:rPr>
        <w:t xml:space="preserve">،و نفى عنه الخلاف في التنقيح </w:t>
      </w:r>
      <w:r>
        <w:rPr>
          <w:rStyle w:val="FootnoteAnchor"/>
          <w:rtl w:val="true"/>
        </w:rPr>
        <w:footnoteReference w:id="1150"/>
      </w:r>
      <w:r>
        <w:rPr>
          <w:rFonts w:ascii="Amiri" w:hAnsi="Amiri" w:eastAsia="Amiri" w:cs="Amiri"/>
          <w:color w:val="111111"/>
          <w:sz w:val="28"/>
          <w:sz w:val="28"/>
          <w:szCs w:val="28"/>
          <w:rtl w:val="true"/>
          <w:lang w:bidi="ar-SA"/>
        </w:rPr>
        <w:t xml:space="preserve">و شرح الشرائع للصيمري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كأنّهم لم يعتدّوا بما يحكى عن الصدوق في المقنع </w:t>
      </w:r>
      <w:r>
        <w:rPr>
          <w:rStyle w:val="FootnoteAnchor"/>
          <w:rtl w:val="true"/>
        </w:rPr>
        <w:footnoteReference w:id="1152"/>
      </w:r>
      <w:r>
        <w:rPr>
          <w:rFonts w:ascii="Amiri" w:hAnsi="Amiri" w:eastAsia="Amiri" w:cs="Amiri"/>
          <w:color w:val="111111"/>
          <w:sz w:val="28"/>
          <w:sz w:val="28"/>
          <w:szCs w:val="28"/>
          <w:rtl w:val="true"/>
          <w:lang w:bidi="ar-SA"/>
        </w:rPr>
        <w:t>من تسويته بين المسلم و الذمّي في أن الوليّ إن شاء اقتصّ من قاتله المسلم بعد ردّ فاضل الدية،و إن شاء أخذ الدية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يدل عليه جملة من المعتبرة،كالصحيح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النصراني ثم أراد أهله أن يقتلوه قتلوه و أدّوا فضل ما بين الديتين</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يهودياً أو نصرانياً أو مجوسياً و أرادوا أن يقيدوا ردّوا فضل دية المسلم و أقادوا به</w:t>
      </w:r>
      <w:r>
        <w:rPr>
          <w:rFonts w:eastAsia="Amiri" w:cs="Amiri" w:ascii="Amiri" w:hAnsi="Amiri"/>
          <w:color w:val="111111"/>
          <w:sz w:val="28"/>
          <w:szCs w:val="28"/>
          <w:rtl w:val="true"/>
          <w:lang w:bidi="ar-SA"/>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 نحوهما الموثق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لكنّها بإطلاقها شاذّة معارضة بما عرفت من الإجماع المستفيض في كلام الجماعة،و نصّ الكتاب،قال سبحانه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الاعتبار،و النصوص الآتية،فلتكن هذه مطرحة،أو محمولة على التقية؛ لموافقتها لرأي أبي حنيفة كما حكاه عنه بعض الأجلة </w:t>
      </w:r>
      <w:r>
        <w:rPr>
          <w:rStyle w:val="FootnoteAnchor"/>
          <w:rtl w:val="true"/>
        </w:rPr>
        <w:footnoteReference w:id="1157"/>
      </w:r>
      <w:r>
        <w:rPr>
          <w:rFonts w:ascii="Amiri" w:hAnsi="Amiri" w:eastAsia="Amiri" w:cs="Amiri"/>
          <w:color w:val="111111"/>
          <w:sz w:val="28"/>
          <w:sz w:val="28"/>
          <w:szCs w:val="28"/>
          <w:rtl w:val="true"/>
          <w:lang w:bidi="ar-SA"/>
        </w:rPr>
        <w:t>،أو على صورة الاعتياد كما فصّلته النصوص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عدم قتل المسلم بالكافر مطلقا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يعزّر المسلم القاتل و يغرم دية الذميّ إذا قتله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اعتاد المسلم ذلك أي قتل الذمّي فهل يجوز قتله به، أم لا؟الحلّي </w:t>
      </w:r>
      <w:r>
        <w:rPr>
          <w:rStyle w:val="FootnoteAnchor"/>
          <w:rtl w:val="true"/>
        </w:rPr>
        <w:footnoteReference w:id="1158"/>
      </w:r>
      <w:r>
        <w:rPr>
          <w:rFonts w:ascii="Amiri" w:hAnsi="Amiri" w:eastAsia="Amiri" w:cs="Amiri"/>
          <w:color w:val="111111"/>
          <w:sz w:val="28"/>
          <w:sz w:val="28"/>
          <w:szCs w:val="28"/>
          <w:rtl w:val="true"/>
          <w:lang w:bidi="ar-SA"/>
        </w:rPr>
        <w:t xml:space="preserve">على الثاني؛ عملاً بنصّ الكتاب المتقدّم،مع دعواه الإجماع عليه،و وافقه فخر الدين و والده في جملة من كتبه </w:t>
      </w:r>
      <w:r>
        <w:rPr>
          <w:rStyle w:val="FootnoteAnchor"/>
          <w:rtl w:val="true"/>
        </w:rPr>
        <w:footnoteReference w:id="1159"/>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الأشهر كما ادّعاه الشهيدان و غيرهما </w:t>
      </w:r>
      <w:r>
        <w:rPr>
          <w:rStyle w:val="FootnoteAnchor"/>
          <w:rtl w:val="true"/>
        </w:rPr>
        <w:footnoteReference w:id="1160"/>
      </w:r>
      <w:r>
        <w:rPr>
          <w:rFonts w:ascii="Amiri" w:hAnsi="Amiri" w:eastAsia="Amiri" w:cs="Amiri"/>
          <w:color w:val="111111"/>
          <w:sz w:val="28"/>
          <w:sz w:val="28"/>
          <w:szCs w:val="28"/>
          <w:rtl w:val="true"/>
          <w:lang w:bidi="ar-SA"/>
        </w:rPr>
        <w:t>الأوّل،بل زاد أوّلهما فادّعى الإجماع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هذه المسألة إجماعية،فإنّه لم يخالف فيها أحد سوى ابن إدريس،و قد سبقه الإجماع عليه،و لو كان هذا الخلاف مؤثّراً في الإجماع لم يوجد إجماع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كلام الثاني في الروضة،حيث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 ابن إدريس احتجّ على مذهبه بالإجماع على عدم قتل المسلم بالكافر،و هو استدلال في مقابلة الإجماع،انتهى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التصريح به عن الانتصار </w:t>
      </w:r>
      <w:r>
        <w:rPr>
          <w:rStyle w:val="FootnoteAnchor"/>
          <w:rtl w:val="true"/>
        </w:rPr>
        <w:footnoteReference w:id="1161"/>
      </w:r>
      <w:r>
        <w:rPr>
          <w:rFonts w:ascii="Amiri" w:hAnsi="Amiri" w:eastAsia="Amiri" w:cs="Amiri"/>
          <w:color w:val="111111"/>
          <w:sz w:val="28"/>
          <w:sz w:val="28"/>
          <w:szCs w:val="28"/>
          <w:rtl w:val="true"/>
          <w:lang w:bidi="ar-SA"/>
        </w:rPr>
        <w:t>،و هو الحجّة على انتصار هذا القول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نحو الصحيحين المتقدّمين المجوِّزين لقتل المسلم بالذمّي بعد ردّ أوليائه الدية،و شمولها لصورة عدم الاعتياد بالإطلاق مقيّد بالإجماع،و ببعض المعتبرة المروي بعدّة طرق،جملة منها موثّقة كالصحيحة بأبان و فضالة اللذين قد نقل على تصحيح ما يصحّ عنهما إجماع العصابة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اليهود و النصارى و المجوس،هل عليهم و على من قتلهم شيء،إذا غشّوا المسلمين و أظهروا لهم العداوة؟قال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متعوّداً 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المسلم هل يقتل بأهل الذمّة و أهل الكتاب إذا قتلهم؟قال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معتاداً لذلك لا يدع قتلهم،فيقتل و هو صاغر</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خبر آخر </w:t>
      </w:r>
      <w:r>
        <w:rPr>
          <w:rStyle w:val="FootnoteAnchor"/>
          <w:rtl w:val="true"/>
        </w:rPr>
        <w:footnoteReference w:id="1164"/>
      </w:r>
      <w:r>
        <w:rPr>
          <w:rFonts w:ascii="Amiri" w:hAnsi="Amiri" w:eastAsia="Amiri" w:cs="Amiri"/>
          <w:color w:val="111111"/>
          <w:sz w:val="28"/>
          <w:sz w:val="28"/>
          <w:szCs w:val="28"/>
          <w:rtl w:val="true"/>
          <w:lang w:bidi="ar-SA"/>
        </w:rPr>
        <w:t>،ضعف سنده كقصور سابقه إن كان منجبر بالشهرة الظاهرة و المحكية،مضافاً إلى حكاية الإجماعات المتقدّمة،و بهذه الأدلّة تخصّ ظاهر الكتاب و إطلاق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بذمّي في القتل و لا في الجراحات،و لكن يؤخذ من المسلم ديته للذمّي على قدر 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عن إجماع الحلّي فقد عرفته بما في الروضة،فلا ريب أيضاً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رجع الماتن عن التردّد فيها في الشرائع </w:t>
      </w:r>
      <w:r>
        <w:rPr>
          <w:rStyle w:val="FootnoteAnchor"/>
          <w:rtl w:val="true"/>
        </w:rPr>
        <w:footnoteReference w:id="1166"/>
      </w:r>
      <w:r>
        <w:rPr>
          <w:rFonts w:ascii="Amiri" w:hAnsi="Amiri" w:eastAsia="Amiri" w:cs="Amiri"/>
          <w:color w:val="111111"/>
          <w:sz w:val="28"/>
          <w:sz w:val="28"/>
          <w:szCs w:val="28"/>
          <w:rtl w:val="true"/>
          <w:lang w:bidi="ar-SA"/>
        </w:rPr>
        <w:t>إلى الجزم بما هنا؛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الاقتصاص مع ردّ فاضل الدية </w:t>
      </w:r>
      <w:r>
        <w:rPr>
          <w:rStyle w:val="FootnoteAnchor"/>
          <w:rtl w:val="true"/>
        </w:rPr>
        <w:footnoteReference w:id="1167"/>
      </w:r>
      <w:r>
        <w:rPr>
          <w:rFonts w:ascii="Amiri" w:hAnsi="Amiri" w:eastAsia="Amiri" w:cs="Amiri"/>
          <w:color w:val="111111"/>
          <w:sz w:val="28"/>
          <w:sz w:val="28"/>
          <w:szCs w:val="28"/>
          <w:rtl w:val="true"/>
          <w:lang w:bidi="ar-SA"/>
        </w:rPr>
        <w:t xml:space="preserve">و ظاهره كما ترى كون القتل قصاصاً لا حدّا،كما عن المقنعة و النهاية و الجامع و الوسيلة </w:t>
      </w:r>
      <w:r>
        <w:rPr>
          <w:rStyle w:val="FootnoteAnchor"/>
          <w:rtl w:val="true"/>
        </w:rPr>
        <w:footnoteReference w:id="1168"/>
      </w:r>
      <w:r>
        <w:rPr>
          <w:rFonts w:ascii="Amiri" w:hAnsi="Amiri" w:eastAsia="Amiri" w:cs="Amiri"/>
          <w:color w:val="111111"/>
          <w:sz w:val="28"/>
          <w:sz w:val="28"/>
          <w:szCs w:val="28"/>
          <w:rtl w:val="true"/>
          <w:lang w:bidi="ar-SA"/>
        </w:rPr>
        <w:t xml:space="preserve">، و عن الإسكافي و الحلبي و ظاهر الفقيه و الغنية </w:t>
      </w:r>
      <w:r>
        <w:rPr>
          <w:rStyle w:val="FootnoteAnchor"/>
          <w:rtl w:val="true"/>
        </w:rPr>
        <w:footnoteReference w:id="1169"/>
      </w:r>
      <w:r>
        <w:rPr>
          <w:rFonts w:ascii="Amiri" w:hAnsi="Amiri" w:eastAsia="Amiri" w:cs="Amiri"/>
          <w:color w:val="111111"/>
          <w:sz w:val="28"/>
          <w:sz w:val="28"/>
          <w:szCs w:val="28"/>
          <w:rtl w:val="true"/>
          <w:lang w:bidi="ar-SA"/>
        </w:rPr>
        <w:t xml:space="preserve">أنّه يقتل حدّا فلا يجب ردّ الدية،كما عليه الفاضل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النصوص بعد ضمّ بعضها إلى بعض بالنسبة إلى ردّ فاضل الدية هو الأوّل،و هو الوجه مع عدم ظهور دليل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الجمع بين الحكمين،فيقتل لقتله و إفساده، </w:t>
      </w:r>
    </w:p>
    <w:p>
      <w:pPr>
        <w:pStyle w:val="BookText"/>
        <w:rPr/>
      </w:pPr>
      <w:r>
        <w:rPr>
          <w:rFonts w:ascii="Amiri" w:hAnsi="Amiri" w:eastAsia="Amiri" w:cs="Amiri"/>
          <w:color w:val="111111"/>
          <w:sz w:val="28"/>
          <w:sz w:val="28"/>
          <w:szCs w:val="28"/>
          <w:rtl w:val="true"/>
          <w:lang w:bidi="ar-SA"/>
        </w:rPr>
        <w:t>و يردّ الورثة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فائدة القولين في سقوط القود بعفو الوليّ، و توقّفه على طلبه على الأوّل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ففي توقّفه على طلب جميع أولياء المقتولين أو الأخير خاصة،وجهان،منشؤهما كون قتل الأوّل جزءاً من السبب أو شرطاً فيه،فعلى الأوّل الأوّل،و على الثاني الثاني، و لعلّه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 أنّ المردود عليه هو الفاضل عن ديات جميع المقتولين أو عن دية الأخير،فعلى الأوّل الأوّل أيضاً،و على 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الاعتياد إلى العرف،و ربما تحقق بالثانية؛ لأنّه مشتق من العود،فيقتل فيها أو في الثالثة،و هو الأجود؛ لأنّ الاعتياد شرط في القصاص،فلا بدّ من تقدّمه على استحقاقه </w:t>
      </w:r>
      <w:r>
        <w:rPr>
          <w:rStyle w:val="FootnoteAnchor"/>
          <w:rtl w:val="true"/>
        </w:rPr>
        <w:footnoteReference w:id="1171"/>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نقلناه بطوله لتكفّله لجملة من فروع المسألة و متعلّقاته،مع جودة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أوّلاً من إمكان الجمع بين الحكمين لا يخلو عن نظر؛ لكونه إحداث قول،و لذا فرع جماعة على القولين ردّ فاضل الدية فأثبتوه على الأوّل،و نفوه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أخيراً من جواز القتل في الثالثة منظور فيه؛ لعدم صدق الاعتياد بالمرّتين عرفاً،و إن صدق لغةً نظراً إلى مبدأ الاشتقاق،بناءً على ترجيح العرف عليه،كما هو الأظهر الأشهر،و به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عكس صحّ ما ذكره،فتأمّل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يقتل الذمّي بالذمّي و إن اختلفت ملّتهما،كاليهودي و النصراني و بالذمّية بعد ردّ أوليائها فاضل ديته عن دية الذمّية،و هو نصف ديته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تقتل الذمّية بمثلها،و بالذمّي مطلقاً و لا ردّ هنا؛ فإنّ الجاني لا يجنى على أكثر من نفسه،مع أنّه لا خلاف فيه و لا في شيء ممّا سبقه،بل حكى عليه الإجماع بعض الأجلّة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فيها بعده عمومات الكتاب و السنّة المتقدمة في جناية المسلم و المسلمة،مضافاً إلى خصوص القوية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لليهودي و النصراني و المجوسي بعضهم من بعض،و يقتل بعضهم ببعض إذا قتلوا عمداً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قتل الذمّي مسلماً عمداً دفع هو و ماله إلى أولياء المقتول،و له أي لوليّه الخيرة بين قتله و استرقاقه على الأظهر الأشهر،بل عليه عامّة من تأخّر،و عن الانتصار و السرائر و ظاهر النكت و في الروضة </w:t>
      </w:r>
      <w:r>
        <w:rPr>
          <w:rStyle w:val="FootnoteAnchor"/>
          <w:rtl w:val="true"/>
        </w:rPr>
        <w:footnoteReference w:id="1174"/>
      </w:r>
      <w:r>
        <w:rPr>
          <w:rFonts w:ascii="Amiri" w:hAnsi="Amiri" w:eastAsia="Amiri" w:cs="Amiri"/>
          <w:color w:val="111111"/>
          <w:sz w:val="28"/>
          <w:sz w:val="28"/>
          <w:szCs w:val="28"/>
          <w:rtl w:val="true"/>
          <w:lang w:bidi="ar-SA"/>
        </w:rPr>
        <w:t>الإجماع عليه، و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الصحيح المروي في الكتب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قتل مسلماً،فلمّا أُخذ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إلى أولياء المقتول،فإن شاءُوا قتلوا،و إن شاءُوا عفوا،و إن شاءُوا استرقّوا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معه عين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إلى أولياء المقتول هو و ماله</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تملّك أمواله بين ما ينقل منها و ما لا ينقل،و لا بين العين و الدين،كما هو ظاهر إطلاق النصّ و الفتوى،و به صرّح في التحرير </w:t>
      </w:r>
      <w:r>
        <w:rPr>
          <w:rStyle w:val="FootnoteAnchor"/>
          <w:rtl w:val="true"/>
        </w:rPr>
        <w:footnoteReference w:id="11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اختصاص السؤال في الرواية بالعين لا يوجب تقييد المال المطلق في الجواب بها،فتأمّل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المساوي لفاضل دية المسلم و الزائد عليه المساوي للدية و الزائد عليها؛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الحلبيّين </w:t>
      </w:r>
      <w:r>
        <w:rPr>
          <w:rStyle w:val="FootnoteAnchor"/>
          <w:rtl w:val="true"/>
        </w:rPr>
        <w:footnoteReference w:id="1177"/>
      </w:r>
      <w:r>
        <w:rPr>
          <w:rFonts w:ascii="Amiri" w:hAnsi="Amiri" w:eastAsia="Amiri" w:cs="Amiri"/>
          <w:color w:val="111111"/>
          <w:sz w:val="28"/>
          <w:sz w:val="28"/>
          <w:szCs w:val="28"/>
          <w:rtl w:val="true"/>
          <w:lang w:bidi="ar-SA"/>
        </w:rPr>
        <w:t>،فإنّما أجازا الرجوع على تركته أو أهله بدية المقتول أو قيمته إن كان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بين اختيار الأولياء قتله أو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178"/>
      </w:r>
      <w:r>
        <w:rPr>
          <w:rFonts w:ascii="Amiri" w:hAnsi="Amiri" w:eastAsia="Amiri" w:cs="Amiri"/>
          <w:color w:val="111111"/>
          <w:sz w:val="28"/>
          <w:sz w:val="28"/>
          <w:szCs w:val="28"/>
          <w:rtl w:val="true"/>
          <w:lang w:bidi="ar-SA"/>
        </w:rPr>
        <w:t>،فإنّما أجاز أخذ المال إذا اختير الاسترقاق؛ لأنّ مال المملوك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يحتمله الخبر و كلام الأكثر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يسترقّ ولده الصغار غير المكلّفين؟قولان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الطفل يتبع أباه،فإذا ثبت له الاسترقاق شاركه فيه،و أنّ المقتضي لحقن دمه و احترام ماله و ولده هو التزامه بالذمّة،و قد خرقها بالقتل،فتجري عليه أحكام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أصالة بقاء حرّيتهم؛ لانعقادهم عليها،و عموم وَ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و خلوّ النص المتقدّم عن ذلك مع وروده في مقام الحاجة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ضعف الأوجه السابقة،فالأوّل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التبعية كلّيةً حتى هنا،و إن </w:t>
      </w:r>
    </w:p>
    <w:p>
      <w:pPr>
        <w:pStyle w:val="BookText"/>
        <w:rPr/>
      </w:pPr>
      <w:r>
        <w:rPr>
          <w:rFonts w:ascii="Amiri" w:hAnsi="Amiri" w:eastAsia="Amiri" w:cs="Amiri"/>
          <w:color w:val="111111"/>
          <w:sz w:val="28"/>
          <w:sz w:val="28"/>
          <w:szCs w:val="28"/>
          <w:rtl w:val="true"/>
          <w:lang w:bidi="ar-SA"/>
        </w:rPr>
        <w:t>هي إلّا عين المتنازع،و لا دليل عليها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يوجب اشتراك المسلمين فيهم؛ لأنّهم فيء،أو اختصاص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بهم،لا اختصاص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هو كذلك،وفاقاً لكثير من متأخّري أصحابنا،تبعاً للحلّي </w:t>
      </w:r>
      <w:r>
        <w:rPr>
          <w:rStyle w:val="FootnoteAnchor"/>
          <w:rtl w:val="true"/>
        </w:rPr>
        <w:footnoteReference w:id="1181"/>
      </w:r>
      <w:r>
        <w:rPr>
          <w:rFonts w:ascii="Amiri" w:hAnsi="Amiri" w:eastAsia="Amiri" w:cs="Amiri"/>
          <w:color w:val="111111"/>
          <w:sz w:val="28"/>
          <w:sz w:val="28"/>
          <w:szCs w:val="28"/>
          <w:rtl w:val="true"/>
          <w:lang w:bidi="ar-SA"/>
        </w:rPr>
        <w:t xml:space="preserve">،و ربما يعزى إلى ابن بابويه و المرتضى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جماعة </w:t>
      </w:r>
      <w:r>
        <w:rPr>
          <w:rStyle w:val="FootnoteAnchor"/>
          <w:rtl w:val="true"/>
        </w:rPr>
        <w:footnoteReference w:id="1183"/>
      </w:r>
      <w:r>
        <w:rPr>
          <w:rFonts w:ascii="Amiri" w:hAnsi="Amiri" w:eastAsia="Amiri" w:cs="Amiri"/>
          <w:color w:val="111111"/>
          <w:sz w:val="28"/>
          <w:sz w:val="28"/>
          <w:szCs w:val="28"/>
          <w:rtl w:val="true"/>
          <w:lang w:bidi="ar-SA"/>
        </w:rPr>
        <w:t xml:space="preserve">،و ربما نسب إلى الشيخ </w:t>
      </w:r>
      <w:r>
        <w:rPr>
          <w:rStyle w:val="FootnoteAnchor"/>
          <w:rtl w:val="true"/>
        </w:rPr>
        <w:footnoteReference w:id="1184"/>
      </w:r>
      <w:r>
        <w:rPr>
          <w:rFonts w:ascii="Amiri" w:hAnsi="Amiri" w:eastAsia="Amiri" w:cs="Amiri"/>
          <w:color w:val="111111"/>
          <w:sz w:val="28"/>
          <w:sz w:val="28"/>
          <w:szCs w:val="28"/>
          <w:rtl w:val="true"/>
          <w:lang w:bidi="ar-SA"/>
        </w:rPr>
        <w:t xml:space="preserve">،لكن ذكر الشهيدان أنّه لم يجداه في كتبه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أسلم الذمّي بعد القتل أي بعد قتله المسلم و قبل قتله به كان كالمسلم في عدم جواز استرقاقه،بل يتعيّن قتله أو العفو عنه، بلا خلاف،كما في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ماله باقٍ على التقديرين؛ للإطلاق </w:t>
      </w:r>
      <w:r>
        <w:rPr>
          <w:rStyle w:val="FootnoteAnchor"/>
          <w:rtl w:val="true"/>
        </w:rPr>
        <w:footnoteReference w:id="1186"/>
      </w:r>
      <w:r>
        <w:rPr>
          <w:rFonts w:ascii="Amiri" w:hAnsi="Amiri" w:eastAsia="Amiri" w:cs="Amiri"/>
          <w:color w:val="111111"/>
          <w:sz w:val="28"/>
          <w:sz w:val="28"/>
          <w:szCs w:val="28"/>
          <w:rtl w:val="true"/>
          <w:lang w:bidi="ar-SA"/>
        </w:rPr>
        <w:t xml:space="preserve">،و به صرّح شيخنا في الروضة </w:t>
      </w:r>
      <w:r>
        <w:rPr>
          <w:rStyle w:val="FootnoteAnchor"/>
          <w:rtl w:val="true"/>
        </w:rPr>
        <w:footnoteReference w:id="1187"/>
      </w:r>
      <w:r>
        <w:rPr>
          <w:rFonts w:ascii="Amiri" w:hAnsi="Amiri" w:eastAsia="Amiri" w:cs="Amiri"/>
          <w:color w:val="111111"/>
          <w:sz w:val="28"/>
          <w:sz w:val="28"/>
          <w:szCs w:val="28"/>
          <w:rtl w:val="true"/>
          <w:lang w:bidi="ar-SA"/>
        </w:rPr>
        <w:t>،و احتمل بعض الأجلّة خلافه،قال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يحل أخذ مال امرئ مسلم بغير وجه مقرّر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قتل الذمّي خطأً لزمته الدية في ماله إن كان له مال و لو </w:t>
      </w:r>
      <w:bookmarkStart w:id="159" w:name="pg11409_90833"/>
    </w:p>
    <w:p>
      <w:pPr>
        <w:pStyle w:val="BookText"/>
        <w:rPr/>
      </w:pPr>
      <w:bookmarkEnd w:id="159"/>
      <w:r>
        <w:rPr>
          <w:rFonts w:ascii="Amiri" w:hAnsi="Amiri" w:eastAsia="Amiri" w:cs="Amiri"/>
          <w:color w:val="111111"/>
          <w:sz w:val="28"/>
          <w:sz w:val="28"/>
          <w:szCs w:val="28"/>
          <w:rtl w:val="true"/>
          <w:lang w:bidi="ar-SA"/>
        </w:rPr>
        <w:t>لم يكن له مال كان الإمام عاقلته دون قومه كما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أهل الذمّة معاقلة فيما يكون من قتل أو جراحة،إنّما يؤخذ ذلك من أموالهم،فإن لم يكن لهم مال 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مماليك الإمام فمن أسلم منهم فهو حرّ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أفتى الشيخ في النهاية </w:t>
      </w:r>
      <w:r>
        <w:rPr>
          <w:rStyle w:val="FootnoteAnchor"/>
          <w:rtl w:val="true"/>
        </w:rPr>
        <w:footnoteReference w:id="1190"/>
      </w:r>
      <w:r>
        <w:rPr>
          <w:rFonts w:ascii="Amiri" w:hAnsi="Amiri" w:eastAsia="Amiri" w:cs="Amiri"/>
          <w:color w:val="111111"/>
          <w:sz w:val="28"/>
          <w:sz w:val="28"/>
          <w:szCs w:val="28"/>
          <w:rtl w:val="true"/>
          <w:lang w:bidi="ar-SA"/>
        </w:rPr>
        <w:t>و المتأخرون كافّة،و لكن لم يذكروه هنا، بل ذكروه في بحث عاقلة الذمّي من دون أن يذكروا خلافاً فيه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المختلف و التنقيح </w:t>
      </w:r>
      <w:r>
        <w:rPr>
          <w:rStyle w:val="FootnoteAnchor"/>
          <w:rtl w:val="true"/>
        </w:rPr>
        <w:footnoteReference w:id="1191"/>
      </w:r>
      <w:r>
        <w:rPr>
          <w:rFonts w:ascii="Amiri" w:hAnsi="Amiri" w:eastAsia="Amiri" w:cs="Amiri"/>
          <w:color w:val="111111"/>
          <w:sz w:val="28"/>
          <w:sz w:val="28"/>
          <w:szCs w:val="28"/>
          <w:rtl w:val="true"/>
          <w:lang w:bidi="ar-SA"/>
        </w:rPr>
        <w:t>حكي الخلاف فيه عن الحلّي،حيث حكم بأنّ عاقلته،الإمام مطلقا و لو كان له مال،و عن المفيد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الدية على عاقلته،و لم يفصّل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فيه في المختلف،و لا وجه له؛ لما عرفته من الصحيحة الصريحة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02699_73709187"/>
      <w:bookmarkStart w:id="161" w:name="_Toc59"/>
      <w:bookmarkEnd w:id="160"/>
      <w:r>
        <w:rPr>
          <w:rtl w:val="true"/>
        </w:rPr>
        <w:t>الشرط الثالث أن لا يكون القاتل أباً</w:t>
      </w:r>
      <w:bookmarkEnd w:id="161"/>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أباً للمقتول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قتل الوالد ولده لم يقتل به مطلقا،بلا خلاف أجده،بل عليه إجماعنا في كلام جماعة </w:t>
      </w:r>
      <w:r>
        <w:rPr>
          <w:rStyle w:val="FootnoteAnchor"/>
          <w:rtl w:val="true"/>
        </w:rPr>
        <w:footnoteReference w:id="119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 العامية و الخاصية،ففي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الوالد بالولد</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يقتل ابنه،أ يقتل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والد بولده،و يقتل الولد إذا قتل والده عمداً</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أخبار أُخر مستفيضة،منجبر قصور أسانيدها أو ضعفها بفتوى الطائفة،فلا إشكال بحمد اللّه سبحانه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أنّ عليه أي الأب القاتل الدّية لورثة ولده الذي قتله غيره؛ لئلّا يطلّ دم امرئ مسلم،و حسماً للجرأة،و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لرجل أصابه والده في أمر يعيب عليه فيه فأصابه عيب من قطع و غيره، و تكون له الدية،و لا يقاد</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الكفّارة لعموم الأدلّة أو فحواها،بلا شبهة و التعزير لذلك، و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ابنه أو عبده،قال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به،و لكن يضرب ضرباً شديداً،و ينفى عن مسقط رأسه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مع أنّ ذلك مقتضى فعل كلّ محرّم لم يحدّ فيه حدّ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يقتل الولد بأبيه بلا خلاف؛ للعمومات،و خصوص ما مرّ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الاُمّ تقتل بالولد و يقتل بها و كذا الأقارب يقتلون به، و يقتل بهم؛ عملاً بالعمومات،و اقتصاراً فيما خالفها على ما هو مورد الفتاوي و ما مضى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 أجده بيننا،إلّا ما يحكى عن الإسكافي في قتل الأمّ بالولد و كذا الأقارب،فمنع عنه تبعاً للعامّة،كما حكاه عنه بعض الأجلّة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قتل الجدّ للأب بولد الولد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هل هو أب حقيقةً،أو مجازاً؟فإن قلنا بالأوّل لم يقتل به،و إلّا قتل به،و المشهور الأوّل،و منهم الفاضلان في الشرائع و الإرشاد و القواعد و التحرير، و الشهيدان في اللمعتين </w:t>
      </w:r>
      <w:r>
        <w:rPr>
          <w:rStyle w:val="FootnoteAnchor"/>
          <w:rtl w:val="true"/>
        </w:rPr>
        <w:footnoteReference w:id="1199"/>
      </w:r>
      <w:r>
        <w:rPr>
          <w:rFonts w:ascii="Amiri" w:hAnsi="Amiri" w:eastAsia="Amiri" w:cs="Amiri"/>
          <w:color w:val="111111"/>
          <w:sz w:val="28"/>
          <w:sz w:val="28"/>
          <w:szCs w:val="28"/>
          <w:rtl w:val="true"/>
          <w:lang w:bidi="ar-SA"/>
        </w:rPr>
        <w:t xml:space="preserve">،و غيرهم من متأخّري الأصحاب </w:t>
      </w:r>
      <w:r>
        <w:rPr>
          <w:rStyle w:val="FootnoteAnchor"/>
          <w:rtl w:val="true"/>
        </w:rPr>
        <w:footnoteReference w:id="1200"/>
      </w:r>
      <w:r>
        <w:rPr>
          <w:rFonts w:ascii="Amiri" w:hAnsi="Amiri" w:eastAsia="Amiri" w:cs="Amiri"/>
          <w:color w:val="111111"/>
          <w:sz w:val="28"/>
          <w:sz w:val="28"/>
          <w:szCs w:val="28"/>
          <w:rtl w:val="true"/>
          <w:lang w:bidi="ar-SA"/>
        </w:rPr>
        <w:t xml:space="preserve">،تبعاً للمحكي عن الخلاف و المبسوط و الوسيلة </w:t>
      </w:r>
      <w:r>
        <w:rPr>
          <w:rStyle w:val="FootnoteAnchor"/>
          <w:rtl w:val="true"/>
        </w:rPr>
        <w:footnoteReference w:id="1201"/>
      </w:r>
      <w:r>
        <w:rPr>
          <w:rFonts w:ascii="Amiri" w:hAnsi="Amiri" w:eastAsia="Amiri" w:cs="Amiri"/>
          <w:color w:val="111111"/>
          <w:sz w:val="28"/>
          <w:sz w:val="28"/>
          <w:szCs w:val="28"/>
          <w:rtl w:val="true"/>
          <w:lang w:bidi="ar-SA"/>
        </w:rPr>
        <w:t xml:space="preserve">و يعضدهم تقديم الشارع عقده على ابنة الابن على عقده عليها إذا تقارنا،مع أنّي لم أجد في ذلك مخالفاً عدا الماتن هنا،حيث بقي في الحكم متردّداً،و تبعه بعض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إطلاق النص و الفتوى عدم الفرق في الحكم بعدم قتل الوالد بالولد بين كونه ذكراً أو أُنثى،و كون الوالد مساوياً لولده في الدين و الحرّية أم لا،و به صرّح جماعة من أصحابنا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62" w:name="pg11409_90836"/>
    </w:p>
    <w:p>
      <w:pPr>
        <w:pStyle w:val="Heading5"/>
        <w:numPr>
          <w:ilvl w:val="4"/>
          <w:numId w:val="1"/>
        </w:numPr>
        <w:rPr/>
      </w:pPr>
      <w:bookmarkStart w:id="163" w:name="__RefHeading___Toc1102701_73709187"/>
      <w:bookmarkStart w:id="164" w:name="_Toc60"/>
      <w:bookmarkEnd w:id="162"/>
      <w:bookmarkEnd w:id="163"/>
      <w:r>
        <w:rPr>
          <w:rtl w:val="true"/>
        </w:rPr>
        <w:t>الشرط الرابع كمال العقل</w:t>
      </w:r>
      <w:bookmarkEnd w:id="164"/>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فلا يقاد المجنون بعاقل،و لا مجنون،سواء كان الجنون دائماً أو أدواراً إذا قتل حال جنونه،بلا خلاف أجده،بل ادعى عليه الإجماع بعض الأجلّة </w:t>
      </w:r>
      <w:r>
        <w:rPr>
          <w:rStyle w:val="FootnoteAnchor"/>
          <w:rtl w:val="true"/>
        </w:rPr>
        <w:footnoteReference w:id="120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جناية المعتوه على عاقلته،خطأً كان أو عمداً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أبي بكر كتب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رجل مجنون قتل رجلاً عمداً،فجعل الدّية على قومه،و جعل عمده و خطأه سواء</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إلى غير ذلك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الصبي بمثله،و لا ببالغ،بلا خلاف إذا لم يبلغ خمسة أشبار و لا عشراً،و كذا إذا بلغهما على الأشهر الأقوى،بل عليه عامة متأخّري أصحابنا،وفاقاً منهم للحلّي و الخلاف </w:t>
      </w:r>
      <w:r>
        <w:rPr>
          <w:rStyle w:val="FootnoteAnchor"/>
          <w:rtl w:val="true"/>
        </w:rPr>
        <w:footnoteReference w:id="1207"/>
      </w:r>
      <w:r>
        <w:rPr>
          <w:rFonts w:ascii="Amiri" w:hAnsi="Amiri" w:eastAsia="Amiri" w:cs="Amiri"/>
          <w:color w:val="111111"/>
          <w:sz w:val="28"/>
          <w:sz w:val="28"/>
          <w:szCs w:val="28"/>
          <w:rtl w:val="true"/>
          <w:lang w:bidi="ar-SA"/>
        </w:rPr>
        <w:t>من القدماء،و ادّعى الأخير فيه إجماع الفرقة،و هو الحجة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بعض ما مرّ إليه الإشارة،و للمعتبرة المستفيضة التي هي ما بين صريحة و ظاهرة،فمن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خطاؤه واحد</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الخبر،بل الموثق أو الحسن كما قيل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الصبيان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المروي عن قرب الإسناد،عن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المجنون و المعتوه الذي لا يفيق،و الصبي الذي لم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خطاء تحمله العاقلة،و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المتقدّمة في كتاب الحجر في حدّ بلوغ الصبي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الأخبار الأوّلة كبعض ما سبقها في المجنون صريح في أنّ جنايتهما عمداً و خطأً على العاقلة مطلقا،كما عليه الأصحاب،لكن سيأتي في المجنون ما يوهم أخذ الدّية من ماله إن كان له مال،و إلّا فمن عاقلته،إلّا أنّه مع ضعف سنده غير صريح،بل و لا ظاهر في قتله حال الجنون،بل ظاهره ورود الحكم فيه بذلك في صورة اشتباه وقوع قتله حال جنونه أو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شبهة فيما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 أنّه يقتصّ من الصبي إذا بلغ عشراً قيل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أفتى الشيخ في النهاية و المبسوط و الاستبصار </w:t>
      </w:r>
      <w:r>
        <w:rPr>
          <w:rStyle w:val="FootnoteAnchor"/>
          <w:rtl w:val="true"/>
        </w:rPr>
        <w:footnoteReference w:id="1212"/>
      </w:r>
      <w:r>
        <w:rPr>
          <w:rFonts w:ascii="Amiri" w:hAnsi="Amiri" w:eastAsia="Amiri" w:cs="Amiri"/>
          <w:color w:val="111111"/>
          <w:sz w:val="28"/>
          <w:sz w:val="28"/>
          <w:szCs w:val="28"/>
          <w:rtl w:val="true"/>
          <w:lang w:bidi="ar-SA"/>
        </w:rPr>
        <w:t xml:space="preserve">،و لم نظفر بها كذلك مسندة هنا،و إن ذكرها جملة من الأصحاب </w:t>
      </w:r>
      <w:r>
        <w:rPr>
          <w:rStyle w:val="FootnoteAnchor"/>
          <w:rtl w:val="true"/>
        </w:rPr>
        <w:footnoteReference w:id="1213"/>
      </w:r>
      <w:r>
        <w:rPr>
          <w:rFonts w:ascii="Amiri" w:hAnsi="Amiri" w:eastAsia="Amiri" w:cs="Amiri"/>
          <w:color w:val="111111"/>
          <w:sz w:val="28"/>
          <w:sz w:val="28"/>
          <w:szCs w:val="28"/>
          <w:rtl w:val="true"/>
          <w:lang w:bidi="ar-SA"/>
        </w:rPr>
        <w:t xml:space="preserve">كذلك،و لكن آخرون </w:t>
      </w:r>
    </w:p>
    <w:p>
      <w:pPr>
        <w:pStyle w:val="BookText"/>
        <w:rPr/>
      </w:pPr>
      <w:r>
        <w:rPr>
          <w:rFonts w:ascii="IRNazanin" w:hAnsi="IRNazanin" w:eastAsia="IRNazanin"/>
          <w:color w:val="111111"/>
          <w:sz w:val="28"/>
          <w:sz w:val="28"/>
          <w:szCs w:val="28"/>
          <w:rtl w:val="true"/>
          <w:lang w:bidi="fa-IR"/>
        </w:rPr>
        <w:t xml:space="preserve">منهم </w:t>
      </w:r>
      <w:r>
        <w:rPr>
          <w:rStyle w:val="FootnoteAnchor"/>
          <w:rtl w:val="true"/>
        </w:rPr>
        <w:footnoteReference w:id="1214"/>
      </w:r>
      <w:r>
        <w:rPr>
          <w:rFonts w:ascii="Amiri" w:hAnsi="Amiri" w:eastAsia="Amiri" w:cs="Amiri"/>
          <w:color w:val="111111"/>
          <w:sz w:val="28"/>
          <w:sz w:val="28"/>
          <w:szCs w:val="28"/>
          <w:rtl w:val="true"/>
          <w:lang w:bidi="ar-SA"/>
        </w:rPr>
        <w:t>اعترفوا بما ذكرناه،فهي مرسلة لا تصلح للحجيّة،فضلاً أن يعترض بها الأدلّة المتقدّمة،المعتضدة بالشهرة العظيمة التي كادت تكون إجماعاً،بل لعلّها 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لم يدرك و امرأة قتلا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خطأ المرأة و الغلام عمد،فإن أحبّ أولياء المقتول أن يقتلوهما 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فشاذّ،مخالف للإجماع؛ إذ لا قائل بأنّ خطأ الصبي و المرأة عمد، و لذا حمل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فيه على العمد،بناءً على ما يعتقده بعض العامة من أنّ عمدهما خطأ؛ لأنّ من قتل غيره بغير حديد كان ذلك خطأً و يسقط القود </w:t>
      </w:r>
      <w:r>
        <w:rPr>
          <w:rStyle w:val="FootnoteAnchor"/>
          <w:rtl w:val="true"/>
        </w:rPr>
        <w:footnoteReference w:id="1216"/>
      </w:r>
      <w:r>
        <w:rPr>
          <w:rFonts w:ascii="Amiri" w:hAnsi="Amiri" w:eastAsia="Amiri" w:cs="Amiri"/>
          <w:color w:val="111111"/>
          <w:sz w:val="28"/>
          <w:sz w:val="28"/>
          <w:szCs w:val="28"/>
          <w:rtl w:val="true"/>
          <w:lang w:bidi="ar-SA"/>
        </w:rPr>
        <w:t>،فكأنّه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عمدهما الذي يزعمه هؤلاء خطأً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الشذوذ ما دلّ على أنّه إذا بلغ ثمان سنين جاز أمره في ماله،و قد وجب عليه الفرائض و الحدود </w:t>
      </w:r>
      <w:r>
        <w:rPr>
          <w:rStyle w:val="FootnoteAnchor"/>
          <w:rtl w:val="true"/>
        </w:rPr>
        <w:footnoteReference w:id="1217"/>
      </w:r>
      <w:r>
        <w:rPr>
          <w:rFonts w:ascii="IRNazanin" w:hAnsi="IRNazanin" w:eastAsia="IRNazanin"/>
          <w:color w:val="111111"/>
          <w:sz w:val="28"/>
          <w:sz w:val="28"/>
          <w:szCs w:val="28"/>
          <w:rtl w:val="true"/>
          <w:lang w:bidi="fa-IR"/>
        </w:rPr>
        <w:t>،مع قصور سنده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للسكوني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 غلام اشتركا في قتل رجل،فقال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بلغ الغلام خمسة أشبار اقتصّ منه،و إن لم يكن قد بلغ خمسة أشبار قضى بالدية</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فيها كما ترى أنّه تقام عليه الحدود كما ذكره الماتن، و بمضمونها أفتى الشيخان و الصدوق و جماعة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سندها مع عدم مكافأتها لما مضى يوهن العمل بها و يتعيّن العمل بما هو الأشهر من أنّ عمده خطأ حتى يبلغ التكليف لما مضى،مع تأيّده بلزوم الاحتياط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النصوص و أكثر الفتاوي اعتبار الرشد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التحرير </w:t>
      </w:r>
      <w:r>
        <w:rPr>
          <w:rStyle w:val="FootnoteAnchor"/>
          <w:rtl w:val="true"/>
        </w:rPr>
        <w:footnoteReference w:id="1220"/>
      </w:r>
      <w:r>
        <w:rPr>
          <w:rFonts w:ascii="Amiri" w:hAnsi="Amiri" w:eastAsia="Amiri" w:cs="Amiri"/>
          <w:color w:val="111111"/>
          <w:sz w:val="28"/>
          <w:sz w:val="28"/>
          <w:szCs w:val="28"/>
          <w:rtl w:val="true"/>
          <w:lang w:bidi="ar-SA"/>
        </w:rPr>
        <w:t>،فاعتبره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أعلم مستنده،كما اعترف به جماعة </w:t>
      </w:r>
      <w:r>
        <w:rPr>
          <w:rStyle w:val="FootnoteAnchor"/>
          <w:rtl w:val="true"/>
        </w:rPr>
        <w:footnoteReference w:id="1221"/>
      </w:r>
      <w:r>
        <w:rPr>
          <w:rFonts w:ascii="Amiri" w:hAnsi="Amiri" w:eastAsia="Amiri" w:cs="Amiri"/>
          <w:color w:val="111111"/>
          <w:sz w:val="28"/>
          <w:sz w:val="28"/>
          <w:szCs w:val="28"/>
          <w:rtl w:val="true"/>
          <w:lang w:bidi="ar-SA"/>
        </w:rPr>
        <w:t>،و تأوّله بعض المحشّين عليه بأنّ مراده من الرشد هنا كمال العقل؛ ليخرج المجنون،لا إصلاح المال؛ لقبول إقرار السفيه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صوناً لفتوى مثله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من أنّه لا يقاد المجنون بغيره إنّما هو إذا قتل حال جنونه أمّا لو قتل العاقل ثم جنّ لم يسقط القود بلا خلاف يظهر؛ للأصل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عمداً فلم يقم عليه </w:t>
      </w:r>
    </w:p>
    <w:p>
      <w:pPr>
        <w:pStyle w:val="BookText"/>
        <w:rPr/>
      </w:pPr>
      <w:r>
        <w:rPr>
          <w:rFonts w:ascii="Amiri" w:hAnsi="Amiri" w:eastAsia="Amiri" w:cs="Amiri"/>
          <w:color w:val="111111"/>
          <w:sz w:val="28"/>
          <w:sz w:val="28"/>
          <w:szCs w:val="28"/>
          <w:rtl w:val="true"/>
          <w:lang w:bidi="ar-SA"/>
        </w:rPr>
        <w:t>الحدّ و لم تصح الشهادة حتى خولط و ذهب عقله،ثم إنّ قوماً آخرين شهدوا عليه بعد ما خولط أنّه 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شهدوا عليه بأنّه قتله حين قتله و هو صحيح ليس به علّة من فساد عقل قتل به،و إن لم يشهدوا عليه بذلك و كان له مال يعرف دفع إلى ورثة المقتول الدية من مال القاتل،و إن لم يترك مالاً أعطي الدية من بيت المال،و لم يطلّ دم امرئ مسلم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البالغ الصبي مع التكافؤ من غير جهة البلوغ قتل به على الأشبه الأشهر،بل عليه عامّة من تأخّر؛ للعمومات السليمة هنا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ظاهر خصوص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قتل شيئاً صغيراً أو كبيراً بعد أن يتعمّد فعليه القود</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للحلبي </w:t>
      </w:r>
      <w:r>
        <w:rPr>
          <w:rStyle w:val="FootnoteAnchor"/>
          <w:rtl w:val="true"/>
        </w:rPr>
        <w:footnoteReference w:id="1224"/>
      </w:r>
      <w:r>
        <w:rPr>
          <w:rFonts w:ascii="Amiri" w:hAnsi="Amiri" w:eastAsia="Amiri" w:cs="Amiri"/>
          <w:color w:val="111111"/>
          <w:sz w:val="28"/>
          <w:sz w:val="28"/>
          <w:szCs w:val="28"/>
          <w:rtl w:val="true"/>
          <w:lang w:bidi="ar-SA"/>
        </w:rPr>
        <w:t>،فأوجب الدية كالمجنون؛ لاشتراكهما في نقصان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 المجنون خرج بدليل من خارج كما يأتي،و إلّا كانت العمومات متناولة له،بخلاف الصبي،مع أنّ الفرق بينهما متحقّق،كذا ردّه جماعة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 المخرج للمجنون مخرج للصبي أيضاً،و إن </w:t>
      </w:r>
    </w:p>
    <w:p>
      <w:pPr>
        <w:pStyle w:val="BookText"/>
        <w:rPr/>
      </w:pPr>
      <w:r>
        <w:rPr>
          <w:rFonts w:ascii="Amiri" w:hAnsi="Amiri" w:eastAsia="Amiri" w:cs="Amiri"/>
          <w:color w:val="111111"/>
          <w:sz w:val="28"/>
          <w:sz w:val="28"/>
          <w:szCs w:val="28"/>
          <w:rtl w:val="true"/>
          <w:lang w:bidi="ar-SA"/>
        </w:rPr>
        <w:t>كان نصّاً في الأوّل و ظاهراً في الثاني؛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لمن لا يقاد منه</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و هو عامّ،و وروده في خصوص المورد لا يوجب التخصيص،كما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تأيّده بما ورد من مثله في الحدود،و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و بلزوم الاحتياط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بعيد،إلّا أنّ الاكتفاء بمثل هذا الظهور في رفع اليد عن العمومات القطعية من الكتاب و السنّة و ظاهر المرسلة المعتضدة بالشهرة العظيمة التي كادت تكون لنا الآن إجماع الطائفة في غاية الجرأة،و إن كان الاحتياط للأولياء معه،فلا يختاروا قتله،بل يصالحوا عنه بالدية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يقتل العاقل بالمجنون بلا خلاف أجده،و به صرّح في الغنية </w:t>
      </w:r>
      <w:r>
        <w:rPr>
          <w:rStyle w:val="FootnoteAnchor"/>
          <w:rtl w:val="true"/>
        </w:rPr>
        <w:footnoteReference w:id="1228"/>
      </w:r>
      <w:r>
        <w:rPr>
          <w:rFonts w:ascii="Amiri" w:hAnsi="Amiri" w:eastAsia="Amiri" w:cs="Amiri"/>
          <w:color w:val="111111"/>
          <w:sz w:val="28"/>
          <w:sz w:val="28"/>
          <w:szCs w:val="28"/>
          <w:rtl w:val="true"/>
          <w:lang w:bidi="ar-SA"/>
        </w:rPr>
        <w:t xml:space="preserve">،بل عليه الإجماع في السرائر </w:t>
      </w:r>
      <w:r>
        <w:rPr>
          <w:rStyle w:val="FootnoteAnchor"/>
          <w:rtl w:val="true"/>
        </w:rPr>
        <w:footnoteReference w:id="1229"/>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رجلاً مجنوناً؟فقال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المجنون أراده فدفعه عن نفسه فقتله فلا شيء عليه من قود و لا دية،و يعطى ورثته الدية من بيت مال المسلمين،و إن كان قتله من غير أن يكون المجنون أراده فلا قود لمن لا يقاد منه،و أرى أنّ على قاتله الدية في ماله يدفعها إلى ورثة المجنون،و يستغفر اللّه عزّ و جلّ و يتوب إليه</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الدلالة أيضاً على بعض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الدية على العاقل إن كان قتله عمداً أو شبيهاً به و على العاقلة إن كان خطأً و لو قصد العاقل دفعه عن نفسه بعد أن أراده،فآل إلى قتله كان دم المجنون هدراً لا دية له على العاقل،و لا عاقلته،اتفاقاً ظاهراً،فتوًى و نصّاً خاصّاً،و هو الصحيح المتقدم،و عامّاً،و هو كثير، و شطر منه قد تقدّم في كتاب الحدود في أواخر الفصل السادس في حدّ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 العبارة و نحوها أنّه لا دية له أصلاً،كما عن النهاية و المهذّب و السرائر </w:t>
      </w:r>
      <w:r>
        <w:rPr>
          <w:rStyle w:val="FootnoteAnchor"/>
          <w:rtl w:val="true"/>
        </w:rPr>
        <w:footnoteReference w:id="1231"/>
      </w:r>
      <w:r>
        <w:rPr>
          <w:rFonts w:ascii="Amiri" w:hAnsi="Amiri" w:eastAsia="Amiri" w:cs="Amiri"/>
          <w:color w:val="111111"/>
          <w:sz w:val="28"/>
          <w:sz w:val="28"/>
          <w:szCs w:val="28"/>
          <w:rtl w:val="true"/>
          <w:lang w:bidi="ar-SA"/>
        </w:rPr>
        <w:t>،و يقتضيه عموم نصوص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 الجامع </w:t>
      </w:r>
      <w:r>
        <w:rPr>
          <w:rStyle w:val="FootnoteAnchor"/>
          <w:rtl w:val="true"/>
        </w:rPr>
        <w:footnoteReference w:id="1232"/>
      </w:r>
      <w:r>
        <w:rPr>
          <w:rFonts w:ascii="Amiri" w:hAnsi="Amiri" w:eastAsia="Amiri" w:cs="Amiri"/>
          <w:color w:val="111111"/>
          <w:sz w:val="28"/>
          <w:sz w:val="28"/>
          <w:szCs w:val="28"/>
          <w:rtl w:val="true"/>
          <w:lang w:bidi="ar-SA"/>
        </w:rPr>
        <w:t>،فأثبتاها في بيت المال،كما في الصحيحة،و يقتضيه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المروي في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الورد المعتبرة برواية الحسن بن محبوب عنه،و هو ممّن أجمع على تصحيح ما يصحّ عنه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حمل عليه رجل مجنون بالسيف فضربه المجنون ضربة،فتناول الرجل السيف من المجنون فضربه فقتله،فقال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لا يقتل به،و لا يغرم ديته،و تكون ديته على الإمام، و لا يطلّ دمه</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نفى عنه البأس الصيمري في شرح الشرائع،قال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سقوط </w:t>
      </w:r>
    </w:p>
    <w:p>
      <w:pPr>
        <w:pStyle w:val="BookText"/>
        <w:rPr/>
      </w:pPr>
      <w:r>
        <w:rPr>
          <w:rFonts w:ascii="Amiri" w:hAnsi="Amiri" w:eastAsia="Amiri" w:cs="Amiri"/>
          <w:color w:val="111111"/>
          <w:sz w:val="28"/>
          <w:sz w:val="28"/>
          <w:szCs w:val="28"/>
          <w:rtl w:val="true"/>
          <w:lang w:bidi="ar-SA"/>
        </w:rPr>
        <w:t xml:space="preserve">القود و الدية معاً؛ لأنّ الدفع إمّا مباح أو واجب،فلا يتعقّبه ضمان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الدليل ما ترى؛ لأنّ مقتضاه نفي الأمرين عن القاتل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الاستدلال بنصوص الدفع؛ لعدم معلومية شمول إطلاقها لمحل البحث،بل ظاهرها كون الحكم بالهدرية مقابلةً للمحارب و مؤاخذةً له بما له من القصد و النية،و ليس ذلك في المجنون بلا شبهة،و جواز دفاعه إنّما هو لأجل حفظ النفس المحترمة،لا المؤاخذة له بالقصد و النية، فلا غرو في وجوب الدية لدم المجنون؛ لأنّ نفسه أيضاً محترمة حيث لم يستصحبها فساد قصد و نيّة،و الشارع لما رخّص في إتلافها من غير تقصير من جهتها تداركها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بثبوتها لا يخلو عن قوة،سيّما مع استفادته ممّا عرفت من المعتبرة بالصحة و القرب منها بما عرفته،و إن وقع الاختلاف بينها بدلالة الصحيحة بكونها في بيت المال،و القريبة منها بكونها على الإمام،لكن الجمع بينهما ممكن بحمل الأخيرة على الصحيحة،و العكس و إن أمكن، إلّا أنّه مع بعده لا قائل به،مع استلزامه ترجيح ما ليس بحجة على الحجة، و هو فاسد بالبديهة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الماتن هنا و في الشرائع </w:t>
      </w:r>
      <w:r>
        <w:rPr>
          <w:rStyle w:val="FootnoteAnchor"/>
          <w:rtl w:val="true"/>
        </w:rPr>
        <w:footnoteReference w:id="1236"/>
      </w:r>
      <w:r>
        <w:rPr>
          <w:rFonts w:ascii="Amiri" w:hAnsi="Amiri" w:eastAsia="Amiri" w:cs="Amiri"/>
          <w:color w:val="111111"/>
          <w:sz w:val="28"/>
          <w:sz w:val="28"/>
          <w:szCs w:val="28"/>
          <w:rtl w:val="true"/>
          <w:lang w:bidi="ar-SA"/>
        </w:rPr>
        <w:t>نوع تردّد له في المسألة،حيث أشار إلى الرواية الصحيحة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ديته من بيت المال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لم يُجب عنها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فتواه أوّلاً بالهدرية مطلقاً ظاهرة في ترجيحه له،و نحوه كلام الفاضل في التحرير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قود على النائم إجماعاً،فتوًى و نصّاً،و للأصل،مع انتفاء التعمّد المشترط في شرعية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عليه الدية في خاصّة ماله مطلقاً،أم على العاقلة كذلك،أم على تفصيل يأتي ذكره في أوائل النظر الثاني من كتاب الديات؟ أقوال،يأتي ذكرها مع تحقيق المسألة كما هو ثمة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القود من الأعمى إذا قتل من اقتصّ به لو كان بصيراً تردّد و اختلاف،فبين من نفاه و أثبت الدية على العاقلة استناداً إلى الرواية الآتية،كالصدوق و الشيخ في النهاية و الإسكافي و القاضي و ابن حمزة و جماعة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من جعل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كالمبصر في توجّه القصاص كالحلّي </w:t>
      </w:r>
      <w:r>
        <w:rPr>
          <w:rStyle w:val="FootnoteAnchor"/>
          <w:rtl w:val="true"/>
        </w:rPr>
        <w:footnoteReference w:id="1240"/>
      </w:r>
      <w:r>
        <w:rPr>
          <w:rFonts w:ascii="Amiri" w:hAnsi="Amiri" w:eastAsia="Amiri" w:cs="Amiri"/>
          <w:color w:val="111111"/>
          <w:sz w:val="28"/>
          <w:sz w:val="28"/>
          <w:szCs w:val="28"/>
          <w:rtl w:val="true"/>
          <w:lang w:bidi="ar-SA"/>
        </w:rPr>
        <w:t xml:space="preserve">و عامّة المتأخّرين على الظاهر،المصرّح به في المسالك </w:t>
      </w:r>
      <w:r>
        <w:rPr>
          <w:rStyle w:val="FootnoteAnchor"/>
          <w:rtl w:val="true"/>
        </w:rPr>
        <w:footnoteReference w:id="1241"/>
      </w:r>
      <w:r>
        <w:rPr>
          <w:rFonts w:ascii="Amiri" w:hAnsi="Amiri" w:eastAsia="Amiri" w:cs="Amiri"/>
          <w:color w:val="111111"/>
          <w:sz w:val="28"/>
          <w:sz w:val="28"/>
          <w:szCs w:val="28"/>
          <w:rtl w:val="true"/>
          <w:lang w:bidi="ar-SA"/>
        </w:rPr>
        <w:t>لوجود المقتضي له،و هو قصده إلى القتل،و انتفاء المانع؛ لأنّ العمى لا يصلح مانعاً مع اجتماع شروط القصاص من التكليف و القصد و نحوهما، كما هو الفرض،فيشمله عموم الآيات و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في رواية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جنايته خطأ تلزم العاقلة،فإن لم يكن له عاقلة فالدية في ماله،و تؤخذ في ثلاث سنين </w:t>
      </w:r>
      <w:r>
        <w:rPr>
          <w:rStyle w:val="FootnoteAnchor"/>
          <w:rtl w:val="true"/>
        </w:rPr>
        <w:footnoteReference w:id="1242"/>
      </w:r>
      <w:r>
        <w:rPr>
          <w:rFonts w:ascii="Amiri" w:hAnsi="Amiri" w:eastAsia="Amiri" w:cs="Amiri"/>
          <w:color w:val="111111"/>
          <w:sz w:val="28"/>
          <w:sz w:val="28"/>
          <w:szCs w:val="28"/>
          <w:rtl w:val="true"/>
          <w:lang w:bidi="ar-SA"/>
        </w:rPr>
        <w:t>و نحوها في الدلالة على أن عمده خطأ رواية أُخرى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الأعمى مثل الخطأ فيه الدية من ماله،فإن لم يكن له مال فإنّ دية ذلك على الإمام،و لا يبطل حق مسلم</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ضعّفتا باشتراكهما في ضعف السند،و اختلافهما في الحكم، و مخالفتهما الأُصول؛ لاشتمال الاُولى على كون الدّية تجب ابتداءً على العاقلة،و مع عدمها تجب على الجاني،و الثانية على إيجابها على الجاني مع تموّله،و مع عدمه على الإمام،و لم يوجبها على العاقلة و ظاهر اختلاف الحكمين و مخالفتهما لحكم الخطأ،فتكونان شاذّتين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مراد الماتن في جوابه عن الرواية الأُولى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هذه الرواية فيها أي يرد عليها مع الشذوذ أي مضافاً إليه تخصيص لعموم الآية و السنّة القطعيتين،و هو غير جائز عند جماعة من المحقّقين </w:t>
      </w:r>
      <w:r>
        <w:rPr>
          <w:rStyle w:val="FootnoteAnchor"/>
          <w:rtl w:val="true"/>
        </w:rPr>
        <w:footnoteReference w:id="1244"/>
      </w:r>
      <w:r>
        <w:rPr>
          <w:rFonts w:ascii="IRNazanin" w:hAnsi="IRNazanin" w:eastAsia="IRNazanin"/>
          <w:color w:val="111111"/>
          <w:sz w:val="28"/>
          <w:sz w:val="28"/>
          <w:szCs w:val="28"/>
          <w:rtl w:val="true"/>
          <w:lang w:bidi="fa-IR"/>
        </w:rPr>
        <w:t>،و منهم الماتن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جواب ثالث،و لم يذكره من أجاب بالأوّلين و أبد له بآخر، و هو عدم الصراحة في الدلالة؛ لجواز 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 الجملة الفعلية بعده الخبر،و إنّما يتمّ استدلالهم بها على تقدير جعله مرفوعاً على الخبرية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توجّه النظر إلى جميع هذه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فبمخالفته لظاهر سياقها،حيث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ضرب رأس رجل بمِعول فسالت عيناه على خدّيه فوثب المضروب على ضاربه فقتله،و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 متعديان جميعاً،فلا أرى على الذي قتل الرجل قوداً؛ لأنّه قتله حين قتله و هو أعمى،و الأعمى جنايته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مضى،و هو ظاهر في كون القتل عمداً من جوه شتّى،منها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فقتله،بعد أن أعماه الظاهر في ذلك بمعونة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متعدّيان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لا يجامع قتل الخطأ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القود بوقوع قتله حال العمى لا كونه خطأً، و لا تلازم بينهما جدّاً،مع 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الأعمى جنايته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التعليل، و لو كان المراد التعليل بالخطإ للغا ذكر الأعمى؛ لعدم اختصاص عدم القود بالخطإ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ظهور دلالتها كما فهموه حتى المعترض أيضاً،حيث نفى الصراحة دون الظهور،و هو كافٍ،سيّما بعد أن انضمّ إليه الرواية الثانية الصريحة،مع قرب الظهور من الصراحة بمعونة ما عرفته من القرائن الظاهرة غاية الظهور القريب من الصراحة،بل لعلّها سيّما الأخيرة منها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فمتوجّه إن وافقنا الجماعة على كون الآحاد غير مخصِّصة للعمومات القطعية،و إلّا كما هو الظاهر وفاقاً للأكثر فغير متوجّه، و التحقيق في الأُصول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خروج بعض الرواية عن الحجية و شذوذها من جهة لا تستلزم خروجها عنها بالكلّية،و شذوذ الروايتين إنّما هو من غير </w:t>
      </w:r>
    </w:p>
    <w:p>
      <w:pPr>
        <w:pStyle w:val="BookText"/>
        <w:rPr/>
      </w:pPr>
      <w:r>
        <w:rPr>
          <w:rFonts w:ascii="Amiri" w:hAnsi="Amiri" w:eastAsia="Amiri" w:cs="Amiri"/>
          <w:color w:val="111111"/>
          <w:sz w:val="28"/>
          <w:sz w:val="28"/>
          <w:szCs w:val="28"/>
          <w:rtl w:val="true"/>
          <w:lang w:bidi="ar-SA"/>
        </w:rPr>
        <w:t>جهة الدلالة على كون عمده خطأ،بل من الجهة المتقدّمة،و إحداهما غير الأُخرى،و خروجها عن الحجية بالجهة الأخيرة غير مستلزم لخروجها عنها في الجهة الأُخرى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ثبت بهما كون العمد خطأ ثبت كون الدية على العاقلة؛ لعدم القائل بالفرق بين الطائفة،إلّا ما يظهر من الصدوق في الفقيه،حيث روى الرواية الاُولى في باب العاقلة بسنده عن العلاء بن رزين،عن الحلبي الراوي </w:t>
      </w:r>
      <w:r>
        <w:rPr>
          <w:rStyle w:val="FootnoteAnchor"/>
          <w:rtl w:val="true"/>
        </w:rPr>
        <w:footnoteReference w:id="1245"/>
      </w:r>
      <w:r>
        <w:rPr>
          <w:rFonts w:ascii="Amiri" w:hAnsi="Amiri" w:eastAsia="Amiri" w:cs="Amiri"/>
          <w:color w:val="111111"/>
          <w:sz w:val="28"/>
          <w:sz w:val="28"/>
          <w:szCs w:val="28"/>
          <w:rtl w:val="true"/>
          <w:lang w:bidi="ar-SA"/>
        </w:rPr>
        <w:t xml:space="preserve">،و ظاهره العمل بها بمعونة ما قرّره في صدر كتابه من أنّه لا يذكر فيه إلّا ما يفتي به و يحكم بصحته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الوجه في صحة التأمّل في دعوى الماتن شذوذ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القدح فيما ضعّفت به من ضعف سندها؛ لاختصاص ضعفه برواية التهذيب،و إلّا فهي برواية الفقيه صحيحة؛ لأنّ سنده إلى العلاء صحيح في المشيخة،و به صرّح الفاضل في الخلاصة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الرواية الثانية ليست بضعيفة،بل موثّقة؛ إذ ليس في سندها من يتوقّف فيه سوى عمّار الساباطي،و هو و إن كان فطحيّاً إلّا أنّه ثقة،و مع ذلك في السند قبله الحسن بن محبوب،و قد ظهر لك حاله مراراً من إجماع العصابة على تصحيح ما يصحّ عنه،فيقرب من الصحيح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فالروايتان معتبرتا السند،صالحتان للحجية،سيّما مع التعدّد، و الاعتضاد بفتوى هؤلاء الجماعة الذين لا يبعد أن يدّعى في حقّهم الشهرة كما ادّعاها بعض الأجلة </w:t>
      </w:r>
      <w:r>
        <w:rPr>
          <w:rStyle w:val="FootnoteAnchor"/>
          <w:rtl w:val="true"/>
        </w:rPr>
        <w:footnoteReference w:id="1248"/>
      </w:r>
      <w:r>
        <w:rPr>
          <w:rFonts w:ascii="Amiri" w:hAnsi="Amiri" w:eastAsia="Amiri" w:cs="Amiri"/>
          <w:color w:val="111111"/>
          <w:sz w:val="28"/>
          <w:sz w:val="28"/>
          <w:szCs w:val="28"/>
          <w:rtl w:val="true"/>
          <w:lang w:bidi="ar-SA"/>
        </w:rPr>
        <w:t xml:space="preserve">،مع عدم ظهور مخالف لهم من القدماء بالمرة </w:t>
      </w:r>
      <w:bookmarkStart w:id="165" w:name="pg11409_90848"/>
    </w:p>
    <w:p>
      <w:pPr>
        <w:pStyle w:val="BookText"/>
        <w:rPr/>
      </w:pPr>
      <w:bookmarkEnd w:id="165"/>
      <w:r>
        <w:rPr>
          <w:rFonts w:ascii="Amiri" w:hAnsi="Amiri" w:eastAsia="Amiri" w:cs="Amiri"/>
          <w:color w:val="111111"/>
          <w:sz w:val="28"/>
          <w:sz w:val="28"/>
          <w:szCs w:val="28"/>
          <w:rtl w:val="true"/>
          <w:lang w:bidi="ar-SA"/>
        </w:rPr>
        <w:t xml:space="preserve">عدا الحلّي </w:t>
      </w:r>
      <w:r>
        <w:rPr>
          <w:rStyle w:val="FootnoteAnchor"/>
          <w:rtl w:val="true"/>
        </w:rPr>
        <w:footnoteReference w:id="1249"/>
      </w:r>
      <w:r>
        <w:rPr>
          <w:rFonts w:ascii="Amiri" w:hAnsi="Amiri" w:eastAsia="Amiri" w:cs="Amiri"/>
          <w:color w:val="111111"/>
          <w:sz w:val="28"/>
          <w:sz w:val="28"/>
          <w:szCs w:val="28"/>
          <w:rtl w:val="true"/>
          <w:lang w:bidi="ar-SA"/>
        </w:rPr>
        <w:t>خاصّة؛ لأصله الغير الأصيل من طرحه الأخبار الآحاد،سيّما في مقابلة الكتاب و 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التردّد و صحته و الإشكال في الترجيح،مع قوّة احتمال جعله في جانب الرواية،مع أنّ لزوم الاحتياط في الدماء يقتضيه بلا شبهة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102703_73709187"/>
      <w:bookmarkStart w:id="167" w:name="_Toc61"/>
      <w:bookmarkEnd w:id="166"/>
      <w:r>
        <w:rPr>
          <w:rtl w:val="true"/>
        </w:rPr>
        <w:t>الشرط الخامس أن يكون المقتول محقون الدم</w:t>
      </w:r>
      <w:bookmarkEnd w:id="167"/>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المقتول محقون الدم شرعاً،أي غير مباح القتل شرعاً،فمن أباح الشرع قتله لزناء أو لواط أو كفر لم يقتل به قاتله و إن كان بغير إذن الإمام؛ لأنّه مباح الدم في الجملة،و إن توقّفت المباشرة على إذن الحاكم،فيأثم بدونه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من وجب عليه القصاص غير الوليّ قتل به؛ لأنّه محقون الدم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هذا الشرط بعد الإجماع الظاهر،المصرّح به في كثير من العبائر،كالغنية و السرائر </w:t>
      </w:r>
      <w:r>
        <w:rPr>
          <w:rStyle w:val="FootnoteAnchor"/>
          <w:rtl w:val="true"/>
        </w:rPr>
        <w:footnoteReference w:id="1250"/>
      </w:r>
      <w:r>
        <w:rPr>
          <w:rFonts w:ascii="Amiri" w:hAnsi="Amiri" w:eastAsia="Amiri" w:cs="Amiri"/>
          <w:color w:val="111111"/>
          <w:sz w:val="28"/>
          <w:sz w:val="28"/>
          <w:szCs w:val="28"/>
          <w:rtl w:val="true"/>
          <w:lang w:bidi="ar-SA"/>
        </w:rPr>
        <w:t>الاعتبار،و المعتبرة المستفيضة التي كادت تبلغ التواتر،ففي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قتله القصاص له دية؟فقال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لم يقتصّ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بمعناهما كثير من المعتبرة </w:t>
      </w:r>
      <w:r>
        <w:rPr>
          <w:rStyle w:val="FootnoteAnchor"/>
          <w:rtl w:val="true"/>
        </w:rPr>
        <w:footnoteReference w:id="1252"/>
      </w:r>
      <w:r>
        <w:rPr>
          <w:rFonts w:ascii="Amiri" w:hAnsi="Amiri" w:eastAsia="Amiri" w:cs="Amiri"/>
          <w:color w:val="111111"/>
          <w:sz w:val="28"/>
          <w:sz w:val="28"/>
          <w:szCs w:val="28"/>
          <w:rtl w:val="true"/>
          <w:lang w:bidi="ar-SA"/>
        </w:rPr>
        <w:t xml:space="preserve">،و نحوها النصوص الواردة في إباحة الدفاع و قتل المحارب،و قد مرّ جملة منها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168" w:name="pg11409_90849"/>
    </w:p>
    <w:p>
      <w:pPr>
        <w:pStyle w:val="Heading4"/>
        <w:numPr>
          <w:ilvl w:val="3"/>
          <w:numId w:val="1"/>
        </w:numPr>
        <w:rPr/>
      </w:pPr>
      <w:bookmarkStart w:id="169" w:name="__RefHeading___Toc1102705_73709187"/>
      <w:bookmarkStart w:id="170" w:name="_Toc62"/>
      <w:bookmarkEnd w:id="168"/>
      <w:bookmarkEnd w:id="169"/>
      <w:r>
        <w:rPr>
          <w:rtl w:val="true"/>
        </w:rPr>
        <w:t>القول</w:t>
      </w:r>
      <w:r>
        <w:rPr>
          <w:rtl w:val="true"/>
        </w:rPr>
        <w:t>:</w:t>
      </w:r>
      <w:r>
        <w:rPr>
          <w:rtl w:val="true"/>
        </w:rPr>
        <w:t>فيما يثبت به</w:t>
      </w:r>
      <w:bookmarkEnd w:id="170"/>
    </w:p>
    <w:p>
      <w:pPr>
        <w:pStyle w:val="Heading5"/>
        <w:numPr>
          <w:ilvl w:val="4"/>
          <w:numId w:val="1"/>
        </w:numPr>
        <w:rPr/>
      </w:pPr>
      <w:bookmarkStart w:id="171" w:name="__RefHeading___Toc1102707_73709187"/>
      <w:bookmarkStart w:id="172" w:name="_Toc63"/>
      <w:bookmarkEnd w:id="171"/>
      <w:r>
        <w:rPr>
          <w:rtl w:val="true"/>
        </w:rPr>
        <w:t>الإقرار</w:t>
      </w:r>
      <w:bookmarkEnd w:id="172"/>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يثبت به موجب القصاص و هو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الإقرار،أو البيّنة عليه أو القسامة و هي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فتكفي فيه المرّة على الأظهر الأشهر،بل عليه عامّة من تأخّر؛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و هو متحقق بالمرّة،حيث لا دليل على اعتبار التعدّد كما في المسألة؛ لما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التأيّد بخصوص الروايات الدالّة بإطلاقها على أخذ المقرّ و الحكم عليه بمجرّد إقراره،مثل ما في قضاء مولانا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إليه الإشارة </w:t>
      </w:r>
      <w:r>
        <w:rPr>
          <w:rStyle w:val="FootnoteAnchor"/>
          <w:rtl w:val="true"/>
        </w:rPr>
        <w:footnoteReference w:id="1255"/>
      </w:r>
      <w:r>
        <w:rPr>
          <w:rFonts w:ascii="Amiri" w:hAnsi="Amiri" w:eastAsia="Amiri" w:cs="Amiri"/>
          <w:color w:val="111111"/>
          <w:sz w:val="28"/>
          <w:sz w:val="28"/>
          <w:szCs w:val="28"/>
          <w:rtl w:val="true"/>
          <w:lang w:bidi="ar-SA"/>
        </w:rPr>
        <w:t xml:space="preserve">،و ما يدل على كون دية الخطأ على المقرّ </w:t>
      </w:r>
      <w:r>
        <w:rPr>
          <w:rStyle w:val="FootnoteAnchor"/>
          <w:rtl w:val="true"/>
        </w:rPr>
        <w:footnoteReference w:id="1256"/>
      </w:r>
      <w:r>
        <w:rPr>
          <w:rFonts w:ascii="Amiri" w:hAnsi="Amiri" w:eastAsia="Amiri" w:cs="Amiri"/>
          <w:color w:val="111111"/>
          <w:sz w:val="28"/>
          <w:sz w:val="28"/>
          <w:szCs w:val="28"/>
          <w:rtl w:val="true"/>
          <w:lang w:bidi="ar-SA"/>
        </w:rPr>
        <w:t xml:space="preserve">،فإنّ المذكور فيه الإقرار مرّة،و ما يدل على حكم أنّه لو أقرّ واحد بالعمد و آخر بالخطإ،كما يأتي </w:t>
      </w:r>
      <w:r>
        <w:rPr>
          <w:rStyle w:val="FootnoteAnchor"/>
          <w:rtl w:val="true"/>
        </w:rPr>
        <w:footnoteReference w:id="125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الأصحاب كالشيخ و الحلّي و القاضي و جماعة </w:t>
      </w:r>
      <w:r>
        <w:rPr>
          <w:rStyle w:val="FootnoteAnchor"/>
          <w:rtl w:val="true"/>
        </w:rPr>
        <w:footnoteReference w:id="1258"/>
      </w:r>
      <w:r>
        <w:rPr>
          <w:rFonts w:ascii="Amiri" w:hAnsi="Amiri" w:eastAsia="Amiri" w:cs="Amiri"/>
          <w:color w:val="111111"/>
          <w:sz w:val="28"/>
          <w:sz w:val="28"/>
          <w:szCs w:val="28"/>
          <w:rtl w:val="true"/>
          <w:lang w:bidi="ar-SA"/>
        </w:rPr>
        <w:t xml:space="preserve">يشترط التكرار مرّتين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يظهر له وجه صحة عدا الحمل على السرقة،و هو قياس فاسد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في الدماء ،و يعارَض بمثله هنا في جانب المقتول؛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يظهر جواب آخر عن الأوّل،و هو وجود الفارق؛ لكون متعلّق الإقرار هنا حقّ آدمي،فيكفي فيه المرّة كسائر الحقوق الآدمية،و لا كذلك السرقة،فإنّها من الحقوق الإلهيّة المبنيّة على التخفيف 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المقرّ البلوغ،و العقل،و الاختيار،و الحرّية كما في سائر الأقارير؛ لعموم الأدلّة،و خصوص الصحيح على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ادّعوا على عبد جناية تحيط برقبته فأقرّ العبد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إقرار العبد على سيّده،فإن أقاموا البيّنة على ما ادّعوا على العبد أُخذ العبد بها،أو يفتديه مولاه</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أقرّ واحد بالقتل لمن يقتصّ به عمداً و آخر بقتله له خطأً تخيّر الوليّ للمقتول في تصديق أحدهما و أيّهما شاء،و إلزامه بموجب إقراره؛ لاستقلال كلّ من الإقرارين في إيجاب مقتضاه على المقرّ به،و لمّا لم يمكن الجمع و لا الترجيح تخيّر الوليّ و إن جهل الحال كغيره، و ليس له على الآخر بعد الاختيار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للقريب من الصحيح بالحسن بن محبوب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مقتولاً فجاء رجلان إلى وليّه،فقال أحدهما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قتلته عمداً،و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خطأً؟فقال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أخذ بقول صاحب العمد فليس له على صاحب الخطأ سبيل،و إن أخذ بقول صاحب الخطأ فليس له على صاحب العمد سبيل</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خلاف فيه إلّا من الغنية </w:t>
      </w:r>
      <w:r>
        <w:rPr>
          <w:rStyle w:val="FootnoteAnchor"/>
          <w:rtl w:val="true"/>
        </w:rPr>
        <w:footnoteReference w:id="1262"/>
      </w:r>
      <w:r>
        <w:rPr>
          <w:rFonts w:ascii="Amiri" w:hAnsi="Amiri" w:eastAsia="Amiri" w:cs="Amiri"/>
          <w:color w:val="111111"/>
          <w:sz w:val="28"/>
          <w:sz w:val="28"/>
          <w:szCs w:val="28"/>
          <w:rtl w:val="true"/>
          <w:lang w:bidi="ar-SA"/>
        </w:rPr>
        <w:t xml:space="preserve">،فخيّره بين قتل المقرّ بالعمد و أخذ الدية منهما نصفين،و يحكى عن التقي </w:t>
      </w:r>
      <w:r>
        <w:rPr>
          <w:rStyle w:val="FootnoteAnchor"/>
          <w:rtl w:val="true"/>
        </w:rPr>
        <w:footnoteReference w:id="12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لهما مستنداً،مع مخالفتهما للنصّ المتقدم المعتضد بعمل الأصحاب كافّة عداهما،مع أنّ المحكي عن الانتصار </w:t>
      </w:r>
      <w:r>
        <w:rPr>
          <w:rStyle w:val="FootnoteAnchor"/>
          <w:rtl w:val="true"/>
        </w:rPr>
        <w:footnoteReference w:id="1264"/>
      </w:r>
      <w:r>
        <w:rPr>
          <w:rFonts w:ascii="Amiri" w:hAnsi="Amiri" w:eastAsia="Amiri" w:cs="Amiri"/>
          <w:color w:val="111111"/>
          <w:sz w:val="28"/>
          <w:sz w:val="28"/>
          <w:szCs w:val="28"/>
          <w:rtl w:val="true"/>
          <w:lang w:bidi="ar-SA"/>
        </w:rPr>
        <w:t>أنّه ادّعى عليه إجماعنا،و هو حجة أُخرى زيادةً على ما مضى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اتّهم رجل بقتل من يقتصّ به و أقرّ بقتله عمداً فأقرّ آخر أنّه هو الذي قتله و رجع الأوّل عن إقراره فأنكر قتله درئ عنهما القصاص و الدية،و ودي المقتول من بيت المال،و هو أي هذا الحكم و إن كان مخالفاً للأصل،إلّا أنّه قضاء مولانا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معلّلاً بأنّ الثاني إن كان ذبح ذاك فقد أحيا هذا،و قد قال اللّه عزّ و جلّ وَ مَنْ أَحْياها فَكَأَنَّما أَحْيَا النّاسَ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65"/>
      </w:r>
      <w:r>
        <w:rPr>
          <w:rStyle w:val="FootnoteAnchor"/>
          <w:rtl w:val="true"/>
        </w:rPr>
        <w:footnoteReference w:id="1266"/>
      </w:r>
      <w:r>
        <w:rPr>
          <w:rFonts w:ascii="Amiri" w:hAnsi="Amiri" w:eastAsia="Amiri" w:cs="Amiri"/>
          <w:color w:val="111111"/>
          <w:sz w:val="28"/>
          <w:sz w:val="28"/>
          <w:szCs w:val="28"/>
          <w:rtl w:val="true"/>
          <w:lang w:bidi="ar-SA"/>
        </w:rPr>
        <w:t xml:space="preserve">و الرواية و إن ضعف بالإرسال و الرفع سندها،و بالمخالفة للأصل متنها،إلّا أنّ عليها عمل الأصحاب كافّة إلّا نادراً،على الظاهر،المصرَّح به من دون استثناء في التنقيح و شرح الشرائع للصيمري </w:t>
      </w:r>
      <w:r>
        <w:rPr>
          <w:rStyle w:val="FootnoteAnchor"/>
          <w:rtl w:val="true"/>
        </w:rPr>
        <w:footnoteReference w:id="1267"/>
      </w: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1268"/>
      </w:r>
      <w:r>
        <w:rPr>
          <w:rFonts w:ascii="Amiri" w:hAnsi="Amiri" w:eastAsia="Amiri" w:cs="Amiri"/>
          <w:color w:val="111111"/>
          <w:sz w:val="28"/>
          <w:sz w:val="28"/>
          <w:szCs w:val="28"/>
          <w:rtl w:val="true"/>
          <w:lang w:bidi="ar-SA"/>
        </w:rPr>
        <w:t>التصريح بالإجماع عليها،كما هو ظاهر السرائر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w:t>
      </w:r>
      <w:bookmarkStart w:id="173" w:name="pg11409_90852"/>
    </w:p>
    <w:p>
      <w:pPr>
        <w:pStyle w:val="BookText"/>
        <w:rPr/>
      </w:pPr>
      <w:bookmarkEnd w:id="173"/>
      <w:r>
        <w:rPr>
          <w:rFonts w:ascii="Amiri" w:hAnsi="Amiri" w:eastAsia="Amiri" w:cs="Amiri"/>
          <w:color w:val="111111"/>
          <w:sz w:val="28"/>
          <w:sz w:val="28"/>
          <w:szCs w:val="28"/>
          <w:rtl w:val="true"/>
          <w:lang w:bidi="ar-SA"/>
        </w:rPr>
        <w:t xml:space="preserve">أصحابنا في بعض الأخبار أنه متى أتاهم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مضمون الرواية و لم يقدح فيها أصلاً،و لم يذكر حكم المسألة رأساً مقتصراً عنه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محيص عن العمل بها،و إن كان يرغب عنه شيخنا في المسالك و الروضة </w:t>
      </w:r>
      <w:r>
        <w:rPr>
          <w:rStyle w:val="FootnoteAnchor"/>
          <w:rtl w:val="true"/>
        </w:rPr>
        <w:footnoteReference w:id="1270"/>
      </w:r>
      <w:r>
        <w:rPr>
          <w:rFonts w:ascii="Amiri" w:hAnsi="Amiri" w:eastAsia="Amiri" w:cs="Amiri"/>
          <w:color w:val="111111"/>
          <w:sz w:val="28"/>
          <w:sz w:val="28"/>
          <w:szCs w:val="28"/>
          <w:rtl w:val="true"/>
          <w:lang w:bidi="ar-SA"/>
        </w:rPr>
        <w:t>،مقوّياً فيهما العمل بالأصل من تخيير الولّي في تصديق أيّهما شاء و الاستيفاء منه،كما مضى،مع أنّه اعترف باشتهار العمل بالرواية بين أصحابنا،فهي لما فيها من وجهي الضعف جابرة،و لو لم تكن إلى درجة الإجماع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بالغة</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كما عرفته،سيّما مع ظهور دعواه في عبائر جماعة و التصريح بها في كلام من عرفته،فلا إشكال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بيت مال كهذا الزمان أشكل درء القصاص و الدية عنهما،و إذهاب حق المقرّ له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يرجع الأوّل عن إقراره، و الرجوع فيهما إلى حكم الأصل غير بعيد؛ لخروجهما عن مورد النصّ، فليقتصر فيما خالف الأصل عليه،إلّا أن يدّعى شموله لهما من حيث التعليل</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102709_73709187"/>
      <w:bookmarkStart w:id="175" w:name="_Toc64"/>
      <w:bookmarkEnd w:id="174"/>
      <w:r>
        <w:rPr>
          <w:rtl w:val="true"/>
        </w:rPr>
        <w:t>البيّنة</w:t>
      </w:r>
      <w:bookmarkEnd w:id="175"/>
    </w:p>
    <w:p>
      <w:pPr>
        <w:pStyle w:val="Heading6"/>
        <w:numPr>
          <w:ilvl w:val="5"/>
          <w:numId w:val="1"/>
        </w:numPr>
        <w:rPr/>
      </w:pPr>
      <w:bookmarkStart w:id="176" w:name="__RefHeading___Toc1102711_73709187"/>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 أمّا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شاهدان عدلان و يثبت بهما اتّفاقاً،فتوًى و نصّاً و لا يثبت بشاهد و يمين اتفاقاً،كما مرّ في كتاب القضاء و لا بشهادة رجل و امرأتين مطلقاً،على أصحّ الأقوال،المتقدمة هي مع تمام التحقيق في المسألة في كتاب الشهادات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يثبت بذلك أي بكلّ من الشاهد و اليمين،و منه </w:t>
      </w:r>
    </w:p>
    <w:p>
      <w:pPr>
        <w:pStyle w:val="BookText"/>
        <w:rPr/>
      </w:pPr>
      <w:r>
        <w:rPr>
          <w:rFonts w:ascii="Amiri" w:hAnsi="Amiri" w:eastAsia="Amiri" w:cs="Amiri"/>
          <w:color w:val="111111"/>
          <w:sz w:val="28"/>
          <w:sz w:val="28"/>
          <w:szCs w:val="28"/>
          <w:rtl w:val="true"/>
          <w:lang w:bidi="ar-SA"/>
        </w:rPr>
        <w:t>و امرأتين ما يوجب الدية لا القود كال قتل خطأ،و دية الهاشمة، و المنقّلة،و الجائفة،و كسر العظام 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قود فيه،بل الدية خاصّة؛ لأنّها مال،و قد مرّ في الكتابين ثبوته بل كلّ ما يقصد به المال بهما،مع ما يدل عليه من النصّ و الفتوى،و لا وجه لإعادته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 اثنان ب أنّ القاتل زيد مثلاً و آخران ب أنّه هو عمرو دونه قال الشيخ في النهاية و المفيد و القاضي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يسقط القصاص و وجبت الدية عليهما نصفين لو كان القتل المشهود عليه عمداً أو شبيهاً به و لو كان خطأً كانت الدية على عاقلتهما و مستندهم من النصّ غير واضح و لعلّه الاحتياط في عصمة الدم لما عرض من الشبهة ب تصادم البيّنتين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هذه الجملة مع بيان دليل لزوم الدية عليهما بالمناصفة ما ذكره الفاضل في المختلف حيث اختار هذا القول و شيّده،و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قبول إحدى البيّنتين أولى من قبول الأُخرى،و لا يمكن العمل بهما، فيوجب قتل الشخصين معاً،و هو باطل إجماعاً،و لا العمل بإحداهما؛ لما قلنا من عدم المرجّح،فلم يبق إلا سقوطهما معاً فيما يرجع إلى القود؛ لأنّ التهجّم على الدماء المحقونة بغير سبب معلوم أو مظنون ممنوع شرعاً؛ لأنّ كل واحدة من البيّنتين مكذِّبة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أوجبنا الدية عليهما لئلّا يطلّ دم امرئ مسلم قد ثبت أنّ قاتله أحدهما،لكن لجهلنا بالتعيين أسقطنا القود الذي هو أقوى العقوبتين و أوجبنا أخفّهما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لمانع أن يمنع سقوط البيّنتين عند تعارضهما بعدم إمكان العمل </w:t>
      </w:r>
    </w:p>
    <w:p>
      <w:pPr>
        <w:pStyle w:val="BookText"/>
        <w:rPr/>
      </w:pPr>
      <w:r>
        <w:rPr>
          <w:rFonts w:ascii="Amiri" w:hAnsi="Amiri" w:eastAsia="Amiri" w:cs="Amiri"/>
          <w:color w:val="111111"/>
          <w:sz w:val="28"/>
          <w:sz w:val="28"/>
          <w:szCs w:val="28"/>
          <w:rtl w:val="true"/>
          <w:lang w:bidi="ar-SA"/>
        </w:rPr>
        <w:t>بهما و عدم المرجّح للعمل بإحداهما،بل هنا احتمال ثالث،و هو تخيير الوليّ بينهما،كما ذكروه في تعارض الإقرارين بالقتل عمداً في أحدهما و في الثاني بالخطإ،و دلّ عليه النص الذي مضى،مع تأيّده بما عليه الأصحاب و 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الاعتبار من التخيير بين الخبرين المتعارضين مثلاً بحيث لا يترجّح أحدهما على 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ذكر و لو بضمّ بعضه إلى بعض لعلّه يحصل الظن بجواز قتل من شهدت عليه إحدى البيّنتين ممن اختاره الأولياء،فليس فيه التهجّم على الدماء الممنوع عنه شرعاً،و حينئذٍ فلا يبعد المصير إلى ما عليه الحلّي </w:t>
      </w:r>
      <w:r>
        <w:rPr>
          <w:rStyle w:val="FootnoteAnchor"/>
          <w:rtl w:val="true"/>
        </w:rPr>
        <w:footnoteReference w:id="1274"/>
      </w:r>
      <w:r>
        <w:rPr>
          <w:rFonts w:ascii="Amiri" w:hAnsi="Amiri" w:eastAsia="Amiri" w:cs="Amiri"/>
          <w:color w:val="111111"/>
          <w:sz w:val="28"/>
          <w:sz w:val="28"/>
          <w:szCs w:val="28"/>
          <w:rtl w:val="true"/>
          <w:lang w:bidi="ar-SA"/>
        </w:rPr>
        <w:t>من التخيير،و إن كان ما ذكره من الأدلّة كلّها أو جلّها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شهرة ما عليه الشيخان مع قوّة احتمال استنادهما إلى رواية كما هو السجيّة لهما و العادة،و نبّه عليه شيخنا في المسالك </w:t>
      </w:r>
      <w:r>
        <w:rPr>
          <w:rStyle w:val="FootnoteAnchor"/>
          <w:rtl w:val="true"/>
        </w:rPr>
        <w:footnoteReference w:id="1275"/>
      </w:r>
      <w:r>
        <w:rPr>
          <w:rFonts w:ascii="Amiri" w:hAnsi="Amiri" w:eastAsia="Amiri" w:cs="Amiri"/>
          <w:color w:val="111111"/>
          <w:sz w:val="28"/>
          <w:sz w:val="28"/>
          <w:szCs w:val="28"/>
          <w:rtl w:val="true"/>
          <w:lang w:bidi="ar-SA"/>
        </w:rPr>
        <w:t xml:space="preserve">،و ادّعى وجودها لهما الحلّي في السرائر و الفاضل في التحرير </w:t>
      </w:r>
      <w:r>
        <w:rPr>
          <w:rStyle w:val="FootnoteAnchor"/>
          <w:rtl w:val="true"/>
        </w:rPr>
        <w:footnoteReference w:id="1276"/>
      </w:r>
      <w:r>
        <w:rPr>
          <w:rFonts w:ascii="Amiri" w:hAnsi="Amiri" w:eastAsia="Amiri" w:cs="Amiri"/>
          <w:color w:val="111111"/>
          <w:sz w:val="28"/>
          <w:sz w:val="28"/>
          <w:szCs w:val="28"/>
          <w:rtl w:val="true"/>
          <w:lang w:bidi="ar-SA"/>
        </w:rPr>
        <w:t>،أوجب التردّد في المسألة، فينبغي الرجوع فيها إلى مقتضى الأصل،و هو عدم القود،بل و عدم الدية أيضاً،كما حكي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لتكاذب البيّنتين، و وجود شبهة دارئة للدعوى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احتمال دعوى عدم القول بالفصل بين القول بعدم التخيير </w:t>
      </w:r>
    </w:p>
    <w:p>
      <w:pPr>
        <w:pStyle w:val="BookText"/>
        <w:rPr/>
      </w:pPr>
      <w:r>
        <w:rPr>
          <w:rFonts w:ascii="Amiri" w:hAnsi="Amiri" w:eastAsia="Amiri" w:cs="Amiri"/>
          <w:color w:val="111111"/>
          <w:sz w:val="28"/>
          <w:sz w:val="28"/>
          <w:szCs w:val="28"/>
          <w:rtl w:val="true"/>
          <w:lang w:bidi="ar-SA"/>
        </w:rPr>
        <w:t>و الدية و بين القول به مع عدمها؛ لكون ذلك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لا فتوًى،يعيّن القول بثبوت الدية،سيّما مع التأيّد بما ذكره الفاضل في المختلف </w:t>
      </w:r>
      <w:r>
        <w:rPr>
          <w:rStyle w:val="FootnoteAnchor"/>
          <w:rtl w:val="true"/>
        </w:rPr>
        <w:footnoteReference w:id="1278"/>
      </w:r>
      <w:r>
        <w:rPr>
          <w:rFonts w:ascii="Amiri" w:hAnsi="Amiri" w:eastAsia="Amiri" w:cs="Amiri"/>
          <w:color w:val="111111"/>
          <w:sz w:val="28"/>
          <w:sz w:val="28"/>
          <w:szCs w:val="28"/>
          <w:rtl w:val="true"/>
          <w:lang w:bidi="ar-SA"/>
        </w:rPr>
        <w:t>لإثباتها،و إن كان في صلوحه لذلك حجة نوع مناقشة،فالعمل على 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إطلاقه كعبائر أكثر الأصحاب عدم الفرق بين أن يدّعي أولياء المقتول القتل على أحدهما،أو عليهما،أو لا يدّعوا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للماتن في النكت </w:t>
      </w:r>
      <w:r>
        <w:rPr>
          <w:rStyle w:val="FootnoteAnchor"/>
          <w:rtl w:val="true"/>
        </w:rPr>
        <w:footnoteReference w:id="1279"/>
      </w:r>
      <w:r>
        <w:rPr>
          <w:rFonts w:ascii="Amiri" w:hAnsi="Amiri" w:eastAsia="Amiri" w:cs="Amiri"/>
          <w:color w:val="111111"/>
          <w:sz w:val="28"/>
          <w:sz w:val="28"/>
          <w:szCs w:val="28"/>
          <w:rtl w:val="true"/>
          <w:lang w:bidi="ar-SA"/>
        </w:rPr>
        <w:t>،فخصّ الحكم بالصورة الثالثة،و أثبت في الأُولى تسلّط الأولياء على المدّعى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لقيام البيّنة بذلك، و ثبوت السلطنة شرعاً بالآية </w:t>
      </w:r>
      <w:r>
        <w:rPr>
          <w:rStyle w:val="FootnoteAnchor"/>
          <w:rtl w:val="true"/>
        </w:rPr>
        <w:footnoteReference w:id="1280"/>
      </w:r>
      <w:r>
        <w:rPr>
          <w:rFonts w:ascii="Amiri" w:hAnsi="Amiri" w:eastAsia="Amiri" w:cs="Amiri"/>
          <w:color w:val="111111"/>
          <w:sz w:val="28"/>
          <w:sz w:val="28"/>
          <w:szCs w:val="28"/>
          <w:rtl w:val="true"/>
          <w:lang w:bidi="ar-SA"/>
        </w:rPr>
        <w:t>،فلهم القتل في العمد و الدية في الخطأ و شبهه،و ليس لهم على الآخر شيء منهما،و احتمل في الثانية ثبوت اللوث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الأربعة يتفقون أنّ هناك قاتلاً و مقتولاً و إن اختلفوا في التعيين،فيحلف الأولياء مع دعوى الجزم،و يثبت حينئذٍ القصاص مع ردّ فاضل الدية عليهما،و إليه يميل الشهيدان و غيرهما </w:t>
      </w:r>
      <w:r>
        <w:rPr>
          <w:rStyle w:val="FootnoteAnchor"/>
          <w:rtl w:val="true"/>
        </w:rPr>
        <w:footnoteReference w:id="1281"/>
      </w:r>
      <w:r>
        <w:rPr>
          <w:rFonts w:ascii="Amiri" w:hAnsi="Amiri" w:eastAsia="Amiri" w:cs="Amiri"/>
          <w:color w:val="111111"/>
          <w:sz w:val="28"/>
          <w:sz w:val="28"/>
          <w:szCs w:val="28"/>
          <w:rtl w:val="true"/>
          <w:lang w:bidi="ar-SA"/>
        </w:rPr>
        <w:t xml:space="preserve">،لكن لم يذكروا عنه حكم الصورة الثانية،و ناقشهم في ذلك بعض الأجلّة </w:t>
      </w:r>
      <w:r>
        <w:rPr>
          <w:rStyle w:val="FootnoteAnchor"/>
          <w:rtl w:val="true"/>
        </w:rPr>
        <w:footnoteReference w:id="1282"/>
      </w:r>
      <w:r>
        <w:rPr>
          <w:rFonts w:ascii="Amiri" w:hAnsi="Amiri" w:eastAsia="Amiri" w:cs="Amiri"/>
          <w:color w:val="111111"/>
          <w:sz w:val="28"/>
          <w:sz w:val="28"/>
          <w:szCs w:val="28"/>
          <w:rtl w:val="true"/>
          <w:lang w:bidi="ar-SA"/>
        </w:rPr>
        <w:t>بما لا يخلو عن قوّة،و يطول الكلام بذكره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 المشكلات،فلا يترك الاحتياط فيها حيث يمكن على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شهدا بأنّه قتل عمداً فأقرّ آخر أنّه هو القاتل كذلك دون المشهود عليه،ففي رواية زرارة الصحيحة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للوليّ قتل المقرّ،ثم لا سبيل له و لا لورثة المقرّ على المشهود عليه،و له قتل المشهود عليه و لا سبيل له على المقرّ و يردّ المقرّ على أولياء المشهود عليه نصف الدية،و له قتلهما معاً و يردّ على أولياء المشهود عليه خاصّة دون أولياء المقرّ نصف الدية ثم يقتل به،قال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أرادوا أن يأخذوا الدية؟فقال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بينهما نصفان؛ لأنّ أحدهما أقرّ و الآخر 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جُعل لأولياء الذي شُهد عليه على الذي أقرّ نصف الدية حين قُتل،و لم يُجعل لأولياء الذي أقرّ على أولياء الذي شُهد عليه و لم يقرّ؟فقال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شهد عليه ليس مثل الذي أقرّ،الذي شُهد عليه لم يقرّ و لم يبرئ صاحبه،و الآخر أقرّ و بّرأ صاحبه، فلزم الذي أقرّ و برّأ ما لم يلزم الذي شُهد عليه و لم يبرئ صاحبه</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تضمّنته من جواز قتلهما معاً إشكال؛ لانتفاء العلم بالشركة المجوّزة لذلك،فإنّ القاتل ليس إلّا أحدهما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إلزامهما بالدية بينهما نصفين لما ذكر،و لعلّه لذا ردّه الحلّي مضافاً إلى قاعدته و حكم بالتخيير،كالمسألة السابقة،فقال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 قتلهما جميعاً نظر؛ لعدم شهادة الشهود و إقرار المقرّ بالشركة،قال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شهدت البيّنة بالاشتراك و أقرّ الآخر به جاز قتلهما،و يردّ عليهما معاً دية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78" w:name="pg11409_90857"/>
    </w:p>
    <w:p>
      <w:pPr>
        <w:pStyle w:val="BookText"/>
        <w:rPr/>
      </w:pPr>
      <w:bookmarkEnd w:id="178"/>
      <w:r>
        <w:rPr>
          <w:rFonts w:ascii="Amiri" w:hAnsi="Amiri" w:eastAsia="Amiri" w:cs="Amiri"/>
          <w:color w:val="111111"/>
          <w:sz w:val="28"/>
          <w:sz w:val="28"/>
          <w:szCs w:val="28"/>
          <w:rtl w:val="true"/>
          <w:lang w:bidi="ar-SA"/>
        </w:rPr>
        <w:t xml:space="preserve">و استقر به فخر الدين في الإيضاح صريحاً كوالده في التحرير،و هو ظاهره في القواعد و الإرشاد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قوّاه الماتن في الشرائع </w:t>
      </w:r>
      <w:r>
        <w:rPr>
          <w:rStyle w:val="FootnoteAnchor"/>
          <w:rtl w:val="true"/>
        </w:rPr>
        <w:footnoteReference w:id="1286"/>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الرواية من المشاهير و بشهرتها صرّح الفاضل في كتبه المتقدمة و غيره من الجماعة، مشعرين ببلوغها درجة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كذلك،فقد أفتى به الشيخ و أتباعه و الإسكافي و الحلبي و غيرهم </w:t>
      </w:r>
      <w:r>
        <w:rPr>
          <w:rStyle w:val="FootnoteAnchor"/>
          <w:rtl w:val="true"/>
        </w:rPr>
        <w:footnoteReference w:id="1287"/>
      </w:r>
      <w:r>
        <w:rPr>
          <w:rFonts w:ascii="Amiri" w:hAnsi="Amiri" w:eastAsia="Amiri" w:cs="Amiri"/>
          <w:color w:val="111111"/>
          <w:sz w:val="28"/>
          <w:sz w:val="28"/>
          <w:szCs w:val="28"/>
          <w:rtl w:val="true"/>
          <w:lang w:bidi="ar-SA"/>
        </w:rPr>
        <w:t>،بل لم نر لهم مخالفاً عدا من مرّ،و عبائرهم غير صريحة في المخالفة عدا الحلّي و فخر الدين،و هي مشكلة؛ لصحة الرواية،و اعتضادها بعمل الطائفة،فيخصَّص بها القاعدة،و ليس هذه بأوّل قارورة،فكم من أُصول قويّة و قواعد كلّية خصّصت بمثل هذا الرواية،بل و بما دونها،كما لا يخفى على ذي اطّلاع و 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المسألة مع ذلك لعلّها لا تخلو عن شبهة،فالأحوط الاقتصار فيها بقتل أحدهما خاصّة؛ لعدم الخلاف فيه ظاهراً،فتوًى و روايةً،و حكى الإجماع عليه الحلّي في السرائر </w:t>
      </w:r>
      <w:r>
        <w:rPr>
          <w:rStyle w:val="FootnoteAnchor"/>
          <w:rtl w:val="true"/>
        </w:rPr>
        <w:footnoteReference w:id="1288"/>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6"/>
        <w:numPr>
          <w:ilvl w:val="5"/>
          <w:numId w:val="1"/>
        </w:numPr>
        <w:rPr/>
      </w:pPr>
      <w:bookmarkStart w:id="179" w:name="__RefHeading___Toc1102713_73709187"/>
      <w:bookmarkStart w:id="180" w:name="_Toc66"/>
      <w:bookmarkEnd w:id="179"/>
      <w:r>
        <w:rPr>
          <w:rtl w:val="true"/>
        </w:rPr>
        <w:t>مسائل</w:t>
      </w:r>
      <w:bookmarkEnd w:id="180"/>
    </w:p>
    <w:p>
      <w:pPr>
        <w:pStyle w:val="Heading6"/>
        <w:numPr>
          <w:ilvl w:val="5"/>
          <w:numId w:val="1"/>
        </w:numPr>
        <w:rPr/>
      </w:pPr>
      <w:bookmarkStart w:id="181" w:name="__RefHeading___Toc1102715_73709187"/>
      <w:bookmarkStart w:id="182" w:name="_Toc67"/>
      <w:bookmarkEnd w:id="181"/>
      <w:r>
        <w:rPr>
          <w:rtl w:val="true"/>
        </w:rPr>
        <w:t>الأولى قيل يحبس المتهم بالدم ستة أيام</w:t>
      </w:r>
      <w:bookmarkEnd w:id="182"/>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كما عن النهاية و القاضي و الصهرشتي و الطبرسي </w:t>
      </w:r>
    </w:p>
    <w:p>
      <w:pPr>
        <w:pStyle w:val="BookText"/>
        <w:rPr/>
      </w:pPr>
      <w:r>
        <w:rPr>
          <w:rFonts w:ascii="Amiri" w:hAnsi="Amiri" w:eastAsia="Amiri" w:cs="Amiri"/>
          <w:color w:val="111111"/>
          <w:sz w:val="28"/>
          <w:sz w:val="28"/>
          <w:szCs w:val="28"/>
          <w:rtl w:val="true"/>
          <w:lang w:bidi="ar-SA"/>
        </w:rPr>
        <w:t xml:space="preserve">و الإسكافي و ابن حمزة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يحبس المتّهم بالدم ستّة أيّام كما عمّن عدا الأخيرين،و بدّلها الأخير بالثلاثة،و الإسكافي بالسنة،و هو كالنهاية إن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بالتاءين على احتمال ظاهر،و إن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بدل التاء الاُولى كان قولاً ثالثاً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 غير واضح كقول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انقضاء المدّة فإن ثبتت الدعوى بإقرار أو بيّنة و إلّا خلّي سبيله و الأصل في المسألة قوية السكوني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يحبس في تهمة الدم ستّة أيّام،فإن جاء أولياء المقتول ببيّنة،و إلّا خلّى سبيله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بها من المتأخّرين جماعة،كالفاضل في التحرير و المختلف </w:t>
      </w:r>
      <w:r>
        <w:rPr>
          <w:rStyle w:val="FootnoteAnchor"/>
          <w:rtl w:val="true"/>
        </w:rPr>
        <w:footnoteReference w:id="1291"/>
      </w:r>
      <w:r>
        <w:rPr>
          <w:rFonts w:ascii="Amiri" w:hAnsi="Amiri" w:eastAsia="Amiri" w:cs="Amiri"/>
          <w:color w:val="111111"/>
          <w:sz w:val="28"/>
          <w:sz w:val="28"/>
          <w:szCs w:val="28"/>
          <w:rtl w:val="true"/>
          <w:lang w:bidi="ar-SA"/>
        </w:rPr>
        <w:t>،لكن في الأخير قيّده بما إذا حصلت التهمة للحاكم بسبب،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بالرواية،و تحفّظاً للنفوس عن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حصلت التهمة لغيره فلا عملاً بالأصل،و استحسنه الفاضل المقداد في التنقيح و غيره من الأصحاب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يخلو عن قرب يظهر وجهه زيادةً على ما مرّ في المختلف ممّا سبق في كتاب القضاء في بحث جواز تكفيل المدّعى عليه مع دعوى </w:t>
      </w:r>
    </w:p>
    <w:p>
      <w:pPr>
        <w:pStyle w:val="BookText"/>
        <w:rPr/>
      </w:pPr>
      <w:r>
        <w:rPr>
          <w:rFonts w:ascii="Amiri" w:hAnsi="Amiri" w:eastAsia="Amiri" w:cs="Amiri"/>
          <w:color w:val="111111"/>
          <w:sz w:val="28"/>
          <w:sz w:val="28"/>
          <w:szCs w:val="28"/>
          <w:rtl w:val="true"/>
          <w:lang w:bidi="ar-SA"/>
        </w:rPr>
        <w:t>المدّعى البيّنة و غيبتها ثم التمسه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الحلّي و فخر الدين و جدّه على ما حكاه عنه،و ظاهر الماتن هنا و في الشرائع </w:t>
      </w:r>
      <w:r>
        <w:rPr>
          <w:rStyle w:val="FootnoteAnchor"/>
          <w:rtl w:val="true"/>
        </w:rPr>
        <w:footnoteReference w:id="1293"/>
      </w:r>
      <w:r>
        <w:rPr>
          <w:rFonts w:ascii="Amiri" w:hAnsi="Amiri" w:eastAsia="Amiri" w:cs="Amiri"/>
          <w:color w:val="111111"/>
          <w:sz w:val="28"/>
          <w:sz w:val="28"/>
          <w:szCs w:val="28"/>
          <w:rtl w:val="true"/>
          <w:lang w:bidi="ar-SA"/>
        </w:rPr>
        <w:t>،فردّوا الرواية رأساً؛ لما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المستند ضعف و مع ذلك فيه تعجيل لعقوبة لم يثبت سببها و ظاهر الفاضل في القواعد و الإرشاد </w:t>
      </w:r>
      <w:r>
        <w:rPr>
          <w:rStyle w:val="FootnoteAnchor"/>
          <w:rtl w:val="true"/>
        </w:rPr>
        <w:footnoteReference w:id="1294"/>
      </w:r>
      <w:r>
        <w:rPr>
          <w:rFonts w:ascii="Amiri" w:hAnsi="Amiri" w:eastAsia="Amiri" w:cs="Amiri"/>
          <w:color w:val="111111"/>
          <w:sz w:val="28"/>
          <w:sz w:val="28"/>
          <w:szCs w:val="28"/>
          <w:rtl w:val="true"/>
          <w:lang w:bidi="ar-SA"/>
        </w:rPr>
        <w:t xml:space="preserve">التردّد،و هو حسن لولا ما قدّمناه،و يجبر به الضعف و ما بعده،مع إمكان جبره بدعوى الشيخ إجماع العصابة على قبول روايات الراوي </w:t>
      </w:r>
      <w:r>
        <w:rPr>
          <w:rStyle w:val="FootnoteAnchor"/>
          <w:rtl w:val="true"/>
        </w:rPr>
        <w:footnoteReference w:id="1295"/>
      </w:r>
      <w:r>
        <w:rPr>
          <w:rFonts w:ascii="Amiri" w:hAnsi="Amiri" w:eastAsia="Amiri" w:cs="Amiri"/>
          <w:color w:val="111111"/>
          <w:sz w:val="28"/>
          <w:sz w:val="28"/>
          <w:szCs w:val="28"/>
          <w:rtl w:val="true"/>
          <w:lang w:bidi="ar-SA"/>
        </w:rPr>
        <w:t xml:space="preserve">،و لذا قيل بوثاقته أو موثّقيته، كما يحكى عن الماتن في بعض تحقيقاته </w:t>
      </w:r>
      <w:r>
        <w:rPr>
          <w:rStyle w:val="FootnoteAnchor"/>
          <w:rtl w:val="true"/>
        </w:rPr>
        <w:footnoteReference w:id="1296"/>
      </w:r>
      <w:r>
        <w:rPr>
          <w:rFonts w:ascii="Amiri" w:hAnsi="Amiri" w:eastAsia="Amiri" w:cs="Amiri"/>
          <w:color w:val="111111"/>
          <w:sz w:val="28"/>
          <w:sz w:val="28"/>
          <w:szCs w:val="28"/>
          <w:rtl w:val="true"/>
          <w:lang w:bidi="ar-SA"/>
        </w:rPr>
        <w:t>،و يعضده كثرة رواياته،و عمل الأصحاب بها غالباً،و غير ذلك ممّا حقّق في وجه تقويته و تقوية صاحبه،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عرفت من عمل هؤلاء الجماعة بروايته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إطلاقها كإطلاق عبائر أكثرهم يشمل صورتي التماس المدّعى للحبس و عدمه،و قيّده بعضهم </w:t>
      </w:r>
      <w:r>
        <w:rPr>
          <w:rStyle w:val="FootnoteAnchor"/>
          <w:rtl w:val="true"/>
        </w:rPr>
        <w:footnoteReference w:id="1297"/>
      </w:r>
      <w:r>
        <w:rPr>
          <w:rFonts w:ascii="Amiri" w:hAnsi="Amiri" w:eastAsia="Amiri" w:cs="Amiri"/>
          <w:color w:val="111111"/>
          <w:sz w:val="28"/>
          <w:sz w:val="28"/>
          <w:szCs w:val="28"/>
          <w:rtl w:val="true"/>
          <w:lang w:bidi="ar-SA"/>
        </w:rPr>
        <w:t>بصورة التماسه،و هو حسن،و لعلّه المراد من الإطلاق؛ فإنّه عقوبة لحقّه،فلا يكون إلّا بعد التماسه،و يؤيّده عدم الحكم بدون التماسه مع ثبوته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المراد بالدم ما يشمل الجراح كما يقتضيه إطلاق العبارة و نحوها و صدر الرواية أيضاً،أم القتل خاصّة؛ لاحتمال اختصاص الإطلاق بحكم التبادر به،مع اشتمال ذيل الرواية على ما يعرب عن إرادة القتل من الدم </w:t>
      </w:r>
      <w:bookmarkStart w:id="183" w:name="pg11409_90860"/>
    </w:p>
    <w:p>
      <w:pPr>
        <w:pStyle w:val="BookText"/>
        <w:rPr/>
      </w:pPr>
      <w:bookmarkEnd w:id="183"/>
      <w:r>
        <w:rPr>
          <w:rFonts w:ascii="Amiri" w:hAnsi="Amiri" w:eastAsia="Amiri" w:cs="Amiri"/>
          <w:color w:val="111111"/>
          <w:sz w:val="28"/>
          <w:sz w:val="28"/>
          <w:szCs w:val="28"/>
          <w:rtl w:val="true"/>
          <w:lang w:bidi="ar-SA"/>
        </w:rPr>
        <w:t>المطلق في صدرها خاصة؟وجهان،و الحوالة إلى الحاكم ليراعى أقلّ الضررين كما قدّمناه في التكفيل غير بعيد</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102717_73709187"/>
      <w:bookmarkStart w:id="185" w:name="_Toc68"/>
      <w:bookmarkEnd w:id="184"/>
      <w:r>
        <w:rPr>
          <w:rtl w:val="true"/>
        </w:rPr>
        <w:t>الثانية لو قتل و ادّعى أنّه وجد المقتول مع امرأته</w:t>
      </w:r>
      <w:bookmarkEnd w:id="18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رجلاً و ادّعى أنّه وجد المقتول مع امرأته يزني بها قتل به مع اعترافه بقتله صريحاً إلّا أن يقيم البيّنة ب صدق دعواه فلا يقتل حينئذٍ،بلا خلاف في المقامين فتوًى و نصّاً،ففي المرتضوي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رجلاً و ادّعى أنّه رآه مع امرأته،فقال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 إلّا أن يأتي ببيّنة</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في الأوّل إلى الأصل،و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 خصوص الصحيح </w:t>
      </w:r>
      <w:r>
        <w:rPr>
          <w:rStyle w:val="FootnoteAnchor"/>
          <w:rtl w:val="true"/>
        </w:rPr>
        <w:footnoteReference w:id="1300"/>
      </w:r>
      <w:r>
        <w:rPr>
          <w:rFonts w:ascii="Amiri" w:hAnsi="Amiri" w:eastAsia="Amiri" w:cs="Amiri"/>
          <w:color w:val="111111"/>
          <w:sz w:val="28"/>
          <w:sz w:val="28"/>
          <w:szCs w:val="28"/>
          <w:rtl w:val="true"/>
          <w:lang w:bidi="ar-SA"/>
        </w:rPr>
        <w:t xml:space="preserve">و غيره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على بطن امرأتك رجلاً ما كنت صانعاً؟قال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أضربه بالسيف،فخرج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يا سعد؟قال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على بطن امرأتك رجلاً ما كنت تصنع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أضربه بالسيف،فقال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سعد،و كيف بالأربعة الشهود؟فقال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بعد رأي عيني و علم اللّه تعالى أن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بعد رأي عينك و علم اللّه تعالى أن قد فعل؛ لأنّ اللّه عزّ و جلّ قد جعل لكل شيء حدّا، و جعل لمن تعدّى ذلك الحدّ حدّا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إطلاقه و إن كان ربما يتوهّم منه المنافاة للحكم الثاني،إلّا أنّه </w:t>
      </w:r>
      <w:bookmarkStart w:id="186" w:name="pg11409_90861"/>
    </w:p>
    <w:p>
      <w:pPr>
        <w:pStyle w:val="BookText"/>
        <w:rPr/>
      </w:pPr>
      <w:bookmarkEnd w:id="186"/>
      <w:r>
        <w:rPr>
          <w:rFonts w:ascii="Amiri" w:hAnsi="Amiri" w:eastAsia="Amiri" w:cs="Amiri"/>
          <w:color w:val="111111"/>
          <w:sz w:val="28"/>
          <w:sz w:val="28"/>
          <w:szCs w:val="28"/>
          <w:rtl w:val="true"/>
          <w:lang w:bidi="ar-SA"/>
        </w:rPr>
        <w:t xml:space="preserve">محمول على كون اعتبار الشهود لدفع القود عن نفسه في ظاهر الشرع و إن لم يكن عليه إثم فيما بينه و بين اللّه تعالى،كما ظهر من الرواية السابقة و فتاوي أصحابنا،و إن اختلفت في تقييد الحكم بعدم إثم الزوج في قتله الزاني بكونه محصناً،كما عن الشيخ و الحلّي </w:t>
      </w:r>
      <w:r>
        <w:rPr>
          <w:rStyle w:val="FootnoteAnchor"/>
          <w:rtl w:val="true"/>
        </w:rPr>
        <w:footnoteReference w:id="1302"/>
      </w:r>
      <w:r>
        <w:rPr>
          <w:rFonts w:ascii="Amiri" w:hAnsi="Amiri" w:eastAsia="Amiri" w:cs="Amiri"/>
          <w:color w:val="111111"/>
          <w:sz w:val="28"/>
          <w:sz w:val="28"/>
          <w:szCs w:val="28"/>
          <w:rtl w:val="true"/>
          <w:lang w:bidi="ar-SA"/>
        </w:rPr>
        <w:t xml:space="preserve">،أو إبقائه على إطلاقه فيشمل غير المحصن،كما هو ظاهر أكثر الفتاوي و عن صريح الماتن في النكت </w:t>
      </w:r>
      <w:r>
        <w:rPr>
          <w:rStyle w:val="FootnoteAnchor"/>
          <w:rtl w:val="true"/>
        </w:rPr>
        <w:footnoteReference w:id="1303"/>
      </w:r>
      <w:r>
        <w:rPr>
          <w:rFonts w:ascii="Amiri" w:hAnsi="Amiri" w:eastAsia="Amiri" w:cs="Amiri"/>
          <w:color w:val="111111"/>
          <w:sz w:val="28"/>
          <w:sz w:val="28"/>
          <w:szCs w:val="28"/>
          <w:rtl w:val="true"/>
          <w:lang w:bidi="ar-SA"/>
        </w:rPr>
        <w:t>،و به صرّح غيره كشيخنا في الروضة،حيث قال في جملة شرحه لقول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مع زوجته رجلاً يزني بها فله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الأصحاب،لا نعلم فيه مخالفاً،و هو مروي أيضاً، و لا فرق في الزوجة بين الدائم و المتمتع بها،و لا بين المدخول بها و غيرها، و لا بين الحرّة و الأمة،و لا في الزاني بين المحصن و غيره؛ لإطلاق الإذن المتناول لجميع ذلك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المولى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شهرته،بل كونه مجمعاً عليه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1102719_73709187"/>
      <w:bookmarkStart w:id="188" w:name="_Toc69"/>
      <w:bookmarkEnd w:id="187"/>
      <w:r>
        <w:rPr>
          <w:rtl w:val="true"/>
        </w:rPr>
        <w:t>الثالثة خطأ الحاكم في القتل و الجرح على بيت المال</w:t>
      </w:r>
      <w:bookmarkEnd w:id="1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الحاكم في القتل و الجرح على بيت المال كما في الموثّق </w:t>
      </w:r>
      <w:r>
        <w:rPr>
          <w:rStyle w:val="FootnoteAnchor"/>
          <w:rtl w:val="true"/>
        </w:rPr>
        <w:footnoteReference w:id="1306"/>
      </w:r>
      <w:r>
        <w:rPr>
          <w:rFonts w:ascii="Amiri" w:hAnsi="Amiri" w:eastAsia="Amiri" w:cs="Amiri"/>
          <w:color w:val="111111"/>
          <w:sz w:val="28"/>
          <w:sz w:val="28"/>
          <w:szCs w:val="28"/>
          <w:rtl w:val="true"/>
          <w:lang w:bidi="ar-SA"/>
        </w:rPr>
        <w:t xml:space="preserve">و غيره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أخطأت به القضاة في دم أو قطع فعلى بيت مال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لا خلاف فيه،كما يظهر من التنقيح </w:t>
      </w:r>
      <w:r>
        <w:rPr>
          <w:rStyle w:val="FootnoteAnchor"/>
          <w:rtl w:val="true"/>
        </w:rPr>
        <w:footnoteReference w:id="1308"/>
      </w:r>
      <w:r>
        <w:rPr>
          <w:rFonts w:ascii="Amiri" w:hAnsi="Amiri" w:eastAsia="Amiri" w:cs="Amiri"/>
          <w:color w:val="111111"/>
          <w:sz w:val="28"/>
          <w:sz w:val="28"/>
          <w:szCs w:val="28"/>
          <w:rtl w:val="true"/>
          <w:lang w:bidi="ar-SA"/>
        </w:rPr>
        <w:t>،حيث لم يتكلم في المسألة مع أنّ دابة التكلم في المسائل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الأخبار بعد ذكر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الفتوى سواء كان في مال لا يمكن استرجاعه،أو قصاص مع عدم تقصير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جنى على أحد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حذار </w:t>
      </w:r>
      <w:r>
        <w:rPr>
          <w:rStyle w:val="FootnoteAnchor"/>
          <w:rtl w:val="true"/>
        </w:rPr>
        <w:footnoteReference w:id="1310"/>
      </w:r>
      <w:r>
        <w:rPr>
          <w:rFonts w:ascii="Amiri" w:hAnsi="Amiri" w:eastAsia="Amiri" w:cs="Amiri"/>
          <w:color w:val="111111"/>
          <w:sz w:val="28"/>
          <w:sz w:val="28"/>
          <w:szCs w:val="28"/>
          <w:rtl w:val="true"/>
          <w:lang w:bidi="ar-SA"/>
        </w:rPr>
        <w:t>،لم يضمن عاقلته جنايته،كما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صبيان في زمن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بأخطار </w:t>
      </w:r>
      <w:r>
        <w:rPr>
          <w:rStyle w:val="FootnoteAnchor"/>
          <w:rtl w:val="true"/>
        </w:rPr>
        <w:footnoteReference w:id="1311"/>
      </w:r>
      <w:r>
        <w:rPr>
          <w:rFonts w:ascii="Amiri" w:hAnsi="Amiri" w:eastAsia="Amiri" w:cs="Amiri"/>
          <w:color w:val="111111"/>
          <w:sz w:val="28"/>
          <w:sz w:val="28"/>
          <w:szCs w:val="28"/>
          <w:rtl w:val="true"/>
          <w:lang w:bidi="ar-SA"/>
        </w:rPr>
        <w:t>لهم فرمى أحدهم بخطره فدقّ رباعية صاحبه،فرفع ذلك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الرامي البيّنة 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حذار،فدرأ عنه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 من تعرّض لهذا الحكم هنا عدا الماتن،و إلّا فباقي الأصحاب تعرّضوا لذكره في كتاب الديات في بحث ضمان النفوس و غيرها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ظاهرهم عدم الخلاف فيه،كما صرّح به المقدّس الأردبيلي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الإجماع،كما يظهر من ابن زهرة و غيره </w:t>
      </w:r>
      <w:r>
        <w:rPr>
          <w:rStyle w:val="FootnoteAnchor"/>
          <w:rtl w:val="true"/>
        </w:rPr>
        <w:footnoteReference w:id="1314"/>
      </w:r>
      <w:r>
        <w:rPr>
          <w:rFonts w:ascii="Amiri" w:hAnsi="Amiri" w:eastAsia="Amiri" w:cs="Amiri"/>
          <w:color w:val="111111"/>
          <w:sz w:val="28"/>
          <w:sz w:val="28"/>
          <w:szCs w:val="28"/>
          <w:rtl w:val="true"/>
          <w:lang w:bidi="ar-SA"/>
        </w:rPr>
        <w:t>،فيجبر بذلك قصور سند الرواية</w:t>
      </w:r>
      <w:r>
        <w:rPr>
          <w:rFonts w:eastAsia="Amiri" w:cs="Amiri" w:ascii="Amiri" w:hAnsi="Amiri"/>
          <w:color w:val="111111"/>
          <w:sz w:val="28"/>
          <w:szCs w:val="28"/>
          <w:rtl w:val="true"/>
          <w:lang w:bidi="ar-SA"/>
        </w:rPr>
        <w:t xml:space="preserve">. </w:t>
      </w:r>
      <w:bookmarkStart w:id="189" w:name="pg11409_90863"/>
    </w:p>
    <w:p>
      <w:pPr>
        <w:pStyle w:val="BookText"/>
        <w:rPr/>
      </w:pPr>
      <w:bookmarkEnd w:id="189"/>
      <w:r>
        <w:rPr>
          <w:rFonts w:ascii="Amiri" w:hAnsi="Amiri" w:eastAsia="Amiri" w:cs="Amiri"/>
          <w:color w:val="111111"/>
          <w:sz w:val="28"/>
          <w:sz w:val="28"/>
          <w:szCs w:val="28"/>
          <w:rtl w:val="true"/>
          <w:lang w:bidi="ar-SA"/>
        </w:rPr>
        <w:t>و لكن اشترطوا إسماع الحذار للمجني عليه في وقت يتمكن منها،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حذار،أو قالها في وقت لا يتمكن المرمي من الحذر، أو لم يُسمع فالدية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لشهادة الاعتبار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اعتدي عليه فاعتدى بمثله على المعتدي لم يضمن جنايته و إن تلفت فيها النفس،كما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أتى رجلاً و هو راقد،فلمّا صار على ظهره ليقربه </w:t>
      </w:r>
      <w:r>
        <w:rPr>
          <w:rStyle w:val="FootnoteAnchor"/>
          <w:rtl w:val="true"/>
        </w:rPr>
        <w:footnoteReference w:id="1316"/>
      </w:r>
      <w:r>
        <w:rPr>
          <w:rFonts w:ascii="Amiri" w:hAnsi="Amiri" w:eastAsia="Amiri" w:cs="Amiri"/>
          <w:color w:val="111111"/>
          <w:sz w:val="28"/>
          <w:sz w:val="28"/>
          <w:szCs w:val="28"/>
          <w:rtl w:val="true"/>
          <w:lang w:bidi="ar-SA"/>
        </w:rPr>
        <w:t>فبعجه بعجة فقتله،قال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دية له و لا قود،قال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كابر امرأة ليفجر بها فقتلته فلا دية له و لا قود</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 النصوص المتقدمة </w:t>
      </w:r>
      <w:r>
        <w:rPr>
          <w:rStyle w:val="FootnoteAnchor"/>
          <w:rtl w:val="true"/>
        </w:rPr>
        <w:footnoteReference w:id="1318"/>
      </w:r>
      <w:r>
        <w:rPr>
          <w:rFonts w:ascii="Amiri" w:hAnsi="Amiri" w:eastAsia="Amiri" w:cs="Amiri"/>
          <w:color w:val="111111"/>
          <w:sz w:val="28"/>
          <w:sz w:val="28"/>
          <w:szCs w:val="28"/>
          <w:rtl w:val="true"/>
          <w:lang w:bidi="ar-SA"/>
        </w:rPr>
        <w:t>في محاربة اللص،و جواز قتله إذا لم يمكن دفعه بدونه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02721_73709187"/>
      <w:bookmarkStart w:id="191" w:name="_Toc70"/>
      <w:bookmarkEnd w:id="190"/>
      <w:r>
        <w:rPr>
          <w:rtl w:val="true"/>
        </w:rPr>
        <w:t>القَسامة</w:t>
      </w:r>
      <w:bookmarkEnd w:id="191"/>
    </w:p>
    <w:p>
      <w:pPr>
        <w:pStyle w:val="BookText"/>
        <w:rPr/>
      </w:pPr>
      <w:r>
        <w:rPr>
          <w:rFonts w:ascii="Amiri" w:hAnsi="Amiri" w:eastAsia="Amiri" w:cs="Amiri"/>
          <w:color w:val="111111"/>
          <w:sz w:val="28"/>
          <w:sz w:val="28"/>
          <w:szCs w:val="28"/>
          <w:rtl w:val="true"/>
          <w:lang w:bidi="ar-SA"/>
        </w:rPr>
        <w:t>و أمّا القَسامة ف هي لغة من القَسَم بالتحريك،و هو اليمين، و شرعاً الأيمان التي تقسم على الأولياء في الدم،و قد يسمّى الحالفون قسامة على طريق المجاز لا الحقيقة،و صورتها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يوجد قتيل في موضع لا يعرف من قتله،و لا يقوم عليه بيّنة و لا إقرار،و يدّعي الوليّ على واحد أو جماعة فيحلف على ما يدّعيه،و يثبت به دم صاحبه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تثبت إلّا مع اقتران الدعوى ب اللوث بلا خلاف أجده، </w:t>
      </w:r>
    </w:p>
    <w:p>
      <w:pPr>
        <w:pStyle w:val="BookText"/>
        <w:rPr/>
      </w:pPr>
      <w:r>
        <w:rPr>
          <w:rFonts w:ascii="Amiri" w:hAnsi="Amiri" w:eastAsia="Amiri" w:cs="Amiri"/>
          <w:color w:val="111111"/>
          <w:sz w:val="28"/>
          <w:sz w:val="28"/>
          <w:szCs w:val="28"/>
          <w:rtl w:val="true"/>
          <w:lang w:bidi="ar-SA"/>
        </w:rPr>
        <w:t xml:space="preserve">حتى من نحو الحلّي </w:t>
      </w:r>
      <w:r>
        <w:rPr>
          <w:rStyle w:val="FootnoteAnchor"/>
          <w:rtl w:val="true"/>
        </w:rPr>
        <w:footnoteReference w:id="1319"/>
      </w:r>
      <w:r>
        <w:rPr>
          <w:rFonts w:ascii="Amiri" w:hAnsi="Amiri" w:eastAsia="Amiri" w:cs="Amiri"/>
          <w:color w:val="111111"/>
          <w:sz w:val="28"/>
          <w:sz w:val="28"/>
          <w:szCs w:val="28"/>
          <w:rtl w:val="true"/>
          <w:lang w:bidi="ar-SA"/>
        </w:rPr>
        <w:t xml:space="preserve">،و ظاهرهم الإجماع عليه،كما صرّح به في الغنية </w:t>
      </w:r>
      <w:r>
        <w:rPr>
          <w:rStyle w:val="FootnoteAnchor"/>
          <w:rtl w:val="true"/>
        </w:rPr>
        <w:footnoteReference w:id="1320"/>
      </w:r>
      <w:r>
        <w:rPr>
          <w:rFonts w:ascii="Amiri" w:hAnsi="Amiri" w:eastAsia="Amiri" w:cs="Amiri"/>
          <w:color w:val="111111"/>
          <w:sz w:val="28"/>
          <w:sz w:val="28"/>
          <w:szCs w:val="28"/>
          <w:rtl w:val="true"/>
          <w:lang w:bidi="ar-SA"/>
        </w:rPr>
        <w:t>، و لكن ناقشهم بعض الأجلّة،حيث قال بعد نقله جملةً من الأخبار المتعلّقة بالقَسامة،الدالّة على ثبوتها في الشريعة من طرق العامة و الخاصّة، كالنبوي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المدّعى،و اليمين على من أنكر،إلّا في القسامة</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كيف كانت؟فقال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حقّ،و هي مكتوبة عندنا، و لو لا ذلك لقتل الناس بعضهم بعضاً ثم لم يكن شيء،و إنّما القسامة نجاة للناس</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كلّها البيّنة على المدّعى، و اليمين على المدّعى عليه،إلّا في الدم خاصّة</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الأخبار خالية عن اعتبار اللوث لفظاً،يعني لم يؤخذ للقسامة شرط اللوث،نعم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القتيل في قليب </w:t>
      </w:r>
      <w:r>
        <w:rPr>
          <w:rStyle w:val="FootnoteAnchor"/>
          <w:rtl w:val="true"/>
        </w:rPr>
        <w:footnoteReference w:id="1324"/>
      </w:r>
      <w:r>
        <w:rPr>
          <w:rFonts w:ascii="Amiri" w:hAnsi="Amiri" w:eastAsia="Amiri" w:cs="Amiri"/>
          <w:color w:val="111111"/>
          <w:sz w:val="28"/>
          <w:sz w:val="28"/>
          <w:szCs w:val="28"/>
          <w:rtl w:val="true"/>
          <w:lang w:bidi="ar-SA"/>
        </w:rPr>
        <w:t>أو قرية و غير ذلك، و ليس ذلك بواضح و لا صريح في اشتراطه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لهم على ذلك إجماعاً أو نصّاً ما اطّلعت عليه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باللّه سبحانه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فيما ذكروه من اشتراط اللوث مخالفة القسامة للقاعدة،فإنّ إثبات الدعوى بقول المدّعى و يمينه على خلاف القاعدة ؛ لأنّه حكم بغير دليل؛ 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يعطى الناس </w:t>
      </w:r>
    </w:p>
    <w:p>
      <w:pPr>
        <w:pStyle w:val="BookText"/>
        <w:rPr/>
      </w:pPr>
      <w:r>
        <w:rPr>
          <w:rFonts w:ascii="IRNazanin" w:hAnsi="IRNazanin" w:eastAsia="IRNazanin"/>
          <w:color w:val="111111"/>
          <w:sz w:val="28"/>
          <w:sz w:val="28"/>
          <w:szCs w:val="28"/>
          <w:rtl w:val="true"/>
          <w:lang w:bidi="fa-IR"/>
        </w:rPr>
        <w:t>بأقوالهم لاستباح قوم دماء قوم و أموالهم</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الاقتصار فيها على المتيقن من النص و الفتوى،و ليس إلا ما ذكرنا؛ لورود أكثر النصوص في قضية عبد اللّه بن سهل المشهورة،و فيها اللوث بلا شبهة،و هي الأصل في شرعية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النصوص فبين ما مورد الأسئلة فيها وجدان القتيل في محل التهمة كالقليب و القرية،و هي كالأوّلة،و بين مطلقه بالمرّة،كالروايات المتقدّمة،و إطلاقها غير نافع؛ لورودها لبيان حكم آخر هو أصل الشرعية أو نحوه،لا ثبوتها مطلقاً أو في الجملة،و لذا لم يمكن الاستدلال بها على عدم اعتبار الشرائط الأُخر،و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الإطلاق يعدّ من قبيل المجملات بلا شبهة،هذا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اعتبار اللوث يستلزم عدم الفرق بين قتيل يوجد في قرية أو محلّة أو نحو ذلك من الأمثلة الآتية للّوث،و قتيلٍ يوجد في سوق أو فلاة أو جمعة،مع أنّ الفتاوي و النصوص مطبقة بالفرق بينهما بثبوت القسامة في الأول دون الثاني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تلك النصوص زيادة على ما يأتي إليه الإشارة الصحيح عن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يقم القوم المدّعون البيّنة على قتل قتيلهم و لم يقسموا بأنّ المتّهمين قتلوه،حلّف المتّهمين بالقتل خمسين يميناً باللّه تعالى ما قتلناه و لا علمنا له قاتلاً،ثم يؤدي الدية إلى أولياء القتيل،ذلك إذا قتل في حيّ واحد،فأمّا إذا قتل في عسكر،أو سوق </w:t>
      </w:r>
    </w:p>
    <w:p>
      <w:pPr>
        <w:pStyle w:val="BookText"/>
        <w:rPr/>
      </w:pPr>
      <w:r>
        <w:rPr>
          <w:rFonts w:ascii="Amiri" w:hAnsi="Amiri" w:eastAsia="Amiri" w:cs="Amiri"/>
          <w:color w:val="111111"/>
          <w:sz w:val="28"/>
          <w:sz w:val="28"/>
          <w:szCs w:val="28"/>
          <w:rtl w:val="true"/>
          <w:lang w:bidi="ar-SA"/>
        </w:rPr>
        <w:t>مدينة،فديته تدفع إلى أوليائه من بيت المال</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اعتبار التهمة في القسامة من وجه آخر،بل وجهين ، كما لا يخفى على من تدبّر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اعتبار اللوث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أمارة تقرن الدعوى بحيث يغلب معها الظن بصدق المدّعى في دعواه،و ذلك بالنسبة إلى الحاكم،أمّا المدّعى فلا بُدّ أن يكون عالماً جازماً بما يدّعيه؛ لما مرّ من اشتراط الجزم في المدّعى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سمّيت هذه الأمارة لوثاً لإفادتها قوة الظن،فإنّه في اللغة بفتح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كما لو وجد قتيل في دار قوم أو محلّتهم أو قريتهم </w:t>
      </w:r>
      <w:r>
        <w:rPr>
          <w:rStyle w:val="FootnoteAnchor"/>
          <w:rtl w:val="true"/>
        </w:rPr>
        <w:footnoteReference w:id="1331"/>
      </w:r>
      <w:r>
        <w:rPr>
          <w:rFonts w:ascii="Amiri" w:hAnsi="Amiri" w:eastAsia="Amiri" w:cs="Amiri"/>
          <w:color w:val="111111"/>
          <w:sz w:val="28"/>
          <w:sz w:val="28"/>
          <w:szCs w:val="28"/>
          <w:rtl w:val="true"/>
          <w:lang w:bidi="ar-SA"/>
        </w:rPr>
        <w:t xml:space="preserve">مع صغرها و انفصال المحلّة عن البلد الكبير،لا مطلقاً كما ذكره بعض الأصحاب </w:t>
      </w:r>
      <w:r>
        <w:rPr>
          <w:rStyle w:val="FootnoteAnchor"/>
          <w:rtl w:val="true"/>
        </w:rPr>
        <w:footnoteReference w:id="1332"/>
      </w:r>
      <w:r>
        <w:rPr>
          <w:rFonts w:ascii="Amiri" w:hAnsi="Amiri" w:eastAsia="Amiri" w:cs="Amiri"/>
          <w:color w:val="111111"/>
          <w:sz w:val="28"/>
          <w:sz w:val="28"/>
          <w:szCs w:val="28"/>
          <w:rtl w:val="true"/>
          <w:lang w:bidi="ar-SA"/>
        </w:rPr>
        <w:t>مزيداً في التقييد شيئاً آخر،و هو أن يكون بين القتيل و أهلها عداوة ظاهرة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وجد بين قريتين و هو إلى إحداهما أقرب،فهو لوث لأقربهما،كما في الصحيح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يوجد قتيلاً في القرية،أو بين قريتين؟قال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 ما بينهما فأيّهما كانت أقرب ضمنت</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تساوت مسافتهما كانتا سواء في اللوث و إن ثبت العداوة لإحداهما دون الأُخرى فاللوث لها و إن كانت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تفرّق جماعة عن قتيل في دار كان قد دخل عليهم ضيفاً،أو دخلها معهم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وجد قتيل و عنده رجل و معه سلاح متلطّخ بالدم،و لو كان بقربه سبع أو رجل آخر مولٍّ ظهره لم يوجب ذلك اللوث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إذا شهد عدل واحد أو شهد عبيد أو نسوة،أمّا الصبيان و الفسّاق و أهل الذمّة فالمشهور كما في المسالك و غيره </w:t>
      </w:r>
      <w:r>
        <w:rPr>
          <w:rStyle w:val="FootnoteAnchor"/>
          <w:rtl w:val="true"/>
        </w:rPr>
        <w:footnoteReference w:id="1334"/>
      </w:r>
      <w:r>
        <w:rPr>
          <w:rFonts w:ascii="Amiri" w:hAnsi="Amiri" w:eastAsia="Amiri" w:cs="Amiri"/>
          <w:color w:val="111111"/>
          <w:sz w:val="28"/>
          <w:sz w:val="28"/>
          <w:szCs w:val="28"/>
          <w:rtl w:val="true"/>
          <w:lang w:bidi="ar-SA"/>
        </w:rPr>
        <w:t>عدم حصول اللوث بأخبارهم؛ لعدم العبرة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للتحرير و المسالك و غيرهما </w:t>
      </w:r>
      <w:r>
        <w:rPr>
          <w:rStyle w:val="FootnoteAnchor"/>
          <w:rtl w:val="true"/>
        </w:rPr>
        <w:footnoteReference w:id="1335"/>
      </w:r>
      <w:r>
        <w:rPr>
          <w:rFonts w:ascii="IRNazanin" w:hAnsi="IRNazanin" w:eastAsia="IRNazanin"/>
          <w:color w:val="111111"/>
          <w:sz w:val="28"/>
          <w:sz w:val="28"/>
          <w:szCs w:val="28"/>
          <w:rtl w:val="true"/>
          <w:lang w:bidi="fa-IR"/>
        </w:rPr>
        <w:t>،فقالوا بإفادته اللوث مع حصول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 اللوث وجود أثر القتل؛ لإمكان حصوله بالخنق،و عصر الخصية </w:t>
      </w:r>
      <w:r>
        <w:rPr>
          <w:rStyle w:val="FootnoteAnchor"/>
          <w:rtl w:val="true"/>
        </w:rPr>
        <w:footnoteReference w:id="1336"/>
      </w:r>
      <w:r>
        <w:rPr>
          <w:rFonts w:ascii="Amiri" w:hAnsi="Amiri" w:eastAsia="Amiri" w:cs="Amiri"/>
          <w:color w:val="111111"/>
          <w:sz w:val="28"/>
          <w:sz w:val="28"/>
          <w:szCs w:val="28"/>
          <w:rtl w:val="true"/>
          <w:lang w:bidi="ar-SA"/>
        </w:rPr>
        <w:t>،و القبض على مجرى النفس،و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حضور المدّعى عليه؛ لجواز القضاء على الغائب،و من منعه اشترطه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عدم تكذيب أحد الوليّين صاحبه،فإنّه لا يقدح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يحصل اللوث فالحكم فيه كغيره من الدعاوي؛ عملاً بالعموم،قيل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للوليّ إحلاف المنكر يميناً واحدة و لو حصل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ما لا لوث فيه كما أشار إليه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جهل </w:t>
      </w:r>
    </w:p>
    <w:p>
      <w:pPr>
        <w:pStyle w:val="BookText"/>
        <w:rPr/>
      </w:pPr>
      <w:r>
        <w:rPr>
          <w:rFonts w:ascii="Amiri" w:hAnsi="Amiri" w:eastAsia="Amiri" w:cs="Amiri"/>
          <w:color w:val="111111"/>
          <w:sz w:val="28"/>
          <w:sz w:val="28"/>
          <w:szCs w:val="28"/>
          <w:rtl w:val="true"/>
          <w:lang w:bidi="ar-SA"/>
        </w:rPr>
        <w:t xml:space="preserve">قاتله و لم يحصل في قضيّته اللوث كقتيل الزحام،و الفزعات،و من وجد في فلاة،أو معسكر،أو في سوق،أو جمعة،فديته من بيت المال بلا خلاف أجده،بل عليه الإجماع في الغنية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به مع ذلك مستفيضة،منها زيادةً على الصحيحة المتقدمة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وجد مقتولاً لا يُدرى من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عرف له أولياء يطلبون ديته أُعطوا ديته من بيت مال المسلمين،و لا يطلّ دم امرئ مسلم؛ لأنّ ميراثه للإمام فكذلك تكون ديته على الإمام،و يصلّون عليه،و يدفنونه،و قضى في رجل زحمه الناس يوم الجمعة في زحام الناس فمات،أنّ ديته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و نحوه صحيح آخر في قتيل الزحام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الهايشات عقل و 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الهايشات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الفزعة تقع في الليل و النهار فيشجّ الرجل فيها،أو يقع قتيل لا يدرى من قتله و شجّه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فودّاه من بيت المال</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في زحام الناس يوم الجمعة،أو يوم عرفة،أو </w:t>
      </w:r>
    </w:p>
    <w:p>
      <w:pPr>
        <w:pStyle w:val="BookText"/>
        <w:rPr/>
      </w:pPr>
      <w:r>
        <w:rPr>
          <w:rFonts w:ascii="Amiri" w:hAnsi="Amiri" w:eastAsia="Amiri" w:cs="Amiri"/>
          <w:color w:val="111111"/>
          <w:sz w:val="28"/>
          <w:sz w:val="28"/>
          <w:szCs w:val="28"/>
          <w:rtl w:val="true"/>
          <w:lang w:bidi="ar-SA"/>
        </w:rPr>
        <w:t>على جسر لا يعلمون من قتله،فديته من بيت المال</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و نحوه القوي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عيد،أو على بئر</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الحكمة فيه حصول القتل من المسلمين،فتؤخذ الدية من أموالهم المعدّة لمصالحهم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تحقق اللوث يكون للأولياء أي أولياء المقتول إثبات الدعوى دعوى القتل على المتّهم مطلقاً بالقسامة إجماعاً منّا على الظاهر،المصرّح به في كثير من العبائر،كالمهذّب و التنقيح </w:t>
      </w:r>
      <w:r>
        <w:rPr>
          <w:rStyle w:val="FootnoteAnchor"/>
          <w:rtl w:val="true"/>
        </w:rPr>
        <w:footnoteReference w:id="1345"/>
      </w:r>
      <w:r>
        <w:rPr>
          <w:rFonts w:ascii="Amiri" w:hAnsi="Amiri" w:eastAsia="Amiri" w:cs="Amiri"/>
          <w:color w:val="111111"/>
          <w:sz w:val="28"/>
          <w:sz w:val="28"/>
          <w:szCs w:val="28"/>
          <w:rtl w:val="true"/>
          <w:lang w:bidi="ar-SA"/>
        </w:rPr>
        <w:t>،و هو الحجّة المخصِّصة للأصل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الصحاح المستفيضة و غيرها من المعتبرة،البالغة حدّ التواتر،و قد مرّ إلى جملة منها الإشارة،و سيأتي جملة أُخرى منها وافية، مع أنّه لم ينقل الخلاف في شرعيّتها إلّا عن أبي حنيفة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في العمد خمسون يميناً إجماعاً على الظاهر،المصرّح به في جملة من العبائر،كالتنقيح و شرح الشرائع للصيمري و الروضة و نكت الإرشاد و المسالك </w:t>
      </w:r>
      <w:r>
        <w:rPr>
          <w:rStyle w:val="FootnoteAnchor"/>
          <w:rtl w:val="true"/>
        </w:rPr>
        <w:footnoteReference w:id="1347"/>
      </w:r>
      <w:r>
        <w:rPr>
          <w:rFonts w:ascii="Amiri" w:hAnsi="Amiri" w:eastAsia="Amiri" w:cs="Amiri"/>
          <w:color w:val="111111"/>
          <w:sz w:val="28"/>
          <w:sz w:val="28"/>
          <w:szCs w:val="28"/>
          <w:rtl w:val="true"/>
          <w:lang w:bidi="ar-SA"/>
        </w:rPr>
        <w:t>،و لكن في الأخيرين نفي الخلاف عنه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كأنّهم لم يعتدّوا بخلاف ابن حمزة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خمسة و عشرون في العمد إذا كان هناك شاهد واحد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وجهه مع ندرته غير واضح،عدا ما قيل له من أنّه مبني على أنّ الخمسين بمنزلة شاهدين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اعتبار ضعيف لا تساعده الأدلّة،بل إطلاقها من الفتوى و الرواية على خلافه واضحة المقالة،مع مخالفته الأصل و الاحتياط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الخطأ و شبهه خمسة و عشرون على الأظهر وفاقاً للشيخ في كتبه الثلاثة،و القاضي و الصهرشتي و الطبرسي و ابن حمزة و الفاضلين هنا و في الشرائع و المختلف،و يميل إليه الشهيدان في النكت و المسالك و الفاضل المقداد في التنقيح </w:t>
      </w:r>
      <w:r>
        <w:rPr>
          <w:rStyle w:val="FootnoteAnchor"/>
          <w:rtl w:val="true"/>
        </w:rPr>
        <w:footnoteReference w:id="1350"/>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1351"/>
      </w:r>
      <w:r>
        <w:rPr>
          <w:rFonts w:ascii="Amiri" w:hAnsi="Amiri" w:eastAsia="Amiri" w:cs="Amiri"/>
          <w:color w:val="111111"/>
          <w:sz w:val="28"/>
          <w:sz w:val="28"/>
          <w:szCs w:val="28"/>
          <w:rtl w:val="true"/>
          <w:lang w:bidi="ar-SA"/>
        </w:rPr>
        <w:t xml:space="preserve">،و جعله المشهور في القواعد </w:t>
      </w:r>
      <w:r>
        <w:rPr>
          <w:rStyle w:val="FootnoteAnchor"/>
          <w:rtl w:val="true"/>
        </w:rPr>
        <w:footnoteReference w:id="1352"/>
      </w:r>
      <w:r>
        <w:rPr>
          <w:rFonts w:ascii="Amiri" w:hAnsi="Amiri" w:eastAsia="Amiri" w:cs="Amiri"/>
          <w:color w:val="111111"/>
          <w:sz w:val="28"/>
          <w:sz w:val="28"/>
          <w:szCs w:val="28"/>
          <w:rtl w:val="true"/>
          <w:lang w:bidi="ar-SA"/>
        </w:rPr>
        <w:t xml:space="preserve">،و ادّعى عليه الشيخ إجماع الطائفة </w:t>
      </w:r>
      <w:r>
        <w:rPr>
          <w:rStyle w:val="FootnoteAnchor"/>
          <w:rtl w:val="true"/>
        </w:rPr>
        <w:footnoteReference w:id="1353"/>
      </w:r>
      <w:r>
        <w:rPr>
          <w:rFonts w:ascii="Amiri" w:hAnsi="Amiri" w:eastAsia="Amiri" w:cs="Amiri"/>
          <w:color w:val="111111"/>
          <w:sz w:val="28"/>
          <w:sz w:val="28"/>
          <w:szCs w:val="28"/>
          <w:rtl w:val="true"/>
          <w:lang w:bidi="ar-SA"/>
        </w:rPr>
        <w:t xml:space="preserve">،و نسبه في الغنية </w:t>
      </w:r>
      <w:r>
        <w:rPr>
          <w:rStyle w:val="FootnoteAnchor"/>
          <w:rtl w:val="true"/>
        </w:rPr>
        <w:footnoteReference w:id="1354"/>
      </w:r>
      <w:r>
        <w:rPr>
          <w:rFonts w:ascii="Amiri" w:hAnsi="Amiri" w:eastAsia="Amiri" w:cs="Amiri"/>
          <w:color w:val="111111"/>
          <w:sz w:val="28"/>
          <w:sz w:val="28"/>
          <w:szCs w:val="28"/>
          <w:rtl w:val="true"/>
          <w:lang w:bidi="ar-SA"/>
        </w:rPr>
        <w:t>إلى رواية الأصحاب مشعراً بالإجماع عليها،و هو الحجة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خمسون رجلاً في العمد،و في الخطإ خمسة و عشرون رجلاً،و عليهم أن يحلفوا باللّه تعالى</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القسامة جعل في النفس على العمد خمسين رجلاً،و جعل في النفس على الخطأ خمسة و عشرين رجلاً</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صحة سند أكثرها،و اعتضادها بالإجماع المنقول لا معارض لها،كما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مؤيّدة بما استدل به في المختلف،فقال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أنّه أدون من قتل العمد،فناسب تخفيف القسامة؛ و لأنّ التهجّم على الدم بالقود أضعف من التهجّم على أخذ الدية فكان التشدّد في إثبات الأوّل أولى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و الحلّي و غيرهم </w:t>
      </w:r>
      <w:r>
        <w:rPr>
          <w:rStyle w:val="FootnoteAnchor"/>
          <w:rtl w:val="true"/>
        </w:rPr>
        <w:footnoteReference w:id="1358"/>
      </w:r>
      <w:r>
        <w:rPr>
          <w:rFonts w:ascii="Amiri" w:hAnsi="Amiri" w:eastAsia="Amiri" w:cs="Amiri"/>
          <w:color w:val="111111"/>
          <w:sz w:val="28"/>
          <w:sz w:val="28"/>
          <w:szCs w:val="28"/>
          <w:rtl w:val="true"/>
          <w:lang w:bidi="ar-SA"/>
        </w:rPr>
        <w:t xml:space="preserve">،فساووا بينه و بين العمد في الخمسين،و اختاره الفاضل في صريح الإرشاد و القواعد و ظاهر التحرير،و ولده في الإيضاح و الشهيدان في اللمعتين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مستندهم غير واضح،عدا الأصل،و الاحتياط،و إطلاقات الأخبار بالخمسين،و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 بما مرّ،و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بالمثل،فإنّ زيادة الأيمان على الحالف تكليف ينافي إلزام المكلّف به طريقة الاحتياط، و الأخبار لا إطلاق لها؛ فإنّها ما بين نوعين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ورد في قضيّة عبد اللّه بن سهل،و سياقها أجمع ظاهر،بل صريح في قتله عمداً،فإنّ من جملتها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هو </w:t>
      </w:r>
    </w:p>
    <w:p>
      <w:pPr>
        <w:pStyle w:val="BookText"/>
        <w:rPr/>
      </w:pPr>
      <w:r>
        <w:rPr>
          <w:rFonts w:ascii="Amiri" w:hAnsi="Amiri" w:eastAsia="Amiri" w:cs="Amiri"/>
          <w:color w:val="111111"/>
          <w:sz w:val="28"/>
          <w:sz w:val="28"/>
          <w:szCs w:val="28"/>
          <w:rtl w:val="true"/>
          <w:lang w:bidi="ar-SA"/>
        </w:rPr>
        <w:t>بخيبر إذ فقدت الأنصار رجلاً منهم فوجدوه قتيلاً،فقالت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اليهودي قتل صاحبنا،فقال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رجلين عدلين من غيركم أقيده برمّته،فإن لم تجدوا شاهدين فأقيموا قسامة خمسين رجلاً أقيده برمّته،فقالوا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عندنا شاهدان من غيرنا و إنّا لنكره أن نقسم على ما لم نره،فودّاه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حقن دماء المسلمين بالقسامة لكي إذا رأى الفاجر الفاسق فرصة من عدوّه حجزه ذلك مخافة القسامة فكّف عن قتله،و إلّا حلف المدّعى عليه قسامة خمسين رجلاً ما قتلنا و لا علمنا قاتلاً،و إلّا أُغرموا الدية إذا وجدوا قتيلاً بين أظهرهم إذا لم يقسم المدّعون</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نحوه غيره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فيما ذكرناه،مع أنّها على تقدير تسليم إطلاقها قضيّة في واقعة لا عموم لها ينفع المتنازع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ورد معلّلاً لشرعيّة القسامة بما مرّ في الصحيحة من العلّة،و هي صريحة في اختصاصها بالعمد دون الخطاء و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ضعف هذه الأدلّة،و عدم صلوحها للحجيّة فضلاً أن يعترض بها نحو الأدلّة السابقة،مع ما هي عليه من الكثرة و الخلوص عن شائبة الوهن و الريبة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ضعيف في الغاية،و إن ادّعى عليه إجماع المسلمين في السرائر </w:t>
      </w:r>
      <w:r>
        <w:rPr>
          <w:rStyle w:val="FootnoteAnchor"/>
          <w:rtl w:val="true"/>
        </w:rPr>
        <w:footnoteReference w:id="1362"/>
      </w:r>
      <w:r>
        <w:rPr>
          <w:rFonts w:ascii="Amiri" w:hAnsi="Amiri" w:eastAsia="Amiri" w:cs="Amiri"/>
          <w:color w:val="111111"/>
          <w:sz w:val="28"/>
          <w:sz w:val="28"/>
          <w:szCs w:val="28"/>
          <w:rtl w:val="true"/>
          <w:lang w:bidi="ar-SA"/>
        </w:rPr>
        <w:t xml:space="preserve">،و الشهرة في الروضة </w:t>
      </w:r>
      <w:r>
        <w:rPr>
          <w:rStyle w:val="FootnoteAnchor"/>
          <w:rtl w:val="true"/>
        </w:rPr>
        <w:footnoteReference w:id="1363"/>
      </w:r>
      <w:r>
        <w:rPr>
          <w:rFonts w:ascii="Amiri" w:hAnsi="Amiri" w:eastAsia="Amiri" w:cs="Amiri"/>
          <w:color w:val="111111"/>
          <w:sz w:val="28"/>
          <w:sz w:val="28"/>
          <w:szCs w:val="28"/>
          <w:rtl w:val="true"/>
          <w:lang w:bidi="ar-SA"/>
        </w:rPr>
        <w:t xml:space="preserve">لظهور وهن الأوّل بمخالفة عظماء </w:t>
      </w:r>
    </w:p>
    <w:p>
      <w:pPr>
        <w:pStyle w:val="BookText"/>
        <w:rPr/>
      </w:pPr>
      <w:r>
        <w:rPr>
          <w:rFonts w:ascii="Amiri" w:hAnsi="Amiri" w:eastAsia="Amiri" w:cs="Amiri"/>
          <w:color w:val="111111"/>
          <w:sz w:val="28"/>
          <w:sz w:val="28"/>
          <w:szCs w:val="28"/>
          <w:rtl w:val="true"/>
          <w:lang w:bidi="ar-SA"/>
        </w:rPr>
        <w:t xml:space="preserve">الطائفة مع أنّه لم ينقل موافقاً له عدا المفيد خاصّة،و على تقدير سلامته عن الوهن فهو معارض بإجماع الشيخ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بنحو هذا يجاب عن دعوى الشهرة،فإنّها على تقدير تسليمها معارضة بنقل الشهرة على الخلاف في القواعد،كما عرفته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هو القول الأوّل،و إن كان الثاني أحوط،لكن لا مطلقا كما زعموه،بل إذا بذل الحالف الزيادة برضاء و رغبة،و إلّا فإلزامه بها خلاف الاحتياط أيضاً،كما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كيفيّتها أن يحلف المدّعى و أقاربه أوّلاً،فإن بلغوا العدد المعتبر و حلف كل واحد منهم يميناً،و إلّا كرّرت عليهم بالسوية أو التفريق، و التخيير إليهم كما لو زاد عددهم عن العدد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للمدّعي قسامة أو امتنعوا كلاًّ،أو بعضاً؛ لعدم العلم،أو اقتراحاً حلف المدّعى و من يوافقه إن كان،و إلّا كرّرت عليه الأيمان حتى يأتي بالعدد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يحلف و كان للمنكر من قومه قَسامة،حلف كل منهم حتى يكملوا العدد و لو لم يكن له قسامة يحلفون كرّرت عليه الأيمان حتى يأتي ب تمام العدد و هذا التفصيل كما هو و إن لم يستفد من أخبار القسامة،إلّا أنّه لا خلاف فيه أجده،بل عليه الإجماع في الغنية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من بعض النصوص حلف المنكر أوّلاً،و إلّا فأولياء الدم،كالصحيح في قضية عبد اللّه بن سهل 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لأولياء </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اليهود،قالوا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يحلف اليهود على أخينا قوم كفّار؟قال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فاحلفوا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محمول على عدم القصد إلى بيان الترتيب،و إلّا فالمعتبرة الواردة في تلك القضية مستفيضة بعكس الترتيب المذكور في هذه الصحيحة،فمنها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فليقسم خمسون رجلاً منكم على رجل ندفعه إليكم،قالوا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نقسم على ما لم نر؟قال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اليهود،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نرضى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حلف المدّعى عليه قسامة خمسين رجلاً ما قتلنا و لا علمنا له قاتلاً،و إلّا أُغرموا الدية إذا وجدوا قتيلاً بين أظهرهم إذا لم يقسم المدّعون</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الخبر،و هو طويل،و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ادّعى الرجل على القوم أنّهم قتلوا كانت اليمين لمدّعي الدم قبل المدّعى عليهم،فعلى المدّعى أن يجيء بخمسين يحلفون أنّ فلاناً قتل فلاناً،فيدفع إليهم الذي حلف عليه،و إن لم يقسموا فإنّ على الذين ادّعي عليهم أن يحلف منهم خمسون ما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اعتبار الترتيب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على من،أعلى أهل القاتل أو على أهل </w:t>
      </w:r>
    </w:p>
    <w:p>
      <w:pPr>
        <w:pStyle w:val="BookText"/>
        <w:rPr/>
      </w:pPr>
      <w:r>
        <w:rPr>
          <w:rFonts w:ascii="Amiri" w:hAnsi="Amiri" w:eastAsia="Amiri" w:cs="Amiri"/>
          <w:color w:val="111111"/>
          <w:sz w:val="28"/>
          <w:sz w:val="28"/>
          <w:szCs w:val="28"/>
          <w:rtl w:val="true"/>
          <w:lang w:bidi="ar-SA"/>
        </w:rPr>
        <w:t>المقتول؟قال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سابقه أنّه لو كان المدّعى عليه أكثر من واحد يكتفى بحلف الجميع العدد من دون اشتراط حلف كل واحد منهم العدد،كما عليه الشيخ في الخلاف </w:t>
      </w:r>
      <w:r>
        <w:rPr>
          <w:rStyle w:val="FootnoteAnchor"/>
          <w:rtl w:val="true"/>
        </w:rPr>
        <w:footnoteReference w:id="1372"/>
      </w:r>
      <w:r>
        <w:rPr>
          <w:rFonts w:ascii="Amiri" w:hAnsi="Amiri" w:eastAsia="Amiri" w:cs="Amiri"/>
          <w:color w:val="111111"/>
          <w:sz w:val="28"/>
          <w:sz w:val="28"/>
          <w:szCs w:val="28"/>
          <w:rtl w:val="true"/>
          <w:lang w:bidi="ar-SA"/>
        </w:rPr>
        <w:t>،مدّعياً عليه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له في المبسوط و لغيره </w:t>
      </w:r>
      <w:r>
        <w:rPr>
          <w:rStyle w:val="FootnoteAnchor"/>
          <w:rtl w:val="true"/>
        </w:rPr>
        <w:footnoteReference w:id="137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الدعوى واقعة على كل واحد منهم بالدم،و من حكمها حلف المنكر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الوجه؛ لضعف الخبر،مع عدم جابر له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صراحته؛ لاحتماله الحمل على كون الدعوى على القوم على واحد منهم؛ لصحة الإضافة لأدنى ملابسة،و ربما يشير إلى كونه المراد من الرواية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أنّ فلاناً قتل فلاناً،فيدفع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 المدّعى عليه واحد،و إنّما أضاف الدعوى إلى القوم لكونه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موهون،سيّما مع مخالفة الناقل بنفسه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جملة من الأخبار الواردة في قضية سهل هو الأوّل؛ لظهورها في دعوى الأنصار على اليهود أنّهم قتلوا صاحبهم،و مع ذلك فقد اكتفى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بأن يحلفوا خمسين،ففي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رجلان من الأنصار يصيبان من الثمار فتفرّقا فوجد أحدهما ميتاً، فقال أصحابه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 صاحبنا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الأنصار رجلاً منهم فوجدوه قتيلاً، فقالت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اليهودي قتل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المخالفة لتلك،و القضية واحدة،و الجمع بينهما يقتضي إرجاع تلك إلى هذه؛ لصراحته دونها؛ لاحتمالها الحمل على نحو ما مرّ ممّا يرجع إليه،دونه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حلف المدّعى عليه هو أو مع قومه بطلت الدعوى، و أُخذت الدية من بيت المال؛ لدخوله فيمن جهل قاتله؛ و لئلاّ يطلّ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يقم القوم المدّعون البيّنة على قتل قتيلهم و لم يقسموا بأنّ المتّهمين قتلوه،حلّف المتّهمين </w:t>
      </w:r>
      <w:r>
        <w:rPr>
          <w:rStyle w:val="FootnoteAnchor"/>
          <w:rtl w:val="true"/>
        </w:rPr>
        <w:footnoteReference w:id="1377"/>
      </w:r>
      <w:r>
        <w:rPr>
          <w:rFonts w:ascii="Amiri" w:hAnsi="Amiri" w:eastAsia="Amiri" w:cs="Amiri"/>
          <w:color w:val="111111"/>
          <w:sz w:val="28"/>
          <w:sz w:val="28"/>
          <w:szCs w:val="28"/>
          <w:rtl w:val="true"/>
          <w:lang w:bidi="ar-SA"/>
        </w:rPr>
        <w:t>بالقتل خمسين يميناً باللّه ما قتلناه و لا علمنا له قاتلاً،ثم يؤدّي الدية إلى أولياء القتيل</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نكل عن الأيمان كلّاً أو بعضاً اُلزم الدعوى،عمداً كان القتل المدّعى عليه أو خطأ و لا تردّ اليمين على المدّعى على الأشهر الأقوى،بل عليه عامّة متأخّري أصحابنا؛ لظاهر الصحيح الثاني المتقدم من النصوص المتضمنة لحلف المدّعى أوّلاً ثم المدّعى عليه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بعض المعتبرة،المنجبر قصور سنده بالجهالة بالشهرة، </w:t>
      </w:r>
    </w:p>
    <w:p>
      <w:pPr>
        <w:pStyle w:val="BookText"/>
        <w:rPr/>
      </w:pPr>
      <w:r>
        <w:rPr>
          <w:rFonts w:ascii="Amiri" w:hAnsi="Amiri" w:eastAsia="Amiri" w:cs="Amiri"/>
          <w:color w:val="111111"/>
          <w:sz w:val="28"/>
          <w:sz w:val="28"/>
          <w:szCs w:val="28"/>
          <w:rtl w:val="true"/>
          <w:lang w:bidi="ar-SA"/>
        </w:rPr>
        <w:t>و وجود ابن محبوب قبلها،و قد حكي على تصحيح ما يصح عنه إجماع العصابة،و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مقتول في قبيلة قوم حلفوا جميعاً ما قتلوه و لا يعلمون له قاتلاً،فإن أبوا أن يحلفوا أُغرموا الدية فيما بينهم في أموالهم سواء بين جميع القبيلة من الرجال المدركين</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13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اليمين على المدّعى،كما في سائر الدعاوي،و ظاهر عبارته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إجماعه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فهل تردّ القَسامة،أم يكتفى بيمين واحدة؟وجهان، و المحكي عن ظاهر عبارة المبسوط </w:t>
      </w:r>
      <w:r>
        <w:rPr>
          <w:rStyle w:val="FootnoteAnchor"/>
          <w:rtl w:val="true"/>
        </w:rPr>
        <w:footnoteReference w:id="1382"/>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الخمسين يمين واحدة فله الردّ،و إلّا فلا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يثبت الحكم في الأعضاء بالقسامة كثبوته بها في النفس، بلا خلاف أجده،بل عليه إجماعنا في المبسوط على ما حكاه عنه في التنقيح </w:t>
      </w:r>
      <w:r>
        <w:rPr>
          <w:rStyle w:val="FootnoteAnchor"/>
          <w:rtl w:val="true"/>
        </w:rPr>
        <w:footnoteReference w:id="1384"/>
      </w:r>
      <w:r>
        <w:rPr>
          <w:rFonts w:ascii="Amiri" w:hAnsi="Amiri" w:eastAsia="Amiri" w:cs="Amiri"/>
          <w:color w:val="111111"/>
          <w:sz w:val="28"/>
          <w:sz w:val="28"/>
          <w:szCs w:val="28"/>
          <w:rtl w:val="true"/>
          <w:lang w:bidi="ar-SA"/>
        </w:rPr>
        <w:t xml:space="preserve">،و هو أيضاً ظاهر غيره </w:t>
      </w:r>
      <w:r>
        <w:rPr>
          <w:rStyle w:val="FootnoteAnchor"/>
          <w:rtl w:val="true"/>
        </w:rPr>
        <w:footnoteReference w:id="1385"/>
      </w:r>
      <w:r>
        <w:rPr>
          <w:rFonts w:ascii="Amiri" w:hAnsi="Amiri" w:eastAsia="Amiri" w:cs="Amiri"/>
          <w:color w:val="111111"/>
          <w:sz w:val="28"/>
          <w:sz w:val="28"/>
          <w:szCs w:val="28"/>
          <w:rtl w:val="true"/>
          <w:lang w:bidi="ar-SA"/>
        </w:rPr>
        <w:t>،و هو الحجة؛ مضافاً إلى النصوص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اقتران الدعوى هنا مع التهمة كما في النفس،أم لا؟ ظاهر العبارة و نحوها الأوّل،و هو صريح جماعة،و منهم الحلّي </w:t>
      </w:r>
      <w:r>
        <w:rPr>
          <w:rStyle w:val="FootnoteAnchor"/>
          <w:rtl w:val="true"/>
        </w:rPr>
        <w:footnoteReference w:id="138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مدّعياً في ظاهر كلامه الإجماع عليه </w:t>
      </w:r>
      <w:r>
        <w:rPr>
          <w:rStyle w:val="FootnoteAnchor"/>
          <w:rtl w:val="true"/>
        </w:rPr>
        <w:footnoteReference w:id="1387"/>
      </w:r>
      <w:r>
        <w:rPr>
          <w:rFonts w:ascii="Amiri" w:hAnsi="Amiri" w:eastAsia="Amiri" w:cs="Amiri"/>
          <w:color w:val="111111"/>
          <w:sz w:val="28"/>
          <w:sz w:val="28"/>
          <w:szCs w:val="28"/>
          <w:rtl w:val="true"/>
          <w:lang w:bidi="ar-SA"/>
        </w:rPr>
        <w:t xml:space="preserve">،و هو الحجة؛ مضافاً إلى بعض </w:t>
      </w:r>
    </w:p>
    <w:p>
      <w:pPr>
        <w:pStyle w:val="BookText"/>
        <w:rPr/>
      </w:pPr>
      <w:r>
        <w:rPr>
          <w:rFonts w:ascii="Amiri" w:hAnsi="Amiri" w:eastAsia="Amiri" w:cs="Amiri"/>
          <w:color w:val="111111"/>
          <w:sz w:val="28"/>
          <w:sz w:val="28"/>
          <w:szCs w:val="28"/>
          <w:rtl w:val="true"/>
          <w:lang w:bidi="ar-SA"/>
        </w:rPr>
        <w:t>ما قدّمنا في اعتباره في أصل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w:t>
      </w:r>
      <w:r>
        <w:rPr>
          <w:rStyle w:val="FootnoteAnchor"/>
          <w:rtl w:val="true"/>
        </w:rPr>
        <w:footnoteReference w:id="1388"/>
      </w:r>
      <w:r>
        <w:rPr>
          <w:rFonts w:ascii="Amiri" w:hAnsi="Amiri" w:eastAsia="Amiri" w:cs="Amiri"/>
          <w:color w:val="111111"/>
          <w:sz w:val="28"/>
          <w:sz w:val="28"/>
          <w:szCs w:val="28"/>
          <w:rtl w:val="true"/>
          <w:lang w:bidi="ar-SA"/>
        </w:rPr>
        <w:t>،فاختار الثاني،و حجته غير واضحة،سيّما في مقابلة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كانت ديته دية النفس كالأنف و اللسان و نحوهما فالأشهر كما هنا و في غيره أنّ عدد القسامة ستّة رجال و هو خيرة الشيخ و أتباعه </w:t>
      </w:r>
      <w:r>
        <w:rPr>
          <w:rStyle w:val="FootnoteAnchor"/>
          <w:rtl w:val="true"/>
        </w:rPr>
        <w:footnoteReference w:id="1389"/>
      </w:r>
      <w:r>
        <w:rPr>
          <w:rFonts w:ascii="Amiri" w:hAnsi="Amiri" w:eastAsia="Amiri" w:cs="Amiri"/>
          <w:color w:val="111111"/>
          <w:sz w:val="28"/>
          <w:sz w:val="28"/>
          <w:szCs w:val="28"/>
          <w:rtl w:val="true"/>
          <w:lang w:bidi="ar-SA"/>
        </w:rPr>
        <w:t xml:space="preserve">،و في الغنية </w:t>
      </w:r>
      <w:r>
        <w:rPr>
          <w:rStyle w:val="FootnoteAnchor"/>
          <w:rtl w:val="true"/>
        </w:rPr>
        <w:footnoteReference w:id="1390"/>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المروية في الكتب الثلاثة،و فيها الصحيح و غيره، فيما أفتى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الديات،و من جملته في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على العمد خمسين رجلاً،و جعل في النفس على الخطأ خمسة و عشرين رجلاً،و على ما بلغت ديته من الجوارح </w:t>
      </w:r>
      <w:r>
        <w:rPr>
          <w:rStyle w:val="FootnoteAnchor"/>
          <w:rtl w:val="true"/>
        </w:rPr>
        <w:footnoteReference w:id="1391"/>
      </w:r>
      <w:r>
        <w:rPr>
          <w:rFonts w:ascii="Amiri" w:hAnsi="Amiri" w:eastAsia="Amiri" w:cs="Amiri"/>
          <w:color w:val="111111"/>
          <w:sz w:val="28"/>
          <w:sz w:val="28"/>
          <w:szCs w:val="28"/>
          <w:rtl w:val="true"/>
          <w:lang w:bidi="ar-SA"/>
        </w:rPr>
        <w:t>ألف دينار ستّة نفر، فما كان دون ذلك فبحسابه من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للديلمي و الحلّي </w:t>
      </w:r>
      <w:r>
        <w:rPr>
          <w:rStyle w:val="FootnoteAnchor"/>
          <w:rtl w:val="true"/>
        </w:rPr>
        <w:footnoteReference w:id="1393"/>
      </w:r>
      <w:r>
        <w:rPr>
          <w:rFonts w:ascii="Amiri" w:hAnsi="Amiri" w:eastAsia="Amiri" w:cs="Amiri"/>
          <w:color w:val="111111"/>
          <w:sz w:val="28"/>
          <w:sz w:val="28"/>
          <w:szCs w:val="28"/>
          <w:rtl w:val="true"/>
          <w:lang w:bidi="ar-SA"/>
        </w:rPr>
        <w:t xml:space="preserve">،فساويا بين النفس و الأعضاء في اعتبار الخمسين،أو خمسة و عشرين إن قلنا بها في الخطاء،و إلّا فالخمسين مطلقا،و حكاه الثاني عن المفيد أيضاً،و اختاره أكثر المتأخّرين جدّاً،لكن لم يذكروا الخمسة و عشرين في الخطأ،بل ذكروا الخمسين مطلقا،و في </w:t>
      </w:r>
    </w:p>
    <w:p>
      <w:pPr>
        <w:pStyle w:val="BookText"/>
        <w:rPr/>
      </w:pPr>
      <w:r>
        <w:rPr>
          <w:rFonts w:ascii="Amiri" w:hAnsi="Amiri" w:eastAsia="Amiri" w:cs="Amiri"/>
          <w:color w:val="111111"/>
          <w:sz w:val="28"/>
          <w:sz w:val="28"/>
          <w:szCs w:val="28"/>
          <w:rtl w:val="true"/>
          <w:lang w:bidi="ar-SA"/>
        </w:rPr>
        <w:t xml:space="preserve">المسالك و غيره </w:t>
      </w:r>
      <w:r>
        <w:rPr>
          <w:rStyle w:val="FootnoteAnchor"/>
          <w:rtl w:val="true"/>
        </w:rPr>
        <w:footnoteReference w:id="1394"/>
      </w:r>
      <w:r>
        <w:rPr>
          <w:rFonts w:ascii="Amiri" w:hAnsi="Amiri" w:eastAsia="Amiri" w:cs="Amiri"/>
          <w:color w:val="111111"/>
          <w:sz w:val="28"/>
          <w:sz w:val="28"/>
          <w:szCs w:val="28"/>
          <w:rtl w:val="true"/>
          <w:lang w:bidi="ar-SA"/>
        </w:rPr>
        <w:t xml:space="preserve">أنّه مذهب الأكثر بقول مطلق،و في غيرهما </w:t>
      </w:r>
      <w:r>
        <w:rPr>
          <w:rStyle w:val="FootnoteAnchor"/>
          <w:rtl w:val="true"/>
        </w:rPr>
        <w:footnoteReference w:id="1395"/>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حجتهم غير واضحة،عدا مخالفة القَسامة للأصل،كما تقدّم إليه الإشارة،فيقتصر فيما خالفه على المتيقن من الفتوى و الرواية،و ليس سوى الخمسين لا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ما مرّ من المعتبرة المتضمّنة للصحيح على المختار، و الحسن القريب منه على المشهور،و كلاهما حجة على الأشهر الأظهر، سيّما مع التأيّد بغيره و لو ضعف،مع احتمال جبر ضعفه بالشهرة القديمة المحكيّة و حكاية الإجماع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بنفسها حجة مستقلة،لأنّ الشهرة المخالفة إنّما هي من المتأخرين خاصّة،فلا تؤثّر في وهنها؛ لأنّها سابقة،و خروج نحو الديلمي و الحلّي و المفيد على تقدير خروجه لا يؤثّر الوهن فيها بلا شبهة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عمدة المتأخّرين و هو الفاضل قد احتاط بهذا القول في التحرير </w:t>
      </w:r>
      <w:r>
        <w:rPr>
          <w:rStyle w:val="FootnoteAnchor"/>
          <w:rtl w:val="true"/>
        </w:rPr>
        <w:footnoteReference w:id="1396"/>
      </w:r>
      <w:r>
        <w:rPr>
          <w:rFonts w:ascii="Amiri" w:hAnsi="Amiri" w:eastAsia="Amiri" w:cs="Amiri"/>
          <w:color w:val="111111"/>
          <w:sz w:val="28"/>
          <w:sz w:val="28"/>
          <w:szCs w:val="28"/>
          <w:rtl w:val="true"/>
          <w:lang w:bidi="ar-SA"/>
        </w:rPr>
        <w:t xml:space="preserve">،مشعراً باختياره الأوّل أو التردّد فيه و في الثاني،و فيه المختلف </w:t>
      </w:r>
      <w:r>
        <w:rPr>
          <w:rStyle w:val="FootnoteAnchor"/>
          <w:rtl w:val="true"/>
        </w:rPr>
        <w:footnoteReference w:id="1397"/>
      </w:r>
      <w:r>
        <w:rPr>
          <w:rFonts w:ascii="Amiri" w:hAnsi="Amiri" w:eastAsia="Amiri" w:cs="Amiri"/>
          <w:color w:val="111111"/>
          <w:sz w:val="28"/>
          <w:sz w:val="28"/>
          <w:szCs w:val="28"/>
          <w:rtl w:val="true"/>
          <w:lang w:bidi="ar-SA"/>
        </w:rPr>
        <w:t xml:space="preserve">رجع عنه و صرّح باختياره الأوّل،و إن نسبه في الإيضاح و غيره في غيره </w:t>
      </w:r>
      <w:r>
        <w:rPr>
          <w:rStyle w:val="FootnoteAnchor"/>
          <w:rtl w:val="true"/>
        </w:rPr>
        <w:footnoteReference w:id="1398"/>
      </w:r>
      <w:r>
        <w:rPr>
          <w:rFonts w:ascii="Amiri" w:hAnsi="Amiri" w:eastAsia="Amiri" w:cs="Amiri"/>
          <w:color w:val="111111"/>
          <w:sz w:val="28"/>
          <w:sz w:val="28"/>
          <w:szCs w:val="28"/>
          <w:rtl w:val="true"/>
          <w:lang w:bidi="ar-SA"/>
        </w:rPr>
        <w:t xml:space="preserve">إلى الثاني،لكنه و هم،و إلى المختار ذهب الخال العلّامة المجلسي و المقدّس الأردبيلي </w:t>
      </w:r>
      <w:r>
        <w:rPr>
          <w:rStyle w:val="FootnoteAnchor"/>
          <w:rtl w:val="true"/>
        </w:rPr>
        <w:footnoteReference w:id="1399"/>
      </w:r>
      <w:r>
        <w:rPr>
          <w:rFonts w:ascii="Amiri" w:hAnsi="Amiri" w:eastAsia="Amiri" w:cs="Amiri"/>
          <w:color w:val="111111"/>
          <w:sz w:val="28"/>
          <w:sz w:val="28"/>
          <w:szCs w:val="28"/>
          <w:rtl w:val="true"/>
          <w:lang w:bidi="ar-SA"/>
        </w:rPr>
        <w:t>عليهما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يقسم كل منهم أي من الستة رجال يميناً،و مع عدمهم أو امتناعهم مطلقا يحلف الوليّ للدم و من يوافقه إن كان ستّة أيمان </w:t>
      </w:r>
      <w:r>
        <w:rPr>
          <w:rStyle w:val="FootnoteAnchor"/>
          <w:rtl w:val="true"/>
        </w:rPr>
        <w:footnoteReference w:id="1400"/>
      </w:r>
      <w:r>
        <w:rPr>
          <w:rFonts w:ascii="Amiri" w:hAnsi="Amiri" w:eastAsia="Amiri" w:cs="Amiri"/>
          <w:color w:val="111111"/>
          <w:sz w:val="28"/>
          <w:sz w:val="28"/>
          <w:szCs w:val="28"/>
          <w:rtl w:val="true"/>
          <w:lang w:bidi="ar-SA"/>
        </w:rPr>
        <w:t>و لو لم يكن له قسامة،أو امتنع الوليّ من الحلف و غيره أُحلف المنكر إن شاء مع قومه ستّة 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 قوم أو امتنعوا كلّاً أو بعضاً يحصل به العدد حلف هو أي المنكر الستّة 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كانت ديته دون دية النفس فيحلف بحساب الستّة ففي اليد الواحدة ثلاثة أيمان،و في الإصبع الواحدة يمين واحدة، و كذا الجرح إن كان فيه ثلث الدية كانت فيه يمينان،و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على القول الثاني،لكن يبدّل فيه الستّة بالخمسين،و الثلاثة بالخمس و عشرين،و الواحدة بالخمس،و هكذا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دليل لاعتبار نسبة الأقلّ إلى الأكثر على هذا القول كما ذكره المقدّس الأردبيلي </w:t>
      </w:r>
      <w:r>
        <w:rPr>
          <w:rStyle w:val="FootnoteAnchor"/>
          <w:rtl w:val="true"/>
        </w:rPr>
        <w:footnoteReference w:id="1401"/>
      </w:r>
      <w:r>
        <w:rPr>
          <w:rFonts w:ascii="Amiri" w:hAnsi="Amiri" w:eastAsia="Amiri" w:cs="Amiri"/>
          <w:color w:val="111111"/>
          <w:sz w:val="28"/>
          <w:sz w:val="28"/>
          <w:szCs w:val="28"/>
          <w:rtl w:val="true"/>
          <w:lang w:bidi="ar-SA"/>
        </w:rPr>
        <w:t>رحمه اللّه مضعفاً له به عدا عدم الخلاف فيه الظاهر بلوغه حدّ الإجماع،و حاصله الإجماع على اعتبارها ،و إن اختلفوا في الأكثر الذي ينسب إليه،أ هو ستّة،أم خمسون؟ و هذا الإجماع لعلّه يؤيّد تلك المعتبرة؛ لأنّها هي المتكفّلة لاعتبار النسبة،و استنادهم في اعتبارها إلى دليل غيرها مع عدم ظهوره بعيد في الغاية</w:t>
      </w:r>
      <w:r>
        <w:rPr>
          <w:rFonts w:eastAsia="Amiri" w:cs="Amiri" w:ascii="Amiri" w:hAnsi="Amiri"/>
          <w:color w:val="111111"/>
          <w:sz w:val="28"/>
          <w:szCs w:val="28"/>
          <w:rtl w:val="true"/>
          <w:lang w:bidi="ar-SA"/>
        </w:rPr>
        <w:t xml:space="preserve">. </w:t>
      </w:r>
      <w:bookmarkStart w:id="192" w:name="pg11409_90881"/>
    </w:p>
    <w:p>
      <w:pPr>
        <w:pStyle w:val="Heading4"/>
        <w:numPr>
          <w:ilvl w:val="3"/>
          <w:numId w:val="1"/>
        </w:numPr>
        <w:rPr/>
      </w:pPr>
      <w:bookmarkStart w:id="193" w:name="__RefHeading___Toc1102723_73709187"/>
      <w:bookmarkStart w:id="194" w:name="_Toc71"/>
      <w:bookmarkEnd w:id="192"/>
      <w:bookmarkEnd w:id="193"/>
      <w:r>
        <w:rPr>
          <w:rtl w:val="true"/>
        </w:rPr>
        <w:t>القول في كيفيّة الاستيفاء</w:t>
      </w:r>
      <w:bookmarkEnd w:id="194"/>
    </w:p>
    <w:p>
      <w:pPr>
        <w:pStyle w:val="Heading5"/>
        <w:numPr>
          <w:ilvl w:val="4"/>
          <w:numId w:val="1"/>
        </w:numPr>
        <w:rPr/>
      </w:pPr>
      <w:bookmarkStart w:id="195" w:name="__RefHeading___Toc1102725_73709187"/>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القول في </w:t>
      </w:r>
      <w:r>
        <w:rPr>
          <w:rStyle w:val="FootnoteAnchor"/>
          <w:rtl w:val="true"/>
        </w:rPr>
        <w:footnoteReference w:id="1402"/>
      </w:r>
      <w:r>
        <w:rPr>
          <w:rFonts w:ascii="Amiri" w:hAnsi="Amiri" w:eastAsia="Amiri" w:cs="Amiri"/>
          <w:color w:val="111111"/>
          <w:sz w:val="28"/>
          <w:sz w:val="28"/>
          <w:szCs w:val="28"/>
          <w:rtl w:val="true"/>
          <w:lang w:bidi="ar-SA"/>
        </w:rPr>
        <w:t xml:space="preserve">الاستيفاء أي استيفاء القصاص اعلم أنّ قتل العمد يوجب القصاص بالأصالة و لا تثبت الدية فيه إلّا صلحاً،و لا تخيير للوليّ بينهما،على الأشهر الأقوى،بل عليه عامّة متأخّري أصحابنا،و في ظاهر الخلاف و المبسوط و صريح السرائر و الغنية </w:t>
      </w:r>
      <w:r>
        <w:rPr>
          <w:rStyle w:val="FootnoteAnchor"/>
          <w:rtl w:val="true"/>
        </w:rPr>
        <w:footnoteReference w:id="1403"/>
      </w:r>
      <w:r>
        <w:rPr>
          <w:rFonts w:ascii="Amiri" w:hAnsi="Amiri" w:eastAsia="Amiri" w:cs="Amiri"/>
          <w:color w:val="111111"/>
          <w:sz w:val="28"/>
          <w:sz w:val="28"/>
          <w:szCs w:val="28"/>
          <w:rtl w:val="true"/>
          <w:lang w:bidi="ar-SA"/>
        </w:rPr>
        <w:t>أنّ عليه إجماع الإمامية،و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الآيات الكثيرة و السنّة المتواترة بإثبات القود،و ليس في أكثرها التخيير بينه و بين الدية،فإثباته لمخالفته الأصل يحتاج إلى دلالة هي في المقام مفقودة،كما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 قيد به،إلّا أن يرضى أولياء المقتول أن يقبلوا الدية،فإن رضوا بالدية و أحبّ ذلك القاتل فالدية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للإسكافي،فيتخيّر الوليّ بين القصاص و العفو و أخذ الدية،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الوليّ أخذ الدية و امتنع القاتل من ذلك و بذل نفسه للقود كان الخيار إلى الوليّ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ظاهر العماني،حيث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عفا الأولياء عن القود لم يقتل،و كان عليه الدية لهم جميعاً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القول شاذّ،و مستنده غير واضح،عدا ما استدل له من النبويين،في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له قتيل فهو بخير النظرين،إمّا أن يفادي، و إمّا أن يقتل</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بدم أو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بالخيار بين إحدى ثلاث،إمّا أن يقتصّ،أو يأخذ العقل،أو يعفو</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الخاصّيّ،و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هو القود،أو رضاء وليّ المقتول</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فيه إسقاط بعض الحق،فليس للجاني الامتناع منه كإبراء بعض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الرضاء بالدية ذريعة إلى حفظ نفس الجاني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لقصور الروايات سنداً،بل و دلالةً؛ إذ ليس فيها إلّا الخيار بين الثلاثة في الجملة،لا كليةً حتى لو لم يرض الجاني بالدية لكان له الخيار في أخذها،و إنّما غايتها الإطلاق الغير المنصرف إلى هذه الصورة،فإنّ الغالب رضاء الجاني بالدية مطلقاً،سيّما مع اختيار الوليّ لها، فإنّ النفس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احتمالها الحمل على التقية؛ لكونها مذهب الشافعي و أحمد و جماعة من العامّة،على ما حكاه عنهم بعض الأجلّة،قال بعد نقل الخلاف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فأوجبوا الدية بالعفو و إن لم يرض الجاني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الثاني بمنع كون قبول الدية إسقاط حق،بل معاوضة صرفة </w:t>
      </w:r>
    </w:p>
    <w:p>
      <w:pPr>
        <w:pStyle w:val="BookText"/>
        <w:rPr/>
      </w:pPr>
      <w:r>
        <w:rPr>
          <w:rFonts w:ascii="Amiri" w:hAnsi="Amiri" w:eastAsia="Amiri" w:cs="Amiri"/>
          <w:color w:val="111111"/>
          <w:sz w:val="28"/>
          <w:sz w:val="28"/>
          <w:szCs w:val="28"/>
          <w:rtl w:val="true"/>
          <w:lang w:bidi="ar-SA"/>
        </w:rPr>
        <w:t>يحتاج إلى مراضاة الطرفين،كما لو أبرأ الدين أو بعضه بعوض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بعد تسليمه لا يفيد ثبوت الخيار للوليّ و تسلّطه على أخذ الدية من الجاني،و إن كان بذلها واجباً عليه،فإنّ لكل تكليفاً،و تكليف أحدهما و هو الجاني لا يغيّر حكم الآخر و هو الوليّ من حرمة تسلّطه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أنّ الشهيدين في اللمعتين </w:t>
      </w:r>
      <w:r>
        <w:rPr>
          <w:rStyle w:val="FootnoteAnchor"/>
          <w:rtl w:val="true"/>
        </w:rPr>
        <w:footnoteReference w:id="1411"/>
      </w:r>
      <w:r>
        <w:rPr>
          <w:rFonts w:ascii="Amiri" w:hAnsi="Amiri" w:eastAsia="Amiri" w:cs="Amiri"/>
          <w:color w:val="111111"/>
          <w:sz w:val="28"/>
          <w:sz w:val="28"/>
          <w:szCs w:val="28"/>
          <w:rtl w:val="true"/>
          <w:lang w:bidi="ar-SA"/>
        </w:rPr>
        <w:t xml:space="preserve">مع اختيارهما المختار مالا إلى وجوب بذل الدية على الجاني مع قدرته عليه لو طلبها الوليّ،و لم ينسب ثانيهما إلى الإسكافي سوى هذا،و لكن عبارته المحكية صريحة فيما نسبه الأصحاب إليه،حتى هو في المسالك </w:t>
      </w:r>
      <w:r>
        <w:rPr>
          <w:rStyle w:val="FootnoteAnchor"/>
          <w:rtl w:val="true"/>
        </w:rPr>
        <w:footnoteReference w:id="1412"/>
      </w:r>
      <w:r>
        <w:rPr>
          <w:rFonts w:ascii="Amiri" w:hAnsi="Amiri" w:eastAsia="Amiri" w:cs="Amiri"/>
          <w:color w:val="111111"/>
          <w:sz w:val="28"/>
          <w:sz w:val="28"/>
          <w:szCs w:val="28"/>
          <w:rtl w:val="true"/>
          <w:lang w:bidi="ar-SA"/>
        </w:rPr>
        <w:t xml:space="preserve">ممّا قدّمنا إليه الإشارة </w:t>
      </w:r>
      <w:r>
        <w:rPr>
          <w:rStyle w:val="FootnoteAnchor"/>
          <w:rtl w:val="true"/>
        </w:rPr>
        <w:footnoteReference w:id="141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هذه الأدلّة لا تكافئ شيئاً ممّا قدّمناه،و سيّما الإجماعات المحكية حدّ الاستفاضة،المعتضدة بالشهرة العظيمة التي كادت تكون إجماعاً،بل لعلّها </w:t>
      </w:r>
      <w:r>
        <w:rPr>
          <w:rStyle w:val="FootnoteAnchor"/>
          <w:rtl w:val="true"/>
        </w:rPr>
        <w:footnoteReference w:id="1414"/>
      </w:r>
      <w:r>
        <w:rPr>
          <w:rFonts w:ascii="Amiri" w:hAnsi="Amiri" w:eastAsia="Amiri" w:cs="Amiri"/>
          <w:color w:val="111111"/>
          <w:sz w:val="28"/>
          <w:sz w:val="28"/>
          <w:szCs w:val="28"/>
          <w:rtl w:val="true"/>
          <w:lang w:bidi="ar-SA"/>
        </w:rPr>
        <w:t>إجماع في الحقيقة،و لا يقدح فيه خروج القديمين؛ لمعلومية نسبهما المانعة عن القدح في الحجية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 و ما بعده من المعتبرة،و إن لم يكن في المطلوب صريحة،فإنّ محل الدلالة فيها اشتراط رضا الجاني ببذل الدية،و هو يحتمل الورود مورد الغالب،و هو حصول رضاه كما عرفته،فلا عبرة بمفهومه،كما قرر في محلّه و مرّ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يتفرّع على المختار أنّه إذا طلب الوليّ المال تخيّر الجاني بين دفعه و تسليم نفسه للقود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لو عفا عليه لم يصحّ عفوه بدون رضا القاتل؛ لأنّ حقه ليس هو المال،و عفوه لم يقع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لو عفا كذلك سقط القود و لم تلزم الدية؛ لأنّها ليست واجبة له بالأصالة أو أحد أفراد الحقّ المخيّر حتى يوجب إسقاط أحدهما 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يقضي الحاكم بالقصاص ما لم يتيقّن التلف بالجناية فإن اشتبه اقتصر على القصاص في الجناية إن أمكن،دون النفس،فإذا قطع الجاني يد شخص مثلاً فمات المجني عليه بعد ذلك و لم يعلم استناد موته إلى الجناية فلا يقتل الجاني إلّا بعد تيقّن حصول الموت بالجناية،و مع الاشتباه يقتصر على قطع اليد دون القتل،و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باليقين ما يعمّ اليقين الشرعي الحاصل من نحو الإقرار و الشهادة،هذا بالنسبة إلى الحاكم،و أمّا بالنسبة إلى الشهود و وليّ الدم إذا أراد قتل الجاني حيث يجوز له فلا بُدَّ من العلم الواقعي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للوليّ الواحد المبادرة بالقصاص بنفسه بعد تيقّنه بثبوته،من دون توقّف على شيء،وفاقاً لأحد قولي المبسوط </w:t>
      </w:r>
      <w:r>
        <w:rPr>
          <w:rStyle w:val="FootnoteAnchor"/>
          <w:rtl w:val="true"/>
        </w:rPr>
        <w:footnoteReference w:id="1415"/>
      </w:r>
      <w:r>
        <w:rPr>
          <w:rFonts w:ascii="Amiri" w:hAnsi="Amiri" w:eastAsia="Amiri" w:cs="Amiri"/>
          <w:color w:val="111111"/>
          <w:sz w:val="28"/>
          <w:sz w:val="28"/>
          <w:szCs w:val="28"/>
          <w:rtl w:val="true"/>
          <w:lang w:bidi="ar-SA"/>
        </w:rPr>
        <w:t xml:space="preserve">،و عليه أكثر المتأخرين،بل عامّتهم؛ لأنّه كالأخذ بالشفعة و سائر الحقوق؛ و لعموم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و نحوه من الأدلّة الدالّة على جواز اقتصاص </w:t>
      </w:r>
    </w:p>
    <w:p>
      <w:pPr>
        <w:pStyle w:val="BookText"/>
        <w:rPr/>
      </w:pPr>
      <w:r>
        <w:rPr>
          <w:rFonts w:ascii="Amiri" w:hAnsi="Amiri" w:eastAsia="Amiri" w:cs="Amiri"/>
          <w:color w:val="111111"/>
          <w:sz w:val="28"/>
          <w:sz w:val="28"/>
          <w:szCs w:val="28"/>
          <w:rtl w:val="true"/>
          <w:lang w:bidi="ar-SA"/>
        </w:rPr>
        <w:t>الوليّ من الجاني بتعمده الجناية،من دون دلالة فيها على توقّفه على شيء و 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الخلاف و موضع آخر من المبسوط و المقنعة و المهذّب و الكافي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يتوقف على إذن الحاكم و يحرم بدونه و إن لم يضمن أرشاً و لا دية </w:t>
      </w:r>
      <w:r>
        <w:rPr>
          <w:rStyle w:val="FootnoteAnchor"/>
          <w:rtl w:val="true"/>
        </w:rPr>
        <w:footnoteReference w:id="1418"/>
      </w:r>
      <w:r>
        <w:rPr>
          <w:rFonts w:ascii="Amiri" w:hAnsi="Amiri" w:eastAsia="Amiri" w:cs="Amiri"/>
          <w:color w:val="111111"/>
          <w:sz w:val="28"/>
          <w:sz w:val="28"/>
          <w:szCs w:val="28"/>
          <w:rtl w:val="true"/>
          <w:lang w:bidi="ar-SA"/>
        </w:rPr>
        <w:t xml:space="preserve">،و عليه الفاضل في القواعد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الظاهر من الغنية،فإنّ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يستقيد إلّا سلطان الإسلام أو من يأذن له في ذلك، و هو وليّ من ليس له وليّ من أهله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بين أصحابنا في ذلك كلّه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دعوى الإجماع عليه كالشيخ في الخلاف </w:t>
      </w:r>
      <w:r>
        <w:rPr>
          <w:rStyle w:val="FootnoteAnchor"/>
          <w:rtl w:val="true"/>
        </w:rPr>
        <w:footnoteReference w:id="1421"/>
      </w:r>
      <w:r>
        <w:rPr>
          <w:rFonts w:ascii="Amiri" w:hAnsi="Amiri" w:eastAsia="Amiri" w:cs="Amiri"/>
          <w:color w:val="111111"/>
          <w:sz w:val="28"/>
          <w:sz w:val="28"/>
          <w:szCs w:val="28"/>
          <w:rtl w:val="true"/>
          <w:lang w:bidi="ar-SA"/>
        </w:rPr>
        <w:t>،فإن تمّ فهو الحجّة،لا ما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يحتاج في إثبات القصاص و استيفائه إلى النظر و الاجتهاد؛ لاختلاف الناس في شرائطه و في كيفيّة الاستيفاء،لخطر أمر الدماء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مفاده عدم الجواز مع عدم العلم بثبوت القصاص باحتمال الاختلاف في النظر و الاجتهاد،و نحن نقول به،لكنّه خارج عن محل النزاع؛ إذ هو كما عرفت تيقّن الوليّ بثبوت القصاص،و هو غير متوقّف على إذن الحاكم بالاقتصاص؛ لحصوله بمجرّد حكمه به،بل و من دونه أيضاً لو كان الوليّ عارفاً بثبوت القصاص في واقعته عند مجتهده،أو مطلقاً </w:t>
      </w:r>
    </w:p>
    <w:p>
      <w:pPr>
        <w:pStyle w:val="BookText"/>
        <w:rPr/>
      </w:pPr>
      <w:r>
        <w:rPr>
          <w:rFonts w:ascii="Amiri" w:hAnsi="Amiri" w:eastAsia="Amiri" w:cs="Amiri"/>
          <w:color w:val="111111"/>
          <w:sz w:val="28"/>
          <w:sz w:val="28"/>
          <w:szCs w:val="28"/>
          <w:rtl w:val="true"/>
          <w:lang w:bidi="ar-SA"/>
        </w:rPr>
        <w:t>حيث يكون ثبوته إجماعيّاً أو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الاستيذان أحوط،سيّما مع نقل نفي الخلاف الذي مرّ، مع عدم ظهور وهنه من الخارج؛ إذ لم يخالف فيه من القدماء عدا الشيخ في أحد قوليه،و هو بمجرّده لا يوجب القدح فيه،سيّما مع نفيه هو أيضاً عنه الخلاف في الخلاف،و شهرة الخلاف إنّما هو بين المتأخّرين،هذا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إشعار جملة من النصوص باعتبار الإذن،كالخبر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القصاص بأمر الإمام فلا دية له في قتل و لا جراحة</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1423"/>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عدم الكراهة،و لكن حكم بها في الشرائع </w:t>
      </w:r>
      <w:r>
        <w:rPr>
          <w:rStyle w:val="FootnoteAnchor"/>
          <w:rtl w:val="true"/>
        </w:rPr>
        <w:footnoteReference w:id="1424"/>
      </w:r>
      <w:r>
        <w:rPr>
          <w:rFonts w:ascii="Amiri" w:hAnsi="Amiri" w:eastAsia="Amiri" w:cs="Amiri"/>
          <w:color w:val="111111"/>
          <w:sz w:val="28"/>
          <w:sz w:val="28"/>
          <w:szCs w:val="28"/>
          <w:rtl w:val="true"/>
          <w:lang w:bidi="ar-SA"/>
        </w:rPr>
        <w:t xml:space="preserve">،و نحوه الفاضل في التحرير </w:t>
      </w:r>
      <w:r>
        <w:rPr>
          <w:rStyle w:val="FootnoteAnchor"/>
          <w:rtl w:val="true"/>
        </w:rPr>
        <w:footnoteReference w:id="1425"/>
      </w:r>
      <w:r>
        <w:rPr>
          <w:rFonts w:ascii="Amiri" w:hAnsi="Amiri" w:eastAsia="Amiri" w:cs="Amiri"/>
          <w:color w:val="111111"/>
          <w:sz w:val="28"/>
          <w:sz w:val="28"/>
          <w:szCs w:val="28"/>
          <w:rtl w:val="true"/>
          <w:lang w:bidi="ar-SA"/>
        </w:rPr>
        <w:t>،و لا ريب فيها؛ لشبهة الخلاف الموجبة لها لا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تتأكّد الكراهة في قصاص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بمثابة الحدّ، و هو من فروض الإمام؛ و لجواز التخطّي مع كون المقصود معه بقاء النفس بخلاف القتل،و لأنّ الطرف في معرض السراية،و لئلاّ تحصل مجاحدة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كانوا أي الأولياء جماعة لم يجز لأحدهم الاستيفاء بنفسه،بل يتوقف على الاجتماع إمّا بالوكالة لأجنبي أو أحدهم،أو </w:t>
      </w:r>
    </w:p>
    <w:p>
      <w:pPr>
        <w:pStyle w:val="BookText"/>
        <w:rPr/>
      </w:pPr>
      <w:r>
        <w:rPr>
          <w:rFonts w:ascii="Amiri" w:hAnsi="Amiri" w:eastAsia="Amiri" w:cs="Amiri"/>
          <w:color w:val="111111"/>
          <w:sz w:val="28"/>
          <w:sz w:val="28"/>
          <w:szCs w:val="28"/>
          <w:rtl w:val="true"/>
          <w:lang w:bidi="ar-SA"/>
        </w:rPr>
        <w:t xml:space="preserve">بالإذن،وفاقاً للفاضلين و الشهيدين </w:t>
      </w:r>
      <w:r>
        <w:rPr>
          <w:rStyle w:val="FootnoteAnchor"/>
          <w:rtl w:val="true"/>
        </w:rPr>
        <w:footnoteReference w:id="1427"/>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1428"/>
      </w:r>
      <w:r>
        <w:rPr>
          <w:rFonts w:ascii="Amiri" w:hAnsi="Amiri" w:eastAsia="Amiri" w:cs="Amiri"/>
          <w:color w:val="111111"/>
          <w:sz w:val="28"/>
          <w:sz w:val="28"/>
          <w:szCs w:val="28"/>
          <w:rtl w:val="true"/>
          <w:lang w:bidi="ar-SA"/>
        </w:rPr>
        <w:t>، 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المشهور،كما في شرح الشرائع للصيمري </w:t>
      </w:r>
      <w:r>
        <w:rPr>
          <w:rStyle w:val="FootnoteAnchor"/>
          <w:rtl w:val="true"/>
        </w:rPr>
        <w:footnoteReference w:id="1429"/>
      </w:r>
      <w:r>
        <w:rPr>
          <w:rFonts w:ascii="Amiri" w:hAnsi="Amiri" w:eastAsia="Amiri" w:cs="Amiri"/>
          <w:color w:val="111111"/>
          <w:sz w:val="28"/>
          <w:sz w:val="28"/>
          <w:szCs w:val="28"/>
          <w:rtl w:val="true"/>
          <w:lang w:bidi="ar-SA"/>
        </w:rPr>
        <w:t>لتساويهم في السلطان،و لاشتراك الحقّ فلا يستوفيه بعضهم،و لأنّ القصاص موضوع للتشفّي و لا يحصل بفعل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و الخلاف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بادر أحدهم بالاستيفاء جاز له ذلك و ضمن الدية عن حصص الباقين و هو خيرة السيّدين </w:t>
      </w:r>
      <w:r>
        <w:rPr>
          <w:rStyle w:val="FootnoteAnchor"/>
          <w:rtl w:val="true"/>
        </w:rPr>
        <w:footnoteReference w:id="1431"/>
      </w:r>
      <w:r>
        <w:rPr>
          <w:rFonts w:ascii="Amiri" w:hAnsi="Amiri" w:eastAsia="Amiri" w:cs="Amiri"/>
          <w:color w:val="111111"/>
          <w:sz w:val="28"/>
          <w:sz w:val="28"/>
          <w:szCs w:val="28"/>
          <w:rtl w:val="true"/>
          <w:lang w:bidi="ar-SA"/>
        </w:rPr>
        <w:t>،مدّعيين عليه الإجماع كالشيخ في الكتابين،و هو الحجّة،لا ما يقابل لهم أو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تعالى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و بناء القصاص على التغليب،و أنّه لو عفا بعضهم على مال أو مطلقاً كان للآخر القصاص مع أنّ القاتل قد أحرز بعض </w:t>
      </w:r>
      <w:r>
        <w:rPr>
          <w:rStyle w:val="FootnoteAnchor"/>
          <w:rtl w:val="true"/>
        </w:rPr>
        <w:footnoteReference w:id="1433"/>
      </w:r>
      <w:r>
        <w:rPr>
          <w:rFonts w:ascii="Amiri" w:hAnsi="Amiri" w:eastAsia="Amiri" w:cs="Amiri"/>
          <w:color w:val="111111"/>
          <w:sz w:val="28"/>
          <w:sz w:val="28"/>
          <w:szCs w:val="28"/>
          <w:rtl w:val="true"/>
          <w:lang w:bidi="ar-SA"/>
        </w:rPr>
        <w:t>نفسه،فهنا كذلك بطريق أولى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المناقشة في الجميع؛ لعدم ظهور الآية في المطلوب، و التغليب ليس بحجّة،بل غير مسلم،فإنّه يسقط بالشبهة مثل سائر الحدود،و جواز استقلال البعض بالاستيفاء و القصاص بعد أخذ الباقي حقه بالعفو و غيره لا يستلزم جوازه بدون أخذهم ذلك،فكيف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الوجوه و إن لم تصلح للحجية،لكنّها معاضدات قويّة للإجماعات المحكية حدّ الاستفاضة،السليمة مع ذلك عمّا يوجب وهنها سوى الشهرة المتأخّرة،و هي ليست بموهنة كما عرفته،و الشهرة المطلقة المحكية معارضة بدعوى المولى الأردبيلي رحمه اللّه في شرح الإرشاد </w:t>
      </w:r>
      <w:r>
        <w:rPr>
          <w:rStyle w:val="FootnoteAnchor"/>
          <w:rtl w:val="true"/>
        </w:rPr>
        <w:footnoteReference w:id="1434"/>
      </w:r>
      <w:r>
        <w:rPr>
          <w:rFonts w:ascii="Amiri" w:hAnsi="Amiri" w:eastAsia="Amiri" w:cs="Amiri"/>
          <w:color w:val="111111"/>
          <w:sz w:val="28"/>
          <w:sz w:val="28"/>
          <w:szCs w:val="28"/>
          <w:rtl w:val="true"/>
          <w:lang w:bidi="ar-SA"/>
        </w:rPr>
        <w:t>على هذا القول الأكثرية،و بعد التساقط تبقى الإجماعات عن الوهن بها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هذا القول في غاية القوّة،سيّما مع التأيّد بما قيل </w:t>
      </w:r>
      <w:r>
        <w:rPr>
          <w:rStyle w:val="FootnoteAnchor"/>
          <w:rtl w:val="true"/>
        </w:rPr>
        <w:footnoteReference w:id="1435"/>
      </w:r>
      <w:r>
        <w:rPr>
          <w:rFonts w:ascii="Amiri" w:hAnsi="Amiri" w:eastAsia="Amiri" w:cs="Amiri"/>
          <w:color w:val="111111"/>
          <w:sz w:val="28"/>
          <w:sz w:val="28"/>
          <w:szCs w:val="28"/>
          <w:rtl w:val="true"/>
          <w:lang w:bidi="ar-SA"/>
        </w:rPr>
        <w:t xml:space="preserve">من أنّ الباقي إمّا أن يريد قتله،أو و الدية،أو العفو،فإن أراد القتل فقد حصل،و إن أراد الدية فالمباشر باذل،و إن أراد العفو فيعفو فيه أيضاً؛ إذ المقصود منه المثوبة من اللّه سبحانه،و هي على التقديرين حاصلة،فتأمّل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القول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قصاص في النفس إلّا بالسيف،أو ما جرى مجراه من آلة الحديد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يقتصر المستوفي على ضرب العنق حال كونه غير ممثِّل بقطع اذن،أو أنف،أو نحو ذلك مطلقاً و لو كانت الجناية من الجاني بالتحريق للمجني عليه أو التغريق له أو الرضخ </w:t>
      </w:r>
      <w:r>
        <w:rPr>
          <w:rStyle w:val="FootnoteAnchor"/>
          <w:rtl w:val="true"/>
        </w:rPr>
        <w:footnoteReference w:id="1436"/>
      </w:r>
      <w:r>
        <w:rPr>
          <w:rFonts w:ascii="Amiri" w:hAnsi="Amiri" w:eastAsia="Amiri" w:cs="Amiri"/>
          <w:color w:val="111111"/>
          <w:sz w:val="28"/>
          <w:sz w:val="28"/>
          <w:szCs w:val="28"/>
          <w:rtl w:val="true"/>
          <w:lang w:bidi="ar-SA"/>
        </w:rPr>
        <w:t xml:space="preserve">أي الرمي عليه بالحجارة و نحوها من كل مثقل،على الأشهر الأقوى،بل نفى في الغنية </w:t>
      </w:r>
      <w:r>
        <w:rPr>
          <w:rStyle w:val="FootnoteAnchor"/>
          <w:rtl w:val="true"/>
        </w:rPr>
        <w:footnoteReference w:id="1437"/>
      </w:r>
      <w:r>
        <w:rPr>
          <w:rFonts w:ascii="Amiri" w:hAnsi="Amiri" w:eastAsia="Amiri" w:cs="Amiri"/>
          <w:color w:val="111111"/>
          <w:sz w:val="28"/>
          <w:sz w:val="28"/>
          <w:szCs w:val="28"/>
          <w:rtl w:val="true"/>
          <w:lang w:bidi="ar-SA"/>
        </w:rPr>
        <w:t xml:space="preserve">عنه الخلاف بين أصحابنا،مشعراً بدعوى الإجماع عليه،كالفاضل المقداد في التنقيح و شيخنا في الروضة،حيث قالا بعد نقل القول بجواز </w:t>
      </w:r>
    </w:p>
    <w:p>
      <w:pPr>
        <w:pStyle w:val="BookText"/>
        <w:rPr/>
      </w:pPr>
      <w:r>
        <w:rPr>
          <w:rFonts w:ascii="Amiri" w:hAnsi="Amiri" w:eastAsia="Amiri" w:cs="Amiri"/>
          <w:color w:val="111111"/>
          <w:sz w:val="28"/>
          <w:sz w:val="28"/>
          <w:szCs w:val="28"/>
          <w:rtl w:val="true"/>
          <w:lang w:bidi="ar-SA"/>
        </w:rPr>
        <w:t>قتله بمثل القتلة التي قتل بها و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متّجه لولا انعقاد الإجماع على خلافه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المستفيضة،ففي جملة منها تضمّنت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بعصا فلم يقلع عنه الضرب حتى مات، أ يدفع إلى وليّ المقتول فيقتله؟قال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يترك يعبث به،و لكن يجيز عليه بالسيف</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فَقَدْ جَعَلْنا لِوَلِيِّهِ سُلْطاناً فَلا يُسْرِفْ فِي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ما هذا الإسراف الذي نهى اللّه تعالى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يقتل غير قاتله،أو يمثّل بالقاتل</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قتله ابن ملجم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هذا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بدا لكم أن تقتلوه فلا تمثّلوا به</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 فضرب عنقه بيده</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للإسكافي،فقال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إمّا مطلقاً،كما يحكى عنه </w:t>
      </w:r>
    </w:p>
    <w:p>
      <w:pPr>
        <w:pStyle w:val="BookText"/>
        <w:rPr/>
      </w:pPr>
      <w:r>
        <w:rPr>
          <w:rFonts w:ascii="Amiri" w:hAnsi="Amiri" w:eastAsia="Amiri" w:cs="Amiri"/>
          <w:color w:val="111111"/>
          <w:sz w:val="28"/>
          <w:sz w:val="28"/>
          <w:szCs w:val="28"/>
          <w:rtl w:val="true"/>
          <w:lang w:bidi="ar-SA"/>
        </w:rPr>
        <w:t xml:space="preserve">كثيراً </w:t>
      </w:r>
      <w:r>
        <w:rPr>
          <w:rStyle w:val="FootnoteAnchor"/>
          <w:rtl w:val="true"/>
        </w:rPr>
        <w:footnoteReference w:id="1445"/>
      </w:r>
      <w:r>
        <w:rPr>
          <w:rFonts w:ascii="Amiri" w:hAnsi="Amiri" w:eastAsia="Amiri" w:cs="Amiri"/>
          <w:color w:val="111111"/>
          <w:sz w:val="28"/>
          <w:sz w:val="28"/>
          <w:szCs w:val="28"/>
          <w:rtl w:val="true"/>
          <w:lang w:bidi="ar-SA"/>
        </w:rPr>
        <w:t xml:space="preserve">،أو مشروطاً بما إذا وثق بأنّه لا يتعدّى،كما حكاه عنه في المختلف و بعض أصحابنا </w:t>
      </w:r>
      <w:r>
        <w:rPr>
          <w:rStyle w:val="FootnoteAnchor"/>
          <w:rtl w:val="true"/>
        </w:rPr>
        <w:footnoteReference w:id="1446"/>
      </w:r>
      <w:r>
        <w:rPr>
          <w:rFonts w:ascii="Amiri" w:hAnsi="Amiri" w:eastAsia="Amiri" w:cs="Amiri"/>
          <w:color w:val="111111"/>
          <w:sz w:val="28"/>
          <w:sz w:val="28"/>
          <w:szCs w:val="28"/>
          <w:rtl w:val="true"/>
          <w:lang w:bidi="ar-SA"/>
        </w:rPr>
        <w:t xml:space="preserve">لقوله تعالى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حرّقناه،و من غرّق غرّقناه</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يهوديّاً رضخ رأس جارية بالحجارة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فرضخ رأسه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المقصود من القصاص التشفّي،و إنّما يكمل إذا قتل القاتل بمثل ما قتل به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نظر،عدا الآية الكريمة،فإنّها فيما ذكره ظاهرة، و المصير إليه لا يخلو عن قوّة لولا ما قدّمناه من الأدلّة المعتضدة بالشهرة العظيمة التي كادت تكون إجماعاً،بل لعلّها إجماع كما عرفته من هؤلاء الجماعة،و المخالف شاذّ،و إن مال إليه جماعة مرّ إليهم الإشارة،لكن لم يجسروا على المخالفة،و لكنّها صريح المسالك و المحكي عن المختلف و الجامع </w:t>
      </w:r>
      <w:r>
        <w:rPr>
          <w:rStyle w:val="FootnoteAnchor"/>
          <w:rtl w:val="true"/>
        </w:rPr>
        <w:footnoteReference w:id="145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يقتصّ بالعصا ممّن 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 يستثني ما إذا حصل الجناية بمحرّم كالسحر،و وطء الدبر،و وجور الخمر أو البول مثلاً في الحلق،و وجهه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المختار لو خالف فأسرف في القتل أساء و لا شيء عليه من القصاص و الدية،و أمّا التعزير فلا يسقط؛ لفعله المحرّم</w:t>
      </w:r>
      <w:r>
        <w:rPr>
          <w:rFonts w:eastAsia="Amiri" w:cs="Amiri" w:ascii="Amiri" w:hAnsi="Amiri"/>
          <w:color w:val="111111"/>
          <w:sz w:val="28"/>
          <w:szCs w:val="28"/>
          <w:rtl w:val="true"/>
          <w:lang w:bidi="ar-SA"/>
        </w:rPr>
        <w:t xml:space="preserve">. </w:t>
      </w:r>
      <w:bookmarkStart w:id="197" w:name="pg11409_90891"/>
    </w:p>
    <w:p>
      <w:pPr>
        <w:pStyle w:val="BookText"/>
        <w:rPr/>
      </w:pPr>
      <w:bookmarkEnd w:id="197"/>
      <w:r>
        <w:rPr>
          <w:rFonts w:ascii="Amiri" w:hAnsi="Amiri" w:eastAsia="Amiri" w:cs="Amiri"/>
          <w:color w:val="111111"/>
          <w:sz w:val="28"/>
          <w:sz w:val="28"/>
          <w:szCs w:val="28"/>
          <w:rtl w:val="true"/>
          <w:lang w:bidi="ar-SA"/>
        </w:rPr>
        <w:t>و لا يضمن سراية القصاص في الطرف إلى النفس أو غيرها ما لم يتعدّ المقتصّ فيقتصّ منه في الزائد إن اعترف به عمداً،و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خطأ،أُخذت منه دية الزيادة،و لا خلاف في شيء من ذلك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بأصل الحكم بعد الاعتبار مستفيضة كادت تبلغ التواتر، بل لعلّها متواترة،ففي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قتله الحدّ و القصاص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أُقيم عليه الحدّ فمات </w:t>
      </w:r>
      <w:r>
        <w:rPr>
          <w:rStyle w:val="FootnoteAnchor"/>
          <w:rtl w:val="true"/>
        </w:rPr>
        <w:footnoteReference w:id="1454"/>
      </w:r>
      <w:r>
        <w:rPr>
          <w:rFonts w:ascii="Amiri" w:hAnsi="Amiri" w:eastAsia="Amiri" w:cs="Amiri"/>
          <w:color w:val="111111"/>
          <w:sz w:val="28"/>
          <w:sz w:val="28"/>
          <w:szCs w:val="28"/>
          <w:rtl w:val="true"/>
          <w:lang w:bidi="ar-SA"/>
        </w:rPr>
        <w:t>،إيقاد منه،أو يؤدى ديته؟قال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يزاد على القود</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الدلالة على الضمان في صورة التعدّي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حمل الدية المطلقة فيه على ديتها خاصّة؛ لأن المستوفى من دونها حقه،فلا وجه لأخذ الدية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أنّه بالنسبة إلى الزائد جانٍ،فيلزمه القصاص أو الدية على حسب الجناية؛ للعمومات من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102727_73709187"/>
      <w:bookmarkStart w:id="199" w:name="_Toc73"/>
      <w:bookmarkEnd w:id="198"/>
      <w:r>
        <w:rPr>
          <w:rtl w:val="true"/>
        </w:rPr>
        <w:t>و هنا مسائل</w:t>
      </w:r>
      <w:bookmarkEnd w:id="199"/>
    </w:p>
    <w:p>
      <w:pPr>
        <w:pStyle w:val="Heading6"/>
        <w:numPr>
          <w:ilvl w:val="5"/>
          <w:numId w:val="1"/>
        </w:numPr>
        <w:rPr/>
      </w:pPr>
      <w:bookmarkStart w:id="200" w:name="__RefHeading___Toc1102729_73709187"/>
      <w:bookmarkStart w:id="201" w:name="_Toc74"/>
      <w:bookmarkEnd w:id="200"/>
      <w:r>
        <w:rPr>
          <w:rtl w:val="true"/>
        </w:rPr>
        <w:t>الأولى لو اختار بعض الأولياء الدية</w:t>
      </w:r>
      <w:bookmarkEnd w:id="201"/>
    </w:p>
    <w:p>
      <w:pPr>
        <w:pStyle w:val="BookText"/>
        <w:rPr/>
      </w:pPr>
      <w:r>
        <w:rPr>
          <w:rFonts w:ascii="IRNazanin" w:hAnsi="IRNazanin" w:eastAsia="IRNazanin"/>
          <w:color w:val="111111"/>
          <w:sz w:val="28"/>
          <w:sz w:val="28"/>
          <w:szCs w:val="28"/>
          <w:rtl w:val="true"/>
          <w:lang w:bidi="fa-IR"/>
        </w:rPr>
        <w:t>و هنا مسائل أربع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اختار بعض الأولياء الدية عن القود فدفعها إليه </w:t>
      </w:r>
    </w:p>
    <w:p>
      <w:pPr>
        <w:pStyle w:val="BookText"/>
        <w:rPr/>
      </w:pPr>
      <w:r>
        <w:rPr>
          <w:rFonts w:ascii="Amiri" w:hAnsi="Amiri" w:eastAsia="Amiri" w:cs="Amiri"/>
          <w:color w:val="111111"/>
          <w:sz w:val="28"/>
          <w:sz w:val="28"/>
          <w:szCs w:val="28"/>
          <w:rtl w:val="true"/>
          <w:lang w:bidi="ar-SA"/>
        </w:rPr>
        <w:t xml:space="preserve">القاتل لم يسقط القود لو أراده غيره على الأشهر </w:t>
      </w:r>
      <w:r>
        <w:rPr>
          <w:rStyle w:val="FootnoteAnchor"/>
          <w:rtl w:val="true"/>
        </w:rPr>
        <w:footnoteReference w:id="1456"/>
      </w:r>
      <w:r>
        <w:rPr>
          <w:rFonts w:ascii="Amiri" w:hAnsi="Amiri" w:eastAsia="Amiri" w:cs="Amiri"/>
          <w:color w:val="111111"/>
          <w:sz w:val="28"/>
          <w:sz w:val="28"/>
          <w:szCs w:val="28"/>
          <w:rtl w:val="true"/>
          <w:lang w:bidi="ar-SA"/>
        </w:rPr>
        <w:t xml:space="preserve">بل لا خلاف فيه يظهر،كما في عبائر جمع ممّن تأخّر،كالفاضل المقداد في الشرح و شيخنا في الروضة و غيرهما </w:t>
      </w:r>
      <w:r>
        <w:rPr>
          <w:rStyle w:val="FootnoteAnchor"/>
          <w:rtl w:val="true"/>
        </w:rPr>
        <w:footnoteReference w:id="1457"/>
      </w:r>
      <w:r>
        <w:rPr>
          <w:rFonts w:ascii="Amiri" w:hAnsi="Amiri" w:eastAsia="Amiri" w:cs="Amiri"/>
          <w:color w:val="111111"/>
          <w:sz w:val="28"/>
          <w:sz w:val="28"/>
          <w:szCs w:val="28"/>
          <w:rtl w:val="true"/>
          <w:lang w:bidi="ar-SA"/>
        </w:rPr>
        <w:t xml:space="preserve">،و في شرح الشرائع للصيمري أنّ عليه فتوى الأصحاب </w:t>
      </w:r>
      <w:r>
        <w:rPr>
          <w:rStyle w:val="FootnoteAnchor"/>
          <w:rtl w:val="true"/>
        </w:rPr>
        <w:footnoteReference w:id="1458"/>
      </w:r>
      <w:r>
        <w:rPr>
          <w:rFonts w:ascii="Amiri" w:hAnsi="Amiri" w:eastAsia="Amiri" w:cs="Amiri"/>
          <w:color w:val="111111"/>
          <w:sz w:val="28"/>
          <w:sz w:val="28"/>
          <w:szCs w:val="28"/>
          <w:rtl w:val="true"/>
          <w:lang w:bidi="ar-SA"/>
        </w:rPr>
        <w:t xml:space="preserve">،و ظاهرهم الإجماع عليه كما ادّعاه بعض الأصحاب </w:t>
      </w:r>
      <w:r>
        <w:rPr>
          <w:rStyle w:val="FootnoteAnchor"/>
          <w:rtl w:val="true"/>
        </w:rPr>
        <w:footnoteReference w:id="1459"/>
      </w:r>
      <w:r>
        <w:rPr>
          <w:rFonts w:ascii="Amiri" w:hAnsi="Amiri" w:eastAsia="Amiri" w:cs="Amiri"/>
          <w:color w:val="111111"/>
          <w:sz w:val="28"/>
          <w:sz w:val="28"/>
          <w:szCs w:val="28"/>
          <w:rtl w:val="true"/>
          <w:lang w:bidi="ar-SA"/>
        </w:rPr>
        <w:t xml:space="preserve">،و به صرّح في الغنية </w:t>
      </w:r>
      <w:r>
        <w:rPr>
          <w:rStyle w:val="FootnoteAnchor"/>
          <w:rtl w:val="true"/>
        </w:rPr>
        <w:footnoteReference w:id="146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الأصل،و قوله سبحانه فَقَدْ جَعَلْنا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الصحيحة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و له أب و أُمّ و ابن، فقال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أن أقتل قاتل أبي،و قال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أعفوه،و قالت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آخذ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فليعط الابنُ أُمّ المقتول السدس من الدية،و يعطي ورثة القاتل السدس من الدية حق الأب الذي عفا،و ليقتله</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و له وليّان فعفا أحدهما و أبى الآخر أن يعفو،قال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الذي لم يعف أن يقتل قتل و ردّ نصف الدية على أولياء المقتول المقاد منه</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رجلين عمداً و لهما أولياء، </w:t>
      </w:r>
    </w:p>
    <w:p>
      <w:pPr>
        <w:pStyle w:val="BookText"/>
        <w:rPr/>
      </w:pPr>
      <w:r>
        <w:rPr>
          <w:rFonts w:ascii="Amiri" w:hAnsi="Amiri" w:eastAsia="Amiri" w:cs="Amiri"/>
          <w:color w:val="111111"/>
          <w:sz w:val="28"/>
          <w:sz w:val="28"/>
          <w:szCs w:val="28"/>
          <w:rtl w:val="true"/>
          <w:lang w:bidi="ar-SA"/>
        </w:rPr>
        <w:t>فعفا أولياء أحدهما و أبى الآخرون؟قال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الذي لم يعف،و إن أحبّوا أن يأخذوا الدية أخذوا</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 للآخرين الباقين القصاص لكن بعد أن يردّوا على المقتصّ منه الجاني نصيب من فاداه من الدية،كما يستفاد من الصحيح السابق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عفا البعض من الأولياء مطلقا لم يسقط القود، و لم يقتصّ الباقون حتى يردّوا عليه أي على الجاني نصيب من عفا أيضاً،بلا خلاف في هذا أيضاً،و دلّ عليه الخبران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الحكم في المسألتين بحمد اللّه،و إن خالفته روايات مشتملة على الصحيح و غيره،دالّة على سقوط القود بالعفو </w:t>
      </w:r>
      <w:r>
        <w:rPr>
          <w:rStyle w:val="FootnoteAnchor"/>
          <w:rtl w:val="true"/>
        </w:rPr>
        <w:footnoteReference w:id="1465"/>
      </w:r>
      <w:r>
        <w:rPr>
          <w:rFonts w:ascii="Amiri" w:hAnsi="Amiri" w:eastAsia="Amiri" w:cs="Amiri"/>
          <w:color w:val="111111"/>
          <w:sz w:val="28"/>
          <w:sz w:val="28"/>
          <w:szCs w:val="28"/>
          <w:rtl w:val="true"/>
          <w:lang w:bidi="ar-SA"/>
        </w:rPr>
        <w:t xml:space="preserve">،لكنّها مع قصور أكثرها سنداً،و عدم مكافأتها لما مضى شاذّة لا قائل بها،كما مضى،و إن أشعر عبارة الماتن هنا و في الشرائع و الفاضل في التحرير و الشهيد في اللمعة </w:t>
      </w:r>
      <w:r>
        <w:rPr>
          <w:rStyle w:val="FootnoteAnchor"/>
          <w:rtl w:val="true"/>
        </w:rPr>
        <w:footnoteReference w:id="1466"/>
      </w:r>
      <w:r>
        <w:rPr>
          <w:rFonts w:ascii="Amiri" w:hAnsi="Amiri" w:eastAsia="Amiri" w:cs="Amiri"/>
          <w:color w:val="111111"/>
          <w:sz w:val="28"/>
          <w:sz w:val="28"/>
          <w:szCs w:val="28"/>
          <w:rtl w:val="true"/>
          <w:lang w:bidi="ar-SA"/>
        </w:rPr>
        <w:t xml:space="preserve">بوجود مخالفٍ في هذا الحكم،لكن الظاهر عدم كون الخلاف منّا،بل من العامّة العمياء،كما حكاه عنهم جماعة من أصحابنا </w:t>
      </w:r>
      <w:r>
        <w:rPr>
          <w:rStyle w:val="FootnoteAnchor"/>
          <w:rtl w:val="true"/>
        </w:rPr>
        <w:footnoteReference w:id="1467"/>
      </w:r>
      <w:r>
        <w:rPr>
          <w:rFonts w:ascii="Amiri" w:hAnsi="Amiri" w:eastAsia="Amiri" w:cs="Amiri"/>
          <w:color w:val="111111"/>
          <w:sz w:val="28"/>
          <w:sz w:val="28"/>
          <w:szCs w:val="28"/>
          <w:rtl w:val="true"/>
          <w:lang w:bidi="ar-SA"/>
        </w:rPr>
        <w:t>، و لذا حملوا هذه الأخبار على التقيّة،قالوا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لاشتهار ذلك بينهم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أجود من حمل هذه على الاستحباب،أو ما ذكره الشيخ في </w:t>
      </w:r>
      <w:bookmarkStart w:id="202" w:name="pg11409_90894"/>
    </w:p>
    <w:p>
      <w:pPr>
        <w:pStyle w:val="BookText"/>
        <w:rPr/>
      </w:pPr>
      <w:bookmarkEnd w:id="202"/>
      <w:r>
        <w:rPr>
          <w:rFonts w:ascii="IRNazanin" w:hAnsi="IRNazanin" w:eastAsia="IRNazanin"/>
          <w:color w:val="111111"/>
          <w:sz w:val="28"/>
          <w:sz w:val="28"/>
          <w:szCs w:val="28"/>
          <w:rtl w:val="true"/>
          <w:lang w:bidi="fa-IR"/>
        </w:rPr>
        <w:t xml:space="preserve">الاستبصار </w:t>
      </w:r>
      <w:r>
        <w:rPr>
          <w:rStyle w:val="FootnoteAnchor"/>
          <w:rtl w:val="true"/>
        </w:rPr>
        <w:footnoteReference w:id="1468"/>
      </w:r>
      <w:r>
        <w:rPr>
          <w:rFonts w:ascii="Amiri" w:hAnsi="Amiri" w:eastAsia="Amiri" w:cs="Amiri"/>
          <w:color w:val="111111"/>
          <w:sz w:val="28"/>
          <w:sz w:val="28"/>
          <w:szCs w:val="28"/>
          <w:rtl w:val="true"/>
          <w:lang w:bidi="ar-SA"/>
        </w:rPr>
        <w:t>من تقييدها بصورة ما إذا لم يؤدّ مريد القود الدية،و إن كان لا بأس بهما أيضاً؛ 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102731_73709187"/>
      <w:bookmarkStart w:id="204" w:name="_Toc75"/>
      <w:bookmarkEnd w:id="203"/>
      <w:r>
        <w:rPr>
          <w:rtl w:val="true"/>
        </w:rPr>
        <w:t>الثانية لو فرّ القاتل حتى مات</w:t>
      </w:r>
      <w:bookmarkEnd w:id="204"/>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 القاتل عمداً حتى مات،فالمروي في الموثقين و غيرهما </w:t>
      </w:r>
      <w:r>
        <w:rPr>
          <w:rStyle w:val="FootnoteAnchor"/>
          <w:rtl w:val="true"/>
        </w:rPr>
        <w:footnoteReference w:id="1469"/>
      </w:r>
      <w:r>
        <w:rPr>
          <w:rFonts w:ascii="Amiri" w:hAnsi="Amiri" w:eastAsia="Amiri" w:cs="Amiri"/>
          <w:color w:val="111111"/>
          <w:sz w:val="28"/>
          <w:sz w:val="28"/>
          <w:szCs w:val="28"/>
          <w:rtl w:val="true"/>
          <w:lang w:bidi="ar-SA"/>
        </w:rPr>
        <w:t>وجوب الدية في ماله إن كان له مال و لو لم يكن له مال أُخذت من الأقرب إليه فالأقرب و زيد في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قرابة أدّاه الإمام،فإنّه لا يطلّ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أفتى أكثر الأصحاب،بل في الغنية </w:t>
      </w:r>
      <w:r>
        <w:rPr>
          <w:rStyle w:val="FootnoteAnchor"/>
          <w:rtl w:val="true"/>
        </w:rPr>
        <w:footnoteReference w:id="1470"/>
      </w:r>
      <w:r>
        <w:rPr>
          <w:rFonts w:ascii="Amiri" w:hAnsi="Amiri" w:eastAsia="Amiri" w:cs="Amiri"/>
          <w:color w:val="111111"/>
          <w:sz w:val="28"/>
          <w:sz w:val="28"/>
          <w:szCs w:val="28"/>
          <w:rtl w:val="true"/>
          <w:lang w:bidi="ar-SA"/>
        </w:rPr>
        <w:t>الإجماع عليه،و هو حجة أُخرى؛ مضافاً إلى الروايات المعتبر سند أكثرها،و المنجبر بالشهرة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في السرائر و عن المبسوط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دية لأنّ الثابت بالآية و الإجماع هو القصاص،فإذا فات محلّه فات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لولا ما مرّ من الإجماع المحكي و الروايات،مع إمكان أن يقال بوجوب الدية و لو فرض عدمهما؛ من حيث إنّه فوّت العوض مع مباشرة إتلاف المعوّض فيضمن البدل،كما يستفاد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عمداً فدفع </w:t>
      </w:r>
      <w:r>
        <w:rPr>
          <w:rStyle w:val="FootnoteAnchor"/>
          <w:rtl w:val="true"/>
        </w:rPr>
        <w:footnoteReference w:id="1472"/>
      </w:r>
      <w:r>
        <w:rPr>
          <w:rFonts w:ascii="Amiri" w:hAnsi="Amiri" w:eastAsia="Amiri" w:cs="Amiri"/>
          <w:color w:val="111111"/>
          <w:sz w:val="28"/>
          <w:sz w:val="28"/>
          <w:szCs w:val="28"/>
          <w:rtl w:val="true"/>
          <w:lang w:bidi="ar-SA"/>
        </w:rPr>
        <w:t>إلى الوالي،فدفعه الوالي إلى أولياء المقتول ليقتلوه،فوثب عليهم قوم فخلّصوا القاتل من أيدي الأولياء؟فقال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يحبس الذين خلّصوا القاتل من أيدي الأولياء حتى يأتوا بالقاتل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فإن مات القاتل و هم في السجن؟فقال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فعليهم الدية</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ثبت بذلك وجوب الدية في ماله لو كان ثبت وجوبها في مال الأقرب فالأقرب مع عدمه بالإجماع المركّب،إذا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يجاب عن هذا الاعتبار من أنّه لو مات فجأةً و لم يمتنع من القصاص و لم يهرب حتى مات لم يتحقق منه تفويت فهو متوجّه إن لم يخصّص الدعوى بالهارب،و أمّا مع التخصيص فلا،و هو ظاهر العبارة هنا و في النهاية و الغنية </w:t>
      </w:r>
      <w:r>
        <w:rPr>
          <w:rStyle w:val="FootnoteAnchor"/>
          <w:rtl w:val="true"/>
        </w:rPr>
        <w:footnoteReference w:id="1474"/>
      </w:r>
      <w:r>
        <w:rPr>
          <w:rFonts w:ascii="Amiri" w:hAnsi="Amiri" w:eastAsia="Amiri" w:cs="Amiri"/>
          <w:color w:val="111111"/>
          <w:sz w:val="28"/>
          <w:sz w:val="28"/>
          <w:szCs w:val="28"/>
          <w:rtl w:val="true"/>
          <w:lang w:bidi="ar-SA"/>
        </w:rPr>
        <w:t xml:space="preserve">،بل أكثر الأصحاب كما في المسالك و النكت </w:t>
      </w:r>
      <w:r>
        <w:rPr>
          <w:rStyle w:val="FootnoteAnchor"/>
          <w:rtl w:val="true"/>
        </w:rPr>
        <w:footnoteReference w:id="1475"/>
      </w:r>
      <w:r>
        <w:rPr>
          <w:rFonts w:ascii="Amiri" w:hAnsi="Amiri" w:eastAsia="Amiri" w:cs="Amiri"/>
          <w:color w:val="111111"/>
          <w:sz w:val="28"/>
          <w:sz w:val="28"/>
          <w:szCs w:val="28"/>
          <w:rtl w:val="true"/>
          <w:lang w:bidi="ar-SA"/>
        </w:rPr>
        <w:t xml:space="preserve">،بل عامّتهم عدا الفاضل في الإرشاد كما في التنقيح </w:t>
      </w:r>
      <w:r>
        <w:rPr>
          <w:rStyle w:val="FootnoteAnchor"/>
          <w:rtl w:val="true"/>
        </w:rPr>
        <w:footnoteReference w:id="1476"/>
      </w:r>
      <w:r>
        <w:rPr>
          <w:rFonts w:ascii="Amiri" w:hAnsi="Amiri" w:eastAsia="Amiri" w:cs="Amiri"/>
          <w:color w:val="111111"/>
          <w:sz w:val="28"/>
          <w:sz w:val="28"/>
          <w:szCs w:val="28"/>
          <w:rtl w:val="true"/>
          <w:lang w:bidi="ar-SA"/>
        </w:rPr>
        <w:t>و لعلّه الأقرب؛ اقتصاراً فيما خالف الأصل على مورد النص،و يحتمل العموم؛ لما في بعضه من التعليل المفيد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الموثّقان ليس فيهما اعتبار الموت،بل علّق الحكم فيهما على مطلق الهرب،و ليس في غيرهما ما يقتضي التقييد به فيعتبر،و إنّما وقع قيد الموت فيه في كلام الراوي،و هو لا يوجبه،و إن أوجب اختصاص الحكم في الجواب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بمورده،و لكنّه غير التقييد،هذا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في الكافي بعد نقل الموثّقين </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للوالي بعد حبسه و أدبه</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و هي و إن كانت مرسلة إلّا أنّها للتأكيد صالحة، و لكن ظاهر الأصحاب يفيد اعتباره</w:t>
      </w:r>
      <w:r>
        <w:rPr>
          <w:rFonts w:eastAsia="Amiri" w:cs="Amiri" w:ascii="Amiri" w:hAnsi="Amiri"/>
          <w:color w:val="111111"/>
          <w:sz w:val="28"/>
          <w:szCs w:val="28"/>
          <w:rtl w:val="true"/>
          <w:lang w:bidi="ar-SA"/>
        </w:rPr>
        <w:t xml:space="preserve">. </w:t>
      </w:r>
      <w:bookmarkStart w:id="205" w:name="pg11409_90896"/>
    </w:p>
    <w:p>
      <w:pPr>
        <w:pStyle w:val="Heading6"/>
        <w:numPr>
          <w:ilvl w:val="5"/>
          <w:numId w:val="1"/>
        </w:numPr>
        <w:rPr/>
      </w:pPr>
      <w:bookmarkStart w:id="206" w:name="__RefHeading___Toc1102733_73709187"/>
      <w:bookmarkStart w:id="207" w:name="_Toc76"/>
      <w:bookmarkEnd w:id="205"/>
      <w:bookmarkEnd w:id="206"/>
      <w:r>
        <w:rPr>
          <w:rtl w:val="true"/>
        </w:rPr>
        <w:t>الثالثة لو قتل واحد رجلين أو رجالاً عمداً قتل بهم</w:t>
      </w:r>
      <w:bookmarkEnd w:id="207"/>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واحد رجلين أو رجالاً عمداً قتل بهم لاستحقاق وليّ كل مقتول القصاص عليه بسبب قتله،فلو عفا بعض المستحقّين لا على مال كان للباقين القصاص من دون ردّ دية،و به ينصّ الصحيح المتقدم ذيل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اجتمعوا على المطالبة استوفوا حقوقهم و لا سبيل لهم إلى ماله فإنّ الجاني لا يجنى على 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تراضوا أي الأولياء مع الجاني بالدية فلكلّ واحد منهم دية كاملة،بلا خلاف أجده؛ لما مرّ من استحقاق كلّ منهم عليه نفساً كاملة؛ و لذا لو عفا أحدهم استحقّ الباقي القصاص من دون ردّ </w:t>
      </w:r>
      <w:r>
        <w:rPr>
          <w:rStyle w:val="FootnoteAnchor"/>
          <w:rtl w:val="true"/>
        </w:rPr>
        <w:footnoteReference w:id="1479"/>
      </w:r>
      <w:r>
        <w:rPr>
          <w:rFonts w:ascii="Amiri" w:hAnsi="Amiri" w:eastAsia="Amiri" w:cs="Amiri"/>
          <w:color w:val="111111"/>
          <w:sz w:val="28"/>
          <w:sz w:val="28"/>
          <w:szCs w:val="28"/>
          <w:rtl w:val="true"/>
          <w:lang w:bidi="ar-SA"/>
        </w:rPr>
        <w:t>،و الدية المصالح بها من كل إنّما هي على ما يستحقّه،و ليس إلّا نفساً كاملة كما عرفته،فما بإزائها أيضاً دية كاملة إن لم يتراضوا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ذا إذا اتفقوا على أحد الأمرين،و أمّا لو اختلفوا،فطلب بعضهم الدية و الباقي القصاص،فهل لهم ذلك؟وجهان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الجاني لا يجنى على أكثر من نفسه،و من أنّ لكل قتيل </w:t>
      </w:r>
      <w:r>
        <w:rPr>
          <w:rStyle w:val="FootnoteAnchor"/>
          <w:rtl w:val="true"/>
        </w:rPr>
        <w:footnoteReference w:id="1480"/>
      </w:r>
      <w:r>
        <w:rPr>
          <w:rFonts w:ascii="Amiri" w:hAnsi="Amiri" w:eastAsia="Amiri" w:cs="Amiri"/>
          <w:color w:val="111111"/>
          <w:sz w:val="28"/>
          <w:sz w:val="28"/>
          <w:szCs w:val="28"/>
          <w:rtl w:val="true"/>
          <w:lang w:bidi="ar-SA"/>
        </w:rPr>
        <w:t>حكمه بانفراده،و لو انفرد كان لوليّه القصاص و العفو على الدية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جميع ذلك بين جنايته على الجميع دفعةً أو على التعاقب،لكن في الأوّل لم يكن أحد الأولياء أولى </w:t>
      </w:r>
      <w:r>
        <w:rPr>
          <w:rStyle w:val="FootnoteAnchor"/>
          <w:rtl w:val="true"/>
        </w:rPr>
        <w:footnoteReference w:id="1481"/>
      </w:r>
      <w:r>
        <w:rPr>
          <w:rFonts w:ascii="IRNazanin" w:hAnsi="IRNazanin" w:eastAsia="IRNazanin"/>
          <w:color w:val="111111"/>
          <w:sz w:val="28"/>
          <w:sz w:val="28"/>
          <w:szCs w:val="28"/>
          <w:rtl w:val="true"/>
          <w:lang w:bidi="fa-IR"/>
        </w:rPr>
        <w:t xml:space="preserve">من الآخر،حتى لو بادر أحدهم </w:t>
      </w:r>
      <w:r>
        <w:rPr>
          <w:rStyle w:val="FootnoteAnchor"/>
          <w:rtl w:val="true"/>
        </w:rPr>
        <w:footnoteReference w:id="1482"/>
      </w:r>
      <w:r>
        <w:rPr>
          <w:rFonts w:ascii="Amiri" w:hAnsi="Amiri" w:eastAsia="Amiri" w:cs="Amiri"/>
          <w:color w:val="111111"/>
          <w:sz w:val="28"/>
          <w:sz w:val="28"/>
          <w:szCs w:val="28"/>
          <w:rtl w:val="true"/>
          <w:lang w:bidi="ar-SA"/>
        </w:rPr>
        <w:t>بالقرعة أو مطلقا لم يكن آثماً،بل مستوفياً حقه؛ لأنّ له نفساً كاملة</w:t>
      </w:r>
      <w:r>
        <w:rPr>
          <w:rFonts w:eastAsia="Amiri" w:cs="Amiri" w:ascii="Amiri" w:hAnsi="Amiri"/>
          <w:color w:val="111111"/>
          <w:sz w:val="28"/>
          <w:szCs w:val="28"/>
          <w:rtl w:val="true"/>
          <w:lang w:bidi="ar-SA"/>
        </w:rPr>
        <w:t xml:space="preserve">. </w:t>
      </w:r>
      <w:bookmarkStart w:id="208" w:name="pg11409_90897"/>
    </w:p>
    <w:p>
      <w:pPr>
        <w:pStyle w:val="BookText"/>
        <w:rPr/>
      </w:pPr>
      <w:bookmarkEnd w:id="208"/>
      <w:r>
        <w:rPr>
          <w:rFonts w:ascii="Amiri" w:hAnsi="Amiri" w:eastAsia="Amiri" w:cs="Amiri"/>
          <w:color w:val="111111"/>
          <w:sz w:val="28"/>
          <w:sz w:val="28"/>
          <w:szCs w:val="28"/>
          <w:rtl w:val="true"/>
          <w:lang w:bidi="ar-SA"/>
        </w:rPr>
        <w:t>و في استحقاق الباقين حينئذٍ الدية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الواجب في العمد القصاص،و قد فات محلّه،و من استلزامه أن يطلّ دم امرئ مسلم،فينتقل إلى بدلها،و هو الدية إن لم يكن الواجب ابتداءً أحد الأمرين،و الأوّل مختار الشيخ </w:t>
      </w:r>
      <w:r>
        <w:rPr>
          <w:rStyle w:val="FootnoteAnchor"/>
          <w:rtl w:val="true"/>
        </w:rPr>
        <w:footnoteReference w:id="1483"/>
      </w:r>
      <w:r>
        <w:rPr>
          <w:rFonts w:ascii="Amiri" w:hAnsi="Amiri" w:eastAsia="Amiri" w:cs="Amiri"/>
          <w:color w:val="111111"/>
          <w:sz w:val="28"/>
          <w:sz w:val="28"/>
          <w:szCs w:val="28"/>
          <w:rtl w:val="true"/>
          <w:lang w:bidi="ar-SA"/>
        </w:rPr>
        <w:t xml:space="preserve">،و هو الأوفق بالأصل،و الثاني مختار شيخنا الشهيد الثاني و غيره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يقدّم السابق في الاستيفاء؛ لاستحقاقه القصاص منفرداً من غير معارض قبل تعلّق حقّ الباقين،فيقضى له بحكم الاستصحاب، و في أخذ الدية للباقين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مساواتهم،فلا يحكم للسابق كالسابق؛ لأنّ السبب الموجب لاستحقاق القصاص هو قتل النفس المكافئة عمداً ظلماً،و هو متحقق في الجميع،فيستوون فيه،و يقدّم أحدهم بالقرعة،أو يجتمعون على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فإن بادر أحدهم و استوفى وقع موقعه؛ لأنّ له نفساً مكافئة فقد استوفى تمام حقّه من غير زيادة و إن أساء،حيث لا يكون هو السابق على القول بتقديمه أو لم نقل بالتخيير،و يبقى الإشكال في سقوط حق الباقين من حيث فوات محل القصاص أو الانتقال إلى الدية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102735_73709187"/>
      <w:bookmarkStart w:id="210" w:name="_Toc77"/>
      <w:bookmarkEnd w:id="209"/>
      <w:r>
        <w:rPr>
          <w:rtl w:val="true"/>
        </w:rPr>
        <w:t>الرابعة إذا ضرب الوليّ الجاني و تركه ظنّاً أنّه مات</w:t>
      </w:r>
      <w:bookmarkEnd w:id="2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 الوليّ الجاني و تركه ظنّاً منه أنّه مات فبرئ ففي رواية </w:t>
      </w:r>
      <w:r>
        <w:rPr>
          <w:rStyle w:val="FootnoteAnchor"/>
          <w:rtl w:val="true"/>
        </w:rPr>
        <w:footnoteReference w:id="1485"/>
      </w:r>
      <w:r>
        <w:rPr>
          <w:rFonts w:ascii="Amiri" w:hAnsi="Amiri" w:eastAsia="Amiri" w:cs="Amiri"/>
          <w:color w:val="111111"/>
          <w:sz w:val="28"/>
          <w:sz w:val="28"/>
          <w:szCs w:val="28"/>
          <w:rtl w:val="true"/>
          <w:lang w:bidi="ar-SA"/>
        </w:rPr>
        <w:t xml:space="preserve">أنّه يقتصّ بمثل ذلك الضرب من الوليّ،ثم يقتله </w:t>
      </w:r>
    </w:p>
    <w:p>
      <w:pPr>
        <w:pStyle w:val="BookText"/>
        <w:rPr/>
      </w:pPr>
      <w:r>
        <w:rPr>
          <w:rFonts w:ascii="Amiri" w:hAnsi="Amiri" w:eastAsia="Amiri" w:cs="Amiri"/>
          <w:color w:val="111111"/>
          <w:sz w:val="28"/>
          <w:sz w:val="28"/>
          <w:szCs w:val="28"/>
          <w:rtl w:val="true"/>
          <w:lang w:bidi="ar-SA"/>
        </w:rPr>
        <w:t xml:space="preserve">الوليّ،أو يتتاركا </w:t>
      </w:r>
      <w:r>
        <w:rPr>
          <w:rStyle w:val="FootnoteAnchor"/>
          <w:rtl w:val="true"/>
        </w:rPr>
        <w:footnoteReference w:id="1486"/>
      </w:r>
      <w:r>
        <w:rPr>
          <w:rFonts w:ascii="Amiri" w:hAnsi="Amiri" w:eastAsia="Amiri" w:cs="Amiri"/>
          <w:color w:val="111111"/>
          <w:sz w:val="28"/>
          <w:sz w:val="28"/>
          <w:szCs w:val="28"/>
          <w:rtl w:val="true"/>
          <w:lang w:bidi="ar-SA"/>
        </w:rPr>
        <w:t>أي يترك كل واحد الآخر و يتجاوز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بإطلاقها الشيخ و أتباعه كما في المسالك و غيره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يرتضه المتأخّرون،كالماتن هنا و في الشرائع،و الفاضل في الإرشاد و التحرير و القواعد،و ولده في شرحه،و الفاضل المقداد في التنقيح،و شيخنا في المسالك </w:t>
      </w:r>
      <w:r>
        <w:rPr>
          <w:rStyle w:val="FootnoteAnchor"/>
          <w:rtl w:val="true"/>
        </w:rPr>
        <w:footnoteReference w:id="1488"/>
      </w:r>
      <w:r>
        <w:rPr>
          <w:rFonts w:ascii="Amiri" w:hAnsi="Amiri" w:eastAsia="Amiri" w:cs="Amiri"/>
          <w:color w:val="111111"/>
          <w:sz w:val="28"/>
          <w:sz w:val="28"/>
          <w:szCs w:val="28"/>
          <w:rtl w:val="true"/>
          <w:lang w:bidi="ar-SA"/>
        </w:rPr>
        <w:t xml:space="preserve">،و غيرهم </w:t>
      </w:r>
      <w:r>
        <w:rPr>
          <w:rStyle w:val="FootnoteAnchor"/>
          <w:rtl w:val="true"/>
        </w:rPr>
        <w:footnoteReference w:id="148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الراوي أبان بن عثمان،و فيه ضعف بفساد عقيدته بالناووسية،على ما ذكره علي بن الحسن بن فضّال </w:t>
      </w:r>
      <w:r>
        <w:rPr>
          <w:rStyle w:val="FootnoteAnchor"/>
          <w:rtl w:val="true"/>
        </w:rPr>
        <w:footnoteReference w:id="1490"/>
      </w:r>
      <w:r>
        <w:rPr>
          <w:rFonts w:ascii="Amiri" w:hAnsi="Amiri" w:eastAsia="Amiri" w:cs="Amiri"/>
          <w:color w:val="111111"/>
          <w:sz w:val="28"/>
          <w:sz w:val="28"/>
          <w:szCs w:val="28"/>
          <w:rtl w:val="true"/>
          <w:lang w:bidi="ar-SA"/>
        </w:rPr>
        <w:t>مع إرسال ه الرواية عمّن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اختاروا في ذلك التفصيل،فقالوا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اعتبار الضرب و ملاحظته فإن كان ضربه بما يسوغ له قتله به و الاقتصاص لم يقتصّ من الوليّ بل جاز له قتله من غير قصاص،كما لو ضرب عنقه فظنّ أنّه مات و الحال أنّه لم يمت،و ذلك لأنّه استحق إزهاق نفسه من غير قصاص،و ما فعله به كان مباحاً له،و الإباحة لا تستعقب ضماناً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ضربه بما لا يسوغ له قتله به،كأن ضربه بالعصا و الحجر و نحوهما،كان للجاني أن يقتصّ من الوليّ ثم يسلّم نفسه للقتل،أو يتتاركا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حسن،و يمكن حمل الرواية عليه؛ لعدم صراحتها في </w:t>
      </w:r>
    </w:p>
    <w:p>
      <w:pPr>
        <w:pStyle w:val="BookText"/>
        <w:rPr/>
      </w:pPr>
      <w:r>
        <w:rPr>
          <w:rFonts w:ascii="Amiri" w:hAnsi="Amiri" w:eastAsia="Amiri" w:cs="Amiri"/>
          <w:color w:val="111111"/>
          <w:sz w:val="28"/>
          <w:sz w:val="28"/>
          <w:szCs w:val="28"/>
          <w:rtl w:val="true"/>
          <w:lang w:bidi="ar-SA"/>
        </w:rPr>
        <w:t>الإطلاق،مع كونها قضية في واقعة،فلا عموم فيها،بل لعلّها ظاهرة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الذبّ عنها،لا ما ذكروه من ضعف الراوي؛ لعدم ثبوته إلّا بإخبار من يضاهيه في فساد العقيدة ،فإن ثبت بإخباره قُبِل روايته؛ إذ كما لا يمنع فساد العقيدة في المخبِر كذا لا يمنع في المخبَر عن حاله، مع عدم صراحة خبره في فساد عقيدته بعد احتمال أن يراد به أنّه من قوم ناووسية،لا أنّه ناووسي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جميع ذلك فقول علي بن الحسن معارض بقول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العصابة قد أجمعت على تصحيح ما يصحّ عنه و الإقرار له بالفقه </w:t>
      </w:r>
      <w:r>
        <w:rPr>
          <w:rStyle w:val="FootnoteAnchor"/>
          <w:rtl w:val="true"/>
        </w:rPr>
        <w:footnoteReference w:id="1491"/>
      </w:r>
      <w:r>
        <w:rPr>
          <w:rFonts w:ascii="Amiri" w:hAnsi="Amiri" w:eastAsia="Amiri" w:cs="Amiri"/>
          <w:color w:val="111111"/>
          <w:sz w:val="28"/>
          <w:sz w:val="28"/>
          <w:szCs w:val="28"/>
          <w:rtl w:val="true"/>
          <w:lang w:bidi="ar-SA"/>
        </w:rPr>
        <w:t>،و هو أعدل من الجارح،فليقدّم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سلّمنا،الجمع بينهما أفاد كونه موثقاً كما هو المشهور،أو قويّاً على الأقوى،بناءً على عدم ظهور دعوى الإجماع في التوثيق،و إن جعلوها صريحة فيه،أو ظاهرة،و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في قوّة الراوي و جواز الاعتماد على روايته،كما هو ظاهر المشهور،و صرّح به في الخلاصة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الإرسال بعده فمنجبر بحكاية الإجماع المتقدّمة،كما عرفته غير مرّة،فتأمّل ،هذا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عمل الشيخ بها و التبعة،مع أنّ الرواية مروية في الكتب الثلاثة،و سندها في الكافي و التهذيب و إن كان ضعيفاً قبل إبان بالإرسال أيضاً في الأوّل،و الجهالة في الثاني،لكنّه في الفقيه إليه صحيح،و مع ذلك فليس بعده أيضاً إرسال،فإنها رويت فيه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اتي برجل قد قتل أخا رجلٍ،فدفعه إليه و أمره أن يقتله،فضربه الرجل حتى رأى أنّه قد قتله،فحمل إلى منزله فوجدوا به رمقاً فعالجوه حتى برئ،فلمّا خرج أخذه أخو المقتول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قاتل أخي و لي أن أقتلك،فقال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قتلتني مرّة،فانطلق به إلى عمر فأمر بقتله،فخرج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قتلني و اللّه مرّة،فمرّوا به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عليه حتى أخرج إليك،فدخل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الحكم فيه 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أبا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هذا من أخ المقتول الأوّل ما صنع به ثم يقتله بأخيه،فظنّ الرجل أنّه إن اقتصّ منه أتى على نفسه،فعفا عنه و تتاركا</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رجل صحيح مقطوعَ اليد فأراد الوليّ قتله ردّ دية اليد عليه إن كانت قطعت في قصاص أو أخذ المقطوع ديتها،و إن شاء الوليّ طرح دية اليد و أخذ الباقي من دية النفس،و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يده ذهبت من غير جناية جناها كما لو سقطت بآفة سماوية أو غيرها و لا أخذ لها دية كاملة مع الجناية عليه قتل قاتله و لا ردّ هنا،بلا خلاف فيه و لا شبهة يعتريه؛ لعموم النفس بالنفس كتاباً و سنّة،السليم هنا عن المعارض بالكلّية،و مقتضاه و إن كان عدم الردّ في الصورة </w:t>
      </w:r>
      <w:r>
        <w:rPr>
          <w:rStyle w:val="FootnoteAnchor"/>
          <w:rtl w:val="true"/>
        </w:rPr>
        <w:footnoteReference w:id="1494"/>
      </w:r>
      <w:r>
        <w:rPr>
          <w:rFonts w:ascii="Amiri" w:hAnsi="Amiri" w:eastAsia="Amiri" w:cs="Amiri"/>
          <w:color w:val="111111"/>
          <w:sz w:val="28"/>
          <w:sz w:val="28"/>
          <w:szCs w:val="28"/>
          <w:rtl w:val="true"/>
          <w:lang w:bidi="ar-SA"/>
        </w:rPr>
        <w:t>السابقة أيضاً،إلّا أنّه إنّما نشأ فيها من رواية وردت في المسألة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رواية سورة بن كليب المروية في الكافي و التهذيب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قتل رجلاً عمداً و كان المقتول اقطع </w:t>
      </w:r>
    </w:p>
    <w:p>
      <w:pPr>
        <w:pStyle w:val="BookText"/>
        <w:rPr/>
      </w:pPr>
      <w:r>
        <w:rPr>
          <w:rFonts w:ascii="Amiri" w:hAnsi="Amiri" w:eastAsia="Amiri" w:cs="Amiri"/>
          <w:color w:val="111111"/>
          <w:sz w:val="28"/>
          <w:sz w:val="28"/>
          <w:szCs w:val="28"/>
          <w:rtl w:val="true"/>
          <w:lang w:bidi="ar-SA"/>
        </w:rPr>
        <w:t>اليد اليمنى؟فقال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قطعت يده في جناية جناها على نفسه،أو كان قطع فأخذ دية يده من الذي قطعها،فإن أراد أولياؤه أن يقتلوا قاتله أدّوا إلى أولياء قاتله دية يده التي قيد منها إن كان أخذ دية يده و يقتلوه، و إن شاؤوا طرحوا عنه دية يد و أخذوا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يده قطعت في غير جناية جناها على نفسه و لا أخذ لها دية قتلوا قاتله و لا يغرم شيئاً، و إن شاؤوا أخذوا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وجدناه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بها الحلّي في السرائر و الفاضل في التحرير و غيرهما </w:t>
      </w:r>
      <w:r>
        <w:rPr>
          <w:rStyle w:val="FootnoteAnchor"/>
          <w:rtl w:val="true"/>
        </w:rPr>
        <w:footnoteReference w:id="1496"/>
      </w:r>
      <w:r>
        <w:rPr>
          <w:rFonts w:ascii="Amiri" w:hAnsi="Amiri" w:eastAsia="Amiri" w:cs="Amiri"/>
          <w:color w:val="111111"/>
          <w:sz w:val="28"/>
          <w:sz w:val="28"/>
          <w:szCs w:val="28"/>
          <w:rtl w:val="true"/>
          <w:lang w:bidi="ar-SA"/>
        </w:rPr>
        <w:t xml:space="preserve">،و هو مشكل؛ لجهالة الراوي ،و عدم ظهور ما يوجب حسنه،و إن ادّعاه في المسالك </w:t>
      </w:r>
      <w:r>
        <w:rPr>
          <w:rStyle w:val="FootnoteAnchor"/>
          <w:rtl w:val="true"/>
        </w:rPr>
        <w:footnoteReference w:id="1497"/>
      </w:r>
      <w:r>
        <w:rPr>
          <w:rFonts w:ascii="Amiri" w:hAnsi="Amiri" w:eastAsia="Amiri" w:cs="Amiri"/>
          <w:color w:val="111111"/>
          <w:sz w:val="28"/>
          <w:sz w:val="28"/>
          <w:szCs w:val="28"/>
          <w:rtl w:val="true"/>
          <w:lang w:bidi="ar-SA"/>
        </w:rPr>
        <w:t xml:space="preserve">،و لذا ردّها فخر الدين في الإيضاح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السند قبله الحسن بن محبوب المجمع على تصحيح ما يصح عنه،فيجبر به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التأيّد بما قيل </w:t>
      </w:r>
      <w:r>
        <w:rPr>
          <w:rStyle w:val="FootnoteAnchor"/>
          <w:rtl w:val="true"/>
        </w:rPr>
        <w:footnoteReference w:id="1499"/>
      </w:r>
      <w:r>
        <w:rPr>
          <w:rFonts w:ascii="Amiri" w:hAnsi="Amiri" w:eastAsia="Amiri" w:cs="Amiri"/>
          <w:color w:val="111111"/>
          <w:sz w:val="28"/>
          <w:sz w:val="28"/>
          <w:szCs w:val="28"/>
          <w:rtl w:val="true"/>
          <w:lang w:bidi="ar-SA"/>
        </w:rPr>
        <w:t>من أنّه لا يقتصّ للناقص من الكامل إلّا بعد الردّ،كالمرأة من الرجل،فهنا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بأنّه لو قطع كفّه بغير أصابع قطعت كفّه بعد ردّ دية الأصابع، كما يأتي </w:t>
      </w:r>
      <w:r>
        <w:rPr>
          <w:rStyle w:val="FootnoteAnchor"/>
          <w:rtl w:val="true"/>
        </w:rPr>
        <w:footnoteReference w:id="1500"/>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الاستدلال بهذين المؤيّدين نظر؛ لمنع الكلّية في الأوّل، </w:t>
      </w:r>
    </w:p>
    <w:p>
      <w:pPr>
        <w:pStyle w:val="BookText"/>
        <w:rPr/>
      </w:pPr>
      <w:r>
        <w:rPr>
          <w:rFonts w:ascii="Amiri" w:hAnsi="Amiri" w:eastAsia="Amiri" w:cs="Amiri"/>
          <w:color w:val="111111"/>
          <w:sz w:val="28"/>
          <w:sz w:val="28"/>
          <w:szCs w:val="28"/>
          <w:rtl w:val="true"/>
          <w:lang w:bidi="ar-SA"/>
        </w:rPr>
        <w:t>و ما ذكره في بيانها من قصاص المرأة قياس غير مسموع،و مع ذلك مع الفارق؛ لنقص المرأة نفساً لا طرفاً،مع معارضته بالقسم الأخير المتقدم فيما نحن فيه الذي لا ردّ فيه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الثاني بعد تسليمه،فإنّ مقتضاه الردّ على الإطلاق، و لا يقولون به فيما نحن فيه،فهو و إن قوي من جهة لكن ضعف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المستند في المسألة عدا الرواية المتقدمة،فإن قلنا باعتبارها سنداً كانت هي الحجّة،و إلّا فالقول بما عليه الفخر أقوى،لكن الشأن في إثباته،و في الاكتفاء فيه بما ذكرنا إشكال،فالمسألة محل تردّد و إشكال،كما هو ظاهر الماتن و صريح الفاضل في الإرشاد و القواعد و غيرهما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إطلاق العبارة بجواز الاقتصاص من القاتل بعد ردّ الدية عليه أو مطلقاً يقتضي عدم الفرق بين كونه هو القاطع أو غيره،عفا عنه المقطوع أم لا،كما هو الأشهر الأقوى،بل عن المبسوط أنّه مذهبنا </w:t>
      </w:r>
      <w:r>
        <w:rPr>
          <w:rStyle w:val="FootnoteAnchor"/>
          <w:rtl w:val="true"/>
        </w:rPr>
        <w:footnoteReference w:id="1503"/>
      </w:r>
      <w:r>
        <w:rPr>
          <w:rFonts w:ascii="Amiri" w:hAnsi="Amiri" w:eastAsia="Amiri" w:cs="Amiri"/>
          <w:color w:val="111111"/>
          <w:sz w:val="28"/>
          <w:sz w:val="28"/>
          <w:szCs w:val="28"/>
          <w:rtl w:val="true"/>
          <w:lang w:bidi="ar-SA"/>
        </w:rPr>
        <w:t>للعمومات السليمة عن المعارض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1504"/>
      </w:r>
      <w:r>
        <w:rPr>
          <w:rFonts w:ascii="Amiri" w:hAnsi="Amiri" w:eastAsia="Amiri" w:cs="Amiri"/>
          <w:color w:val="111111"/>
          <w:sz w:val="28"/>
          <w:sz w:val="28"/>
          <w:szCs w:val="28"/>
          <w:rtl w:val="true"/>
          <w:lang w:bidi="ar-SA"/>
        </w:rPr>
        <w:t>أنّه حكى وجهاً بعدم الجواز في الصورة الاُولى مع كون الجناية الأُولى معفوّاً عنها؛ أخذاً من أنّ القتل بعد القطع كسراية الجناية الأُولى و قد سبق العفو عن بعضها فليس له القصاص في الباقي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ترى،فإنّ القتل إحداث قاطع للسراية،فكيف يتوهّم أنّه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كالسراية؟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 فاستلزام العفو عن البعض لسقوط القود ممنوع، و يشير إليه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شجّ رجلاً موضحة ثم يطلب فيها فوهبها له، ثم انتقضت </w:t>
      </w:r>
      <w:r>
        <w:rPr>
          <w:rStyle w:val="FootnoteAnchor"/>
          <w:rtl w:val="true"/>
        </w:rPr>
        <w:footnoteReference w:id="1505"/>
      </w:r>
      <w:r>
        <w:rPr>
          <w:rFonts w:ascii="Amiri" w:hAnsi="Amiri" w:eastAsia="Amiri" w:cs="Amiri"/>
          <w:color w:val="111111"/>
          <w:sz w:val="28"/>
          <w:sz w:val="28"/>
          <w:szCs w:val="28"/>
          <w:rtl w:val="true"/>
          <w:lang w:bidi="ar-SA"/>
        </w:rPr>
        <w:t>به فقتلته،فقال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للدية إلّا قيمة الموضحة؛ لأنّه وهبها و لم يهب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0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211" w:name="pg11409_90904"/>
    </w:p>
    <w:p>
      <w:pPr>
        <w:pStyle w:val="Heading3"/>
        <w:numPr>
          <w:ilvl w:val="2"/>
          <w:numId w:val="1"/>
        </w:numPr>
        <w:rPr/>
      </w:pPr>
      <w:bookmarkStart w:id="212" w:name="__RefHeading___Toc1102737_73709187"/>
      <w:bookmarkStart w:id="213" w:name="_Toc78"/>
      <w:bookmarkEnd w:id="211"/>
      <w:bookmarkEnd w:id="212"/>
      <w:r>
        <w:rPr>
          <w:rtl w:val="true"/>
        </w:rPr>
        <w:t>القسم الثاني في قصاص الطرف</w:t>
      </w:r>
      <w:bookmarkEnd w:id="213"/>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قصاص الطرف و المراد به ما دون النفس،و إن لم يتعلّق بالأطراف المشهورة من اليد،و الرجل،و الاُذُن،و الأنف،و غيرها،كالجرح على البطن،و الظهر،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التساوي في الإسلام و الحرّية،أو كون المقتصّ منه أخفض،و انتفاء الأُبوّة،إلى آخر ما فصّل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هنا في الشروط،بل العمد و شبهه و الخطاء كما في قصاص النفس قد مضى،بلا خلاف،بل عليه الإجماع في صريح الغنية و ظاهر غيره </w:t>
      </w:r>
      <w:r>
        <w:rPr>
          <w:rStyle w:val="FootnoteAnchor"/>
          <w:rtl w:val="true"/>
        </w:rPr>
        <w:footnoteReference w:id="150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الإجماع القطعي،بل الضرورة،و الكتاب و السنّة المتقدم بعضها،و الآتي إلى جملة منها الإشارة في أصل ثبوت القصاص في الأطراف،قال سبحانه وَ الْأَنْفَ بِالْأَنْفِ وَ الْأُذُنَ بِالْأُذُنِ وَ السِّنَّ بِالسِّنِّ وَ الْجُرُوحَ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و فَمَنِ اعْتَدى عَلَيْكُمْ فَاعْتَدُوا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في أمّ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يقاصّ منها للمماليك،و لا قصاص بين الحرّ و العبد</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و هو ظاهر في اشتراك التساوي في الحرّية حتى في </w:t>
      </w:r>
    </w:p>
    <w:p>
      <w:pPr>
        <w:pStyle w:val="BookText"/>
        <w:rPr/>
      </w:pPr>
      <w:r>
        <w:rPr>
          <w:rFonts w:ascii="IRNazanin" w:hAnsi="IRNazanin" w:eastAsia="IRNazanin"/>
          <w:color w:val="111111"/>
          <w:sz w:val="28"/>
          <w:sz w:val="28"/>
          <w:szCs w:val="28"/>
          <w:rtl w:val="true"/>
          <w:lang w:bidi="fa-IR"/>
        </w:rPr>
        <w:t>الأطراف؛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اشتراط التساوي في غيرها بعد الإجماع المركّب،مضافاً إلى الإجماع البسيط من تتبّع النصوص،بل الاعتبار أيضاً،فتدبّر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يقتصّ في الطرف لمن لا يقتصّ له في النفس،و لا يشترط التساوي في الذكورة و الأُنوثة،بل يقتصّ للرجل من المرأة،و لا ردّ، و للمرأة من الرجل مع الردّ فيما زاد عن الثلث أو بلغه،على الخلاف المتقدّم هو،مع نقل الإجماع و النصوص المستفيضة على ثبوت أصل التقاصّ بينهما في بحث الشرط الأوّل من شرائط القصاص الخمسة،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هنا زيادةً على شروط النفس المتقدمة التساوي أي تساوي العضوين المقتصّ به و منه في السلامة من الشلل،أو فيه مع انتفاء التعزير في المقتصّ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يبس اليد و الرجل بحيث لا يعمل،و إن بقي فيها حسّ أو حركة ضعيفة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اعتبر بطلانهما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يقطع العضو الصحيح منه من يد أو رجل بالأشلّ بلا خلاف،بل عليه الإجماع عن الخلاف </w:t>
      </w:r>
      <w:r>
        <w:rPr>
          <w:rStyle w:val="FootnoteAnchor"/>
          <w:rtl w:val="true"/>
        </w:rPr>
        <w:footnoteReference w:id="1513"/>
      </w:r>
      <w:r>
        <w:rPr>
          <w:rFonts w:ascii="Amiri" w:hAnsi="Amiri" w:eastAsia="Amiri" w:cs="Amiri"/>
          <w:color w:val="111111"/>
          <w:sz w:val="28"/>
          <w:sz w:val="28"/>
          <w:szCs w:val="28"/>
          <w:rtl w:val="true"/>
          <w:lang w:bidi="ar-SA"/>
        </w:rPr>
        <w:t>،و هو الحجة المخصّصة للعمومات،مضافاً إلى الاعتبار،و إطلاق خصوص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قطع يد رجل شلّاء،قال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يقطع العضو الأشلّ بمثله،و بالصحيح ما لم يعرف أنّه لا ينحسم بلا إشكال فيه،و في تعيّن الدية مع المعرفة بإخبار أهل الخبرة بعدم الانحسام و انسداد أفواه العروق،و لا خلاف فيهما أيضاً،بل عليهما الإجماع في الغنية </w:t>
      </w:r>
      <w:r>
        <w:rPr>
          <w:rStyle w:val="FootnoteAnchor"/>
          <w:rtl w:val="true"/>
        </w:rPr>
        <w:footnoteReference w:id="151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العمومات في الأوّل؛ و لزوم صيانة النفس المحترمة عن التلف،مع إمكان تدارك الحق بالدية،و يخطر بالبال ورود رواية </w:t>
      </w:r>
      <w:r>
        <w:rPr>
          <w:rStyle w:val="FootnoteAnchor"/>
          <w:rtl w:val="true"/>
        </w:rPr>
        <w:footnoteReference w:id="1516"/>
      </w:r>
      <w:r>
        <w:rPr>
          <w:rFonts w:ascii="Amiri" w:hAnsi="Amiri" w:eastAsia="Amiri" w:cs="Amiri"/>
          <w:color w:val="111111"/>
          <w:sz w:val="28"/>
          <w:sz w:val="28"/>
          <w:szCs w:val="28"/>
          <w:rtl w:val="true"/>
          <w:lang w:bidi="ar-SA"/>
        </w:rPr>
        <w:t xml:space="preserve">لها عليه دلالة في الثاني،و نسبة الحكم فيه في المسالك و غيره </w:t>
      </w:r>
      <w:r>
        <w:rPr>
          <w:rStyle w:val="FootnoteAnchor"/>
          <w:rtl w:val="true"/>
        </w:rPr>
        <w:footnoteReference w:id="1517"/>
      </w:r>
      <w:r>
        <w:rPr>
          <w:rFonts w:ascii="Amiri" w:hAnsi="Amiri" w:eastAsia="Amiri" w:cs="Amiri"/>
          <w:color w:val="111111"/>
          <w:sz w:val="28"/>
          <w:sz w:val="28"/>
          <w:szCs w:val="28"/>
          <w:rtl w:val="true"/>
          <w:lang w:bidi="ar-SA"/>
        </w:rPr>
        <w:t>إلى المشهور ربما توهّم وجود خلاف فيه أو إشكال،و لكن لا أثر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يقطع الشلّاء يقتصر عليها و لا يضم إليها أرش التفاوت؛ للأصل،و عدم دليل على الضمّ مع </w:t>
      </w:r>
      <w:r>
        <w:rPr>
          <w:rStyle w:val="FootnoteAnchor"/>
          <w:rtl w:val="true"/>
        </w:rPr>
        <w:footnoteReference w:id="1518"/>
      </w:r>
      <w:r>
        <w:rPr>
          <w:rFonts w:ascii="Amiri" w:hAnsi="Amiri" w:eastAsia="Amiri" w:cs="Amiri"/>
          <w:color w:val="111111"/>
          <w:sz w:val="28"/>
          <w:sz w:val="28"/>
          <w:szCs w:val="28"/>
          <w:rtl w:val="true"/>
          <w:lang w:bidi="ar-SA"/>
        </w:rPr>
        <w:t xml:space="preserve">تساويهما في الحرمة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يقتصّ المسلم من الذمّي و يأخذ منه فضل ما بين الديتين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ذمّي قطع يد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يده إن شاء أولياؤه، و يأخذون فضل ما بين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سنده إضمار،و في ذيله مخالفة للأصل،لكن لم أجد خلافاً فيما يتعلّق منه بما نحن فيه حتى من نحو الحلّي </w:t>
      </w:r>
      <w:r>
        <w:rPr>
          <w:rStyle w:val="FootnoteAnchor"/>
          <w:rtl w:val="true"/>
        </w:rPr>
        <w:footnoteReference w:id="1521"/>
      </w:r>
      <w:r>
        <w:rPr>
          <w:rFonts w:ascii="Amiri" w:hAnsi="Amiri" w:eastAsia="Amiri" w:cs="Amiri"/>
          <w:color w:val="111111"/>
          <w:sz w:val="28"/>
          <w:sz w:val="28"/>
          <w:szCs w:val="28"/>
          <w:rtl w:val="true"/>
          <w:lang w:bidi="ar-SA"/>
        </w:rPr>
        <w:t xml:space="preserve">،و ظاهر التنقيح </w:t>
      </w:r>
      <w:r>
        <w:rPr>
          <w:rStyle w:val="FootnoteAnchor"/>
          <w:rtl w:val="true"/>
        </w:rPr>
        <w:footnoteReference w:id="1522"/>
      </w:r>
      <w:r>
        <w:rPr>
          <w:rFonts w:ascii="IRNazanin" w:hAnsi="IRNazanin" w:eastAsia="IRNazanin"/>
          <w:color w:val="111111"/>
          <w:sz w:val="28"/>
          <w:sz w:val="28"/>
          <w:szCs w:val="28"/>
          <w:rtl w:val="true"/>
          <w:lang w:bidi="fa-IR"/>
        </w:rPr>
        <w:t xml:space="preserve">عدم </w:t>
      </w:r>
    </w:p>
    <w:p>
      <w:pPr>
        <w:pStyle w:val="BookText"/>
        <w:rPr/>
      </w:pPr>
      <w:r>
        <w:rPr>
          <w:rFonts w:ascii="Amiri" w:hAnsi="Amiri" w:eastAsia="Amiri" w:cs="Amiri"/>
          <w:color w:val="111111"/>
          <w:sz w:val="28"/>
          <w:sz w:val="28"/>
          <w:szCs w:val="28"/>
          <w:rtl w:val="true"/>
          <w:lang w:bidi="ar-SA"/>
        </w:rPr>
        <w:t>الخلاف فيه،حيث لم يتعرض لذكر هذا الحكم،و لو وجد فيه خلاف لنقله و تعرّض له،كما هو 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ما مرّ من ردّ فضل ما بين الديتين إذا قتل المسلم بالذمّي باعتياده القتل له أو مطلقاً،و أنّه لو قتل ذمّي مسلماً دفع هو و ماله إلى أولياء المقتول،و أنّ لهم الخيرة بين قتله و استرقاقه،حيث إنّه لم يكتف في الاقتصاص منه بنفسه،بل يضمّ إليه ماله،فتدبّر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 للذميّ من المسلم،و لا للعبد من الحرّ بل يجب الدية؛ لفقد التساوي في الإسلام و الحرّية المشترط في القصاص،كما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الخبر المتقدّم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قصاص بين الحر و العبد</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بذمي في القتل و لا في الجراحات،و لكن يؤخذ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جنايته للذمّي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ذيل الصحيح المتقدم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قطع المسلم يد المعاهد خيّر أولياء المعاهد،فإن شاءُوا أخذوا الدية،و إن شاءُوا قطعوا يد المسلم و أدّوا إليه فضل ما بين الديتين،و إذا قتل </w:t>
      </w:r>
      <w:r>
        <w:rPr>
          <w:rStyle w:val="FootnoteAnchor"/>
          <w:rtl w:val="true"/>
        </w:rPr>
        <w:footnoteReference w:id="1526"/>
      </w:r>
      <w:r>
        <w:rPr>
          <w:rFonts w:ascii="Amiri" w:hAnsi="Amiri" w:eastAsia="Amiri" w:cs="Amiri"/>
          <w:color w:val="111111"/>
          <w:sz w:val="28"/>
          <w:sz w:val="28"/>
          <w:szCs w:val="28"/>
          <w:rtl w:val="true"/>
          <w:lang w:bidi="ar-SA"/>
        </w:rPr>
        <w:t>المسلم صنع كذلك</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فقد مرّ </w:t>
      </w:r>
    </w:p>
    <w:p>
      <w:pPr>
        <w:pStyle w:val="BookText"/>
        <w:rPr/>
      </w:pPr>
      <w:r>
        <w:rPr>
          <w:rFonts w:ascii="Amiri" w:hAnsi="Amiri" w:eastAsia="Amiri" w:cs="Amiri"/>
          <w:color w:val="111111"/>
          <w:sz w:val="28"/>
          <w:sz w:val="28"/>
          <w:szCs w:val="28"/>
          <w:rtl w:val="true"/>
          <w:lang w:bidi="ar-SA"/>
        </w:rPr>
        <w:t>الجواب عن أمثاله في الشرط الثاني من شرائط قصاص النفس من الشذوذ، و احتمال التقية،أو الاختصاص بصورة الاعتياد خاصّة،كما فصّلته النصوص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التساوي في الشجاج أي الجرح و الشقّ بال مساحة طولاً و عرضاً اتفاقاً على الظاهر،المصرّح به في بعض العبائر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لإشعار لفظ القصاص به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للاعتبار،فلا يقابل ضيّقة بواسعة،و لا يقنع بضيّقة عن واسعة،بل يستوفي بقدر الشجّة في البُعدين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نزولاً و عمقاً،بإجماعنا الظاهر،المصرّح به في جملة من العبائر </w:t>
      </w:r>
      <w:r>
        <w:rPr>
          <w:rStyle w:val="FootnoteAnchor"/>
          <w:rtl w:val="true"/>
        </w:rPr>
        <w:footnoteReference w:id="1530"/>
      </w:r>
      <w:r>
        <w:rPr>
          <w:rFonts w:ascii="Amiri" w:hAnsi="Amiri" w:eastAsia="Amiri" w:cs="Amiri"/>
          <w:color w:val="111111"/>
          <w:sz w:val="28"/>
          <w:sz w:val="28"/>
          <w:szCs w:val="28"/>
          <w:rtl w:val="true"/>
          <w:lang w:bidi="ar-SA"/>
        </w:rPr>
        <w:t xml:space="preserve">،و هو الحجة المؤيدة بما قيل </w:t>
      </w:r>
      <w:r>
        <w:rPr>
          <w:rStyle w:val="FootnoteAnchor"/>
          <w:rtl w:val="true"/>
        </w:rPr>
        <w:footnoteReference w:id="1531"/>
      </w:r>
      <w:r>
        <w:rPr>
          <w:rFonts w:ascii="Amiri" w:hAnsi="Amiri" w:eastAsia="Amiri" w:cs="Amiri"/>
          <w:color w:val="111111"/>
          <w:sz w:val="28"/>
          <w:sz w:val="28"/>
          <w:szCs w:val="28"/>
          <w:rtl w:val="true"/>
          <w:lang w:bidi="ar-SA"/>
        </w:rPr>
        <w:t xml:space="preserve">،سيّما </w:t>
      </w:r>
      <w:r>
        <w:rPr>
          <w:rStyle w:val="FootnoteAnchor"/>
          <w:rtl w:val="true"/>
        </w:rPr>
        <w:footnoteReference w:id="1532"/>
      </w:r>
      <w:r>
        <w:rPr>
          <w:rFonts w:ascii="Amiri" w:hAnsi="Amiri" w:eastAsia="Amiri" w:cs="Amiri"/>
          <w:color w:val="111111"/>
          <w:sz w:val="28"/>
          <w:sz w:val="28"/>
          <w:szCs w:val="28"/>
          <w:rtl w:val="true"/>
          <w:lang w:bidi="ar-SA"/>
        </w:rPr>
        <w:t>مع اختلاف الرؤوس في السمن و الضعف و غلط الجلد و دقّته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صلوحه حجة مستقلّة نظر؛ لما قيل </w:t>
      </w:r>
      <w:r>
        <w:rPr>
          <w:rStyle w:val="FootnoteAnchor"/>
          <w:rtl w:val="true"/>
        </w:rPr>
        <w:footnoteReference w:id="1533"/>
      </w:r>
      <w:r>
        <w:rPr>
          <w:rFonts w:ascii="Amiri" w:hAnsi="Amiri" w:eastAsia="Amiri" w:cs="Amiri"/>
          <w:color w:val="111111"/>
          <w:sz w:val="28"/>
          <w:sz w:val="28"/>
          <w:szCs w:val="28"/>
          <w:rtl w:val="true"/>
          <w:lang w:bidi="ar-SA"/>
        </w:rPr>
        <w:t xml:space="preserve">من أنّ ذلك ليس بموجب؛ إذ يؤتى بما يمكن و يسقط الباقي و يؤخذ أرش الزائد،كما ذكروه في المساحة طولاً من أنّه يلزم اعتبار التساوي فيها و لو استلزم استيعاب رأس الجاني لصغره دون المجني عليه و بالعكس،و لا يكمل الزائد عنه من القفاء و لا من الجبهة؛ لخروجهما عن محل الاستيفاء،بل يقتصر على </w:t>
      </w:r>
    </w:p>
    <w:p>
      <w:pPr>
        <w:pStyle w:val="BookText"/>
        <w:rPr/>
      </w:pPr>
      <w:r>
        <w:rPr>
          <w:rFonts w:ascii="Amiri" w:hAnsi="Amiri" w:eastAsia="Amiri" w:cs="Amiri"/>
          <w:color w:val="111111"/>
          <w:sz w:val="28"/>
          <w:sz w:val="28"/>
          <w:szCs w:val="28"/>
          <w:rtl w:val="true"/>
          <w:lang w:bidi="ar-SA"/>
        </w:rPr>
        <w:t>ما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العضو،و يؤخذ للزائد بنسبة المتخلّف إلى أصل الجرح من الدية،فيستوفى بقدر ما يحتمله</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الرأس من الشجّة و ينسب الباقي إلى الجميع و يؤخذ للفائت بنسبته،فإن كان الباقي ثلثاً فله ثلث دية تلك الشجّة،و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جارٍ فيما نحن فيه لولا الإجماع على أنّه لا يعتبر التساوي فيه بل يراعى فيه حصول اسم الشجّة المخصوصة التي حصلت بها الجناية من خارصة،أو باضعة،أو غيرهما،حتى لو كان عمق المتلاحمة مثلاً نصف أنملة جاز في القصاص الزيادة عليه ما لم ينته إلى ما فوقها، فيمنع عنها حينئذٍ؛ لاختلاف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القصاص فيما لا تغرير </w:t>
      </w:r>
      <w:r>
        <w:rPr>
          <w:rStyle w:val="FootnoteAnchor"/>
          <w:rtl w:val="true"/>
        </w:rPr>
        <w:footnoteReference w:id="1535"/>
      </w:r>
      <w:r>
        <w:rPr>
          <w:rFonts w:ascii="Amiri" w:hAnsi="Amiri" w:eastAsia="Amiri" w:cs="Amiri"/>
          <w:color w:val="111111"/>
          <w:sz w:val="28"/>
          <w:sz w:val="28"/>
          <w:szCs w:val="28"/>
          <w:rtl w:val="true"/>
          <w:lang w:bidi="ar-SA"/>
        </w:rPr>
        <w:t>فيه بالنفس أو الطرف، و لا يتعذّر فيه استيفاء المثل كالخارصة و الباضعة و السمحاق و الموضحة و سيأتي تفسيرها مع ما بعدها،و كذا كل جرح يمكن استيفاء المثل فيه من دون تغرير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فيما فيه التغرير أو يتعذّر أن يكون المثل فيه مستوفى كالهاشمة،و المنقّلة،و المأمومة،و الجائفة،و كسر الأعضاء و لا خلاف في شيء من ذلك أجده إلّا فيما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بعده العموم فيما ليس فيه تغرير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الأصل،مع لزوم صيانة النفس أو الطرف المحترمين عن التلف،و اعتبار المماثلة في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فيه بجواز الاقتصار على ما دون الجناية من الشجّة التي </w:t>
      </w:r>
    </w:p>
    <w:p>
      <w:pPr>
        <w:pStyle w:val="BookText"/>
        <w:rPr/>
      </w:pPr>
      <w:r>
        <w:rPr>
          <w:rFonts w:ascii="Amiri" w:hAnsi="Amiri" w:eastAsia="Amiri" w:cs="Amiri"/>
          <w:color w:val="111111"/>
          <w:sz w:val="28"/>
          <w:sz w:val="28"/>
          <w:szCs w:val="28"/>
          <w:rtl w:val="true"/>
          <w:lang w:bidi="ar-SA"/>
        </w:rPr>
        <w:t>لا تغرير فيها و أخذ التفاوت بينها و بين ما استوفاه،فيقتصّ من الهاشمة بالموضحة و يؤخذ للهشم ما بين ديتهما،و على هذا القياس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ظاهر الأصحاب على الظاهر،المصرّح به في المسالك </w:t>
      </w:r>
      <w:r>
        <w:rPr>
          <w:rStyle w:val="FootnoteAnchor"/>
          <w:rtl w:val="true"/>
        </w:rPr>
        <w:footnoteReference w:id="1536"/>
      </w:r>
      <w:r>
        <w:rPr>
          <w:rFonts w:ascii="Amiri" w:hAnsi="Amiri" w:eastAsia="Amiri" w:cs="Amiri"/>
          <w:color w:val="111111"/>
          <w:sz w:val="28"/>
          <w:sz w:val="28"/>
          <w:szCs w:val="28"/>
          <w:rtl w:val="true"/>
          <w:lang w:bidi="ar-SA"/>
        </w:rPr>
        <w:t>الاقتصار على الدية مطلقا،و يشهد لهم النصوص،منها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ما وقعت في الجوف ليس لصاحبها قصاص إلّا الحكومة،و المنقّلة تنقل منها العظام و ليس فيها قصاص إلّا الحكومة،و في المأمومة ثلث الدية ليس فيها قصاص إلّا الحكومة</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الموضحة خمس من الإبل،و في السمحاق دون الموضحة أربع من الإبل،و في المنقّلة خمس عشرة من الإبل،و في الجائفة ما وقعت في الجوف ليس فيها قصاص إلّا الحكومة،و المنقّلة تنقل منها العظام و ليس فيها قصاص إلّا الحكومة،و في المأمومة تقع ضربة في الرأس إن كان سيفاً،فإنّها تقطع كل شيء و تقطع العظم فتؤمّ المضروب،و ربما ثقل سمعه،و ربما اعتراه اختلاط،فإن ضرب بعمود أو بعصا شديدة فإنّها تبلغ أشدّ من القطع يكسر منها القِحف،قِحف الرأس</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قصاص في عظم</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مع قصور السند الخبران الأوّلان منها مقطوعان لم يسند إلى إمام،و الأخير منها معارض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السنّ و الذراع يكسران عمداً </w:t>
      </w:r>
    </w:p>
    <w:p>
      <w:pPr>
        <w:pStyle w:val="BookText"/>
        <w:rPr/>
      </w:pPr>
      <w:r>
        <w:rPr>
          <w:rFonts w:ascii="Amiri" w:hAnsi="Amiri" w:eastAsia="Amiri" w:cs="Amiri"/>
          <w:color w:val="111111"/>
          <w:sz w:val="28"/>
          <w:sz w:val="28"/>
          <w:szCs w:val="28"/>
          <w:rtl w:val="true"/>
          <w:lang w:bidi="ar-SA"/>
        </w:rPr>
        <w:t>أ لهما أرش،أو قود؟فقال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أضعفوا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الشيخين </w:t>
      </w:r>
      <w:r>
        <w:rPr>
          <w:rStyle w:val="FootnoteAnchor"/>
          <w:rtl w:val="true"/>
        </w:rPr>
        <w:footnoteReference w:id="1541"/>
      </w:r>
      <w:r>
        <w:rPr>
          <w:rFonts w:ascii="Amiri" w:hAnsi="Amiri" w:eastAsia="Amiri" w:cs="Amiri"/>
          <w:color w:val="111111"/>
          <w:sz w:val="28"/>
          <w:sz w:val="28"/>
          <w:szCs w:val="28"/>
          <w:rtl w:val="true"/>
          <w:lang w:bidi="ar-SA"/>
        </w:rPr>
        <w:t>العمل به مقيّداً بما إذا كان المكسور شيئاً لا يرجى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كان من الجراحات في الجسد فإنّ فيها القصاص،أو يقبل المجروح دية الجراحة فيعطاها</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عدّ الهاشمة و ما بعدها ممّا لا قصاص فيه للتغرير أو غيره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المقنعة و الديلمي </w:t>
      </w:r>
      <w:r>
        <w:rPr>
          <w:rStyle w:val="FootnoteAnchor"/>
          <w:rtl w:val="true"/>
        </w:rPr>
        <w:footnoteReference w:id="1543"/>
      </w:r>
      <w:r>
        <w:rPr>
          <w:rFonts w:ascii="Amiri" w:hAnsi="Amiri" w:eastAsia="Amiri" w:cs="Amiri"/>
          <w:color w:val="111111"/>
          <w:sz w:val="28"/>
          <w:sz w:val="28"/>
          <w:szCs w:val="28"/>
          <w:rtl w:val="true"/>
          <w:lang w:bidi="ar-SA"/>
        </w:rPr>
        <w:t>،فلم يعدّوا منه ما عدا المأمومة و الجائفة،بل صرّحوا بثبوت القصاص في الجراح مطلقا عداهما؛ معلّلين نفي القصاص فيهما بأنّ فيه تغريراً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التعليل كما ترى لا يختصّ بهما،بل جارٍ في نحو الهاشمة و المنقّلة،و لذا اعترض الحلّي على الشيخ في النهاية،فقال بعد نقل كلامه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رجع في مسائل خلافه و مبسوطه إلى ما اخترناه،و هو الأصح؛ لأنّ تعليله في نهايته لازم له في الهاشمة و المنقّلة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ذكره،و لذا اعتذر في المختلف عن الشيخين،فقال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كأنّهما </w:t>
      </w:r>
    </w:p>
    <w:p>
      <w:pPr>
        <w:pStyle w:val="BookText"/>
        <w:rPr/>
      </w:pPr>
      <w:r>
        <w:rPr>
          <w:rFonts w:ascii="Amiri" w:hAnsi="Amiri" w:eastAsia="Amiri" w:cs="Amiri"/>
          <w:color w:val="111111"/>
          <w:sz w:val="28"/>
          <w:sz w:val="28"/>
          <w:szCs w:val="28"/>
          <w:rtl w:val="true"/>
          <w:lang w:bidi="ar-SA"/>
        </w:rPr>
        <w:t xml:space="preserve">لم يصرّحا بثبوت القصاص في الهاشمة و المنقّلة،بل بتعميم القصاص في الجراح،و الهشم و النقل كأنّهما خارجان عن الجراح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فيرتفع الخلاف،لكن عن ابن حمزة </w:t>
      </w:r>
      <w:r>
        <w:rPr>
          <w:rStyle w:val="FootnoteAnchor"/>
          <w:rtl w:val="true"/>
        </w:rPr>
        <w:footnoteReference w:id="1546"/>
      </w:r>
      <w:r>
        <w:rPr>
          <w:rFonts w:ascii="Amiri" w:hAnsi="Amiri" w:eastAsia="Amiri" w:cs="Amiri"/>
          <w:color w:val="111111"/>
          <w:sz w:val="28"/>
          <w:sz w:val="28"/>
          <w:szCs w:val="28"/>
          <w:rtl w:val="true"/>
          <w:lang w:bidi="ar-SA"/>
        </w:rPr>
        <w:t>التصريح بثبوت القصاص في الهاشمة و المنقّلة،و هو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الاقتصاص من الجاني قبل الاندمال أي قبل برء المجني عليه من الجراحة تردّد من عدم الأمن من السراية الموجبة لدخول الطرف في النفس،فيسقط القصاص في الطرف،و من عموم قوله سبحانه وَ الْجُرُوحَ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و قوله تعالى فَمَنِ اعْتَدى عَلَيْكُمْ فَاعْتَدُوا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48"/>
      </w:r>
      <w:r>
        <w:rPr>
          <w:rFonts w:ascii="Amiri" w:hAnsi="Amiri" w:eastAsia="Amiri" w:cs="Amiri"/>
          <w:color w:val="111111"/>
          <w:sz w:val="28"/>
          <w:sz w:val="28"/>
          <w:szCs w:val="28"/>
          <w:rtl w:val="true"/>
          <w:lang w:bidi="ar-SA"/>
        </w:rPr>
        <w:t>،لمكان الفاء المفيدة للتعقيب بلا مهلة،و الأصل عدم حصول السراية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مع استحباب الصبر إلى الاندمال،وفاقاً للإسكافي و الخلاف </w:t>
      </w:r>
      <w:r>
        <w:rPr>
          <w:rStyle w:val="FootnoteAnchor"/>
          <w:rtl w:val="true"/>
        </w:rPr>
        <w:footnoteReference w:id="1549"/>
      </w:r>
      <w:r>
        <w:rPr>
          <w:rFonts w:ascii="Amiri" w:hAnsi="Amiri" w:eastAsia="Amiri" w:cs="Amiri"/>
          <w:color w:val="111111"/>
          <w:sz w:val="28"/>
          <w:sz w:val="28"/>
          <w:szCs w:val="28"/>
          <w:rtl w:val="true"/>
          <w:lang w:bidi="ar-SA"/>
        </w:rPr>
        <w:t xml:space="preserve">،و عليه عامّة المتأخرين،بل لم أقف على مخالف لهم عدا الشيخ في المبسوط،فاختار المنع؛ لما مرّ،على ما ذكره جماعة </w:t>
      </w:r>
      <w:r>
        <w:rPr>
          <w:rStyle w:val="FootnoteAnchor"/>
          <w:rtl w:val="true"/>
        </w:rPr>
        <w:footnoteReference w:id="1550"/>
      </w:r>
      <w:r>
        <w:rPr>
          <w:rFonts w:ascii="Amiri" w:hAnsi="Amiri" w:eastAsia="Amiri" w:cs="Amiri"/>
          <w:color w:val="111111"/>
          <w:sz w:val="28"/>
          <w:sz w:val="28"/>
          <w:szCs w:val="28"/>
          <w:rtl w:val="true"/>
          <w:lang w:bidi="ar-SA"/>
        </w:rPr>
        <w:t>، و عبارته المحكية في المختلف غير مطابقة للحكاية،بل ظاهرة في الكراهة،فإنّه قال بعد نقل القول بالمنع إلّا بعد الاندمال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الأحوط عندنا؛ لأنّها ربما صارت نفساً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الأحوط يشعر بالاستحباب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يجتنب القصاص في الحرّ الشديد،و البرد الشديد،و يتوخّى فيه اعتدال النهار بلا خلاف أجده،قالوا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السراية،و ربما يؤيّده ما مرّ في الحدود من تأخيرها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التعليل كالعبارة و غيرها من عبائر الجماعة وجوب التأخير، و اختصاصه بقصاص الطرف دون النفس،و استظهر بعض الأصحاب </w:t>
      </w:r>
      <w:r>
        <w:rPr>
          <w:rStyle w:val="FootnoteAnchor"/>
          <w:rtl w:val="true"/>
        </w:rPr>
        <w:footnoteReference w:id="1552"/>
      </w:r>
      <w:r>
        <w:rPr>
          <w:rFonts w:ascii="Amiri" w:hAnsi="Amiri" w:eastAsia="Amiri" w:cs="Amiri"/>
          <w:color w:val="111111"/>
          <w:sz w:val="28"/>
          <w:sz w:val="28"/>
          <w:szCs w:val="28"/>
          <w:rtl w:val="true"/>
          <w:lang w:bidi="ar-SA"/>
        </w:rPr>
        <w:t>الاستحباب،و هو بعيد،كاحتمال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لقصاص النفس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شخص شحمة اذُن آخر فاقتصّ منه فألصق المجني عليه الشحمة بمحلّها كان للجاني إزالتها بلا خلاف على الظاهر،المصرّح به في التنقيح،قال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الخلاف في العلّة،فقيل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ليتساويا في الشين كما ذكره المصنف،و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ميتة لا تصحّ الصلاة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يتفرّع على الخلاف أنّه لو لم يزلها الجاني و رضي بذلك كان للإمام إزالتها على القول الثاني؛ لكونه حامل نجاسة لا تصحّ الصلاة معها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خيرة الشيخ في الخلاف و المبسوط </w:t>
      </w:r>
      <w:r>
        <w:rPr>
          <w:rStyle w:val="FootnoteAnchor"/>
          <w:rtl w:val="true"/>
        </w:rPr>
        <w:footnoteReference w:id="1554"/>
      </w:r>
      <w:r>
        <w:rPr>
          <w:rFonts w:ascii="Amiri" w:hAnsi="Amiri" w:eastAsia="Amiri" w:cs="Amiri"/>
          <w:color w:val="111111"/>
          <w:sz w:val="28"/>
          <w:sz w:val="28"/>
          <w:szCs w:val="28"/>
          <w:rtl w:val="true"/>
          <w:lang w:bidi="ar-SA"/>
        </w:rPr>
        <w:t>،مدّعياً في صريح الأوّل و ظاهر الثاني الإجماع،و هو الحجّة المعتضدة بالنص الذي هو الأصل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قطع من اذُن الرجل شيئاً،فرفع ذلك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فأقاده،فأخذ الآخر ما قطع من اذُنه فردّه على اذُنه فالتحمت و برئت،فعاد الآخر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فاستقاده،فأمر بها فقطعت ثانية و أمر بها فدفنت،و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 xml:space="preserve">» </w:t>
      </w:r>
      <w:r>
        <w:rPr>
          <w:rStyle w:val="FootnoteAnchor"/>
          <w:rtl w:val="true"/>
        </w:rPr>
        <w:footnoteReference w:id="1555"/>
      </w:r>
      <w:r>
        <w:rPr>
          <w:rFonts w:ascii="IRNazanin" w:hAnsi="IRNazanin" w:eastAsia="IRNazanin"/>
          <w:color w:val="111111"/>
          <w:sz w:val="28"/>
          <w:sz w:val="28"/>
          <w:szCs w:val="28"/>
          <w:rtl w:val="true"/>
          <w:lang w:bidi="fa-IR"/>
        </w:rPr>
        <w:t xml:space="preserve">و قصور سنده </w:t>
      </w:r>
    </w:p>
    <w:p>
      <w:pPr>
        <w:pStyle w:val="BookText"/>
        <w:rPr/>
      </w:pPr>
      <w:r>
        <w:rPr>
          <w:rFonts w:ascii="IRNazanin" w:hAnsi="IRNazanin" w:eastAsia="IRNazanin"/>
          <w:color w:val="111111"/>
          <w:sz w:val="28"/>
          <w:sz w:val="28"/>
          <w:szCs w:val="28"/>
          <w:rtl w:val="true"/>
          <w:lang w:bidi="fa-IR"/>
        </w:rPr>
        <w:t>أو ضعفه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خيرة الحلّي في السرائر و الفاضل في التحرير و القواعد و شيخنا في المسالك </w:t>
      </w:r>
      <w:r>
        <w:rPr>
          <w:rStyle w:val="FootnoteAnchor"/>
          <w:rtl w:val="true"/>
        </w:rPr>
        <w:footnoteReference w:id="1556"/>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يختلج بالبال إمكان القول بالتعليلين؛ لعدم المنافاة بينهما،مع وجود الدليل عليهما،فيكون للإزالة بعد الوصل </w:t>
      </w:r>
      <w:r>
        <w:rPr>
          <w:rStyle w:val="FootnoteAnchor"/>
          <w:rtl w:val="true"/>
        </w:rPr>
        <w:footnoteReference w:id="1557"/>
      </w:r>
      <w:r>
        <w:rPr>
          <w:rFonts w:ascii="Amiri" w:hAnsi="Amiri" w:eastAsia="Amiri" w:cs="Amiri"/>
          <w:color w:val="111111"/>
          <w:sz w:val="28"/>
          <w:sz w:val="28"/>
          <w:szCs w:val="28"/>
          <w:rtl w:val="true"/>
          <w:lang w:bidi="ar-SA"/>
        </w:rPr>
        <w:t>سببان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و عدم صحة الصلاة،فإذا انتفى الأوّل بالعفو مثلاً بقي الثاني كما في مثال العبارة،و لو انتفى الثاني بقي الأوّل كما في المثال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أوجب الإزالة ضرراً لا يجب معه إزالة النجاسة للصلاة في الشريعة،و كما لو قطع الشحمة فتعلّقت بجلده فاقتصّ منها و ألصقها الجاني كان للمجني عليه إزالتها ليتساويا في الشين،و ليس للإمام ذلك إن عفا عنه المجني عليه؛ للضرر،أو لأنّها لم تبن من الحي لتكون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اقتصرنا على التعليل الثاني لم يكن ذلك للمجني عليه أيضاً في المثال الثاني؛ لحصول الاقتصاص بالإبانة المخصوصة المماثلة لجناية الجاني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يقتصّ الأنف الشامّ بعادم الشمّ،و كذا الأُذن الصحيحة بالصمّاء بلا خلاف ظاهر،مصرّح به في بعض العبائر </w:t>
      </w:r>
      <w:r>
        <w:rPr>
          <w:rStyle w:val="FootnoteAnchor"/>
          <w:rtl w:val="true"/>
        </w:rPr>
        <w:footnoteReference w:id="1558"/>
      </w:r>
      <w:r>
        <w:rPr>
          <w:rFonts w:ascii="Amiri" w:hAnsi="Amiri" w:eastAsia="Amiri" w:cs="Amiri"/>
          <w:color w:val="111111"/>
          <w:sz w:val="28"/>
          <w:sz w:val="28"/>
          <w:szCs w:val="28"/>
          <w:rtl w:val="true"/>
          <w:lang w:bidi="ar-SA"/>
        </w:rPr>
        <w:t xml:space="preserve">لعموم وَ الْأَنْفَ بِالْأَنْفِ وَ الْأُذُنَ بِالْأُذُنِ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مع حصول الاعتداء بمثل ما اعتدى بناءً على خروج المرضين عن العضوين و ثبوت أحدهما في الدماغ و الآخر </w:t>
      </w:r>
    </w:p>
    <w:p>
      <w:pPr>
        <w:pStyle w:val="BookText"/>
        <w:rPr/>
      </w:pPr>
      <w:r>
        <w:rPr>
          <w:rFonts w:ascii="Amiri" w:hAnsi="Amiri" w:eastAsia="Amiri" w:cs="Amiri"/>
          <w:color w:val="111111"/>
          <w:sz w:val="28"/>
          <w:sz w:val="28"/>
          <w:szCs w:val="28"/>
          <w:rtl w:val="true"/>
          <w:lang w:bidi="ar-SA"/>
        </w:rPr>
        <w:t>في الصماخ أو ما وراءه،فلا تعلّق للمرض بالمحل،حتى لو قطع أنفه أو اذُنه فأزال شمّه أو سمعه فهما جنايتان لا يرتبط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يقطع ذكر الصحيح بالعنّين و يقطع بذكر الصغير و المختون </w:t>
      </w:r>
      <w:r>
        <w:rPr>
          <w:rStyle w:val="FootnoteAnchor"/>
          <w:rtl w:val="true"/>
        </w:rPr>
        <w:footnoteReference w:id="1560"/>
      </w:r>
      <w:r>
        <w:rPr>
          <w:rFonts w:ascii="Amiri" w:hAnsi="Amiri" w:eastAsia="Amiri" w:cs="Amiri"/>
          <w:color w:val="111111"/>
          <w:sz w:val="28"/>
          <w:sz w:val="28"/>
          <w:szCs w:val="28"/>
          <w:rtl w:val="true"/>
          <w:lang w:bidi="ar-SA"/>
        </w:rPr>
        <w:t xml:space="preserve">و الأغلف و مسلوب الخصيتين،بلا خلاف؛ للعموم في المثبت،و الإلحاق بأشلّ اليد و الإصبع،المساعد بالاعتبار في المنفي،و لذا قالوا في قطع ذكر العنّين بثلث الدية،و ادّعى عليه الشيخ في الخلاف إجماع الطائفة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فيه الدية </w:t>
      </w:r>
      <w:r>
        <w:rPr>
          <w:rStyle w:val="FootnoteAnchor"/>
          <w:rtl w:val="true"/>
        </w:rPr>
        <w:footnoteReference w:id="1562"/>
      </w:r>
      <w:r>
        <w:rPr>
          <w:rFonts w:ascii="Amiri" w:hAnsi="Amiri" w:eastAsia="Amiri" w:cs="Amiri"/>
          <w:color w:val="111111"/>
          <w:sz w:val="28"/>
          <w:sz w:val="28"/>
          <w:szCs w:val="28"/>
          <w:rtl w:val="true"/>
          <w:lang w:bidi="ar-SA"/>
        </w:rPr>
        <w:t xml:space="preserve">،و حكي القول بمضمونه عن الصدوق و الإسكافي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 عن المقاومة لما مرّ،فليطرح،أو يحمل على بيان إرادة نفي القصاص و ثبوت أصل الدية في الجملة لا بيان كمال الدية،أو على التقية فقد حكي عن الشافعية قطع الصحيح بالعنّين </w:t>
      </w:r>
      <w:r>
        <w:rPr>
          <w:rStyle w:val="FootnoteAnchor"/>
          <w:rtl w:val="true"/>
        </w:rPr>
        <w:footnoteReference w:id="1564"/>
      </w:r>
      <w:r>
        <w:rPr>
          <w:rFonts w:ascii="Amiri" w:hAnsi="Amiri" w:eastAsia="Amiri" w:cs="Amiri"/>
          <w:color w:val="111111"/>
          <w:sz w:val="28"/>
          <w:sz w:val="28"/>
          <w:szCs w:val="28"/>
          <w:rtl w:val="true"/>
          <w:lang w:bidi="ar-SA"/>
        </w:rPr>
        <w:t>،بناءً على أنّ العنن نقص في الدماغ و القلب،لا شلل في الذكر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يقلع عين الأعور </w:t>
      </w:r>
      <w:r>
        <w:rPr>
          <w:rStyle w:val="FootnoteAnchor"/>
          <w:rtl w:val="true"/>
        </w:rPr>
        <w:footnoteReference w:id="1565"/>
      </w:r>
      <w:r>
        <w:rPr>
          <w:rFonts w:ascii="Amiri" w:hAnsi="Amiri" w:eastAsia="Amiri" w:cs="Amiri"/>
          <w:color w:val="111111"/>
          <w:sz w:val="28"/>
          <w:sz w:val="28"/>
          <w:szCs w:val="28"/>
          <w:rtl w:val="true"/>
          <w:lang w:bidi="ar-SA"/>
        </w:rPr>
        <w:t xml:space="preserve">أي ذي العين الواحدة خلقةً،أو بآفة،أو قصاص،أو جناية بعين ذي العينين المماثلة لها محلا و إن عمي بذلك الأعور و بقي بلا بصر،بلا خلاف يظهر،و به صرّح جمع ممن </w:t>
      </w:r>
    </w:p>
    <w:p>
      <w:pPr>
        <w:pStyle w:val="BookText"/>
        <w:rPr/>
      </w:pPr>
      <w:r>
        <w:rPr>
          <w:rFonts w:ascii="Amiri" w:hAnsi="Amiri" w:eastAsia="Amiri" w:cs="Amiri"/>
          <w:color w:val="111111"/>
          <w:sz w:val="28"/>
          <w:sz w:val="28"/>
          <w:szCs w:val="28"/>
          <w:rtl w:val="true"/>
          <w:lang w:bidi="ar-SA"/>
        </w:rPr>
        <w:t xml:space="preserve">تأخّر </w:t>
      </w:r>
      <w:r>
        <w:rPr>
          <w:rStyle w:val="FootnoteAnchor"/>
          <w:rtl w:val="true"/>
        </w:rPr>
        <w:footnoteReference w:id="1566"/>
      </w:r>
      <w:r>
        <w:rPr>
          <w:rFonts w:ascii="Amiri" w:hAnsi="Amiri" w:eastAsia="Amiri" w:cs="Amiri"/>
          <w:color w:val="111111"/>
          <w:sz w:val="28"/>
          <w:sz w:val="28"/>
          <w:szCs w:val="28"/>
          <w:rtl w:val="true"/>
          <w:lang w:bidi="ar-SA"/>
        </w:rPr>
        <w:t xml:space="preserve">،بل عليه الإجماع عن الخلاف </w:t>
      </w:r>
      <w:r>
        <w:rPr>
          <w:rStyle w:val="FootnoteAnchor"/>
          <w:rtl w:val="true"/>
        </w:rPr>
        <w:footnoteReference w:id="156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الأدلة وَ الْعَيْنَ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و خصوص المعتبرة، ففي الصحيح و القريب منه بفضالة عن أبان اللذين قد أجمعت على تصحيح ما يصحّ عنهما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فقأ عين صحيح،فقال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تفقأ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أعمى،فقال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الأصل و إطلاقها كالفتاوي و صريح جماعة من أصحابنا </w:t>
      </w:r>
      <w:r>
        <w:rPr>
          <w:rStyle w:val="FootnoteAnchor"/>
          <w:rtl w:val="true"/>
        </w:rPr>
        <w:footnoteReference w:id="1570"/>
      </w:r>
      <w:r>
        <w:rPr>
          <w:rFonts w:ascii="Amiri" w:hAnsi="Amiri" w:eastAsia="Amiri" w:cs="Amiri"/>
          <w:color w:val="111111"/>
          <w:sz w:val="28"/>
          <w:sz w:val="28"/>
          <w:szCs w:val="28"/>
          <w:rtl w:val="true"/>
          <w:lang w:bidi="ar-SA"/>
        </w:rPr>
        <w:t>عدم ردّ شيء على الجاني،مع أنّ دية عينه ضعف دية عين المجني عليه في ظاهر الأصحاب،كما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يقتصّ له أي للأعور منه أي من ذي العينين بعين واحدة بلا خلاف أجده إلّا من الإسكافي </w:t>
      </w:r>
      <w:r>
        <w:rPr>
          <w:rStyle w:val="FootnoteAnchor"/>
          <w:rtl w:val="true"/>
        </w:rPr>
        <w:footnoteReference w:id="1571"/>
      </w:r>
      <w:r>
        <w:rPr>
          <w:rFonts w:ascii="Amiri" w:hAnsi="Amiri" w:eastAsia="Amiri" w:cs="Amiri"/>
          <w:color w:val="111111"/>
          <w:sz w:val="28"/>
          <w:sz w:val="28"/>
          <w:szCs w:val="28"/>
          <w:rtl w:val="true"/>
          <w:lang w:bidi="ar-SA"/>
        </w:rPr>
        <w:t>،فجوّز الاقتصاص له منه بعينيه أيضاً مع ردّ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شذوذه،و عدم وضوح مستنده،و مخالفته لظاهر النص الآتي مضعّف بأنّ العينين إن تساويا عينه فلا ردّ،و إلّا فلا قلع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عدم المساواة لا يمنع الاقتصاص،فإنّ الأُنثى يقتصّ لها من الذكر مع الردّ في موضعه مع أنّها غير مساوية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مضعّف بأنّ الاقتصاص بين الذكر و الأُنثى إنّما هو في شيء واحد بواحد مثل النفس بالنفس،لا اثنين بواحد كما هنا،و أنّ نفس الأُنثى نصف الذكر،فهو ضعفها،بخلاف عين الأعور،فإنّها إمّا واحدة مثل أُخرى أو مثلهما،و هو ظاهر،و لذا لا يقتصّ لعين الرجل الواحدة عيني المرأة مع التساوي،و يقتصّ لعيني المرأة عيني الرجل مع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ضعف هذا القول،كالمحكي عن كثير من الأصحاب </w:t>
      </w:r>
      <w:r>
        <w:rPr>
          <w:rStyle w:val="FootnoteAnchor"/>
          <w:rtl w:val="true"/>
        </w:rPr>
        <w:footnoteReference w:id="1572"/>
      </w:r>
      <w:r>
        <w:rPr>
          <w:rFonts w:ascii="Amiri" w:hAnsi="Amiri" w:eastAsia="Amiri" w:cs="Amiri"/>
          <w:color w:val="111111"/>
          <w:sz w:val="28"/>
          <w:sz w:val="28"/>
          <w:szCs w:val="28"/>
          <w:rtl w:val="true"/>
          <w:lang w:bidi="ar-SA"/>
        </w:rPr>
        <w:t xml:space="preserve">من إطلاقهم تخيّر الأعور بين الاقتصاص بالعين الواحدة و أخذ الدية كاملة،مع أنّ موجب العمد ليس إلّا الأوّل،و إنّما يثبت الثاني صلحاً، كما مرّت إليه الإشارة،و بهذا هنا صرّح جماعة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اقتصّ له بالعين الواحدة ف في ردّ الجاني عليه نصف الدية دية النفس قولان،و المروي </w:t>
      </w:r>
      <w:r>
        <w:rPr>
          <w:rStyle w:val="FootnoteAnchor"/>
          <w:rtl w:val="true"/>
        </w:rPr>
        <w:footnoteReference w:id="1574"/>
      </w:r>
      <w:r>
        <w:rPr>
          <w:rFonts w:ascii="Amiri" w:hAnsi="Amiri" w:eastAsia="Amiri" w:cs="Amiri"/>
          <w:color w:val="111111"/>
          <w:sz w:val="28"/>
          <w:sz w:val="28"/>
          <w:szCs w:val="28"/>
          <w:rtl w:val="true"/>
          <w:lang w:bidi="ar-SA"/>
        </w:rPr>
        <w:t>في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أعور أُصيبت عينه الصحيحة ففقئت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تفقأ إحدى عيني صاحبه و يعقل له نصف الدية،و إن شاء أخذ ديةً كاملةً و يعفى عن عين صاحبه</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صحيح فقأ عين رجل أعور؟فقال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الدية كاملة،فإن شاء الذي فقئت عينه أن يقتصّ من صاحبه و يأخذ منه </w:t>
      </w:r>
    </w:p>
    <w:p>
      <w:pPr>
        <w:pStyle w:val="BookText"/>
        <w:rPr/>
      </w:pPr>
      <w:r>
        <w:rPr>
          <w:rFonts w:ascii="Amiri" w:hAnsi="Amiri" w:eastAsia="Amiri" w:cs="Amiri"/>
          <w:color w:val="111111"/>
          <w:sz w:val="28"/>
          <w:sz w:val="28"/>
          <w:szCs w:val="28"/>
          <w:rtl w:val="true"/>
          <w:lang w:bidi="ar-SA"/>
        </w:rPr>
        <w:t>خمسة آلاف درهم فعل؛ لأنّ له الدية كاملة،و قد أخذ نصفها بالقصاص</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خيرة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 أتباعه و الفاضل في المختلف و الشهيدين في النكت و المسالك و الروضة </w:t>
      </w:r>
      <w:r>
        <w:rPr>
          <w:rStyle w:val="FootnoteAnchor"/>
          <w:rtl w:val="true"/>
        </w:rPr>
        <w:footnoteReference w:id="1577"/>
      </w:r>
      <w:r>
        <w:rPr>
          <w:rFonts w:ascii="Amiri" w:hAnsi="Amiri" w:eastAsia="Amiri" w:cs="Amiri"/>
          <w:color w:val="111111"/>
          <w:sz w:val="28"/>
          <w:sz w:val="28"/>
          <w:szCs w:val="28"/>
          <w:rtl w:val="true"/>
          <w:lang w:bidi="ar-SA"/>
        </w:rPr>
        <w:t xml:space="preserve">،و غيرهم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قوة؛ لصحة سند الرواية،و اعتضادها بغيرها من الرواية الأُخرى،و ما اتفقوا عليه من أنّ دية عين الأعور خلقةً أو بآفة دية النفس كاملةً،كما هو ظاهر الروايتين،و به صرّح في الثانية و غيرها من المعتبرة الآتية هي مع نقل الإجماعات المحكية على ذلك حدّ الاستفاضة في كتاب الديات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و منهم المفيد و الشيخ في المبسوط و الحلّي و الفاضلان في الشرائع و التحرير </w:t>
      </w:r>
      <w:r>
        <w:rPr>
          <w:rStyle w:val="FootnoteAnchor"/>
          <w:rtl w:val="true"/>
        </w:rPr>
        <w:footnoteReference w:id="1579"/>
      </w:r>
      <w:r>
        <w:rPr>
          <w:rFonts w:ascii="Amiri" w:hAnsi="Amiri" w:eastAsia="Amiri" w:cs="Amiri"/>
          <w:color w:val="111111"/>
          <w:sz w:val="28"/>
          <w:sz w:val="28"/>
          <w:szCs w:val="28"/>
          <w:rtl w:val="true"/>
          <w:lang w:bidi="ar-SA"/>
        </w:rPr>
        <w:t xml:space="preserve">،فلم يوجبوا الردّ؛ لقوله تعالى وَ الْعَيْنَ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فلو وجب معها شيء آخر لم يتحقّق ذلك،خصوصاً على القول بأنّ الزيادة على النص نسخ،و أصالة البراءة من الزائد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الأصل بلزوم العدول عنه بما مرّ،و به يضعّف أيضاً ما قبله على تقدير تسليم عمومه،و إلّا فلا عموم له؛ لأنّ العين مفرد محلّى باللّام،و غايته الإطلاق الغير المعلوم الانصراف إلى نحو المقام؛ لندرته </w:t>
      </w:r>
      <w:r>
        <w:rPr>
          <w:rStyle w:val="FootnoteAnchor"/>
          <w:rtl w:val="true"/>
        </w:rPr>
        <w:footnoteReference w:id="15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موجب إكمال الدية إنّما هو من حيث البصر أي المنفعة،لا من حيث العين و الجارحة،و لذا مع التراضي على الدية تجب الدية كاملةً اتفاقاً،فتوًى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الآية حكاية عن التوراة فلا يلزمنا، فمدفوع بإقرارها في شرعنا اتفاقاً،فتوًى و نصّاً،مع أنّ الأصل بقاء ما كان، 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العبارة و نحوها يقتضي عدم الفرق في الحكم على الجاني بردّ نصف الدية على الأعور إن قلنا به بين كون عورة خلقةً أو بآفة أو غيرهما،و خصّه جماعة بالأوّلين،و تحقيق الكلام فيه يأتي إن شاء اللّه تعالى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 الصبي إذا جني عليها عمداً ينتظر به مدّة جرت العادة بالنبات فيها،و في كتب الفاضل سنة </w:t>
      </w:r>
      <w:r>
        <w:rPr>
          <w:rStyle w:val="FootnoteAnchor"/>
          <w:rtl w:val="true"/>
        </w:rPr>
        <w:footnoteReference w:id="1582"/>
      </w:r>
      <w:r>
        <w:rPr>
          <w:rFonts w:ascii="Amiri" w:hAnsi="Amiri" w:eastAsia="Amiri" w:cs="Amiri"/>
          <w:color w:val="111111"/>
          <w:sz w:val="28"/>
          <w:sz w:val="28"/>
          <w:szCs w:val="28"/>
          <w:rtl w:val="true"/>
          <w:lang w:bidi="ar-SA"/>
        </w:rPr>
        <w:t xml:space="preserve">،و استغربه جماعة و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لم أقف عليه في كتب أحد من الأصحاب مع كثرة تصفّحي لها،ككتب الشيخين و ابن البراج و ابن حمزة و ابن إدريس و ابني سعيد و غيرهم من القائلين بالأرش مع العود،و ابن الجنيد و من تبعه من القائلين بالبعير مطلقاً،و لا في رواياتهم،و لا سمعته من الفضلاء الذين لقيتهم،بل الجميع أطلقوا الانتظار بها،أو قيّدوه </w:t>
      </w:r>
      <w:r>
        <w:rPr>
          <w:rStyle w:val="FootnoteAnchor"/>
          <w:rtl w:val="true"/>
        </w:rPr>
        <w:footnoteReference w:id="1583"/>
      </w:r>
      <w:r>
        <w:rPr>
          <w:rFonts w:ascii="Amiri" w:hAnsi="Amiri" w:eastAsia="Amiri" w:cs="Amiri"/>
          <w:color w:val="111111"/>
          <w:sz w:val="28"/>
          <w:sz w:val="28"/>
          <w:szCs w:val="28"/>
          <w:rtl w:val="true"/>
          <w:lang w:bidi="ar-SA"/>
        </w:rPr>
        <w:t xml:space="preserve">بنبات بقية أسنانه بعد سقوطها،و هو الوجه؛ لأنّه ربما قلع سنّ ابن أربع سنين،و العادة قاضية بأنّها لا تنبت إلّا بعد مدّة تزيد على السنة قطعاً،و إنّما هذا شيء اختصّ به المصنف قدّس اللّه روحه فيما علمته في جميع كتبه التي وقفت عليها، </w:t>
      </w:r>
    </w:p>
    <w:p>
      <w:pPr>
        <w:pStyle w:val="BookText"/>
        <w:rPr/>
      </w:pPr>
      <w:r>
        <w:rPr>
          <w:rFonts w:ascii="Amiri" w:hAnsi="Amiri" w:eastAsia="Amiri" w:cs="Amiri"/>
          <w:color w:val="111111"/>
          <w:sz w:val="28"/>
          <w:sz w:val="28"/>
          <w:szCs w:val="28"/>
          <w:rtl w:val="true"/>
          <w:lang w:bidi="ar-SA"/>
        </w:rPr>
        <w:t>حتى أنّه في التحرير علّله بأنّه الغالب،و لا أعلم وجه ما قاله،و هو أعلم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أحمد بن محمد،عن ابن محبوب،عن عبد اللّه بن سنان،عن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 إذا ضربت انتظر بها سنة،فإن وقعت اغرم الغارم </w:t>
      </w:r>
      <w:r>
        <w:rPr>
          <w:rStyle w:val="FootnoteAnchor"/>
          <w:rtl w:val="true"/>
        </w:rPr>
        <w:footnoteReference w:id="1584"/>
      </w:r>
      <w:r>
        <w:rPr>
          <w:rFonts w:ascii="Amiri" w:hAnsi="Amiri" w:eastAsia="Amiri" w:cs="Amiri"/>
          <w:color w:val="111111"/>
          <w:sz w:val="28"/>
          <w:sz w:val="28"/>
          <w:szCs w:val="28"/>
          <w:rtl w:val="true"/>
          <w:lang w:bidi="ar-SA"/>
        </w:rPr>
        <w:t>خمسمائة درهم،و إن لم تقع و اسودّت أُغرم ثلثي الدية</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و هذه و إن كانت صحيحة إلّا أنّها لا تدل على المطلوب؛ إذ موضوعها سنّ ضربت و لم تسقط،قال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يعتذر له بأنّ المراد به إذا قلعها في وقت تسقط أسنانه فيه،فإنّه ينتظر سنة،و لا ريب أنّ هذا إذ ذاك غالب </w:t>
      </w:r>
      <w:r>
        <w:rPr>
          <w:rStyle w:val="FootnoteAnchor"/>
          <w:rtl w:val="true"/>
        </w:rPr>
        <w:footnoteReference w:id="1586"/>
      </w:r>
      <w:r>
        <w:rPr>
          <w:rFonts w:ascii="Amiri" w:hAnsi="Amiri" w:eastAsia="Amiri" w:cs="Amiri"/>
          <w:color w:val="111111"/>
          <w:sz w:val="28"/>
          <w:sz w:val="28"/>
          <w:szCs w:val="28"/>
          <w:rtl w:val="true"/>
          <w:lang w:bidi="ar-SA"/>
        </w:rPr>
        <w:t>،انتهى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أفاده،إلّا أنّ ما ذكره كباقي الجماعة من أنّهم لم يجدوا ذلك في كتب أحد من الأصحاب غريب،فقد ذكره الماتن في الشرائع </w:t>
      </w:r>
      <w:r>
        <w:rPr>
          <w:rStyle w:val="FootnoteAnchor"/>
          <w:rtl w:val="true"/>
        </w:rPr>
        <w:footnoteReference w:id="1587"/>
      </w:r>
      <w:r>
        <w:rPr>
          <w:rFonts w:ascii="Amiri" w:hAnsi="Amiri" w:eastAsia="Amiri" w:cs="Amiri"/>
          <w:color w:val="111111"/>
          <w:sz w:val="28"/>
          <w:sz w:val="28"/>
          <w:szCs w:val="28"/>
          <w:rtl w:val="true"/>
          <w:lang w:bidi="ar-SA"/>
        </w:rPr>
        <w:t>أيضاً، اللّهم إلاّ أن يكون قرؤوه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و إضافة الظاهر إلى المضمر، كما احتمل في عبارة الفاضل أيضاً،لكنّه بالنسبة إلى عبارته في الإرشاد </w:t>
      </w:r>
      <w:r>
        <w:rPr>
          <w:rStyle w:val="FootnoteAnchor"/>
          <w:rtl w:val="true"/>
        </w:rPr>
        <w:footnoteReference w:id="1588"/>
      </w:r>
      <w:r>
        <w:rPr>
          <w:rFonts w:ascii="Amiri" w:hAnsi="Amiri" w:eastAsia="Amiri" w:cs="Amiri"/>
          <w:color w:val="111111"/>
          <w:sz w:val="28"/>
          <w:sz w:val="28"/>
          <w:szCs w:val="28"/>
          <w:rtl w:val="true"/>
          <w:lang w:bidi="ar-SA"/>
        </w:rPr>
        <w:t xml:space="preserve">في غاية البُعد،بل لا تقبله كما لا يخفى على من راجعه،و كذا التعليل السابق المحكي عن التحرير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عادت ففيها الأرش و الحكومة،و هي التفاوت لو </w:t>
      </w:r>
    </w:p>
    <w:p>
      <w:pPr>
        <w:pStyle w:val="BookText"/>
        <w:rPr/>
      </w:pPr>
      <w:r>
        <w:rPr>
          <w:rFonts w:ascii="Amiri" w:hAnsi="Amiri" w:eastAsia="Amiri" w:cs="Amiri"/>
          <w:color w:val="111111"/>
          <w:sz w:val="28"/>
          <w:sz w:val="28"/>
          <w:szCs w:val="28"/>
          <w:rtl w:val="true"/>
          <w:lang w:bidi="ar-SA"/>
        </w:rPr>
        <w:t xml:space="preserve">كان عبداً بين قيمته لو لم تسقط سنّه تلك المدّة و قيمته و قد سقطت فيها، وفاقاً للمشهور على الظاهر،المصرّح به في المسالك </w:t>
      </w:r>
      <w:r>
        <w:rPr>
          <w:rStyle w:val="FootnoteAnchor"/>
          <w:rtl w:val="true"/>
        </w:rPr>
        <w:footnoteReference w:id="1590"/>
      </w:r>
      <w:r>
        <w:rPr>
          <w:rFonts w:ascii="Amiri" w:hAnsi="Amiri" w:eastAsia="Amiri" w:cs="Amiri"/>
          <w:color w:val="111111"/>
          <w:sz w:val="28"/>
          <w:sz w:val="28"/>
          <w:szCs w:val="28"/>
          <w:rtl w:val="true"/>
          <w:lang w:bidi="ar-SA"/>
        </w:rPr>
        <w:t xml:space="preserve">،بل عليه الإجماع عن الخلاف و في السرائر </w:t>
      </w:r>
      <w:r>
        <w:rPr>
          <w:rStyle w:val="FootnoteAnchor"/>
          <w:rtl w:val="true"/>
        </w:rPr>
        <w:footnoteReference w:id="159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المرسلة كالصحيحة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الصبي يضربها الرجل فتسقط ثم تنبت،قال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قصاص،و عليه الأرش</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إلّا تعد و حصل اليأس من عودها و لو بإخبار أهل الخبرة ل كان فيها القصاص كما نصّ به جماعة </w:t>
      </w:r>
      <w:r>
        <w:rPr>
          <w:rStyle w:val="FootnoteAnchor"/>
          <w:rtl w:val="true"/>
        </w:rPr>
        <w:footnoteReference w:id="1593"/>
      </w:r>
      <w:r>
        <w:rPr>
          <w:rFonts w:ascii="Amiri" w:hAnsi="Amiri" w:eastAsia="Amiri" w:cs="Amiri"/>
          <w:color w:val="111111"/>
          <w:sz w:val="28"/>
          <w:sz w:val="28"/>
          <w:szCs w:val="28"/>
          <w:rtl w:val="true"/>
          <w:lang w:bidi="ar-SA"/>
        </w:rPr>
        <w:t>لعموم الأدلة؛ فإنّه قلع السنّ الحاصلة في الحال و أفسد المَنبِت فيقابل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في المسالك </w:t>
      </w:r>
      <w:r>
        <w:rPr>
          <w:rStyle w:val="FootnoteAnchor"/>
          <w:rtl w:val="true"/>
        </w:rPr>
        <w:footnoteReference w:id="1594"/>
      </w:r>
      <w:r>
        <w:rPr>
          <w:rFonts w:ascii="Amiri" w:hAnsi="Amiri" w:eastAsia="Amiri" w:cs="Amiri"/>
          <w:color w:val="111111"/>
          <w:sz w:val="28"/>
          <w:sz w:val="28"/>
          <w:szCs w:val="28"/>
          <w:rtl w:val="true"/>
          <w:lang w:bidi="ar-SA"/>
        </w:rPr>
        <w:t>قول بالعدم؛ لأنّ سنّ الصبي فضلة في الأصل نازلة منزلة الشعر الذي ينبت مرّة بعد اخرى،و سنّ البالغ أصلية فلا يكون مماثلة لها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1595"/>
      </w:r>
      <w:r>
        <w:rPr>
          <w:rFonts w:ascii="Amiri" w:hAnsi="Amiri" w:eastAsia="Amiri" w:cs="Amiri"/>
          <w:color w:val="111111"/>
          <w:sz w:val="28"/>
          <w:sz w:val="28"/>
          <w:szCs w:val="28"/>
          <w:rtl w:val="true"/>
          <w:lang w:bidi="ar-SA"/>
        </w:rPr>
        <w:t>إلى أنّ في سنّ الصبي بعير مطلقا من غير تفصيل إلى العود و عدمه؛ للخبرين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سنّ الصبي قبل أن يثغر بعيراً في كل سنّ</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قصور سندهما بل ضعف أحدهما جدّاً يمنع عن العمل بهما، سيّما في مقابلة ما مضى،و إن نسبه </w:t>
      </w:r>
      <w:r>
        <w:rPr>
          <w:rStyle w:val="FootnoteAnchor"/>
          <w:rtl w:val="true"/>
        </w:rPr>
        <w:footnoteReference w:id="1597"/>
      </w:r>
      <w:r>
        <w:rPr>
          <w:rFonts w:ascii="Amiri" w:hAnsi="Amiri" w:eastAsia="Amiri" w:cs="Amiri"/>
          <w:color w:val="111111"/>
          <w:sz w:val="28"/>
          <w:sz w:val="28"/>
          <w:szCs w:val="28"/>
          <w:rtl w:val="true"/>
          <w:lang w:bidi="ar-SA"/>
        </w:rPr>
        <w:t xml:space="preserve">في المبسوط إلى أصحابنا </w:t>
      </w:r>
      <w:r>
        <w:rPr>
          <w:rStyle w:val="FootnoteAnchor"/>
          <w:rtl w:val="true"/>
        </w:rPr>
        <w:footnoteReference w:id="1598"/>
      </w:r>
      <w:r>
        <w:rPr>
          <w:rFonts w:ascii="Amiri" w:hAnsi="Amiri" w:eastAsia="Amiri" w:cs="Amiri"/>
          <w:color w:val="111111"/>
          <w:sz w:val="28"/>
          <w:sz w:val="28"/>
          <w:szCs w:val="28"/>
          <w:rtl w:val="true"/>
          <w:lang w:bidi="ar-SA"/>
        </w:rPr>
        <w:t xml:space="preserve">،و في المختلف إلى أكثرهم </w:t>
      </w:r>
      <w:r>
        <w:rPr>
          <w:rStyle w:val="FootnoteAnchor"/>
          <w:rtl w:val="true"/>
        </w:rPr>
        <w:footnoteReference w:id="1599"/>
      </w:r>
      <w:r>
        <w:rPr>
          <w:rFonts w:ascii="Amiri" w:hAnsi="Amiri" w:eastAsia="Amiri" w:cs="Amiri"/>
          <w:color w:val="111111"/>
          <w:sz w:val="28"/>
          <w:sz w:val="28"/>
          <w:szCs w:val="28"/>
          <w:rtl w:val="true"/>
          <w:lang w:bidi="ar-SA"/>
        </w:rPr>
        <w:t>،مشعرين بدعوى الإجماع و الشهرة عليهما؛ لوهنها،مع عدم صراحتها بل و لا ظهورها فيهما،و معارضتها بمثلها بل و أقوى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الإسكافي </w:t>
      </w:r>
      <w:r>
        <w:rPr>
          <w:rStyle w:val="FootnoteAnchor"/>
          <w:rtl w:val="true"/>
        </w:rPr>
        <w:footnoteReference w:id="1600"/>
      </w:r>
      <w:r>
        <w:rPr>
          <w:rFonts w:ascii="Amiri" w:hAnsi="Amiri" w:eastAsia="Amiri" w:cs="Amiri"/>
          <w:color w:val="111111"/>
          <w:sz w:val="28"/>
          <w:sz w:val="28"/>
          <w:szCs w:val="28"/>
          <w:rtl w:val="true"/>
          <w:lang w:bidi="ar-SA"/>
        </w:rPr>
        <w:t>قول ثالث مفصّل بين عودها فالبعير،و عدمه و اليأس منها فالدية،و لم أعرف مستنده،سيّما في مقابل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سنّ الصبي قبل أن يثغر،أمّا إذا ثغر أي سقطت أسنان اللبن منه و نبتت ثم جنى عليها بعد ذلك فلها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تعود أبداً بحيث حصل اليأس منها عادةً،فيثبت بدلها إمّا القصاص أو الدية،لكن لا يعجل بهما،بل إن قضى أهل الخبرة بعودها في مدّة أُخِّر إلى انقضائها إن قلنا بعدم القصاص و الدية مع عودها مطلقاً،بل الأرش خاصّة،و إلّا جاز التعجيل بهما كذلك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تعود ناقصةً أو متغيّرةً،فيثبت الأرش،و كذا لو عادت تامّةً،و قيل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أرش و لا دية هنا؛ لأنّ ما عاد قائم مقام الأوّل،فكأنّه </w:t>
      </w:r>
    </w:p>
    <w:p>
      <w:pPr>
        <w:pStyle w:val="BookText"/>
        <w:rPr/>
      </w:pPr>
      <w:r>
        <w:rPr>
          <w:rFonts w:ascii="Amiri" w:hAnsi="Amiri" w:eastAsia="Amiri" w:cs="Amiri"/>
          <w:color w:val="111111"/>
          <w:sz w:val="28"/>
          <w:sz w:val="28"/>
          <w:szCs w:val="28"/>
          <w:rtl w:val="true"/>
          <w:lang w:bidi="ar-SA"/>
        </w:rPr>
        <w:t>لم يفت،و صار كما لو عاد السنّ غير المثغر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وفاقاً للفاضلين و غيرهما </w:t>
      </w:r>
      <w:r>
        <w:rPr>
          <w:rStyle w:val="FootnoteAnchor"/>
          <w:rtl w:val="true"/>
        </w:rPr>
        <w:footnoteReference w:id="1602"/>
      </w:r>
      <w:r>
        <w:rPr>
          <w:rFonts w:ascii="Amiri" w:hAnsi="Amiri" w:eastAsia="Amiri" w:cs="Amiri"/>
          <w:color w:val="111111"/>
          <w:sz w:val="28"/>
          <w:sz w:val="28"/>
          <w:szCs w:val="28"/>
          <w:rtl w:val="true"/>
          <w:lang w:bidi="ar-SA"/>
        </w:rPr>
        <w:t xml:space="preserve">ثبوته؛ لأنّه نقص دخل على المجني عليه بسبب الجاني فلا يهدر؛ للحديث </w:t>
      </w:r>
      <w:r>
        <w:rPr>
          <w:rStyle w:val="FootnoteAnchor"/>
          <w:rtl w:val="true"/>
        </w:rPr>
        <w:footnoteReference w:id="1603"/>
      </w:r>
      <w:r>
        <w:rPr>
          <w:rFonts w:ascii="Amiri" w:hAnsi="Amiri" w:eastAsia="Amiri" w:cs="Amiri"/>
          <w:color w:val="111111"/>
          <w:sz w:val="28"/>
          <w:sz w:val="28"/>
          <w:szCs w:val="28"/>
          <w:rtl w:val="true"/>
          <w:lang w:bidi="ar-SA"/>
        </w:rPr>
        <w:t>و لزوم الظلم،و عود السنّ نافى القصاص و الدية،لا 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المسألة وجه ثالث بعدم سقوط القصاص مطلقا؛ لأنّه لم تجر العادة بنبات سنّ الثغر،و ما اتفق نعمة و هبة جديدة من اللّه سبحانه، فلا يسقط ما على الجاني استحقه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العين بما أذهب النظر و البصر منها خاصّة مع سلامة الحدقة اقتصّ منه أي من الجاني بما يمكن معه المماثلة بإذهاب البصر و إبقاء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 كافور و نحوه،أو بأن يوضع على أجفانه القطن المبلول حذراً من الجناية عليها و يفتح العين و يقابل بمرآة محماة بالنار مقابلة للشمس حتى يذهب النظر كما فعله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 عليه بعض النصوص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ضعف سنده ليس فيه ما يومئ إلى تعيّنه بعد احتمال كونه أحد أفراد الواجب التخييري،فما يظهر من العبارة هنا و في التحرير </w:t>
      </w:r>
    </w:p>
    <w:p>
      <w:pPr>
        <w:pStyle w:val="BookText"/>
        <w:rPr/>
      </w:pPr>
      <w:r>
        <w:rPr>
          <w:rFonts w:ascii="IRNazanin" w:hAnsi="IRNazanin" w:eastAsia="IRNazanin"/>
          <w:color w:val="111111"/>
          <w:sz w:val="28"/>
          <w:sz w:val="28"/>
          <w:szCs w:val="28"/>
          <w:rtl w:val="true"/>
          <w:lang w:bidi="fa-IR"/>
        </w:rPr>
        <w:t xml:space="preserve">و القواعد </w:t>
      </w:r>
      <w:r>
        <w:rPr>
          <w:rStyle w:val="FootnoteAnchor"/>
          <w:rtl w:val="true"/>
        </w:rPr>
        <w:footnoteReference w:id="1607"/>
      </w:r>
      <w:r>
        <w:rPr>
          <w:rFonts w:ascii="Amiri" w:hAnsi="Amiri" w:eastAsia="Amiri" w:cs="Amiri"/>
          <w:color w:val="111111"/>
          <w:sz w:val="28"/>
          <w:sz w:val="28"/>
          <w:szCs w:val="28"/>
          <w:rtl w:val="true"/>
          <w:lang w:bidi="ar-SA"/>
        </w:rPr>
        <w:t xml:space="preserve">من تعيّنه لا وجه له،و لذا نسبه الماتن في الشرائع و الشهيد في اللمعة </w:t>
      </w:r>
      <w:r>
        <w:rPr>
          <w:rStyle w:val="FootnoteAnchor"/>
          <w:rtl w:val="true"/>
        </w:rPr>
        <w:footnoteReference w:id="1608"/>
      </w:r>
      <w:r>
        <w:rPr>
          <w:rFonts w:ascii="Amiri" w:hAnsi="Amiri" w:eastAsia="Amiri" w:cs="Amiri"/>
          <w:color w:val="111111"/>
          <w:sz w:val="28"/>
          <w:sz w:val="28"/>
          <w:szCs w:val="28"/>
          <w:rtl w:val="true"/>
          <w:lang w:bidi="ar-SA"/>
        </w:rPr>
        <w:t>إلى القيل المشعر بالتمريض،و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الروضة </w:t>
      </w:r>
      <w:r>
        <w:rPr>
          <w:rStyle w:val="FootnoteAnchor"/>
          <w:rtl w:val="true"/>
        </w:rPr>
        <w:footnoteReference w:id="1609"/>
      </w:r>
      <w:r>
        <w:rPr>
          <w:rFonts w:ascii="Amiri" w:hAnsi="Amiri" w:eastAsia="Amiri" w:cs="Amiri"/>
          <w:color w:val="111111"/>
          <w:sz w:val="28"/>
          <w:sz w:val="28"/>
          <w:szCs w:val="28"/>
          <w:rtl w:val="true"/>
          <w:lang w:bidi="ar-SA"/>
        </w:rPr>
        <w:t>أنّ القول باستيفائه على هذا الوجه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واضح،و لا ريب أنّ الاستيفاء على هذا الوجه أحوط، و إن كان تعيّنه محل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و غيرها مواجهة الجاني للمرآة المواجهة للشمس لا لها نفسها،و الظاهر من الرواية غيره و أن النظر في المرآة بعد استقبال العين بالشمس،فإنّ متنها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بمرآة محماة </w:t>
      </w:r>
      <w:r>
        <w:rPr>
          <w:rStyle w:val="FootnoteAnchor"/>
          <w:rtl w:val="true"/>
        </w:rPr>
        <w:footnoteReference w:id="1610"/>
      </w:r>
      <w:r>
        <w:rPr>
          <w:rFonts w:ascii="Amiri" w:hAnsi="Amiri" w:eastAsia="Amiri" w:cs="Amiri"/>
          <w:color w:val="111111"/>
          <w:sz w:val="28"/>
          <w:sz w:val="28"/>
          <w:szCs w:val="28"/>
          <w:rtl w:val="true"/>
          <w:lang w:bidi="ar-SA"/>
        </w:rPr>
        <w:t>ثم دعا بكرسف فبلّه،ثم جعله على أشفار عينيه على حواليها،ثم استقبل بعينه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بالمرآة،فقال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انظر،فنظر فذاب الشحم و بقيت عينه قائمة و ذهب البصر</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قطع شخص كفّاً مقطوعة الأصابع،ففي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المقطوع كفّ القاطع و يردّ عليه أي على القاطع دية الأصابع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بها الشيخ و القاضي و الفاضل في الإرشاد و القواعد </w:t>
      </w:r>
    </w:p>
    <w:p>
      <w:pPr>
        <w:pStyle w:val="BookText"/>
        <w:rPr/>
      </w:pPr>
      <w:r>
        <w:rPr>
          <w:rFonts w:ascii="Amiri" w:hAnsi="Amiri" w:eastAsia="Amiri" w:cs="Amiri"/>
          <w:color w:val="111111"/>
          <w:sz w:val="28"/>
          <w:sz w:val="28"/>
          <w:szCs w:val="28"/>
          <w:rtl w:val="true"/>
          <w:lang w:bidi="ar-SA"/>
        </w:rPr>
        <w:t xml:space="preserve">و التحرير </w:t>
      </w:r>
      <w:r>
        <w:rPr>
          <w:rStyle w:val="FootnoteAnchor"/>
          <w:rtl w:val="true"/>
        </w:rPr>
        <w:footnoteReference w:id="1612"/>
      </w:r>
      <w:r>
        <w:rPr>
          <w:rFonts w:ascii="Amiri" w:hAnsi="Amiri" w:eastAsia="Amiri" w:cs="Amiri"/>
          <w:color w:val="111111"/>
          <w:sz w:val="28"/>
          <w:sz w:val="28"/>
          <w:szCs w:val="28"/>
          <w:rtl w:val="true"/>
          <w:lang w:bidi="ar-SA"/>
        </w:rPr>
        <w:t xml:space="preserve">،و نسبه في المسالك </w:t>
      </w:r>
      <w:r>
        <w:rPr>
          <w:rStyle w:val="FootnoteAnchor"/>
          <w:rtl w:val="true"/>
        </w:rPr>
        <w:footnoteReference w:id="1613"/>
      </w:r>
      <w:r>
        <w:rPr>
          <w:rFonts w:ascii="Amiri" w:hAnsi="Amiri" w:eastAsia="Amiri" w:cs="Amiri"/>
          <w:color w:val="111111"/>
          <w:sz w:val="28"/>
          <w:sz w:val="28"/>
          <w:szCs w:val="28"/>
          <w:rtl w:val="true"/>
          <w:lang w:bidi="ar-SA"/>
        </w:rPr>
        <w:t xml:space="preserve">إلى أتباع الشيخ،بل زاد فنسبه كالشهيد في النكت </w:t>
      </w:r>
      <w:r>
        <w:rPr>
          <w:rStyle w:val="FootnoteAnchor"/>
          <w:rtl w:val="true"/>
        </w:rPr>
        <w:footnoteReference w:id="1614"/>
      </w:r>
      <w:r>
        <w:rPr>
          <w:rFonts w:ascii="Amiri" w:hAnsi="Amiri" w:eastAsia="Amiri" w:cs="Amiri"/>
          <w:color w:val="111111"/>
          <w:sz w:val="28"/>
          <w:sz w:val="28"/>
          <w:szCs w:val="28"/>
          <w:rtl w:val="true"/>
          <w:lang w:bidi="ar-SA"/>
        </w:rPr>
        <w:t>إلى الأكثر،فإن صحّت شهرة جابرة،و إلّا فالرواية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مخالفة لأُصول المذهب؛ إذ لا خلاف بيننا أنّه لا يقتصّ العضو الكامل للناقص،قال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الحكومة في ذلك و ترك القصاص و أخذ الأرش فيه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المتن و غيره و صريح المختلف </w:t>
      </w:r>
      <w:r>
        <w:rPr>
          <w:rStyle w:val="FootnoteAnchor"/>
          <w:rtl w:val="true"/>
        </w:rPr>
        <w:footnoteReference w:id="1616"/>
      </w:r>
      <w:r>
        <w:rPr>
          <w:rFonts w:ascii="Amiri" w:hAnsi="Amiri" w:eastAsia="Amiri" w:cs="Amiri"/>
          <w:color w:val="111111"/>
          <w:sz w:val="28"/>
          <w:sz w:val="28"/>
          <w:szCs w:val="28"/>
          <w:rtl w:val="true"/>
          <w:lang w:bidi="ar-SA"/>
        </w:rPr>
        <w:t>التوقف فيه،و لا يخلو عن وجه،و إن كان القول الأوّل لعلّه أوجه،و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يقتصّ عمّن لجأ إلى الحرم،و لكن يضيّق عليه في المأكل و المشرب حتى يخرج ثم يقتصّ منه بلا خلاف أجده، و نفاه صريحاً في المسالك </w:t>
      </w:r>
      <w:r>
        <w:rPr>
          <w:rStyle w:val="FootnoteAnchor"/>
          <w:rtl w:val="true"/>
        </w:rPr>
        <w:footnoteReference w:id="1617"/>
      </w:r>
      <w:r>
        <w:rPr>
          <w:rFonts w:ascii="Amiri" w:hAnsi="Amiri" w:eastAsia="Amiri" w:cs="Amiri"/>
          <w:color w:val="111111"/>
          <w:sz w:val="28"/>
          <w:sz w:val="28"/>
          <w:szCs w:val="28"/>
          <w:rtl w:val="true"/>
          <w:lang w:bidi="ar-SA"/>
        </w:rPr>
        <w:t xml:space="preserve">،بل عليه الإجماع عن الخلاف و في التنقيح </w:t>
      </w:r>
      <w:r>
        <w:rPr>
          <w:rStyle w:val="FootnoteAnchor"/>
          <w:rtl w:val="true"/>
        </w:rPr>
        <w:footnoteReference w:id="161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عمومات الأمن لمن دخله من الآية </w:t>
      </w:r>
      <w:r>
        <w:rPr>
          <w:rStyle w:val="FootnoteAnchor"/>
          <w:rtl w:val="true"/>
        </w:rPr>
        <w:footnoteReference w:id="1619"/>
      </w:r>
      <w:r>
        <w:rPr>
          <w:rFonts w:ascii="Amiri" w:hAnsi="Amiri" w:eastAsia="Amiri" w:cs="Amiri"/>
          <w:color w:val="111111"/>
          <w:sz w:val="28"/>
          <w:sz w:val="28"/>
          <w:szCs w:val="28"/>
          <w:rtl w:val="true"/>
          <w:lang w:bidi="ar-SA"/>
        </w:rPr>
        <w:t>و الرواية،ففي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يجني في غير الحرم ثم يلجأ إلى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يقام عليه الحدّ و لا يطعَم و لا يسقى و لا يكلَّم و لا يبايَع،فإنّه إذا فعل به ذلك يوشك أن يخرج فيقام عليه الحدّ،و إن جنى في الحرم جنايةً أُقيم عليه </w:t>
      </w:r>
    </w:p>
    <w:p>
      <w:pPr>
        <w:pStyle w:val="BookText"/>
        <w:rPr/>
      </w:pPr>
      <w:r>
        <w:rPr>
          <w:rFonts w:ascii="Amiri" w:hAnsi="Amiri" w:eastAsia="Amiri" w:cs="Amiri"/>
          <w:color w:val="111111"/>
          <w:sz w:val="28"/>
          <w:sz w:val="28"/>
          <w:szCs w:val="28"/>
          <w:rtl w:val="true"/>
          <w:lang w:bidi="ar-SA"/>
        </w:rPr>
        <w:t>الحدّ في الحرم،فإنّه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نصّ في جواز أن يقتصّ عمّن جنى في الحرم فيه الجار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يقتصّ،أي من جنى فيه يقتصّ منه فيه،و لا يجب أن يقتصّ منه خارجه،و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تدان،مع أنّه أيضاً لا خلاف فيه،و عموم أدلّة القصاص السليمة هنا عمّا يصلح للمعارضة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مقتضاها اختصاص الحكم الأوّل بالحرم؛ لاختصاص مخصِّصها به، فيشكل إلحاق مشاهد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به،و إن حكي عن الشيخين و القاضي، و مال إليه في السرائر </w:t>
      </w:r>
      <w:r>
        <w:rPr>
          <w:rStyle w:val="FootnoteAnchor"/>
          <w:rtl w:val="true"/>
        </w:rPr>
        <w:footnoteReference w:id="1621"/>
      </w:r>
      <w:r>
        <w:rPr>
          <w:rFonts w:ascii="Amiri" w:hAnsi="Amiri" w:eastAsia="Amiri" w:cs="Amiri"/>
          <w:color w:val="111111"/>
          <w:sz w:val="28"/>
          <w:sz w:val="28"/>
          <w:szCs w:val="28"/>
          <w:rtl w:val="true"/>
          <w:lang w:bidi="ar-SA"/>
        </w:rPr>
        <w:t>،و كذا التنقيح،فقال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منهم أنّ بيوتنا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تواتر من رفع العذاب الأُخروي عمّن يدفن بها، فالعذاب الدنيوي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ذلك مناسب لوجوب تعظيمها،و استحباب المجاورة بها و القصد إليها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ما قالوه أحوط،و إن كان في تعيّنه بهذه الوجوه الثلاثة نظر ،و الحمد للّه أوّلاً و آخراً</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1409_90928"/>
      <w:bookmarkStart w:id="215" w:name="pg11409_90928"/>
      <w:bookmarkEnd w:id="215"/>
    </w:p>
    <w:p>
      <w:pPr>
        <w:pStyle w:val="Heading2"/>
        <w:numPr>
          <w:ilvl w:val="1"/>
          <w:numId w:val="1"/>
        </w:numPr>
        <w:rPr/>
      </w:pPr>
      <w:bookmarkStart w:id="216" w:name="pg11409_90928"/>
      <w:bookmarkStart w:id="217" w:name="__RefHeading___Toc1102739_73709187"/>
      <w:bookmarkStart w:id="218" w:name="_Toc79"/>
      <w:bookmarkEnd w:id="216"/>
      <w:bookmarkEnd w:id="217"/>
      <w:r>
        <w:rPr>
          <w:rtl w:val="true"/>
        </w:rPr>
        <w:t>كتاب الديات</w:t>
      </w:r>
      <w:bookmarkEnd w:id="218"/>
    </w:p>
    <w:p>
      <w:pPr>
        <w:pStyle w:val="Heading3"/>
        <w:numPr>
          <w:ilvl w:val="2"/>
          <w:numId w:val="1"/>
        </w:numPr>
        <w:rPr/>
      </w:pPr>
      <w:bookmarkStart w:id="219" w:name="__RefHeading___Toc1102741_73709187"/>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كتاب الديات جمع دية بتخفيف الياء،و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الواجب بالجناية على الحرّ في نفس أو ما دونها،و ربما اختصّت بالمقدّر بالأصالة،و أُطلق على غيره اسم الأرش و الحكومة،و المراد بالعنوان ما يعمّ الأمرين،و هاؤها عوض من واو فاء الكلمة،يقال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وديت القتيل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ديته،و ربما يسمى الدية لغةً عقلاً </w:t>
      </w:r>
      <w:r>
        <w:rPr>
          <w:rStyle w:val="FootnoteAnchor"/>
          <w:rtl w:val="true"/>
        </w:rPr>
        <w:footnoteReference w:id="1623"/>
      </w:r>
      <w:r>
        <w:rPr>
          <w:rFonts w:ascii="Amiri" w:hAnsi="Amiri" w:eastAsia="Amiri" w:cs="Amiri"/>
          <w:color w:val="111111"/>
          <w:sz w:val="28"/>
          <w:sz w:val="28"/>
          <w:szCs w:val="28"/>
          <w:rtl w:val="true"/>
          <w:lang w:bidi="ar-SA"/>
        </w:rPr>
        <w:t>لمنعها من التجرّي على الدماء،فإنّ من معاني العقل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فيها قبل الإجماع الكتاب،و السنّة،قال اللّه سبحانه وَ دِيَةٌ مُسَلَّمَةٌ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متواترة مضى جملة منها،و سيأتي إلى جملة أُخرى منها الإشارة في تضاعيف الأبحاث الآتية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02743_73709187"/>
      <w:bookmarkStart w:id="222" w:name="_Toc81"/>
      <w:bookmarkEnd w:id="221"/>
      <w:r>
        <w:rPr>
          <w:rtl w:val="true"/>
        </w:rPr>
        <w:t>النظر الأول أقسام القتل و مقادير الديات</w:t>
      </w:r>
      <w:bookmarkEnd w:id="222"/>
    </w:p>
    <w:p>
      <w:pPr>
        <w:pStyle w:val="Heading4"/>
        <w:numPr>
          <w:ilvl w:val="3"/>
          <w:numId w:val="1"/>
        </w:numPr>
        <w:rPr/>
      </w:pPr>
      <w:bookmarkStart w:id="223" w:name="__RefHeading___Toc1102745_73709187"/>
      <w:bookmarkStart w:id="224" w:name="_Toc82"/>
      <w:bookmarkEnd w:id="223"/>
      <w:r>
        <w:rPr>
          <w:rtl w:val="true"/>
        </w:rPr>
        <w:t>أقسام القتل</w:t>
      </w:r>
      <w:bookmarkEnd w:id="224"/>
    </w:p>
    <w:p>
      <w:pPr>
        <w:pStyle w:val="BookText"/>
        <w:rPr/>
      </w:pPr>
      <w:r>
        <w:rPr>
          <w:rFonts w:ascii="Amiri" w:hAnsi="Amiri" w:eastAsia="Amiri" w:cs="Amiri"/>
          <w:color w:val="111111"/>
          <w:sz w:val="28"/>
          <w:sz w:val="28"/>
          <w:szCs w:val="28"/>
          <w:rtl w:val="true"/>
          <w:lang w:bidi="ar-SA"/>
        </w:rPr>
        <w:t>و النظر في هذا الكتاب يقع في أُمور أربعة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القتل و مقادير الديات و اعلم أنّ أقسامه أي القتل،بل مطلق الجناية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محض،و خطأ محض،و شبيه بالعمد فالعمد أن يقصد إلى الفعل و القتل به مطلقا،أو الفعل خاصّة مع </w:t>
      </w:r>
      <w:bookmarkStart w:id="225" w:name="pg11409_90929"/>
    </w:p>
    <w:p>
      <w:pPr>
        <w:pStyle w:val="BookText"/>
        <w:rPr/>
      </w:pPr>
      <w:bookmarkEnd w:id="225"/>
      <w:r>
        <w:rPr>
          <w:rFonts w:ascii="IRNazanin" w:hAnsi="IRNazanin" w:eastAsia="IRNazanin"/>
          <w:color w:val="111111"/>
          <w:sz w:val="28"/>
          <w:sz w:val="28"/>
          <w:szCs w:val="28"/>
          <w:rtl w:val="true"/>
          <w:lang w:bidi="fa-IR"/>
        </w:rPr>
        <w:t xml:space="preserve">حصول القتل به غالباً و قد سلف مثاله </w:t>
      </w:r>
      <w:r>
        <w:rPr>
          <w:rStyle w:val="FootnoteAnchor"/>
          <w:rtl w:val="true"/>
        </w:rPr>
        <w:footnoteReference w:id="1625"/>
      </w:r>
      <w:r>
        <w:rPr>
          <w:rFonts w:ascii="Amiri" w:hAnsi="Amiri" w:eastAsia="Amiri" w:cs="Amiri"/>
          <w:color w:val="111111"/>
          <w:sz w:val="28"/>
          <w:sz w:val="28"/>
          <w:szCs w:val="28"/>
          <w:rtl w:val="true"/>
          <w:lang w:bidi="ar-SA"/>
        </w:rPr>
        <w:t>في أوّل كتاب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الشبيه بالعمد أن يقصد إلى الفعل دون القتل بشرط أن لا يكون الفعل مما يحصل به القتل غالباً مثل أن يضرب للتأديب،أو يعالج للإصلاح ضرباً و علاجاً لا يحصل بهما الموت إلّا نادراً فيموت المضروب و المعالَج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الخطأ المحض أن يخطئ فيهما أي في الفعل و قصد القتل مثل أن يرمي الصيد فيتخطّاه السهم إلى إنسان فيقتله و لا خلاف في شيء من ذلك أجده إلّا ما قدّمنا إليه الإشارة،و مجموع ما هنا يعلم صحته ممّا سبق ثمّة،فلا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الأوّل القصاص لا الدية،إلّا صلحاً كما سبق،بخلاف الأخيرين،فإنّ موجَبهما الدية لا 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يفترقان في محلّها و كمّيتها و زمان أدائها،كما سيأتي ذلك مفصّلاً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102747_73709187"/>
      <w:bookmarkStart w:id="227" w:name="_Toc83"/>
      <w:bookmarkEnd w:id="226"/>
      <w:r>
        <w:rPr>
          <w:rtl w:val="true"/>
        </w:rPr>
        <w:t>مقادير الديات</w:t>
      </w:r>
      <w:bookmarkEnd w:id="227"/>
    </w:p>
    <w:p>
      <w:pPr>
        <w:pStyle w:val="BookText"/>
        <w:rPr/>
      </w:pPr>
      <w:r>
        <w:rPr>
          <w:rFonts w:ascii="Amiri" w:hAnsi="Amiri" w:eastAsia="Amiri" w:cs="Amiri"/>
          <w:color w:val="111111"/>
          <w:sz w:val="28"/>
          <w:sz w:val="28"/>
          <w:szCs w:val="28"/>
          <w:rtl w:val="true"/>
          <w:lang w:bidi="ar-SA"/>
        </w:rPr>
        <w:t xml:space="preserve">إذا عرفت ذلك ف اعلم أنّ دية قتل العمد حيث تتعيّن أو يراد الصلح عليها مائة من مسانّ الإبل و هي الثنايا </w:t>
      </w:r>
      <w:r>
        <w:rPr>
          <w:rStyle w:val="FootnoteAnchor"/>
          <w:rtl w:val="true"/>
        </w:rPr>
        <w:footnoteReference w:id="1626"/>
      </w:r>
      <w:r>
        <w:rPr>
          <w:rFonts w:ascii="Amiri" w:hAnsi="Amiri" w:eastAsia="Amiri" w:cs="Amiri"/>
          <w:color w:val="111111"/>
          <w:sz w:val="28"/>
          <w:sz w:val="28"/>
          <w:szCs w:val="28"/>
          <w:rtl w:val="true"/>
          <w:lang w:bidi="ar-SA"/>
        </w:rPr>
        <w:t>فصاعدا،و في بعض كلمات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المسنّة من الثنيّة إلى بازل </w:t>
      </w:r>
      <w:r>
        <w:rPr>
          <w:rStyle w:val="FootnoteAnchor"/>
          <w:rtl w:val="true"/>
        </w:rPr>
        <w:footnoteReference w:id="1627"/>
      </w:r>
      <w:r>
        <w:rPr>
          <w:rFonts w:ascii="IRNazanin" w:hAnsi="IRNazanin" w:eastAsia="IRNazanin"/>
          <w:color w:val="111111"/>
          <w:sz w:val="28"/>
          <w:sz w:val="28"/>
          <w:szCs w:val="28"/>
          <w:rtl w:val="true"/>
          <w:lang w:bidi="fa-IR"/>
        </w:rPr>
        <w:t xml:space="preserve">عامها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مائتا بقرة و هي ما يطلق عليه اسمها و لو كان غير مسنّة،على ما يقتضيه إطلاق العبارة و غيرها من النصوص و الفتاوي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النهاية و المهذّب و الجامع </w:t>
      </w:r>
      <w:r>
        <w:rPr>
          <w:rStyle w:val="FootnoteAnchor"/>
          <w:rtl w:val="true"/>
        </w:rPr>
        <w:footnoteReference w:id="1629"/>
      </w:r>
      <w:r>
        <w:rPr>
          <w:rFonts w:ascii="Amiri" w:hAnsi="Amiri" w:eastAsia="Amiri" w:cs="Amiri"/>
          <w:color w:val="111111"/>
          <w:sz w:val="28"/>
          <w:sz w:val="28"/>
          <w:szCs w:val="28"/>
          <w:rtl w:val="true"/>
          <w:lang w:bidi="ar-SA"/>
        </w:rPr>
        <w:t>فمسنّة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عليه غير واضحة،فهو ضعيف،و مع ذلك شاذّ،كالمحكي عن الأخير في الأوّل أيضاً،حيث قيّده بالفحولة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أحوط،سيّما الأخير؛ لدلالة جملة من المعتبرة عليه،و فيها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الموثّق و غيرهما</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دية العمد؟فقال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فحولة الإبل المسانّ،فإن لم يكن إبل فمكان كل جمل عشرون من فحولة الغنم</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صلوحها لتقييد النصوص المطلقة نظر؛ لاعتضادها دون هذه بفتوى الأكثر،سيّما مع ورودها في مقام الحاجة،و اشتمال هذه على ما لم يقل به أحد من الطائفة،و لذا حملها الشيخ على التقية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مائتا حلّة بالضمّ،على الأشهر الأظهر بين الطائفة،و نفى عنه الخلاف بعض الأصحاب </w:t>
      </w:r>
      <w:r>
        <w:rPr>
          <w:rStyle w:val="FootnoteAnchor"/>
          <w:rtl w:val="true"/>
        </w:rPr>
        <w:footnoteReference w:id="1633"/>
      </w:r>
      <w:r>
        <w:rPr>
          <w:rFonts w:ascii="Amiri" w:hAnsi="Amiri" w:eastAsia="Amiri" w:cs="Amiri"/>
          <w:color w:val="111111"/>
          <w:sz w:val="28"/>
          <w:sz w:val="28"/>
          <w:szCs w:val="28"/>
          <w:rtl w:val="true"/>
          <w:lang w:bidi="ar-SA"/>
        </w:rPr>
        <w:t xml:space="preserve">،و عليه الإجماع في الغنية </w:t>
      </w:r>
      <w:r>
        <w:rPr>
          <w:rStyle w:val="FootnoteAnchor"/>
          <w:rtl w:val="true"/>
        </w:rPr>
        <w:footnoteReference w:id="1634"/>
      </w:r>
      <w:r>
        <w:rPr>
          <w:rFonts w:ascii="Amiri" w:hAnsi="Amiri" w:eastAsia="Amiri" w:cs="Amiri"/>
          <w:color w:val="111111"/>
          <w:sz w:val="28"/>
          <w:sz w:val="28"/>
          <w:szCs w:val="28"/>
          <w:rtl w:val="true"/>
          <w:lang w:bidi="ar-SA"/>
        </w:rPr>
        <w:t>،و هو الحجّة، دون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الدية في الجاهلية مائة من الإبل فأقرّها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فرض على أهل البقر مائتي بقرة، و فرض على أهل الشاة ألف شاة و على أهل اليمن الحلل مائتي حلّة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الحجة في نقل ابن أبي ليلى،سيّما و أنّ الراوي سأل </w:t>
      </w:r>
    </w:p>
    <w:p>
      <w:p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رواه،فقال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ألف دينار، و قيمة الدنانير عشرة آلاف درهم،و على أهل الذهب ألف دينار،و على أهل الورق عشرة آلاف درهم لأهل الأمصار،و لأهل البوادي الدية مائة من الإبل،و لأهل السواد مائتا بقرة،أو ألف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الحلّة فضلاً عن عددها،و مع ذلك فما هنا إنّما هو على نسخة التهذيب،و أمّا على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و الفقيه و الاستبصار فإنّما هو مائة حلّة،و لذا قال الصدوق بها في المقنع </w:t>
      </w:r>
      <w:r>
        <w:rPr>
          <w:rStyle w:val="FootnoteAnchor"/>
          <w:rtl w:val="true"/>
        </w:rPr>
        <w:footnoteReference w:id="1636"/>
      </w:r>
      <w:r>
        <w:rPr>
          <w:rFonts w:ascii="Amiri" w:hAnsi="Amiri" w:eastAsia="Amiri" w:cs="Amiri"/>
          <w:color w:val="111111"/>
          <w:sz w:val="28"/>
          <w:sz w:val="28"/>
          <w:szCs w:val="28"/>
          <w:rtl w:val="true"/>
          <w:lang w:bidi="ar-SA"/>
        </w:rPr>
        <w:t>،و لكنّه شاذّ،و مستنده لما عرفت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دينار،أو عشرة آلاف درهم، و يؤخذ من أصحاب الحلل الحلل،و من أصحاب الإبل الإبل،و من أصحاب الغنم الغنم،و من أصحاب البقر البقر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فيه سوى الدلالة على ثبوت أصل الحلّة دون عددها أنّها مائتان أو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بعض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الحُلل،و حينئذٍ لا دلالة فيه على الأصل أيضاً،لكن نسخة الكافي بما نقلناه واحدة،و هي أرجح من نسخة التهذيب المزبورة،سيّما مع أنّ بعض نسخه أيضاً له موافقة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كل حلّة ثوبان على ما نص عليه أكثر أهل اللغة و الأصحاب،من غير خلاف بينهم أجده،فعن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الحلل برود اليمن،و الحُلّة إزار و رداء،لا تسمّى حلّة حتى تكون ثوبين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الحلّة واحدة الحلل،و هي برود اليمن و لا تسمّى حلّة إلّا أن تكون ثوبين من جنس واحد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الحلّة بالضم لا تكون إلّا ثوبين من جنس واحد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الحلّة إزار و رداء،برد أو غيره،لا يقال لها حلّة حتى تكون ثوبين،و في الحديث تصديقه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حلّة إلّا من ثوبين أو ثوب له بطانة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 أن التعدّد له مدخلية في صدق الحلّة و عدمه مع الوحدة،و عليه فيكون القيد في العبارة توضيحاً لا تقييداً،و كذلك التقييد بكونهما من برود اليمن على ما يستفاد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زاد بعد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نجران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دليله،نعم ما مرّ عن العين ربما يعضده،فتدبّر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من الثياب ما يصدق عليه اسم الثوب عرفاً،لا مجرّد ما يستر العورة خاصّة،كما ربما يقال؛ لفساده قطعاً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ألف دينار أي مثقال ذهب خالص،كما في صريح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عشرة آلاف من الفضة،أو ألف مثقال من الذهب،أو ألف من الشاة على أسنانها أثلاثاً،و من الإبل مائة على أسنانها،و من البقر مائتين</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باقي النصوص المعتبرة ألف دينار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ألف شاة و هي ما يطلق عليه اسمها و لو كان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المعتبرة المتقدمة </w:t>
      </w:r>
      <w:r>
        <w:rPr>
          <w:rStyle w:val="FootnoteAnchor"/>
          <w:rtl w:val="true"/>
        </w:rPr>
        <w:footnoteReference w:id="1646"/>
      </w:r>
      <w:r>
        <w:rPr>
          <w:rFonts w:ascii="Amiri" w:hAnsi="Amiri" w:eastAsia="Amiri" w:cs="Amiri"/>
          <w:color w:val="111111"/>
          <w:sz w:val="28"/>
          <w:sz w:val="28"/>
          <w:szCs w:val="28"/>
          <w:rtl w:val="true"/>
          <w:lang w:bidi="ar-SA"/>
        </w:rPr>
        <w:t xml:space="preserve">الدالة على أنّ مكان كل جمل عشرون من فحولة الغنم،فقد عرفت جوابه،مع دعوى الإجماع على خلافها في الغنية </w:t>
      </w:r>
      <w:r>
        <w:rPr>
          <w:rStyle w:val="FootnoteAnchor"/>
          <w:rtl w:val="true"/>
        </w:rPr>
        <w:footnoteReference w:id="1647"/>
      </w:r>
      <w:r>
        <w:rPr>
          <w:rFonts w:ascii="Amiri" w:hAnsi="Amiri" w:eastAsia="Amiri" w:cs="Amiri"/>
          <w:color w:val="111111"/>
          <w:sz w:val="28"/>
          <w:sz w:val="28"/>
          <w:szCs w:val="28"/>
          <w:rtl w:val="true"/>
          <w:lang w:bidi="ar-SA"/>
        </w:rPr>
        <w:t xml:space="preserve">،و عدم قائل بها هنا على ما أجده،إلّا ما ربما يتوهّم من الشيخ في الكتابين </w:t>
      </w:r>
      <w:r>
        <w:rPr>
          <w:rStyle w:val="FootnoteAnchor"/>
          <w:rtl w:val="true"/>
        </w:rPr>
        <w:footnoteReference w:id="1648"/>
      </w:r>
      <w:r>
        <w:rPr>
          <w:rFonts w:ascii="Amiri" w:hAnsi="Amiri" w:eastAsia="Amiri" w:cs="Amiri"/>
          <w:color w:val="111111"/>
          <w:sz w:val="28"/>
          <w:sz w:val="28"/>
          <w:szCs w:val="28"/>
          <w:rtl w:val="true"/>
          <w:lang w:bidi="ar-SA"/>
        </w:rPr>
        <w:t>،حيث حملها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الإبل يلزم أهل الإبل،فمن امتنع من بذلها ألزمه الوليّ قيمتها،و قد كانت قيمة كل جمل عشرين من فحولة الغنم،كما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الغنم قيمة كل ناب من الإبل عشرون شاة</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ذلك بالعبد إذا قتل حرّا،كما في الخبر المتضمّن للسؤال عن قتله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الإبل المسانّ،فإن لم يكن إبل فمكان كل جمل عشرون من فحولة الغنم</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 ذلك منه ليس قولاً،بل إنّما ذكره جمعاً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عشرة آلاف درهم كما مرّ في جملة من المعتبرة،و يأتي في جملة أُخرى إليه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في الصحيح و غيره من أنّه اثنا عشر ألفاً </w:t>
      </w:r>
      <w:r>
        <w:rPr>
          <w:rStyle w:val="FootnoteAnchor"/>
          <w:rtl w:val="true"/>
        </w:rPr>
        <w:footnoteReference w:id="1651"/>
      </w:r>
      <w:r>
        <w:rPr>
          <w:rFonts w:ascii="Amiri" w:hAnsi="Amiri" w:eastAsia="Amiri" w:cs="Amiri"/>
          <w:color w:val="111111"/>
          <w:sz w:val="28"/>
          <w:sz w:val="28"/>
          <w:szCs w:val="28"/>
          <w:rtl w:val="true"/>
          <w:lang w:bidi="ar-SA"/>
        </w:rPr>
        <w:t xml:space="preserve">،ف مع شذوذه، و عدم ظهور قائل به،و دعوى الإجماع في الغنية </w:t>
      </w:r>
      <w:r>
        <w:rPr>
          <w:rStyle w:val="FootnoteAnchor"/>
          <w:rtl w:val="true"/>
        </w:rPr>
        <w:footnoteReference w:id="1652"/>
      </w:r>
      <w:r>
        <w:rPr>
          <w:rFonts w:ascii="Amiri" w:hAnsi="Amiri" w:eastAsia="Amiri" w:cs="Amiri"/>
          <w:color w:val="111111"/>
          <w:sz w:val="28"/>
          <w:sz w:val="28"/>
          <w:szCs w:val="28"/>
          <w:rtl w:val="true"/>
          <w:lang w:bidi="ar-SA"/>
        </w:rPr>
        <w:t>على خلافه محمول على التقية،كما ذكره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مذهب العامّة،و احتمل أيضاً حملهما على ما ذكره الحسين بن سعيد و أحمد بن محمد بن عيسى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روى أصحابنا أنّ ذلك من وزن 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كذلك فهو يرجع إلى عشرة آلاف درهم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هذه الخصال الستّة و إن لم يشتمل على تمامها رواية فيما أجده،إلّا أنّها مستفادة من الجمع بين روايات المسألة بعد ضمّ بعضها إلى بعض،مع تضمّن جملة منها خمسة ما عدا الحلّة،كالصحيحة المتضمّنة لنقل ابن أبي ليلى </w:t>
      </w:r>
      <w:r>
        <w:rPr>
          <w:rStyle w:val="FootnoteAnchor"/>
          <w:rtl w:val="true"/>
        </w:rPr>
        <w:footnoteReference w:id="1654"/>
      </w:r>
      <w:r>
        <w:rPr>
          <w:rFonts w:ascii="Amiri" w:hAnsi="Amiri" w:eastAsia="Amiri" w:cs="Amiri"/>
          <w:color w:val="111111"/>
          <w:sz w:val="28"/>
          <w:sz w:val="28"/>
          <w:szCs w:val="28"/>
          <w:rtl w:val="true"/>
          <w:lang w:bidi="ar-SA"/>
        </w:rPr>
        <w:t xml:space="preserve">،و كذا الصحيحة التي بعدها </w:t>
      </w:r>
      <w:r>
        <w:rPr>
          <w:rStyle w:val="FootnoteAnchor"/>
          <w:rtl w:val="true"/>
        </w:rPr>
        <w:footnoteReference w:id="1655"/>
      </w:r>
      <w:r>
        <w:rPr>
          <w:rFonts w:ascii="Amiri" w:hAnsi="Amiri" w:eastAsia="Amiri" w:cs="Amiri"/>
          <w:color w:val="111111"/>
          <w:sz w:val="28"/>
          <w:sz w:val="28"/>
          <w:szCs w:val="28"/>
          <w:rtl w:val="true"/>
          <w:lang w:bidi="ar-SA"/>
        </w:rPr>
        <w:t xml:space="preserve">على نسخة الخيل بدل الحلل،و إلّا فهي شاملة للستّة،و إن قصرت عن إفادة بيان العدد في الحلّة، و نحوهما الرواية المتقدّمة في الدينار </w:t>
      </w:r>
      <w:r>
        <w:rPr>
          <w:rStyle w:val="FootnoteAnchor"/>
          <w:rtl w:val="true"/>
        </w:rPr>
        <w:footnoteReference w:id="1656"/>
      </w:r>
      <w:r>
        <w:rPr>
          <w:rFonts w:ascii="Amiri" w:hAnsi="Amiri" w:eastAsia="Amiri" w:cs="Amiri"/>
          <w:color w:val="111111"/>
          <w:sz w:val="28"/>
          <w:sz w:val="28"/>
          <w:szCs w:val="28"/>
          <w:rtl w:val="true"/>
          <w:lang w:bidi="ar-SA"/>
        </w:rPr>
        <w:t>بحمل الواو في جملة من أعدادها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الإجماع و الروايات الأُخر؛ فإنّ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يكشف عن بعض،فما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وضوح دلالة الأخبار على تمام هذه الخصال لا وجه له،هذا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في الغنية </w:t>
      </w:r>
      <w:r>
        <w:rPr>
          <w:rStyle w:val="FootnoteAnchor"/>
          <w:rtl w:val="true"/>
        </w:rPr>
        <w:footnoteReference w:id="1657"/>
      </w:r>
      <w:r>
        <w:rPr>
          <w:rFonts w:ascii="Amiri" w:hAnsi="Amiri" w:eastAsia="Amiri" w:cs="Amiri"/>
          <w:color w:val="111111"/>
          <w:sz w:val="28"/>
          <w:sz w:val="28"/>
          <w:szCs w:val="28"/>
          <w:rtl w:val="true"/>
          <w:lang w:bidi="ar-SA"/>
        </w:rPr>
        <w:t xml:space="preserve">الإجماع عليها بعد ما ذكرها بعين ما هنا مخيّراً </w:t>
      </w:r>
    </w:p>
    <w:p>
      <w:pPr>
        <w:pStyle w:val="BookText"/>
        <w:rPr/>
      </w:pPr>
      <w:r>
        <w:rPr>
          <w:rFonts w:ascii="Amiri" w:hAnsi="Amiri" w:eastAsia="Amiri" w:cs="Amiri"/>
          <w:color w:val="111111"/>
          <w:sz w:val="28"/>
          <w:sz w:val="28"/>
          <w:szCs w:val="28"/>
          <w:rtl w:val="true"/>
          <w:lang w:bidi="ar-SA"/>
        </w:rPr>
        <w:t xml:space="preserve">بينها،و نفى عنه الخلاف بعض أصحابنا </w:t>
      </w:r>
      <w:r>
        <w:rPr>
          <w:rStyle w:val="FootnoteAnchor"/>
          <w:rtl w:val="true"/>
        </w:rPr>
        <w:footnoteReference w:id="1658"/>
      </w:r>
      <w:r>
        <w:rPr>
          <w:rFonts w:ascii="Amiri" w:hAnsi="Amiri" w:eastAsia="Amiri" w:cs="Amiri"/>
          <w:color w:val="111111"/>
          <w:sz w:val="28"/>
          <w:sz w:val="28"/>
          <w:szCs w:val="28"/>
          <w:rtl w:val="true"/>
          <w:lang w:bidi="ar-SA"/>
        </w:rPr>
        <w:t>أيضاً،فلا إشكال فيها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في أنّها هل على التخيير،كما هو ظاهر العبارة و عامة المتأخرين؟أم على التنويع،بمعنى أنّه يجب كل صنف منها على أهله، كما عن الشيخين و غيرهما من القدماء </w:t>
      </w:r>
      <w:r>
        <w:rPr>
          <w:rStyle w:val="FootnoteAnchor"/>
          <w:rtl w:val="true"/>
        </w:rPr>
        <w:footnoteReference w:id="1659"/>
      </w:r>
      <w:r>
        <w:rPr>
          <w:rFonts w:ascii="Amiri" w:hAnsi="Amiri" w:eastAsia="Amiri" w:cs="Amiri"/>
          <w:color w:val="111111"/>
          <w:sz w:val="28"/>
          <w:sz w:val="28"/>
          <w:szCs w:val="28"/>
          <w:rtl w:val="true"/>
          <w:lang w:bidi="ar-SA"/>
        </w:rPr>
        <w:t>؟ و للأوّل بعد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للتخيير في جملة من النصوص،مع ظهور دعوى الإجماع عليه في عبائر كثير،كالحلّي و غيره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الاحتياط،و ظواهر كثير من النصوص المتقدمة جملة منها </w:t>
      </w:r>
      <w:r>
        <w:rPr>
          <w:rStyle w:val="FootnoteAnchor"/>
          <w:rtl w:val="true"/>
        </w:rPr>
        <w:footnoteReference w:id="1661"/>
      </w:r>
      <w:r>
        <w:rPr>
          <w:rFonts w:ascii="Amiri" w:hAnsi="Amiri" w:eastAsia="Amiri" w:cs="Amiri"/>
          <w:color w:val="111111"/>
          <w:sz w:val="28"/>
          <w:sz w:val="28"/>
          <w:szCs w:val="28"/>
          <w:rtl w:val="true"/>
          <w:lang w:bidi="ar-SA"/>
        </w:rPr>
        <w:t>،المتضمّنة لأنّ الإبل على أهلها،و البقر على أهلها،و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هذه على إرادة التسهيل على القاتل لئلّا يكلّف تحصيل غيره فتنطبق على أخبار التخيير و إن أمكن،إلّا أنّه يمكن الجمع بالعكس،بحمل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التنويع،فتنطبق على أخباره،و لعلّ الترجيح مع الأوّل؛ لظواهر الإجماعات المحكية،مضافاً إلى الشهرة العظيمة المتأخّرة التي كادت تكون إجماعاً،بل لعلّها 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بذل ربّ كلّ صنف غيره بدون رضاء وليّ المقتول،فيجوز على المشهور و لا على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تستأدى هذه الدية في سنة واحدة لا يجوز تأخيرها عنها </w:t>
      </w:r>
    </w:p>
    <w:p>
      <w:pPr>
        <w:pStyle w:val="BookText"/>
        <w:rPr/>
      </w:pPr>
      <w:r>
        <w:rPr>
          <w:rFonts w:ascii="Amiri" w:hAnsi="Amiri" w:eastAsia="Amiri" w:cs="Amiri"/>
          <w:color w:val="111111"/>
          <w:sz w:val="28"/>
          <w:sz w:val="28"/>
          <w:szCs w:val="28"/>
          <w:rtl w:val="true"/>
          <w:lang w:bidi="ar-SA"/>
        </w:rPr>
        <w:t xml:space="preserve">بغير رضاء المستحق،و لا يجب عليه المبادرة إلى أدائها قبل تمام السنة، بلا خلاف بيننا أجده،إلّا من ظاهر الخلاف </w:t>
      </w:r>
      <w:r>
        <w:rPr>
          <w:rStyle w:val="FootnoteAnchor"/>
          <w:rtl w:val="true"/>
        </w:rPr>
        <w:footnoteReference w:id="1662"/>
      </w:r>
      <w:r>
        <w:rPr>
          <w:rFonts w:ascii="Amiri" w:hAnsi="Amiri" w:eastAsia="Amiri" w:cs="Amiri"/>
          <w:color w:val="111111"/>
          <w:sz w:val="28"/>
          <w:sz w:val="28"/>
          <w:szCs w:val="28"/>
          <w:rtl w:val="true"/>
          <w:lang w:bidi="ar-SA"/>
        </w:rPr>
        <w:t xml:space="preserve">،فجعلها حالّة،و على خلافه في ظاهر عبائر جماعة </w:t>
      </w:r>
      <w:r>
        <w:rPr>
          <w:rStyle w:val="FootnoteAnchor"/>
          <w:rtl w:val="true"/>
        </w:rPr>
        <w:footnoteReference w:id="1663"/>
      </w:r>
      <w:r>
        <w:rPr>
          <w:rFonts w:ascii="Amiri" w:hAnsi="Amiri" w:eastAsia="Amiri" w:cs="Amiri"/>
          <w:color w:val="111111"/>
          <w:sz w:val="28"/>
          <w:sz w:val="28"/>
          <w:szCs w:val="28"/>
          <w:rtl w:val="true"/>
          <w:lang w:bidi="ar-SA"/>
        </w:rPr>
        <w:t xml:space="preserve">و صريح الغنية و السرائر </w:t>
      </w:r>
      <w:r>
        <w:rPr>
          <w:rStyle w:val="FootnoteAnchor"/>
          <w:rtl w:val="true"/>
        </w:rPr>
        <w:footnoteReference w:id="1664"/>
      </w:r>
      <w:r>
        <w:rPr>
          <w:rFonts w:ascii="Amiri" w:hAnsi="Amiri" w:eastAsia="Amiri" w:cs="Amiri"/>
          <w:color w:val="111111"/>
          <w:sz w:val="28"/>
          <w:sz w:val="28"/>
          <w:szCs w:val="28"/>
          <w:rtl w:val="true"/>
          <w:lang w:bidi="ar-SA"/>
        </w:rPr>
        <w:t>إجماع الإمامية،و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الصحيحة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تستأدى دية الخطأ في ثلاث سنين،و تستأدى دية العمد في سنة</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من مال الجاني لا بيت المال،و لا العاقلة،بلا خلاف أجده،و به صرّح جماعة،و منهم السيد ابن زهرة في الغنية </w:t>
      </w:r>
      <w:r>
        <w:rPr>
          <w:rStyle w:val="FootnoteAnchor"/>
          <w:rtl w:val="true"/>
        </w:rPr>
        <w:footnoteReference w:id="166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تعلق الدية بغير الجاني خلاف الأصل،فيقتصر فيه على الخطأ؛ لأنّه مورد الفتوى و النصّ؛ لصريح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و في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مال يؤدّي ديته يسأل المسلمين حتى يؤدّوا عنه ديته إلى أهله</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تثبت إلّا بالتراضي بها عن القود حيث يتعيّن على الأصح، كما مرّ،و أمّا على غيره فلا يحتاج إليه،و كذا حيث لا يتعيّن القود كقتل الوالد للولد،أو تعيّن و لكن فات بمبادرة أحد الأولياء إليه،أو موت القاتل، أو كان القاتل عاقلاً و المقتول مجنوناً،أو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 العمد</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يشاركان العمد في هذه الخصال الستّة،كما سيأتي إليه الإشارة،و إنّما يفترقان عنه في أسنان الإبل خاصّة، فإنّها فيه ما مرّ،و فيهما دونه سنّاً،و يفترقان أحدهما عن الآخر بأنّ أسنانها في الخطاء دون أسنانها في شبيهه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تعيين الأسنان في كل منهما خلاف نصّاً و فتوى، ف في دية شبيه العمد منها روايتان إحداهما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الخطأ شبه العمد أن يقتل بالسوط أو بالعصا أو بالحجر،إنّ دية ذلك تغلظ،و هي مائة من الإبل،منها أربعون خَلِفة بين ثنيّة إلى بازل عامها،و ثلاثون حِقّة،و ثلاثون بنت لبون</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بها الصدوق و الإسكافي على ما حكي </w:t>
      </w:r>
      <w:r>
        <w:rPr>
          <w:rStyle w:val="FootnoteAnchor"/>
          <w:rtl w:val="true"/>
        </w:rPr>
        <w:footnoteReference w:id="1671"/>
      </w:r>
      <w:r>
        <w:rPr>
          <w:rFonts w:ascii="Amiri" w:hAnsi="Amiri" w:eastAsia="Amiri" w:cs="Amiri"/>
          <w:color w:val="111111"/>
          <w:sz w:val="28"/>
          <w:sz w:val="28"/>
          <w:szCs w:val="28"/>
          <w:rtl w:val="true"/>
          <w:lang w:bidi="ar-SA"/>
        </w:rPr>
        <w:t xml:space="preserve">،و اختاره الفاضل في المختلف و التحرير و شيخنا في المسالك و الروضة و جمع من المتأخّرين </w:t>
      </w:r>
      <w:r>
        <w:rPr>
          <w:rStyle w:val="FootnoteAnchor"/>
          <w:rtl w:val="true"/>
        </w:rPr>
        <w:footnoteReference w:id="1672"/>
      </w:r>
      <w:r>
        <w:rPr>
          <w:rFonts w:ascii="Amiri" w:hAnsi="Amiri" w:eastAsia="Amiri" w:cs="Amiri"/>
          <w:color w:val="111111"/>
          <w:sz w:val="28"/>
          <w:sz w:val="28"/>
          <w:szCs w:val="28"/>
          <w:rtl w:val="true"/>
          <w:lang w:bidi="ar-SA"/>
        </w:rPr>
        <w:t xml:space="preserve">،و لا بأس به؛ لصحة السند،مع السلامة عما يصلح </w:t>
      </w:r>
    </w:p>
    <w:p>
      <w:pPr>
        <w:pStyle w:val="BookText"/>
        <w:rPr/>
      </w:pPr>
      <w:r>
        <w:rPr>
          <w:rFonts w:ascii="Amiri" w:hAnsi="Amiri" w:eastAsia="Amiri" w:cs="Amiri"/>
          <w:color w:val="111111"/>
          <w:sz w:val="28"/>
          <w:sz w:val="28"/>
          <w:szCs w:val="28"/>
          <w:rtl w:val="true"/>
          <w:lang w:bidi="ar-SA"/>
        </w:rPr>
        <w:t>للمعارضة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المغلظة التي تشبه العمد أفضل من دية الخطأ بأسنان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ثلاثون حِقّة،و ثلاث و ثلاثون جذعة،و أربع و ثلاثون ثنيّة،كلّها طروقة الفحل</w:t>
      </w:r>
      <w:r>
        <w:rPr>
          <w:rFonts w:eastAsia="Amiri" w:cs="Amiri" w:ascii="Amiri" w:hAnsi="Amiri"/>
          <w:color w:val="111111"/>
          <w:sz w:val="28"/>
          <w:szCs w:val="28"/>
          <w:rtl w:val="true"/>
          <w:lang w:bidi="ar-SA"/>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بهما المفيد و التقي و الديلمي و غيرهم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سندهما ضعف على المشهور بعلي بن أبي حمزة و محمد بن سنان،فلا يتوجّه العمل بهما،سيّما و أن يطرح لأجلهما الرواية الاُولى مع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هنا قولاً ثالثاً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ثلاث و ثلاثون بنت لبون سنّها سنتان فصاعداً و ثلاث و ثلاثون حِقّة سنّها ثلاث سنين فصاعداً و أربع و ثلاثون ثنيّة سنّها خمس سنين فصاعداً طروقة الفحل أي التي بلغت أن يضربها الفحل،قال به الشيخ في النهاية و عن ابن حمزة في الوسيلة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 هذا القول غير واضح،و إن جعله الماتن أشهر الروايتين،فإنّا لم نقف عليها كما اعترف به جماعة من أصحابنا </w:t>
      </w:r>
      <w:r>
        <w:rPr>
          <w:rStyle w:val="FootnoteAnchor"/>
          <w:rtl w:val="true"/>
        </w:rPr>
        <w:footnoteReference w:id="1677"/>
      </w:r>
      <w:r>
        <w:rPr>
          <w:rFonts w:ascii="Amiri" w:hAnsi="Amiri" w:eastAsia="Amiri" w:cs="Amiri"/>
          <w:color w:val="111111"/>
          <w:sz w:val="28"/>
          <w:sz w:val="28"/>
          <w:szCs w:val="28"/>
          <w:rtl w:val="true"/>
          <w:lang w:bidi="ar-SA"/>
        </w:rPr>
        <w:t xml:space="preserve">،و يظهر من شيخنا في </w:t>
      </w:r>
    </w:p>
    <w:p>
      <w:pPr>
        <w:pStyle w:val="BookText"/>
        <w:rPr/>
      </w:pPr>
      <w:r>
        <w:rPr>
          <w:rFonts w:ascii="Amiri" w:hAnsi="Amiri" w:eastAsia="Amiri" w:cs="Amiri"/>
          <w:color w:val="111111"/>
          <w:sz w:val="28"/>
          <w:sz w:val="28"/>
          <w:szCs w:val="28"/>
          <w:rtl w:val="true"/>
          <w:lang w:bidi="ar-SA"/>
        </w:rPr>
        <w:t xml:space="preserve">المسالك و بعض من تبعه </w:t>
      </w:r>
      <w:r>
        <w:rPr>
          <w:rStyle w:val="FootnoteAnchor"/>
          <w:rtl w:val="true"/>
        </w:rPr>
        <w:footnoteReference w:id="1678"/>
      </w:r>
      <w:r>
        <w:rPr>
          <w:rFonts w:ascii="Amiri" w:hAnsi="Amiri" w:eastAsia="Amiri" w:cs="Amiri"/>
          <w:color w:val="111111"/>
          <w:sz w:val="28"/>
          <w:sz w:val="28"/>
          <w:szCs w:val="28"/>
          <w:rtl w:val="true"/>
          <w:lang w:bidi="ar-SA"/>
        </w:rPr>
        <w:t>أنّها الرواية الثانية المتقدّمة،و هو غفلة واضحة فإنّه ليس فيها ذكر بنت لبون،بل فيها بدلها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بهذه الأسنان أيضاً لكن مبدلاً فيه الأربع و الثلاثين ثنيّة طروقة الفحل بأربع و ثلاثين خَلِفة بفتح الخاء و كسر اللام،أي الحامل،كما عن الخلاف و المهذّب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يجمع بين هذين القولين بأن يراد من طروقة الفحل في الأوّل ما طرقها الفحل فحملت بقرينة أنّ الحقّة ما بلغت أن يضربها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الإصباح و في الغنية </w:t>
      </w:r>
      <w:r>
        <w:rPr>
          <w:rStyle w:val="FootnoteAnchor"/>
          <w:rtl w:val="true"/>
        </w:rPr>
        <w:footnoteReference w:id="1680"/>
      </w:r>
      <w:r>
        <w:rPr>
          <w:rFonts w:ascii="Amiri" w:hAnsi="Amiri" w:eastAsia="Amiri" w:cs="Amiri"/>
          <w:color w:val="111111"/>
          <w:sz w:val="28"/>
          <w:sz w:val="28"/>
          <w:szCs w:val="28"/>
          <w:rtl w:val="true"/>
          <w:lang w:bidi="ar-SA"/>
        </w:rPr>
        <w:t>أنّه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بنت مخاض، و ثلاثون بنت لبون،و أربعون خَلِفة،قال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يضمن هذه الدية أيضاً الجاني خاصّة لا العاقلة للأصل المتقدّم إليه الإشارة؛ مضافاً إلى الإجماع عليه في ظاهر السرائر </w:t>
      </w:r>
      <w:r>
        <w:rPr>
          <w:rStyle w:val="FootnoteAnchor"/>
          <w:rtl w:val="true"/>
        </w:rPr>
        <w:footnoteReference w:id="1681"/>
      </w:r>
      <w:r>
        <w:rPr>
          <w:rFonts w:ascii="Amiri" w:hAnsi="Amiri" w:eastAsia="Amiri" w:cs="Amiri"/>
          <w:color w:val="111111"/>
          <w:sz w:val="28"/>
          <w:sz w:val="28"/>
          <w:szCs w:val="28"/>
          <w:rtl w:val="true"/>
          <w:lang w:bidi="ar-SA"/>
        </w:rPr>
        <w:t xml:space="preserve">بل صريحه،و صريح التحرير و الغنية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الحلبي </w:t>
      </w:r>
      <w:r>
        <w:rPr>
          <w:rStyle w:val="FootnoteAnchor"/>
          <w:rtl w:val="true"/>
        </w:rPr>
        <w:footnoteReference w:id="1683"/>
      </w:r>
      <w:r>
        <w:rPr>
          <w:rFonts w:ascii="Amiri" w:hAnsi="Amiri" w:eastAsia="Amiri" w:cs="Amiri"/>
          <w:color w:val="111111"/>
          <w:sz w:val="28"/>
          <w:sz w:val="28"/>
          <w:szCs w:val="28"/>
          <w:rtl w:val="true"/>
          <w:lang w:bidi="ar-SA"/>
        </w:rPr>
        <w:t>،فجعلها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للنهاية و المهذّب و الغنية </w:t>
      </w:r>
      <w:r>
        <w:rPr>
          <w:rStyle w:val="FootnoteAnchor"/>
          <w:rtl w:val="true"/>
        </w:rPr>
        <w:footnoteReference w:id="1684"/>
      </w:r>
      <w:r>
        <w:rPr>
          <w:rFonts w:ascii="Amiri" w:hAnsi="Amiri" w:eastAsia="Amiri" w:cs="Amiri"/>
          <w:color w:val="111111"/>
          <w:sz w:val="28"/>
          <w:sz w:val="28"/>
          <w:szCs w:val="28"/>
          <w:rtl w:val="true"/>
          <w:lang w:bidi="ar-SA"/>
        </w:rPr>
        <w:t xml:space="preserve">فيما لو مات أو هرب،فيؤخذ بها حينئذٍ </w:t>
      </w:r>
    </w:p>
    <w:p>
      <w:pPr>
        <w:pStyle w:val="BookText"/>
        <w:rPr/>
      </w:pPr>
      <w:r>
        <w:rPr>
          <w:rFonts w:ascii="Amiri" w:hAnsi="Amiri" w:eastAsia="Amiri" w:cs="Amiri"/>
          <w:color w:val="111111"/>
          <w:sz w:val="28"/>
          <w:sz w:val="28"/>
          <w:szCs w:val="28"/>
          <w:rtl w:val="true"/>
          <w:lang w:bidi="ar-SA"/>
        </w:rPr>
        <w:t>أولى الناس به،و إن لم يكن له أحد ففي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غير بعيد؛ لثبوت مثله في العمد كما مرّ؛ مضافاً إلى الإجماع عليه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أنكره الحلّي </w:t>
      </w:r>
      <w:r>
        <w:rPr>
          <w:rStyle w:val="FootnoteAnchor"/>
          <w:rtl w:val="true"/>
        </w:rPr>
        <w:footnoteReference w:id="16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خلاف الإجماع،فإنّه لا ضمان عليهما إلّا في الخطأ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معارَض بمثله بل و أجود،فتأمّل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لم نقف على رواية تدل على مقدار زمان تأديتها فيه، إلّا أنّه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تستأدى في سنتين </w:t>
      </w:r>
      <w:r>
        <w:rPr>
          <w:rStyle w:val="FootnoteAnchor"/>
          <w:rtl w:val="true"/>
        </w:rPr>
        <w:footnoteReference w:id="1686"/>
      </w:r>
      <w:r>
        <w:rPr>
          <w:rFonts w:ascii="Amiri" w:hAnsi="Amiri" w:eastAsia="Amiri" w:cs="Amiri"/>
          <w:color w:val="111111"/>
          <w:sz w:val="28"/>
          <w:sz w:val="28"/>
          <w:szCs w:val="28"/>
          <w:rtl w:val="true"/>
          <w:lang w:bidi="ar-SA"/>
        </w:rPr>
        <w:t xml:space="preserve">و تبعه أكثر الجماعة،بل عامّتهم كما في ظاهر الروضة </w:t>
      </w:r>
      <w:r>
        <w:rPr>
          <w:rStyle w:val="FootnoteAnchor"/>
          <w:rtl w:val="true"/>
        </w:rPr>
        <w:footnoteReference w:id="1687"/>
      </w:r>
      <w:r>
        <w:rPr>
          <w:rFonts w:ascii="Amiri" w:hAnsi="Amiri" w:eastAsia="Amiri" w:cs="Amiri"/>
          <w:color w:val="111111"/>
          <w:sz w:val="28"/>
          <w:sz w:val="28"/>
          <w:szCs w:val="28"/>
          <w:rtl w:val="true"/>
          <w:lang w:bidi="ar-SA"/>
        </w:rPr>
        <w:t xml:space="preserve">مشعراً بالإجماع عليه،كما في ظاهر السرائر </w:t>
      </w:r>
      <w:r>
        <w:rPr>
          <w:rStyle w:val="FootnoteAnchor"/>
          <w:rtl w:val="true"/>
        </w:rPr>
        <w:footnoteReference w:id="168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تستأدى في سنتين من مال القاتل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ظاهر المبسوط </w:t>
      </w:r>
      <w:r>
        <w:rPr>
          <w:rStyle w:val="FootnoteAnchor"/>
          <w:rtl w:val="true"/>
        </w:rPr>
        <w:footnoteReference w:id="1689"/>
      </w:r>
      <w:r>
        <w:rPr>
          <w:rFonts w:ascii="Amiri" w:hAnsi="Amiri" w:eastAsia="Amiri" w:cs="Amiri"/>
          <w:color w:val="111111"/>
          <w:sz w:val="28"/>
          <w:sz w:val="28"/>
          <w:szCs w:val="28"/>
          <w:rtl w:val="true"/>
          <w:lang w:bidi="ar-SA"/>
        </w:rPr>
        <w:t xml:space="preserve">،و نفى الخلاف عنه في الغنية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الحجة المؤيّدة بما احتجَّ عليه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كما ظهر التفاوت بين العمد و الخطأ في الأجل لتفاوت الجناية فيهما،وجب أن يظهر بالنسبة إليهما و إلى شبيه العمد؛ لوجود المقتضي عملاً بالمناسبة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للتردّد المستفاد من العبارة و ما ضاهاها من عبائر جماعة كالمهذّب و الشرائع و النهاية </w:t>
      </w:r>
      <w:r>
        <w:rPr>
          <w:rStyle w:val="FootnoteAnchor"/>
          <w:rtl w:val="true"/>
        </w:rPr>
        <w:footnoteReference w:id="1692"/>
      </w:r>
      <w:r>
        <w:rPr>
          <w:rFonts w:ascii="Amiri" w:hAnsi="Amiri" w:eastAsia="Amiri" w:cs="Amiri"/>
          <w:color w:val="111111"/>
          <w:sz w:val="28"/>
          <w:sz w:val="28"/>
          <w:szCs w:val="28"/>
          <w:rtl w:val="true"/>
          <w:lang w:bidi="ar-SA"/>
        </w:rPr>
        <w:t xml:space="preserve">،و لا لما يحكى عن ابن حمزة من أنّه </w:t>
      </w:r>
    </w:p>
    <w:p>
      <w:pPr>
        <w:pStyle w:val="BookText"/>
        <w:rPr/>
      </w:pPr>
      <w:r>
        <w:rPr>
          <w:rFonts w:ascii="Amiri" w:hAnsi="Amiri" w:eastAsia="Amiri" w:cs="Amiri"/>
          <w:color w:val="111111"/>
          <w:sz w:val="28"/>
          <w:sz w:val="28"/>
          <w:szCs w:val="28"/>
          <w:rtl w:val="true"/>
          <w:lang w:bidi="ar-SA"/>
        </w:rPr>
        <w:t xml:space="preserve">تستأدى في سنتين إن كان معسراً،و إلّا ففي سنة </w:t>
      </w:r>
      <w:r>
        <w:rPr>
          <w:rStyle w:val="FootnoteAnchor"/>
          <w:rtl w:val="true"/>
        </w:rPr>
        <w:footnoteReference w:id="1693"/>
      </w:r>
      <w:r>
        <w:rPr>
          <w:rFonts w:ascii="Amiri" w:hAnsi="Amiri" w:eastAsia="Amiri" w:cs="Amiri"/>
          <w:color w:val="111111"/>
          <w:sz w:val="28"/>
          <w:sz w:val="28"/>
          <w:szCs w:val="28"/>
          <w:rtl w:val="true"/>
          <w:lang w:bidi="ar-SA"/>
        </w:rPr>
        <w:t xml:space="preserve">،و لا لما عن الخلاف من أنّها تستأدى في سنة،و دية العمد حالّة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دية قتل الخطأ المحض منها أيضاً روايتان بل روايات و أقوال أشهرهما </w:t>
      </w:r>
      <w:r>
        <w:rPr>
          <w:rStyle w:val="FootnoteAnchor"/>
          <w:rtl w:val="true"/>
        </w:rPr>
        <w:footnoteReference w:id="1695"/>
      </w:r>
      <w:r>
        <w:rPr>
          <w:rFonts w:ascii="Amiri" w:hAnsi="Amiri" w:eastAsia="Amiri" w:cs="Amiri"/>
          <w:color w:val="111111"/>
          <w:sz w:val="28"/>
          <w:sz w:val="28"/>
          <w:szCs w:val="28"/>
          <w:rtl w:val="true"/>
          <w:lang w:bidi="ar-SA"/>
        </w:rPr>
        <w:t>بين المتأخّرين،بل عليه عامّتهم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عشرون بنت مخاض،و عشرون ابن لبون،و ثلاثون بنت لبون،و ثلاثون حِقّة </w:t>
      </w:r>
      <w:r>
        <w:rPr>
          <w:rStyle w:val="FootnoteAnchor"/>
          <w:rtl w:val="true"/>
        </w:rPr>
        <w:footnoteReference w:id="1696"/>
      </w:r>
      <w:r>
        <w:rPr>
          <w:rFonts w:ascii="Amiri" w:hAnsi="Amiri" w:eastAsia="Amiri" w:cs="Amiri"/>
          <w:color w:val="111111"/>
          <w:sz w:val="28"/>
          <w:sz w:val="28"/>
          <w:szCs w:val="28"/>
          <w:rtl w:val="true"/>
          <w:lang w:bidi="ar-SA"/>
        </w:rPr>
        <w:t>و هي مع ذلك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عشرون بنت مخاض،و خمس و عشرون بنت لبون،و خمس و عشرون حقّة،و خمس و عشرون جَذَعة</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و بها أفتى ابن حمزة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هي الرواية الثانية في المسألة السابقة،كما أنّ الاُولى هنا هي الأُولى السابقة بعينها،فليت الماتن و غيره عملوا بها ثمّة كما عملوا بها هنا؛ لصحتها،مع ضعف ما قابلها،و إن حكي عن الخلاف </w:t>
      </w:r>
      <w:r>
        <w:rPr>
          <w:rStyle w:val="FootnoteAnchor"/>
          <w:rtl w:val="true"/>
        </w:rPr>
        <w:footnoteReference w:id="1699"/>
      </w:r>
      <w:r>
        <w:rPr>
          <w:rFonts w:ascii="Amiri" w:hAnsi="Amiri" w:eastAsia="Amiri" w:cs="Amiri"/>
          <w:color w:val="111111"/>
          <w:sz w:val="28"/>
          <w:sz w:val="28"/>
          <w:szCs w:val="28"/>
          <w:rtl w:val="true"/>
          <w:lang w:bidi="ar-SA"/>
        </w:rPr>
        <w:t xml:space="preserve">أنّه ادعى إجماع الفرقتين عليهما،و تأيّدت الثانية هنا بما عن تفسير العياشي </w:t>
      </w:r>
      <w:r>
        <w:rPr>
          <w:rStyle w:val="FootnoteAnchor"/>
          <w:rtl w:val="true"/>
        </w:rPr>
        <w:footnoteReference w:id="1700"/>
      </w:r>
      <w:r>
        <w:rPr>
          <w:rFonts w:ascii="IRNazanin" w:hAnsi="IRNazanin" w:eastAsia="IRNazanin"/>
          <w:color w:val="111111"/>
          <w:sz w:val="28"/>
          <w:sz w:val="28"/>
          <w:szCs w:val="28"/>
          <w:rtl w:val="true"/>
          <w:lang w:bidi="fa-IR"/>
        </w:rPr>
        <w:t xml:space="preserve">من نقله </w:t>
      </w:r>
    </w:p>
    <w:p>
      <w:pPr>
        <w:pStyle w:val="BookText"/>
        <w:rPr/>
      </w:pPr>
      <w:r>
        <w:rPr>
          <w:rFonts w:ascii="Amiri" w:hAnsi="Amiri" w:eastAsia="Amiri" w:cs="Amiri"/>
          <w:color w:val="111111"/>
          <w:sz w:val="28"/>
          <w:sz w:val="28"/>
          <w:szCs w:val="28"/>
          <w:rtl w:val="true"/>
          <w:lang w:bidi="ar-SA"/>
        </w:rPr>
        <w:t>رواية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ثلاثون حِقّة،و ثلاث و ثلاثون جَذَعة، و أربع و ثلاثون ثنيّة إلى بازل عامها،كلّها خَلِفة</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كانت صحيحة،إلّا أنّي لم أجد عاملاً بها،و مع ذلك كون ذلك في الخطأ لم يذكر فيها إلّا بنقل علي بن حديد الذي هو في سندها، و هو ضعيف جدّاً تضعف به الرواية لولا كون ابن أبي عمير شريكاً له في نقل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المبسوط و في السرائر أنّها عشرون بنت مخاض،و عشرون ابن لبون،و عشرون بنت لبون،و عشرون حِقّة،و عشرون جَذَعة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تستأدى في ثلاث سنين في كل سنة ثلثها،إجماعاً منّا بل من الأُمّة أيضاً كما عن الخلاف </w:t>
      </w:r>
      <w:r>
        <w:rPr>
          <w:rStyle w:val="FootnoteAnchor"/>
          <w:rtl w:val="true"/>
        </w:rPr>
        <w:footnoteReference w:id="1703"/>
      </w:r>
      <w:r>
        <w:rPr>
          <w:rFonts w:ascii="Amiri" w:hAnsi="Amiri" w:eastAsia="Amiri" w:cs="Amiri"/>
          <w:color w:val="111111"/>
          <w:sz w:val="28"/>
          <w:sz w:val="28"/>
          <w:szCs w:val="28"/>
          <w:rtl w:val="true"/>
          <w:lang w:bidi="ar-SA"/>
        </w:rPr>
        <w:t xml:space="preserve">حكاه جماعة حدّ الاستفاضة </w:t>
      </w:r>
      <w:r>
        <w:rPr>
          <w:rStyle w:val="FootnoteAnchor"/>
          <w:rtl w:val="true"/>
        </w:rPr>
        <w:footnoteReference w:id="1704"/>
      </w:r>
      <w:r>
        <w:rPr>
          <w:rFonts w:ascii="Amiri" w:hAnsi="Amiri" w:eastAsia="Amiri" w:cs="Amiri"/>
          <w:color w:val="111111"/>
          <w:sz w:val="28"/>
          <w:sz w:val="28"/>
          <w:szCs w:val="28"/>
          <w:rtl w:val="true"/>
          <w:lang w:bidi="ar-SA"/>
        </w:rPr>
        <w:t>،و هو الحجة؛ مضافاً إلى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يضمنها العاقلة لا الجاني إجماعاً؛ للنصوص المستفيضة،بل المتواترة،يأتي ذكرها في بحث العاقلة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فقدت العاقلة أو كانوا فقراء كانت في مال القاتل إن كان له مال،و إلاّ فعلى الإمام،كما يأتي ثمّة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قتل في الشهر الحرام و هو أحد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المحرّم،و رجب، </w:t>
      </w:r>
    </w:p>
    <w:p>
      <w:pPr>
        <w:pStyle w:val="BookText"/>
        <w:rPr/>
      </w:pPr>
      <w:r>
        <w:rPr>
          <w:rFonts w:ascii="Amiri" w:hAnsi="Amiri" w:eastAsia="Amiri" w:cs="Amiri"/>
          <w:color w:val="111111"/>
          <w:sz w:val="28"/>
          <w:sz w:val="28"/>
          <w:szCs w:val="28"/>
          <w:rtl w:val="true"/>
          <w:lang w:bidi="ar-SA"/>
        </w:rPr>
        <w:t xml:space="preserve">و ذو القعدة،و ذو الحجة أُلزم دية و ثلثاً من أيّ الأجناس كان،لمستحق الأصل؛ تغليظاً عليه،لانتهاكه الحرمة،بلا خلاف فيه أجده،بل عليه الإجماع في عبائر جماعة حدّ الاستفاضة </w:t>
      </w:r>
      <w:r>
        <w:rPr>
          <w:rStyle w:val="FootnoteAnchor"/>
          <w:rtl w:val="true"/>
        </w:rPr>
        <w:footnoteReference w:id="170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المعتبرة </w:t>
      </w:r>
      <w:r>
        <w:rPr>
          <w:rStyle w:val="FootnoteAnchor"/>
          <w:rtl w:val="true"/>
        </w:rPr>
        <w:footnoteReference w:id="1706"/>
      </w:r>
      <w:r>
        <w:rPr>
          <w:rFonts w:ascii="Amiri" w:hAnsi="Amiri" w:eastAsia="Amiri" w:cs="Amiri"/>
          <w:color w:val="111111"/>
          <w:sz w:val="28"/>
          <w:sz w:val="28"/>
          <w:szCs w:val="28"/>
          <w:rtl w:val="true"/>
          <w:lang w:bidi="ar-SA"/>
        </w:rPr>
        <w:t>ففي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دية و ثلث</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يقتل في الشهر الحرام،ما ديته؟قال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و ثلث</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يلزم مثل ذلك لو قتل في الحرم الشريف المكي زاده اللّه شرفاً؟ قال الشيخان </w:t>
      </w:r>
      <w:r>
        <w:rPr>
          <w:rStyle w:val="FootnoteAnchor"/>
          <w:rtl w:val="true"/>
        </w:rPr>
        <w:footnoteReference w:id="1709"/>
      </w:r>
      <w:r>
        <w:rPr>
          <w:rFonts w:ascii="Amiri" w:hAnsi="Amiri" w:eastAsia="Amiri" w:cs="Amiri"/>
          <w:color w:val="111111"/>
          <w:sz w:val="28"/>
          <w:sz w:val="28"/>
          <w:szCs w:val="28"/>
          <w:rtl w:val="true"/>
          <w:lang w:bidi="ar-SA"/>
        </w:rPr>
        <w:t>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منهم ابن زهرة و الحلّي </w:t>
      </w:r>
      <w:r>
        <w:rPr>
          <w:rStyle w:val="FootnoteAnchor"/>
          <w:rtl w:val="true"/>
        </w:rPr>
        <w:footnoteReference w:id="1710"/>
      </w:r>
      <w:r>
        <w:rPr>
          <w:rFonts w:ascii="Amiri" w:hAnsi="Amiri" w:eastAsia="Amiri" w:cs="Amiri"/>
          <w:color w:val="111111"/>
          <w:sz w:val="28"/>
          <w:sz w:val="28"/>
          <w:szCs w:val="28"/>
          <w:rtl w:val="true"/>
          <w:lang w:bidi="ar-SA"/>
        </w:rPr>
        <w:t>،مدّعيين عليه في ظاهر كلامهما إجماع الإمامية،كما ستعرفه،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دية و ثلث</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جماعة و منهم الماتن هنا و في الشرائع </w:t>
      </w:r>
      <w:r>
        <w:rPr>
          <w:rStyle w:val="FootnoteAnchor"/>
          <w:rtl w:val="true"/>
        </w:rPr>
        <w:footnoteReference w:id="1712"/>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الوجه خلوّ فتواهم عن الرواية،بل مطلق الحجة،و كأنّهم لم يقفوا على هذه الرواية،و إلّا فهي مع اعتبار سندها في المطلوب صريحة،معتضدة </w:t>
      </w:r>
    </w:p>
    <w:p>
      <w:pPr>
        <w:pStyle w:val="BookText"/>
        <w:rPr/>
      </w:pPr>
      <w:r>
        <w:rPr>
          <w:rFonts w:ascii="Amiri" w:hAnsi="Amiri" w:eastAsia="Amiri" w:cs="Amiri"/>
          <w:color w:val="111111"/>
          <w:sz w:val="28"/>
          <w:sz w:val="28"/>
          <w:szCs w:val="28"/>
          <w:rtl w:val="true"/>
          <w:lang w:bidi="ar-SA"/>
        </w:rPr>
        <w:t>بما مرّ من الإجماعات المحكية،و بما علّله المتأخّرون من اشتراكهما في الحرمة و تغليظ قتل الصيد فيه المناسب لتغليظ غيره،فقولهم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بها حرم المدينة و مشاهد الأئمّة على مشرّفها ألف صلاة و سلام و تحية؟مقتضى الأصل العدم،و في الشرائع و الإرشاد و التحرير </w:t>
      </w:r>
      <w:r>
        <w:rPr>
          <w:rStyle w:val="FootnoteAnchor"/>
          <w:rtl w:val="true"/>
        </w:rPr>
        <w:footnoteReference w:id="1713"/>
      </w:r>
      <w:r>
        <w:rPr>
          <w:rFonts w:ascii="Amiri" w:hAnsi="Amiri" w:eastAsia="Amiri" w:cs="Amiri"/>
          <w:color w:val="111111"/>
          <w:sz w:val="28"/>
          <w:sz w:val="28"/>
          <w:szCs w:val="28"/>
          <w:rtl w:val="true"/>
          <w:lang w:bidi="ar-SA"/>
        </w:rPr>
        <w:t xml:space="preserve">عن الشيخ الإلحاق،و عبارته في النهاية لا تساعده،كما نبّه عليه الحلّي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اختصاص التغليظ بالعمد </w:t>
      </w:r>
      <w:r>
        <w:rPr>
          <w:rStyle w:val="FootnoteAnchor"/>
          <w:rtl w:val="true"/>
        </w:rPr>
        <w:footnoteReference w:id="1715"/>
      </w:r>
      <w:r>
        <w:rPr>
          <w:rFonts w:ascii="Amiri" w:hAnsi="Amiri" w:eastAsia="Amiri" w:cs="Amiri"/>
          <w:color w:val="111111"/>
          <w:sz w:val="28"/>
          <w:sz w:val="28"/>
          <w:szCs w:val="28"/>
          <w:rtl w:val="true"/>
          <w:lang w:bidi="ar-SA"/>
        </w:rPr>
        <w:t>للأصل،و اختصاص أكثر الفتاوي به من حيث التعليل بالانتهاك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 مقتضى الخبرين العموم،و به صرّح الحلّي،فقال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أنّ الدية تغلظ في العمد المحض و عمد الخطأ،و تخفّف في الخطأ المحض أبداً إلّا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 الزمان،فالمكان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الأشهر الحرم،فعندنا أنّها تغلظ بأن توجب دية و ثلثاً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كما ترى دعوى 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ابن زهرة،حيث أطلق الحكم و لم يعلّل بما يوجب التقييد بالعمد،فقال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القاتل في الحرم أو في شهر حرام دية و ثلث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بدليل إجماع الطائفة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الإطلاق عبارة الفاضل في التحرير و الإرشاد </w:t>
      </w:r>
      <w:r>
        <w:rPr>
          <w:rStyle w:val="FootnoteAnchor"/>
          <w:rtl w:val="true"/>
        </w:rPr>
        <w:footnoteReference w:id="1718"/>
      </w:r>
      <w:r>
        <w:rPr>
          <w:rFonts w:ascii="Amiri" w:hAnsi="Amiri" w:eastAsia="Amiri" w:cs="Amiri"/>
          <w:color w:val="111111"/>
          <w:sz w:val="28"/>
          <w:sz w:val="28"/>
          <w:szCs w:val="28"/>
          <w:rtl w:val="true"/>
          <w:lang w:bidi="ar-SA"/>
        </w:rPr>
        <w:t xml:space="preserve">،و لذا صرّح </w:t>
      </w:r>
    </w:p>
    <w:p>
      <w:pPr>
        <w:pStyle w:val="BookText"/>
        <w:rPr/>
      </w:pPr>
      <w:r>
        <w:rPr>
          <w:rFonts w:ascii="Amiri" w:hAnsi="Amiri" w:eastAsia="Amiri" w:cs="Amiri"/>
          <w:color w:val="111111"/>
          <w:sz w:val="28"/>
          <w:sz w:val="28"/>
          <w:szCs w:val="28"/>
          <w:rtl w:val="true"/>
          <w:lang w:bidi="ar-SA"/>
        </w:rPr>
        <w:t xml:space="preserve">بالعموم للثلاثة بعض متأخّري الأصحاب </w:t>
      </w:r>
      <w:r>
        <w:rPr>
          <w:rStyle w:val="FootnoteAnchor"/>
          <w:rtl w:val="true"/>
        </w:rPr>
        <w:footnoteReference w:id="1719"/>
      </w:r>
      <w:r>
        <w:rPr>
          <w:rFonts w:ascii="Amiri" w:hAnsi="Amiri" w:eastAsia="Amiri" w:cs="Amiri"/>
          <w:color w:val="111111"/>
          <w:sz w:val="28"/>
          <w:sz w:val="28"/>
          <w:szCs w:val="28"/>
          <w:rtl w:val="true"/>
          <w:lang w:bidi="ar-SA"/>
        </w:rPr>
        <w:t>مدّعياً عليه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تغليظ عندنا في الأطراف،كما صرّح به جماعة من الأصحاب </w:t>
      </w:r>
      <w:r>
        <w:rPr>
          <w:rStyle w:val="FootnoteAnchor"/>
          <w:rtl w:val="true"/>
        </w:rPr>
        <w:footnoteReference w:id="1720"/>
      </w:r>
      <w:r>
        <w:rPr>
          <w:rFonts w:ascii="Amiri" w:hAnsi="Amiri" w:eastAsia="Amiri" w:cs="Amiri"/>
          <w:color w:val="111111"/>
          <w:sz w:val="28"/>
          <w:sz w:val="28"/>
          <w:szCs w:val="28"/>
          <w:rtl w:val="true"/>
          <w:lang w:bidi="ar-SA"/>
        </w:rPr>
        <w:t xml:space="preserve">، و ادّعى بعضهم في ظاهر كلامه الإجماع عليه </w:t>
      </w:r>
      <w:r>
        <w:rPr>
          <w:rStyle w:val="FootnoteAnchor"/>
          <w:rtl w:val="true"/>
        </w:rPr>
        <w:footnoteReference w:id="1721"/>
      </w:r>
      <w:r>
        <w:rPr>
          <w:rFonts w:ascii="IRNazanin" w:hAnsi="IRNazanin" w:eastAsia="IRNazanin"/>
          <w:color w:val="111111"/>
          <w:sz w:val="28"/>
          <w:sz w:val="28"/>
          <w:szCs w:val="28"/>
          <w:rtl w:val="true"/>
          <w:lang w:bidi="fa-IR"/>
        </w:rPr>
        <w:t>للأصل،و اختصاص الفتوى و النص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في قتل الأقارب؛ لذلك،و به صرّح في المختلف </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للمبسوط و الخلاف </w:t>
      </w:r>
      <w:r>
        <w:rPr>
          <w:rStyle w:val="FootnoteAnchor"/>
          <w:rtl w:val="true"/>
        </w:rPr>
        <w:footnoteReference w:id="1723"/>
      </w:r>
      <w:r>
        <w:rPr>
          <w:rFonts w:ascii="Amiri" w:hAnsi="Amiri" w:eastAsia="Amiri" w:cs="Amiri"/>
          <w:color w:val="111111"/>
          <w:sz w:val="28"/>
          <w:sz w:val="28"/>
          <w:szCs w:val="28"/>
          <w:rtl w:val="true"/>
          <w:lang w:bidi="ar-SA"/>
        </w:rPr>
        <w:t>،فيغلظ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 مع شذوذه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في دية قتل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دية قتل المرأة الحرّة المسلمة ف على النصف من الجميع أي جميع المقادير الستّة المتقدمة،فمن الإبل خمسون،و من الدنانير خمسمائة،و هكذا،إجماعاً محقّقاً و محكياً في كلام جماعة حدّ الاستفاضة </w:t>
      </w:r>
      <w:r>
        <w:rPr>
          <w:rStyle w:val="FootnoteAnchor"/>
          <w:rtl w:val="true"/>
        </w:rPr>
        <w:footnoteReference w:id="172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الصحاح المستفيضة و غيرها من المعتبرة التي كادت تكون متواترة،فمنها زيادةً على ما مرّ في بحث تساوي الرجل و المرأة في دية الجراحات ما يبلغ الثلث و غيره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امرأة خطأً و هي على رأس الولد تمخض؟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تختلف دية الخطأ و العمد و شبههما في شيء من المقادير الستة عدا النعم أي الإبل،فتختلف دية الثلاثة فيها كما عرفته،و أمّا عدم الاختلاف فيما عداها و ثبوته في شبيه العمد و الخطأ أيضاً مخيّراً بينها فقد ذكره جماعة،كالفاضلين هنا و في الإرشاد و القواعد،و الشهيدين في اللمعتين،و غيرهما </w:t>
      </w:r>
      <w:r>
        <w:rPr>
          <w:rStyle w:val="FootnoteAnchor"/>
          <w:rtl w:val="true"/>
        </w:rPr>
        <w:footnoteReference w:id="1727"/>
      </w:r>
      <w:r>
        <w:rPr>
          <w:rFonts w:ascii="Amiri" w:hAnsi="Amiri" w:eastAsia="Amiri" w:cs="Amiri"/>
          <w:color w:val="111111"/>
          <w:sz w:val="28"/>
          <w:sz w:val="28"/>
          <w:szCs w:val="28"/>
          <w:rtl w:val="true"/>
          <w:lang w:bidi="ar-SA"/>
        </w:rPr>
        <w:t xml:space="preserve">،من غير ذكر خلاف و لا إشكال،و هو أيضاً ظاهر الحلّي </w:t>
      </w:r>
      <w:r>
        <w:rPr>
          <w:rStyle w:val="FootnoteAnchor"/>
          <w:rtl w:val="true"/>
        </w:rPr>
        <w:footnoteReference w:id="1728"/>
      </w:r>
      <w:r>
        <w:rPr>
          <w:rFonts w:ascii="Amiri" w:hAnsi="Amiri" w:eastAsia="Amiri" w:cs="Amiri"/>
          <w:color w:val="111111"/>
          <w:sz w:val="28"/>
          <w:sz w:val="28"/>
          <w:szCs w:val="28"/>
          <w:rtl w:val="true"/>
          <w:lang w:bidi="ar-SA"/>
        </w:rPr>
        <w:t>مدّعياً عليه الإجماع في ظاهر كلامه،و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أكثر النصوص الواردة بالستة كما عرفته،و تصريح جملة منها بالتخيير بين جملة منها في الخطأ،و لا قائل بالفرق،ففي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الخطأ إذا لم يرد الرجل القتل مائة من الإبل،أو عشرة آلاف من الورق،أو ألف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المغلظة التي تشبه العمد و ليست بعمد أفضل من الخطأ بأسنان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ثلاثون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مائة من الإبل،أو ألف من الغنم،أو عشرة آلاف درهم،أو ألف دينار،و إن كانت الإبل فخمس و عشرون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سبق أيضاً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الرجل مائة من الإبل،فإن لم يكن فمن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العمد،و في الخطأ مثل العمد ألف شاة مخلطة</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الصحيحة المتقدمة </w:t>
      </w:r>
      <w:r>
        <w:rPr>
          <w:rStyle w:val="FootnoteAnchor"/>
          <w:rtl w:val="true"/>
        </w:rPr>
        <w:footnoteReference w:id="1732"/>
      </w:r>
      <w:r>
        <w:rPr>
          <w:rFonts w:ascii="Amiri" w:hAnsi="Amiri" w:eastAsia="Amiri" w:cs="Amiri"/>
          <w:color w:val="111111"/>
          <w:sz w:val="28"/>
          <w:sz w:val="28"/>
          <w:szCs w:val="28"/>
          <w:rtl w:val="true"/>
          <w:lang w:bidi="ar-SA"/>
        </w:rPr>
        <w:t xml:space="preserve">صريحة في ثبوت الدراهم في قتل الخطأ في المرأة،فكذا غيره و غيرها؛ لعدم القائل بالفرق أصلاً كما مضى،فلا إشكال في المسألة بحمد اللّه سبحانه،و إن كان ربما يظهر من بعض متأخّري المتأخّرين </w:t>
      </w:r>
      <w:r>
        <w:rPr>
          <w:rStyle w:val="FootnoteAnchor"/>
          <w:rtl w:val="true"/>
        </w:rPr>
        <w:footnoteReference w:id="1733"/>
      </w:r>
      <w:r>
        <w:rPr>
          <w:rFonts w:ascii="Amiri" w:hAnsi="Amiri" w:eastAsia="Amiri" w:cs="Amiri"/>
          <w:color w:val="111111"/>
          <w:sz w:val="28"/>
          <w:sz w:val="28"/>
          <w:szCs w:val="28"/>
          <w:rtl w:val="true"/>
          <w:lang w:bidi="ar-SA"/>
        </w:rPr>
        <w:t>حصول نوع شك له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مقدار دية الحرّ الذمي روايتان،بل روايات، و المشهور منها التي عليها عامّة أصحابنا إلّا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ثمانمائة درهم مطلقاً،يهوديّاً كان أو نصرانيّاً أو مجوسيّاً،و هي مع ذلك صحاح و معتبرة مستفيضة كادت تبلغ التواتر،معتضدة بالأصل و بمخالفة العامّة و الإجماع المحكي في الغنية و كنز العرفان </w:t>
      </w:r>
      <w:r>
        <w:rPr>
          <w:rStyle w:val="FootnoteAnchor"/>
          <w:rtl w:val="true"/>
        </w:rPr>
        <w:footnoteReference w:id="1734"/>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دية اليهودي و النصراني و المجوسي؟قال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ديتهم سواء ثمانمائة درهم</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ذمّة فديته </w:t>
      </w:r>
    </w:p>
    <w:p>
      <w:pPr>
        <w:pStyle w:val="BookText"/>
        <w:rPr/>
      </w:pP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 درهم،و دية المجوسي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للمجوس كتاباً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جاماس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قاصرة عن المقاومة للرواية الاُولى من وجوه شتّى، سيّما مع اختلافها،و مخالفة بعضها بعضاً،و موافقتها للعامّة العمياء،كما حكاه عنهم خالي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حملها على التقية،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حمل ما زاد على ثمانمائة على التقية؛ لموافقتها لمذاهب العامّة؛ إذ ذهب جماعة منهم إلى أنّ ديته ثلث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درهم</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و رووا ذلك عن عمر و عثمان،و ذهب إليه الشافعي،و رووا أيضاً عن عمر رواية أُخرى،و هي أنّ دية اليهودي و النصراني أربعة آلاف درهم، و دية المجوسي ثمانمائة درهم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ذلك شاذّة لا عامل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الأقوال في المسألة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عليه شيخ الطائفة في كتابي الحديث و النهاية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التفصيل بين قتل الذمّي اتفاقاً فثمانمائة،و قتله اعتياداً فما في الأخبار </w:t>
      </w:r>
    </w:p>
    <w:p>
      <w:pPr>
        <w:pStyle w:val="BookText"/>
        <w:rPr/>
      </w:pPr>
      <w:r>
        <w:rPr>
          <w:rFonts w:ascii="Amiri" w:hAnsi="Amiri" w:eastAsia="Amiri" w:cs="Amiri"/>
          <w:color w:val="111111"/>
          <w:sz w:val="28"/>
          <w:sz w:val="28"/>
          <w:szCs w:val="28"/>
          <w:rtl w:val="true"/>
          <w:lang w:bidi="ar-SA"/>
        </w:rPr>
        <w:t>الأخيرة باختلافها،بحمله له على اختلاف نظر الحاكم،قال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فللإمام أن يلزمه دية المسلم كاملة تارة،و أربعة آلاف درهم اخرى، بحسب ما يراه أصلح في الحال و أردع،فأمّا من كان ذلك منه نادراً لم يكن عليه أكثر من ثمانمائة درهم،حسب ما تضمنته 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عنه البأس في المختلف </w:t>
      </w:r>
      <w:r>
        <w:rPr>
          <w:rStyle w:val="FootnoteAnchor"/>
          <w:rtl w:val="true"/>
        </w:rPr>
        <w:footnoteReference w:id="1743"/>
      </w:r>
      <w:r>
        <w:rPr>
          <w:rFonts w:ascii="Amiri" w:hAnsi="Amiri" w:eastAsia="Amiri" w:cs="Amiri"/>
          <w:color w:val="111111"/>
          <w:sz w:val="28"/>
          <w:sz w:val="28"/>
          <w:szCs w:val="28"/>
          <w:rtl w:val="true"/>
          <w:lang w:bidi="ar-SA"/>
        </w:rPr>
        <w:t xml:space="preserve">،و مال إليه بعض من تأخّر </w:t>
      </w:r>
      <w:r>
        <w:rPr>
          <w:rStyle w:val="FootnoteAnchor"/>
          <w:rtl w:val="true"/>
        </w:rPr>
        <w:footnoteReference w:id="1744"/>
      </w:r>
      <w:r>
        <w:rPr>
          <w:rFonts w:ascii="Amiri" w:hAnsi="Amiri" w:eastAsia="Amiri" w:cs="Amiri"/>
          <w:color w:val="111111"/>
          <w:sz w:val="28"/>
          <w:sz w:val="28"/>
          <w:szCs w:val="28"/>
          <w:rtl w:val="true"/>
          <w:lang w:bidi="ar-SA"/>
        </w:rPr>
        <w:t>لظهور وجه الجمع المزبور من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قتل ذمّيا؟قال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شديد لا يحتمله الناس،فليعط أهله دية المسلم حتى ينكل عن قتل أهل السواد،و عن قتل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مسلماً غضب على ذمّي فأراد أن يقتله و يأخذ أرضه و يؤدي إلى أهله ثمانمائة درهم إذاً يكثر القتل في الذمّيين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لاشتراك الجمع المفتي به بالتكافؤ المفقود في المقام؛ لكثرة الأخبار الأوّلة،و صحتها،و موافقتها الأصل،و اشتهارها بإطلاقها شهرة عظيمة كادت تكون إجماعاً،بل لعلّها إجماع كما عرفته من الغنية </w:t>
      </w:r>
      <w:r>
        <w:rPr>
          <w:rStyle w:val="FootnoteAnchor"/>
          <w:rtl w:val="true"/>
        </w:rPr>
        <w:footnoteReference w:id="1746"/>
      </w:r>
      <w:r>
        <w:rPr>
          <w:rFonts w:ascii="Amiri" w:hAnsi="Amiri" w:eastAsia="Amiri" w:cs="Amiri"/>
          <w:color w:val="111111"/>
          <w:sz w:val="28"/>
          <w:sz w:val="28"/>
          <w:szCs w:val="28"/>
          <w:rtl w:val="true"/>
          <w:lang w:bidi="ar-SA"/>
        </w:rPr>
        <w:t>، و لا كذلك الأخبار الأخيرة حتى الموثقة المستشهد بها عليه،فإنّها بطرف الضدّ لتلك في المرجّحات المزبورة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الصدوق في الفقيه و الإسكافي </w:t>
      </w:r>
      <w:r>
        <w:rPr>
          <w:rStyle w:val="FootnoteAnchor"/>
          <w:rtl w:val="true"/>
        </w:rPr>
        <w:footnoteReference w:id="1747"/>
      </w:r>
      <w:r>
        <w:rPr>
          <w:rFonts w:ascii="Amiri" w:hAnsi="Amiri" w:eastAsia="Amiri" w:cs="Amiri"/>
          <w:color w:val="111111"/>
          <w:sz w:val="28"/>
          <w:sz w:val="28"/>
          <w:szCs w:val="28"/>
          <w:rtl w:val="true"/>
          <w:lang w:bidi="ar-SA"/>
        </w:rPr>
        <w:t xml:space="preserve">المفصِّلان تفصيلاً لا يوجد أثر لهما في الأخبار المزبورة،كما لا أثر لتفصيل الشيخ فيها و إن </w:t>
      </w:r>
    </w:p>
    <w:p>
      <w:pPr>
        <w:pStyle w:val="BookText"/>
        <w:rPr/>
      </w:pPr>
      <w:r>
        <w:rPr>
          <w:rFonts w:ascii="Amiri" w:hAnsi="Amiri" w:eastAsia="Amiri" w:cs="Amiri"/>
          <w:color w:val="111111"/>
          <w:sz w:val="28"/>
          <w:sz w:val="28"/>
          <w:szCs w:val="28"/>
          <w:rtl w:val="true"/>
          <w:lang w:bidi="ar-SA"/>
        </w:rPr>
        <w:t>أشعر به الموثق،و لا شاهد لتفصيلهما أصلاً،فإذاً قولهما أضعف الأقوال جدّاً،فلا فائدة لذكرهما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نسائهم الحرائر على النصف من ذلك أربعمائة درهم، بلا خلاف أجده،و لعلّ مستنده عموم الأدلّة المتقدمة بأنّ المرأة نصف الرجل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أعضائهما و جراحاتهما من ديتهما كدية أعضاء المسلم و جراحاته من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التغليظ بما يغلظ به المسلم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عموم الأخبار،و كون التغليظ على خلاف الأصل فيقتصر فيه على موضع الوفاق، و لعلّ الأوّل أقوى،و كذا تتساوى دية الرجل منهم و المرأة إلى أن تبلغ ثلث الدية فتنتصف كالمسلم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المستند في جميع ذلك نحو ما احتملنا كونه مستنداً في أصل المسألة،مع دعوى الإجماع عليه في الغنية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دية لغيرهم أي غير الثلاثة من أهل الكفر مطلقاً،حتى أنّ أهل الكتاب لو خرجوا عن الذمّة لم يكن لهم دية،بلا خلاف أجده؛ للأصل،مع عدم معلومية انصراف إطلاقات الدية إليهم،و إشعار جملة من المستفيضة الواردة في دية أهل الذمّة باختصاص شرعيتها لأهل الكفر بهم خاصّة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الموثق كالصحيح بأبان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المجوس و اليهود و النصارى،هل عليهم و على من قتلهم شيء إذا غشوا المسلمين،و أظهروا العداوة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أن يكون </w:t>
      </w:r>
    </w:p>
    <w:p>
      <w:pPr>
        <w:pStyle w:val="BookText"/>
        <w:rPr/>
      </w:pPr>
      <w:r>
        <w:rPr>
          <w:rFonts w:ascii="Amiri" w:hAnsi="Amiri" w:eastAsia="Amiri" w:cs="Amiri"/>
          <w:color w:val="111111"/>
          <w:sz w:val="28"/>
          <w:sz w:val="28"/>
          <w:szCs w:val="28"/>
          <w:rtl w:val="true"/>
          <w:lang w:bidi="ar-SA"/>
        </w:rPr>
        <w:t>متعوّداً 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5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دية ولد الزنا المظهر للإسلام قولان بل أقوال أشبههما و أشهرهما بين المتأخّرين بل عليه عامّتهم أنّ ديته كدية الحرّ المسلم لعموم الأدلّة على إسلام من أظهره،و جريان أحكامه عليه من غير قاطع على استثناء ولد الزناء،مضافاً إلى إطلاق أخبار الديات،و تصريح بعضها بالمسلم أو المؤمن الصادقين عليه بمجرّد إظهارهما،كما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للصدوق و علم الهدى </w:t>
      </w:r>
      <w:r>
        <w:rPr>
          <w:rStyle w:val="FootnoteAnchor"/>
          <w:rtl w:val="true"/>
        </w:rPr>
        <w:footnoteReference w:id="1751"/>
      </w:r>
      <w:r>
        <w:rPr>
          <w:rFonts w:ascii="Amiri" w:hAnsi="Amiri" w:eastAsia="Amiri" w:cs="Amiri"/>
          <w:color w:val="111111"/>
          <w:sz w:val="28"/>
          <w:sz w:val="28"/>
          <w:szCs w:val="28"/>
          <w:rtl w:val="true"/>
          <w:lang w:bidi="ar-SA"/>
        </w:rPr>
        <w:t xml:space="preserve">،و هو أنّ ديته كدية أهل الكتاب ثمانمائة درهم،كما في النصوص الصريحة المروية في آخر باب الزيادات من التهذيب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ما بين مرسلة،و ضعيفة بالجهالة،مع عدم جابر لها بالمرّة سوى دعوى الإجماع في كلام الأخير،و هي لندرة القائل،بل عدمه إلّا المدّعى و بعض من سبقه موهونة،فهي ضعيفة،كدعوى كفره التي استدل بها أيضاً مضافاً إلى الدعوى السابقة؛ لمنعها،كما هو ظاهر المتأخّرين، و صرّح به في المختلف،فقال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الذي بنى السيّد عليه من كفر ولد الزناء ممنوع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صحّت هذه الدعوى لكان مقتضاها عدم الدية مطلقا،كما عليه الحلّي </w:t>
      </w:r>
      <w:r>
        <w:rPr>
          <w:rStyle w:val="FootnoteAnchor"/>
          <w:rtl w:val="true"/>
        </w:rPr>
        <w:footnoteReference w:id="1754"/>
      </w:r>
      <w:r>
        <w:rPr>
          <w:rFonts w:ascii="Amiri" w:hAnsi="Amiri" w:eastAsia="Amiri" w:cs="Amiri"/>
          <w:color w:val="111111"/>
          <w:sz w:val="28"/>
          <w:sz w:val="28"/>
          <w:szCs w:val="28"/>
          <w:rtl w:val="true"/>
          <w:lang w:bidi="ar-SA"/>
        </w:rPr>
        <w:t>مستدلّاً بها،هذا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السيّد ليس بذلك البعيد؛ للأصل،مع عدم معلومية دخول نحو ولد الزناء في إطلاق أخبار الديات،حتى ما ذكر فيه لفظ المؤمن و المسلم؛ لإطلاقهما الغير المعلوم الانصراف إلى نحوه،من حيث عدم تبادره منه،مع انسياقه سياق بيان مقدار الديات و غيره ممّا لا يتعلق بما نحن فيه،فيصير بالنسبة إليه كالمجمل الذي لا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شمول ما دلّ على جريان أحكام الإسلام على مظهره لنحو ما نحن فيه ليس بمقطوع،فلا يخرج عن مقتضى الأصل بمثله،و إنّما خرج عنه بالنسبة إلى دية الذمّي؛ لفحوى ما دل على ثبوتها فيه،مع شرفه بإسلامه الظاهري،و ليس وجوده كعدمه بالقطع حتى يلحق بالحربي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ما ذكرناه جابراً للنصوص و الإجماع المحكي،مع تأيّد الأخير بعدم ظهور مخالف فيه من القدماء عدا الحلّي المتأخّر عن حاكيه،و أمّا الشهرة فإنّما هي من زمن المحقّق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الروايات مع الجواب منها أشار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 ديته كدية الذمّي،و هي ضعيفة بما مرّ،إلّا أن يجبره السيّد بما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السند في بعضها </w:t>
      </w:r>
      <w:r>
        <w:rPr>
          <w:rStyle w:val="FootnoteAnchor"/>
          <w:rtl w:val="true"/>
        </w:rPr>
        <w:footnoteReference w:id="1755"/>
      </w:r>
      <w:r>
        <w:rPr>
          <w:rFonts w:ascii="Amiri" w:hAnsi="Amiri" w:eastAsia="Amiri" w:cs="Amiri"/>
          <w:color w:val="111111"/>
          <w:sz w:val="28"/>
          <w:sz w:val="28"/>
          <w:szCs w:val="28"/>
          <w:rtl w:val="true"/>
          <w:lang w:bidi="ar-SA"/>
        </w:rPr>
        <w:t>صحيح إلى جعفر بن بشير،و هو ثقة،و الإرسال بعده لعلّه غير ضارٍّ؛ لقول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الثقات و رووا عنه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مدحه،و لا يكون ذلك إلّا بتقدير عدم روايته عن الضعفاء، و إلّا فالرواية عن الثقة و غيره ليس بمدح كما لا يخفى،هذا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احتمال انجبارها أيضاً بنحو الأخبار الواردة في غسالة الحمّام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المانعة عنها،معلّلةً بأنّه يغتسل فيه اليهودي و النصراني و ولد الزناء،حيث ساقته في سياق أهل الكتاب مشعرةً باتحادهم في الحكم و المماثلة،فتأمّل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دية ولد الزناء؟قال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يعطى الذي أنفق ما أنفق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ثبوت الدية لا كما ذكره الحلّي و أنّها ما أنفق عليه، و هو يشمل ما قصر عن دية الحرّ المسلم،بل و الذمّي أيضاً،بل لعلّه ظاهر فيه،إلّا أنّ الأخير خارج بالإجماع،كخروج ما زاد عنه به أيضاً،فيتعيّن الثمانمائة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العدول بذلك الجواب عن لزوم دية الحرّ المسلم كالصريح، بل لعلّه صريح في عدم لزومها،فيضعّف به ما عليه المشهور جدّاً،و يتعيّن قول السيّد ظاهراً،فتأمل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دية العبد قيمته ما لم تتجاوز دية الحرّ و لو تجاوزت دية الحرّ ردّت إليه </w:t>
      </w:r>
      <w:r>
        <w:rPr>
          <w:rStyle w:val="FootnoteAnchor"/>
          <w:rtl w:val="true"/>
        </w:rPr>
        <w:footnoteReference w:id="1759"/>
      </w:r>
      <w:r>
        <w:rPr>
          <w:rFonts w:ascii="Amiri" w:hAnsi="Amiri" w:eastAsia="Amiri" w:cs="Amiri"/>
          <w:color w:val="111111"/>
          <w:sz w:val="28"/>
          <w:sz w:val="28"/>
          <w:szCs w:val="28"/>
          <w:rtl w:val="true"/>
          <w:lang w:bidi="ar-SA"/>
        </w:rPr>
        <w:t>و دية الأمة قيمتها ما لم تتجاوز دية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بدية الحرّ المسلم إن كان المملوك مسلماً و إن كان مولاه ذمّيا على الأقوى،و بدية الذمّي إن كان المملوك ذمّيا و لو كان مولاه مسلماً على الأقوى أيضاً،و قد مضى الكلام في المسألة و ما يتعلّق بها مستوفى في كتاب القصاص في الشرط الأوّل من شرائطه،فلا وجه لإعادته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كدية الأحرار تؤخذ من مال الجاني إن قتله أي العبد </w:t>
      </w:r>
    </w:p>
    <w:p>
      <w:pPr>
        <w:pStyle w:val="BookText"/>
        <w:rPr/>
      </w:pPr>
      <w:r>
        <w:rPr>
          <w:rFonts w:ascii="Amiri" w:hAnsi="Amiri" w:eastAsia="Amiri" w:cs="Amiri"/>
          <w:color w:val="111111"/>
          <w:sz w:val="28"/>
          <w:sz w:val="28"/>
          <w:szCs w:val="28"/>
          <w:rtl w:val="true"/>
          <w:lang w:bidi="ar-SA"/>
        </w:rPr>
        <w:t xml:space="preserve">عمداً أو شبيهاً به،و من عاقلته إن قتله خطأً و دية أعضائه و جراحاته تؤخذ بنسبة العضو إلى الكل من حيث قيمته على قياس نسبة أعضاء الحرّ إلى كلّه من حيث الدية فما أي أيّ عضو فيه أي في ذلك العضو حال كونه من الحرّ </w:t>
      </w:r>
      <w:r>
        <w:rPr>
          <w:rStyle w:val="FootnoteAnchor"/>
          <w:rtl w:val="true"/>
        </w:rPr>
        <w:footnoteReference w:id="1760"/>
      </w:r>
      <w:r>
        <w:rPr>
          <w:rFonts w:ascii="Amiri" w:hAnsi="Amiri" w:eastAsia="Amiri" w:cs="Amiri"/>
          <w:color w:val="111111"/>
          <w:sz w:val="28"/>
          <w:sz w:val="28"/>
          <w:szCs w:val="28"/>
          <w:rtl w:val="true"/>
          <w:lang w:bidi="ar-SA"/>
        </w:rPr>
        <w:t>ديته أي دية الحر ف في ذلك العضو من العبد قيمته،كاللسان و الذكر و اليدين و الرجلين،فلو جنى عليها من العبد كان فيها تمام قيمته ما لم يتجاوز دية الحرّ،كما أنّه لو جنى عليها من الحرّ كان فيها كمال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أي أيّ عضو من الحرّ في الجناية عليه دون ذلك أي دون كمال الدية من نصفها أو ثلثها مثلاً ف في الجناية عليه من العبد من قيمته بحسابه أي بحساب ما يؤخذ فيه من الدية في الحرّ،فلو قطع إحدى يديه الصحيحة مثلاً يؤخذ من قيمته نصفها،كما أنّه يؤخذ نصف دية الحرّ لو قطعت منه،و في حكم العبد بالنسبة إلى الحرّ الأمة بالنسبة إلى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أصل للعبد في المقدّر له و ينعكس في غيره، فيكون العبد أصل الحرّ فيما لا تقدير فيه منه،فيفرض الحرّ عبداً سليماً من الجناية و ينظر كم قيمته حينئذٍ،و يفرض عبداً فيه تلك الجناية و ينظر كم قيمته،و ينسب إحدى القيمتين إلى الأُخرى،و يؤخذ له من الدية بتلك النسبة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جميع ذلك واضح،مع عدم خلاف فيه أجده،و في المسالك أنّه كالمتفق عليه </w:t>
      </w:r>
      <w:r>
        <w:rPr>
          <w:rStyle w:val="FootnoteAnchor"/>
          <w:rtl w:val="true"/>
        </w:rPr>
        <w:footnoteReference w:id="1761"/>
      </w:r>
      <w:r>
        <w:rPr>
          <w:rFonts w:ascii="Amiri" w:hAnsi="Amiri" w:eastAsia="Amiri" w:cs="Amiri"/>
          <w:color w:val="111111"/>
          <w:sz w:val="28"/>
          <w:sz w:val="28"/>
          <w:szCs w:val="28"/>
          <w:rtl w:val="true"/>
          <w:lang w:bidi="ar-SA"/>
        </w:rPr>
        <w:t xml:space="preserve">،و يشهد له النصوص المستفيضة،منها زيادةً </w:t>
      </w:r>
    </w:p>
    <w:p>
      <w:pPr>
        <w:pStyle w:val="BookText"/>
        <w:rPr/>
      </w:pPr>
      <w:r>
        <w:rPr>
          <w:rFonts w:ascii="Amiri" w:hAnsi="Amiri" w:eastAsia="Amiri" w:cs="Amiri"/>
          <w:color w:val="111111"/>
          <w:sz w:val="28"/>
          <w:sz w:val="28"/>
          <w:szCs w:val="28"/>
          <w:rtl w:val="true"/>
          <w:lang w:bidi="ar-SA"/>
        </w:rPr>
        <w:t>على الموثقة الآتية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جرح الحرّ العبد فقيمة جراحته من حساب قيمته</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شجّ عبداً موضحة،قال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عشر قيمته</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جنى جان على العبد و في معناه الأمة بما فيه قيمته فليس للمولى المطالبة بها حتى يدفع العبد برمّته أي بتمامه إلى الجاني أو عاقلته إن قلنا بأنّها تعقله،بلا خلاف أجده،بل عليه الإجماع في عبائر جماعة حدّ الاستفاضة </w:t>
      </w:r>
      <w:r>
        <w:rPr>
          <w:rStyle w:val="FootnoteAnchor"/>
          <w:rtl w:val="true"/>
        </w:rPr>
        <w:footnoteReference w:id="1765"/>
      </w:r>
      <w:r>
        <w:rPr>
          <w:rFonts w:ascii="Amiri" w:hAnsi="Amiri" w:eastAsia="Amiri" w:cs="Amiri"/>
          <w:color w:val="111111"/>
          <w:sz w:val="28"/>
          <w:sz w:val="28"/>
          <w:szCs w:val="28"/>
          <w:rtl w:val="true"/>
          <w:lang w:bidi="ar-SA"/>
        </w:rPr>
        <w:t>،و به صريح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العبد أو ذكره أو شيء يحيط بقيمته أنّه يؤدّي إلى مولاه قيمة العبد،و يأخذ العبد</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الحجة،دون ما علّل به من استلزام جواز المطالبة مع عدم دفعه الجمع بين العوض و المعوّض عنه؛ لاندفاعه بأنّ القيمة عوض الجزء الفائت لا الباقي،و لذا قيل بجوازها معه فيما لو كان الجاني على العبد </w:t>
      </w:r>
    </w:p>
    <w:p>
      <w:pPr>
        <w:pStyle w:val="BookText"/>
        <w:rPr/>
      </w:pPr>
      <w:r>
        <w:rPr>
          <w:rFonts w:ascii="Amiri" w:hAnsi="Amiri" w:eastAsia="Amiri" w:cs="Amiri"/>
          <w:color w:val="111111"/>
          <w:sz w:val="28"/>
          <w:sz w:val="28"/>
          <w:szCs w:val="28"/>
          <w:rtl w:val="true"/>
          <w:lang w:bidi="ar-SA"/>
        </w:rPr>
        <w:t xml:space="preserve">غاصباً له </w:t>
      </w:r>
      <w:r>
        <w:rPr>
          <w:rStyle w:val="FootnoteAnchor"/>
          <w:rtl w:val="true"/>
        </w:rPr>
        <w:footnoteReference w:id="1767"/>
      </w:r>
      <w:r>
        <w:rPr>
          <w:rFonts w:ascii="Amiri" w:hAnsi="Amiri" w:eastAsia="Amiri" w:cs="Amiri"/>
          <w:color w:val="111111"/>
          <w:sz w:val="28"/>
          <w:sz w:val="28"/>
          <w:szCs w:val="28"/>
          <w:rtl w:val="true"/>
          <w:lang w:bidi="ar-SA"/>
        </w:rPr>
        <w:t>،و إنّما قيل بعدم الجواز في غيره للنص 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اختصاص لهما بغير الغاصب،بل يشملانه إطلاقاً،بل عموماً في الأوّل من حيث ترك الاستفصال فيه المفيد له على الأقوى، 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على المملوك بما دون ذلك أي بما لا يبلغ قيمته أخذ المولى أرش الجناية بنسبته من القيمة و ليس له أي للمولى دفعه أي العبد إلى الجاني و المطالبة بالقيمة أي بتمام قيمة العبد إلّا برضاء الجاني،بل يمسكه و يطلبه بدية الفائت مع التقدير،أو أرشه مع عدمه في الحرّ،فإنّه حقّه،دون الدفع و المطالبة بتمام القيمة؛ لأنّ ذلك معاوضة لا تثبت إلّا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للعامّة قول بأنّ له ذلك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يضمن المولى جناية العبد مطلقاً،و لكن يتعلّق برقبته، و للمولى الخيار بين دفعه أو فكّه بأرش الجناية أو بأقلّ الأمرين منه و من القيمة،على الخلاف المتقدم في القصاص في البحث المتقدم إليه قريباً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ثمة أيضاً الكلام في أنّه لا تخيّر لوليّ </w:t>
      </w:r>
      <w:r>
        <w:rPr>
          <w:rStyle w:val="FootnoteAnchor"/>
          <w:rtl w:val="true"/>
        </w:rPr>
        <w:footnoteReference w:id="1769"/>
      </w:r>
      <w:r>
        <w:rPr>
          <w:rFonts w:ascii="Amiri" w:hAnsi="Amiri" w:eastAsia="Amiri" w:cs="Amiri"/>
          <w:color w:val="111111"/>
          <w:sz w:val="28"/>
          <w:sz w:val="28"/>
          <w:szCs w:val="28"/>
          <w:rtl w:val="true"/>
          <w:lang w:bidi="ar-SA"/>
        </w:rPr>
        <w:t>المجني عليه بل للمولى إذا كانت الجناية خطأً،و ينعكس إذا كانت عمداً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لو كانت جنايته لا تستوعب قيمته تخيّر المولى أيضاً في دفع الأرش أو تسليمه ليستوفي المجني عليه منه قدر الجناية </w:t>
      </w:r>
    </w:p>
    <w:p>
      <w:pPr>
        <w:pStyle w:val="BookText"/>
        <w:rPr/>
      </w:pPr>
      <w:r>
        <w:rPr>
          <w:rFonts w:ascii="Amiri" w:hAnsi="Amiri" w:eastAsia="Amiri" w:cs="Amiri"/>
          <w:color w:val="111111"/>
          <w:sz w:val="28"/>
          <w:sz w:val="28"/>
          <w:szCs w:val="28"/>
          <w:rtl w:val="true"/>
          <w:lang w:bidi="ar-SA"/>
        </w:rPr>
        <w:t>استرقاقاً أو بيعاً و يكون المولى معه فيما يفضل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يستوي في جميع ذلك الرقّ المحض و المدبّر مطلقاً ذكراً كان أو أُنثى،أو أُمّ ولد على التردّد في الأخير لم يسبق ذكره فيما مضى،ينشأ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الأدلّة على أنّ المولى لا يعقل مملوكه،و من أنّ المولى باستيلاده منع من بيع رقبتها فأشبه ما لو أعتق الجاني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جنايتها في حقوق الناس على سيّدها، و ما كان من حقوق اللّه عزّ و جلّ في الحدود فإنّ ذلك في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خيرة الشيخ في ديات المبسوط،نافياً الخلاف فيه إلّا عن أبي ثور،قال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أرش جنايتها في ذمّتها يتبع به بعد العتق </w:t>
      </w:r>
      <w:r>
        <w:rPr>
          <w:rStyle w:val="FootnoteAnchor"/>
          <w:rtl w:val="true"/>
        </w:rPr>
        <w:footnoteReference w:id="1771"/>
      </w:r>
      <w:r>
        <w:rPr>
          <w:rFonts w:ascii="Amiri" w:hAnsi="Amiri" w:eastAsia="Amiri" w:cs="Amiri"/>
          <w:color w:val="111111"/>
          <w:sz w:val="28"/>
          <w:sz w:val="28"/>
          <w:szCs w:val="28"/>
          <w:rtl w:val="true"/>
          <w:lang w:bidi="ar-SA"/>
        </w:rPr>
        <w:t xml:space="preserve">،و تبعه القاضي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مذهبه في استيلاد المبسوط و الخلاف </w:t>
      </w:r>
      <w:r>
        <w:rPr>
          <w:rStyle w:val="FootnoteAnchor"/>
          <w:rtl w:val="true"/>
        </w:rPr>
        <w:footnoteReference w:id="1773"/>
      </w:r>
      <w:r>
        <w:rPr>
          <w:rFonts w:ascii="Amiri" w:hAnsi="Amiri" w:eastAsia="Amiri" w:cs="Amiri"/>
          <w:color w:val="111111"/>
          <w:sz w:val="28"/>
          <w:sz w:val="28"/>
          <w:szCs w:val="28"/>
          <w:rtl w:val="true"/>
          <w:lang w:bidi="ar-SA"/>
        </w:rPr>
        <w:t xml:space="preserve">،مدّعياً عليه إجماع الفرقة و أخبارهم على أنّها مملوكة يجوز بيعها،و تبعه الحلّي و أكثر المتأخّرين،كالفاضلين في الشرائع و التحرير و القواعد،و فخر الدين في شرحه،و الشهيدين في ظاهر المسالك و صريح اللمعة </w:t>
      </w:r>
      <w:r>
        <w:rPr>
          <w:rStyle w:val="FootnoteAnchor"/>
          <w:rtl w:val="true"/>
        </w:rPr>
        <w:footnoteReference w:id="1774"/>
      </w:r>
      <w:r>
        <w:rPr>
          <w:rFonts w:ascii="Amiri" w:hAnsi="Amiri" w:eastAsia="Amiri" w:cs="Amiri"/>
          <w:color w:val="111111"/>
          <w:sz w:val="28"/>
          <w:sz w:val="28"/>
          <w:szCs w:val="28"/>
          <w:rtl w:val="true"/>
          <w:lang w:bidi="ar-SA"/>
        </w:rPr>
        <w:t>،و نسبه في شرحها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يمنع عن كون الاستيلاد مانعاً من البيع هنا؛ لأنّ حق الجناية من الاستيلاد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قاصر سنداً بالجهالة،و إن روى عن موجبها الحسن بن محبوب الذي قد أجمع على تصحيح ما يصح عنه العصابة؛ لعدم بلوغه بذلك درجة الصحة فضلاً أن يعارض به الأدلّة المعتضدة بالشهرة الظاهرة و المحكية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نفي الخلاف موهون بنقل النافي له الإجماع على الخلاف،مع نفي الحلّي الخلاف عنه أيضاً </w:t>
      </w:r>
      <w:r>
        <w:rPr>
          <w:rStyle w:val="FootnoteAnchor"/>
          <w:rtl w:val="true"/>
        </w:rPr>
        <w:footnoteReference w:id="1775"/>
      </w:r>
      <w:r>
        <w:rPr>
          <w:rFonts w:ascii="Amiri" w:hAnsi="Amiri" w:eastAsia="Amiri" w:cs="Amiri"/>
          <w:color w:val="111111"/>
          <w:sz w:val="28"/>
          <w:sz w:val="28"/>
          <w:szCs w:val="28"/>
          <w:rtl w:val="true"/>
          <w:lang w:bidi="ar-SA"/>
        </w:rPr>
        <w:t>،بل ظاهره إجماعنا عليه كما في الخلاف،و أنّ خلافه مذهب أهل الخلاف،و عليه يتعيّن حمل الرواية على التقية</w:t>
      </w:r>
      <w:r>
        <w:rPr>
          <w:rFonts w:eastAsia="Amiri" w:cs="Amiri" w:ascii="Amiri" w:hAnsi="Amiri"/>
          <w:color w:val="111111"/>
          <w:sz w:val="28"/>
          <w:szCs w:val="28"/>
          <w:rtl w:val="true"/>
          <w:lang w:bidi="ar-SA"/>
        </w:rPr>
        <w:t xml:space="preserve">. </w:t>
      </w:r>
      <w:bookmarkStart w:id="228" w:name="pg11409_90959"/>
    </w:p>
    <w:p>
      <w:pPr>
        <w:pStyle w:val="Heading3"/>
        <w:numPr>
          <w:ilvl w:val="2"/>
          <w:numId w:val="1"/>
        </w:numPr>
        <w:rPr/>
      </w:pPr>
      <w:bookmarkStart w:id="229" w:name="__RefHeading___Toc1102749_73709187"/>
      <w:bookmarkStart w:id="230" w:name="_Toc84"/>
      <w:bookmarkEnd w:id="228"/>
      <w:bookmarkEnd w:id="229"/>
      <w:r>
        <w:rPr>
          <w:rtl w:val="true"/>
        </w:rPr>
        <w:t>النظر الثاني في موجبات الضمان</w:t>
      </w:r>
      <w:bookmarkEnd w:id="230"/>
    </w:p>
    <w:p>
      <w:pPr>
        <w:pStyle w:val="Heading4"/>
        <w:numPr>
          <w:ilvl w:val="3"/>
          <w:numId w:val="1"/>
        </w:numPr>
        <w:rPr/>
      </w:pPr>
      <w:bookmarkStart w:id="231" w:name="__RefHeading___Toc1102751_73709187"/>
      <w:bookmarkStart w:id="232" w:name="_Toc85"/>
      <w:bookmarkEnd w:id="231"/>
      <w:r>
        <w:rPr>
          <w:rtl w:val="true"/>
        </w:rPr>
        <w:t>البحث الأول عن المباشرة</w:t>
      </w:r>
      <w:bookmarkEnd w:id="232"/>
    </w:p>
    <w:p>
      <w:pPr>
        <w:pStyle w:val="Heading5"/>
        <w:numPr>
          <w:ilvl w:val="4"/>
          <w:numId w:val="1"/>
        </w:numPr>
        <w:rPr/>
      </w:pPr>
      <w:bookmarkStart w:id="233" w:name="__RefHeading___Toc1102753_73709187"/>
      <w:bookmarkStart w:id="234" w:name="_Toc8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النظر الثاني في بيان موجبات الضمان للدية مطلقاً و البحث فيه إمّا في المباشرة،أو التسبيب،أو تزاحم الموجبات أمّا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فضابطها الإتلاف لا مع القصد إليه و إن قصد الفعل الموجب له،كمن رمى غرضاً فأصاب إنساناً،أو ضربه للتأديب فمات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عرفت ذلك ف اعلم أنّ الطبيب يضمن في ماله من بل مطلق ما يتلف بعلاجه و لو طرفاً؛ لحصول التلف المستند إلى فعله، و لا يطلّ دم امرئ مسلم؛ و لأنّه قاصد إلى الفعل مخطئ في القصد،فكان فعله شبيه عمد و إن احتاط و اجتهد و أذن المريض أو وليّه،و كان حاذقاً ماهراً في فنّه علماً و عملاً؛ لأنّ ذلك لا دخل له في عدم الضمان هنا، لتحقق الضمان مع الخطأ المحض فهنا أولى و إن اختلف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ممّا لم أجد خلافاً فيه في صورة ما لو كان الطبيب قاصراً في المعرفة،أو عالج من غير إذن من يعتبر إذنه،و بنفي الخلاف هنا صرّح المقدّس الأردبيلي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التنقيح عليه الإجماع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إطلاقه حتى في ما لو كان عارفاً و عالج مأذوناً فلا خلاف فيه </w:t>
      </w:r>
    </w:p>
    <w:p>
      <w:pPr>
        <w:pStyle w:val="BookText"/>
        <w:rPr/>
      </w:pPr>
      <w:r>
        <w:rPr>
          <w:rFonts w:ascii="Amiri" w:hAnsi="Amiri" w:eastAsia="Amiri" w:cs="Amiri"/>
          <w:color w:val="111111"/>
          <w:sz w:val="28"/>
          <w:sz w:val="28"/>
          <w:szCs w:val="28"/>
          <w:rtl w:val="true"/>
          <w:lang w:bidi="ar-SA"/>
        </w:rPr>
        <w:t xml:space="preserve">أجده أيضاً،إلّا من الحلّي </w:t>
      </w:r>
      <w:r>
        <w:rPr>
          <w:rStyle w:val="FootnoteAnchor"/>
          <w:rtl w:val="true"/>
        </w:rPr>
        <w:footnoteReference w:id="1778"/>
      </w:r>
      <w:r>
        <w:rPr>
          <w:rFonts w:ascii="Amiri" w:hAnsi="Amiri" w:eastAsia="Amiri" w:cs="Amiri"/>
          <w:color w:val="111111"/>
          <w:sz w:val="28"/>
          <w:sz w:val="28"/>
          <w:szCs w:val="28"/>
          <w:rtl w:val="true"/>
          <w:lang w:bidi="ar-SA"/>
        </w:rPr>
        <w:t>،حيث قال هنا بعدم الضمان؛ للأصل؛ و لسقوطه بإذنه؛ و لأنّه فعل سائغ شرعاً فلا يستعقب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شذوذه،بل و دعوى الإجماع على خلافه في كلام جماعة، كابن زهرة و الماتن في نكت النهاية و الشهيد في نكته كما حكاه عنه في الروضة </w:t>
      </w:r>
      <w:r>
        <w:rPr>
          <w:rStyle w:val="FootnoteAnchor"/>
          <w:rtl w:val="true"/>
        </w:rPr>
        <w:footnoteReference w:id="1779"/>
      </w:r>
      <w:r>
        <w:rPr>
          <w:rFonts w:ascii="Amiri" w:hAnsi="Amiri" w:eastAsia="Amiri" w:cs="Amiri"/>
          <w:color w:val="111111"/>
          <w:sz w:val="28"/>
          <w:sz w:val="28"/>
          <w:szCs w:val="28"/>
          <w:rtl w:val="true"/>
          <w:lang w:bidi="ar-SA"/>
        </w:rPr>
        <w:t>مضعّف بأنّ أصالة البراءة ينقطع بدليل شغل الذمّة،و هو ما قد عرفته،و الإذن إنّما هو في العلاج لا في الإتلاف،و لا منافاة بين الجواز و الضمان كالضارب للتأديب،هذا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المختار المعتبران الآتيان في إفادة البراءة سقوط الضمان، و تضمين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حشفة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السند أو ضعفه مجبور بالعمل،مع نفي الحلّي بنفسه الخلاف عن صحة الأخير،لكن وجّهه بأنّ المراد أنّه فرّط فقطع غير ما أُريد منه،فإنّ الحشفة غير محل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جواب لهذا التوجيه إلّا من حيث الحكم بتعيّنه؛ إذ لا دليل في الخبر عليه،مع احتماله الحمل على غير صورة التفريط،كاحتماله الحمل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عنه الاكتفاء بهذا الاحتمال،فإنّه بمجرّده كافٍ في ردّ دلالة الرواية على الحكم في المسألة؛ لكونها قضية في واقعة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أبرأه المريض المعالج أو الوليّ له من الجناية قبل </w:t>
      </w:r>
    </w:p>
    <w:p>
      <w:pPr>
        <w:pStyle w:val="BookText"/>
        <w:rPr/>
      </w:pPr>
      <w:r>
        <w:rPr>
          <w:rFonts w:ascii="Amiri" w:hAnsi="Amiri" w:eastAsia="Amiri" w:cs="Amiri"/>
          <w:color w:val="111111"/>
          <w:sz w:val="28"/>
          <w:sz w:val="28"/>
          <w:szCs w:val="28"/>
          <w:rtl w:val="true"/>
          <w:lang w:bidi="ar-SA"/>
        </w:rPr>
        <w:t xml:space="preserve">وقوعها فالوجه الصحة وفاقاً للشيخ و أتباعه و الحلبي </w:t>
      </w:r>
      <w:r>
        <w:rPr>
          <w:rStyle w:val="FootnoteAnchor"/>
          <w:rtl w:val="true"/>
        </w:rPr>
        <w:footnoteReference w:id="1780"/>
      </w:r>
      <w:r>
        <w:rPr>
          <w:rFonts w:ascii="Amiri" w:hAnsi="Amiri" w:eastAsia="Amiri" w:cs="Amiri"/>
          <w:color w:val="111111"/>
          <w:sz w:val="28"/>
          <w:sz w:val="28"/>
          <w:szCs w:val="28"/>
          <w:rtl w:val="true"/>
          <w:lang w:bidi="ar-SA"/>
        </w:rPr>
        <w:t xml:space="preserve">،بل المشهور كما في المسالك و غيره </w:t>
      </w:r>
      <w:r>
        <w:rPr>
          <w:rStyle w:val="FootnoteAnchor"/>
          <w:rtl w:val="true"/>
        </w:rPr>
        <w:footnoteReference w:id="1781"/>
      </w:r>
      <w:r>
        <w:rPr>
          <w:rFonts w:ascii="IRNazanin" w:hAnsi="IRNazanin" w:eastAsia="IRNazanin"/>
          <w:color w:val="111111"/>
          <w:sz w:val="28"/>
          <w:sz w:val="28"/>
          <w:szCs w:val="28"/>
          <w:rtl w:val="true"/>
          <w:lang w:bidi="fa-IR"/>
        </w:rPr>
        <w:t xml:space="preserve">لإمساس </w:t>
      </w:r>
      <w:r>
        <w:rPr>
          <w:rStyle w:val="FootnoteAnchor"/>
          <w:rtl w:val="true"/>
        </w:rPr>
        <w:footnoteReference w:id="1782"/>
      </w:r>
      <w:r>
        <w:rPr>
          <w:rFonts w:ascii="Amiri" w:hAnsi="Amiri" w:eastAsia="Amiri" w:cs="Amiri"/>
          <w:color w:val="111111"/>
          <w:sz w:val="28"/>
          <w:sz w:val="28"/>
          <w:szCs w:val="28"/>
          <w:rtl w:val="true"/>
          <w:lang w:bidi="ar-SA"/>
        </w:rPr>
        <w:t>الضرورة و الحاجة إلى مثل ذلك؛ إذ لا غنى عن العلاج و إذا عرف الطبيب أنّه لا مخلص له عن الضمان توقّف عن العمل مع الضرورة إليه،فوجب في الحكمة شرع الإبراء؛ دفعاً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وليّه،و إلّا فهو ضامن</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و إنّما ذكر الولّي لأنّه هو المطالب على تقدير التلف،فلمّا شرع الإبراء قبل الاستقرار صرف إلى من يتولّى المطالبة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الحلّي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يصح؛ لأنّه إبراء ممّا لم يجب و أيّده شيخنا الشهيد الثاني </w:t>
      </w:r>
      <w:r>
        <w:rPr>
          <w:rStyle w:val="FootnoteAnchor"/>
          <w:rtl w:val="true"/>
        </w:rPr>
        <w:footnoteReference w:id="1785"/>
      </w:r>
      <w:r>
        <w:rPr>
          <w:rFonts w:ascii="Amiri" w:hAnsi="Amiri" w:eastAsia="Amiri" w:cs="Amiri"/>
          <w:color w:val="111111"/>
          <w:sz w:val="28"/>
          <w:sz w:val="28"/>
          <w:szCs w:val="28"/>
          <w:rtl w:val="true"/>
          <w:lang w:bidi="ar-SA"/>
        </w:rPr>
        <w:t>مجيباً عن الأدلّة السابقة،قال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الحاجة لا تكفي في شرعية الحكم بمجرّدها مع قيام الأدلّة على خلافه،و الخبر سكوني،مع أنّ البراءة حقيقة لا تكون إلّا بعد ثبوت الحق؛ لأنّها إسقاط ما في الذمّة من الحق،و ينبّه عليه أيضاً أخذها من الوليّ؛ إذ لا حقّ له قبل الجناية،و قد لا تصير إليه بتقدير عدم بلوغها القتل إذا أدّت إلى الأذى </w:t>
      </w:r>
      <w:r>
        <w:rPr>
          <w:rStyle w:val="FootnoteAnchor"/>
          <w:rtl w:val="true"/>
        </w:rPr>
        <w:footnoteReference w:id="17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ذكره من الجواب عن الحاجة لم أفهمه ،و عن الرواية بالضعف فمجبور على تقديره بالشهرة الظاهرة و المحكية في كلامه،نعم دلالتها ضعيفة بما ذكره،و لعلّه لذا جعلها الماتن مؤيّدة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أجاب عنه بعض الأجلّة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 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فعله لا أنّه فعله،و هو ظاهر،و قد مرّ وجه إسناده إلى الوليّ و أنّه تنبيه على صحة إبراء المريض إذا كان الحق له بالطريق الأولى،و أنّه لا يحتاج حينئذٍ إلى الأمر به،و هو ظاهر </w:t>
      </w:r>
      <w:r>
        <w:rPr>
          <w:rStyle w:val="FootnoteAnchor"/>
          <w:rtl w:val="true"/>
        </w:rPr>
        <w:footnoteReference w:id="17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الجواب و إن كان بعيداً لغة،إلّا أنّه لعلّه يساعده العرف و فهم الفقهاء،حيث فهموا من الرواية هذا،لا ما ذكره شيخنا و تفرّد به 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محل تردّد كما هو ظاهر الفاضلين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الإرشاد و القواعد و غيرهما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مقتضى الأصل مع عدم معلومية شمول ما دلّ على الضمان بالجناية شبيه العمد لها بعد الإذن و الإبراء عدم الضمان،و إلى هذا الوجه أشار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ثبت شرعاً أنّ كل إتلاف موجب للضمان </w:t>
      </w:r>
      <w:r>
        <w:rPr>
          <w:rStyle w:val="FootnoteAnchor"/>
          <w:rtl w:val="true"/>
        </w:rPr>
        <w:footnoteReference w:id="178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مسيس الحاجة،و الجواب عنه في كلام شيخنا قد عرفتَ أنه ما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أيّده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الإبراء عدم المؤاخذة،و عدم ثبوت حق لو حصل الموجب، و لا استبعاد في لزوم الوفاء بمعنى عدم ثبوت حق حينئذٍ،أو أنّه يثبت و يسقط،فلا يكون إسقاطاً لما ليس بثابت،فتأمّل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البيطار في المسألتين،فإنّه طبيب أيضاً لكن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النائم إذا انقلب على إنسان أو فحص برجله أو يده،أي قلبهما فقتل ه أو جرحه ضمن الدية،بلا خلاف أجده،و به صرّح في التنقيح و غيره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هي في ماله أم على عاقلته؟ تردّد و اختلاف،فبين قائلٍ بالأوّل،كالشيخين في النهاية و المقنعة و غيرهما من القدماء </w:t>
      </w:r>
      <w:r>
        <w:rPr>
          <w:rStyle w:val="FootnoteAnchor"/>
          <w:rtl w:val="true"/>
        </w:rPr>
        <w:footnoteReference w:id="1791"/>
      </w:r>
      <w:r>
        <w:rPr>
          <w:rFonts w:ascii="Amiri" w:hAnsi="Amiri" w:eastAsia="Amiri" w:cs="Amiri"/>
          <w:color w:val="111111"/>
          <w:sz w:val="28"/>
          <w:sz w:val="28"/>
          <w:szCs w:val="28"/>
          <w:rtl w:val="true"/>
          <w:lang w:bidi="ar-SA"/>
        </w:rPr>
        <w:t>، و مختارٍ للثاني،كأكثر المتأخّرين،بل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الأظهر؛ لأنّه مخطئ في فعله و قصده،فيكون خطأً محضاً و ديته على العاقلة اتفاقاً،كما مضى؛ مضافاً إلى التأيّد بالنصوص الآتية،و إن خالفت الأُصول في صورة واحدة لا دخل لها بمفروض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لم نجد للقول الأوّل دليلاً عدا ما يستفاد من الشيخ من دعوى كونه شبيه عمد،و فيه ما عرفته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يقتضيه أُصول مذهبنا أنّ الدية في جميع هذا يعني هذا و مسألة الظئر الآتية على العاقلة؛ لأنّ النائم غير عامد في فعله،و لا عامد في قصده،و هذا حدّ قتل </w:t>
      </w:r>
    </w:p>
    <w:p>
      <w:pPr>
        <w:pStyle w:val="BookText"/>
        <w:rPr/>
      </w:pPr>
      <w:r>
        <w:rPr>
          <w:rFonts w:ascii="Amiri" w:hAnsi="Amiri" w:eastAsia="Amiri" w:cs="Amiri"/>
          <w:color w:val="111111"/>
          <w:sz w:val="28"/>
          <w:sz w:val="28"/>
          <w:szCs w:val="28"/>
          <w:rtl w:val="true"/>
          <w:lang w:bidi="ar-SA"/>
        </w:rPr>
        <w:t xml:space="preserve">الخطأ المحض،و لا خلاف أنّ دية قتل الخطأ المحض على العاقلة،و إنّما هذه أخبار آحاد لا يرجع بها على الأدلّة،و الذي ينبغي تحصيله في هذا أنّ الدية على النائم نفسه؛ لأنّ أصحابنا جميعهم يوردون ذلك في باب ضمان النفوس،و ذلك لا يحمله العاقلة بلا خلاف </w:t>
      </w:r>
      <w:r>
        <w:rPr>
          <w:rStyle w:val="FootnoteAnchor"/>
          <w:rtl w:val="true"/>
        </w:rPr>
        <w:footnoteReference w:id="17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نقف على هذه الرواية،و لا أشار إليها أحد غيره،فمثلها مرسلة لا تصلح للحجية،فضلاً أن يخصّص بها الأُصول القطعية المعتضدة بالشهرة العظيمة،لكنّها فيما إذا لم يكن النائم ظئراً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هو الظئر ف للأصحاب 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التفصيل،و هو أنّها إن طلبت المظائرة للفخر و العزّة ضمنت الطفل في مالها إذا انقلبت عليه فمات،و إن كانت طلبتها للفقر و الحاجة فالدية على العاقلة اختاره الماتن هنا و في الشرائع و النكت،و الفاضل في الإرشاد،تبعاً للشيخ و ابن حمزة </w:t>
      </w:r>
      <w:r>
        <w:rPr>
          <w:rStyle w:val="FootnoteAnchor"/>
          <w:rtl w:val="true"/>
        </w:rPr>
        <w:footnoteReference w:id="1793"/>
      </w:r>
      <w:r>
        <w:rPr>
          <w:rFonts w:ascii="Amiri" w:hAnsi="Amiri" w:eastAsia="Amiri" w:cs="Amiri"/>
          <w:color w:val="111111"/>
          <w:sz w:val="28"/>
          <w:sz w:val="28"/>
          <w:szCs w:val="28"/>
          <w:rtl w:val="true"/>
          <w:lang w:bidi="ar-SA"/>
        </w:rPr>
        <w:t>،و به نصوص صريحة،لكن في سندها ضعف و جهالة،و في متنها مخالفة للأُصول المتقدمة؛ و لذا اختار الأكثر خلافها،و إن اختلفوا في محل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من جعله مالها مطلقاً،كالمفيد و الديلمي و الحلّي كما عرفته و ابن زهرة </w:t>
      </w:r>
      <w:r>
        <w:rPr>
          <w:rStyle w:val="FootnoteAnchor"/>
          <w:rtl w:val="true"/>
        </w:rPr>
        <w:footnoteReference w:id="1794"/>
      </w:r>
      <w:r>
        <w:rPr>
          <w:rFonts w:ascii="Amiri" w:hAnsi="Amiri" w:eastAsia="Amiri" w:cs="Amiri"/>
          <w:color w:val="111111"/>
          <w:sz w:val="28"/>
          <w:sz w:val="28"/>
          <w:szCs w:val="28"/>
          <w:rtl w:val="true"/>
          <w:lang w:bidi="ar-SA"/>
        </w:rPr>
        <w:t>،مدّعياً عليه إجماع الإمامية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جعله العاقلة،كالفاضل في التحرير و القواعد و المختلف، و شيخنا في المسالك </w:t>
      </w:r>
      <w:r>
        <w:rPr>
          <w:rStyle w:val="FootnoteAnchor"/>
          <w:rtl w:val="true"/>
        </w:rPr>
        <w:footnoteReference w:id="1795"/>
      </w:r>
      <w:r>
        <w:rPr>
          <w:rFonts w:ascii="Amiri" w:hAnsi="Amiri" w:eastAsia="Amiri" w:cs="Amiri"/>
          <w:color w:val="111111"/>
          <w:sz w:val="28"/>
          <w:sz w:val="28"/>
          <w:szCs w:val="28"/>
          <w:rtl w:val="true"/>
          <w:lang w:bidi="ar-SA"/>
        </w:rPr>
        <w:t>،و حكاه عن 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الأظهر؛ للأُصول المتقدّمة السليمة عمّا يصلح للمعارضة؛ لوهن إجماع ابن زهرة في نحو المسألة بلا شبهة،و قصور النصوص بما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الماتن في نكت النهاية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بالعمل بها؛ لاشتهارها،و انتشارها بين الفضلاء من علمائنا،و يمكن الفرق بين الظئر و غيرها بأنّ الظئر بإضجاعها الصبي إلى جانبها مساعدة بالقصد إلى فعل له شركة في التلف،فيضمن لا مع الضرورة </w:t>
      </w:r>
      <w:r>
        <w:rPr>
          <w:rStyle w:val="FootnoteAnchor"/>
          <w:rtl w:val="true"/>
        </w:rPr>
        <w:footnoteReference w:id="17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صحّت هذه الشهرة كانت جابرة،لكنّها كدعوى الإجماع موهونة،فلا يجسر بهما على الخروج عن الأُصول المتقدمة،مع أنّ دعواها معارضة بدعوى شيخنا في المسالك الأكثرية بين المتأخّرين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أعنف الرجل بزوجته جماعاً قبلاً أو دبراً أو ضمّاً فماتت ضمن الدية </w:t>
      </w:r>
      <w:r>
        <w:rPr>
          <w:rStyle w:val="FootnoteAnchor"/>
          <w:rtl w:val="true"/>
        </w:rPr>
        <w:footnoteReference w:id="1797"/>
      </w:r>
      <w:r>
        <w:rPr>
          <w:rFonts w:ascii="Amiri" w:hAnsi="Amiri" w:eastAsia="Amiri" w:cs="Amiri"/>
          <w:color w:val="111111"/>
          <w:sz w:val="28"/>
          <w:sz w:val="28"/>
          <w:szCs w:val="28"/>
          <w:rtl w:val="true"/>
          <w:lang w:bidi="ar-SA"/>
        </w:rPr>
        <w:t>في ماله إن لم يتعمّد القتل أو ما يؤدّي إليه غالباً، على الأظهر الأشهر،بل عليه عامّة المتأخّرين؛ لأنّه قتل شبيه العمد؛ لقصده الفعل و خطائه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أعنف على امرأته فزعم أنّها ماتت من عنفه؟قال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كاملة،و لا يقتل الرجل</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الماتن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سائغ فلا يترتب عليه ضمان؛ لأنّا نمنع و لا نجيز له العنف،قال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بينهما تهمة و ادّعى ورثة الميت </w:t>
      </w:r>
    </w:p>
    <w:p>
      <w:pPr>
        <w:pStyle w:val="BookText"/>
        <w:rPr/>
      </w:pPr>
      <w:r>
        <w:rPr>
          <w:rFonts w:ascii="Amiri" w:hAnsi="Amiri" w:eastAsia="Amiri" w:cs="Amiri"/>
          <w:color w:val="111111"/>
          <w:sz w:val="28"/>
          <w:sz w:val="28"/>
          <w:szCs w:val="28"/>
          <w:rtl w:val="true"/>
          <w:lang w:bidi="ar-SA"/>
        </w:rPr>
        <w:t xml:space="preserve">منهما أن الآخر قصد القتل أمكن أن يقال بالقسامة و إلزام القاتل القود </w:t>
      </w:r>
      <w:r>
        <w:rPr>
          <w:rStyle w:val="FootnoteAnchor"/>
          <w:rtl w:val="true"/>
        </w:rPr>
        <w:footnoteReference w:id="17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قطع الحلّي </w:t>
      </w:r>
      <w:r>
        <w:rPr>
          <w:rStyle w:val="FootnoteAnchor"/>
          <w:rtl w:val="true"/>
        </w:rPr>
        <w:footnoteReference w:id="1800"/>
      </w:r>
      <w:r>
        <w:rPr>
          <w:rFonts w:ascii="Amiri" w:hAnsi="Amiri" w:eastAsia="Amiri" w:cs="Amiri"/>
          <w:color w:val="111111"/>
          <w:sz w:val="28"/>
          <w:sz w:val="28"/>
          <w:szCs w:val="28"/>
          <w:rtl w:val="true"/>
          <w:lang w:bidi="ar-SA"/>
        </w:rPr>
        <w:t>،و لا بأس به إن بلغت التهمة اللوث المعتبر في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 و الفتوى و الأُصول أنّ عليه دية شبيه العمد،خلافاً للمفيد </w:t>
      </w:r>
      <w:r>
        <w:rPr>
          <w:rStyle w:val="FootnoteAnchor"/>
          <w:rtl w:val="true"/>
        </w:rPr>
        <w:footnoteReference w:id="1801"/>
      </w:r>
      <w:r>
        <w:rPr>
          <w:rFonts w:ascii="Amiri" w:hAnsi="Amiri" w:eastAsia="Amiri" w:cs="Amiri"/>
          <w:color w:val="111111"/>
          <w:sz w:val="28"/>
          <w:sz w:val="28"/>
          <w:szCs w:val="28"/>
          <w:rtl w:val="true"/>
          <w:lang w:bidi="ar-SA"/>
        </w:rPr>
        <w:t>،فجعلها مغلظة،و حجته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النهاية و عن الجامع </w:t>
      </w:r>
      <w:r>
        <w:rPr>
          <w:rStyle w:val="FootnoteAnchor"/>
          <w:rtl w:val="true"/>
        </w:rPr>
        <w:footnoteReference w:id="1802"/>
      </w:r>
      <w:r>
        <w:rPr>
          <w:rFonts w:ascii="Amiri" w:hAnsi="Amiri" w:eastAsia="Amiri" w:cs="Amiri"/>
          <w:color w:val="111111"/>
          <w:sz w:val="28"/>
          <w:sz w:val="28"/>
          <w:szCs w:val="28"/>
          <w:rtl w:val="true"/>
          <w:lang w:bidi="ar-SA"/>
        </w:rPr>
        <w:t>أنه إن كانا مأمونين فلا ضمان عليهما؛ 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أعنف على امرأة أو امرأة أعنفت على زوجها فقتل أحدهما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عليهما إذا كانا مأمونين، فإن كانا متّهمين أُلزما </w:t>
      </w:r>
      <w:r>
        <w:rPr>
          <w:rStyle w:val="FootnoteAnchor"/>
          <w:rtl w:val="true"/>
        </w:rPr>
        <w:footnoteReference w:id="1803"/>
      </w:r>
      <w:r>
        <w:rPr>
          <w:rFonts w:ascii="Amiri" w:hAnsi="Amiri" w:eastAsia="Amiri" w:cs="Amiri"/>
          <w:color w:val="111111"/>
          <w:sz w:val="28"/>
          <w:sz w:val="28"/>
          <w:szCs w:val="28"/>
          <w:rtl w:val="true"/>
          <w:lang w:bidi="ar-SA"/>
        </w:rPr>
        <w:t>اليمين باللّه أنّهما لم يريدا القتل</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الرواية كما ترى ضعف بالإرسال،و المخالفة للأُصول،و خصوص ما مرّ من النصوص،مع أنّها عامّة لا تصريح فيها بنفي الدية،فيحتمل الحمل على نفي القود و المؤاخذة خاصّة حمل المطلق على المقيّد،و يحمل اليمين فيها مع التهمة على يمين القسامة إثباتاً للقود دون الدية،و فيها الدلالة حينئذٍ على ما حكم الماتن بإمكانه و قطع به الحلّي من </w:t>
      </w:r>
    </w:p>
    <w:p>
      <w:pPr>
        <w:pStyle w:val="BookText"/>
        <w:rPr/>
      </w:pPr>
      <w:r>
        <w:rPr>
          <w:rFonts w:ascii="Amiri" w:hAnsi="Amiri" w:eastAsia="Amiri" w:cs="Amiri"/>
          <w:color w:val="111111"/>
          <w:sz w:val="28"/>
          <w:sz w:val="28"/>
          <w:szCs w:val="28"/>
          <w:rtl w:val="true"/>
          <w:lang w:bidi="ar-SA"/>
        </w:rPr>
        <w:t>ثبوت القسامة هنا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الجمع صرّح الشيخ في التهذيب و الاستبصار اللذين هما بعد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على رأسه متاعاً فكسره،أو أصاب به إنساناً أو غيره فقتله أو جرحه ضمن ذلك في ماله كما هنا و في الشرائع و التحرير و القواعد و الإرشاد و اللمعة </w:t>
      </w:r>
      <w:r>
        <w:rPr>
          <w:rStyle w:val="FootnoteAnchor"/>
          <w:rtl w:val="true"/>
        </w:rPr>
        <w:footnoteReference w:id="1806"/>
      </w:r>
      <w:r>
        <w:rPr>
          <w:rFonts w:ascii="Amiri" w:hAnsi="Amiri" w:eastAsia="Amiri" w:cs="Amiri"/>
          <w:color w:val="111111"/>
          <w:sz w:val="28"/>
          <w:sz w:val="28"/>
          <w:szCs w:val="28"/>
          <w:rtl w:val="true"/>
          <w:lang w:bidi="ar-SA"/>
        </w:rPr>
        <w:t xml:space="preserve">،لكن في الجناية على الإنسان خاصة،و عن النهاية و المهذّب و في السرائر </w:t>
      </w:r>
      <w:r>
        <w:rPr>
          <w:rStyle w:val="FootnoteAnchor"/>
          <w:rtl w:val="true"/>
        </w:rPr>
        <w:footnoteReference w:id="1807"/>
      </w:r>
      <w:r>
        <w:rPr>
          <w:rFonts w:ascii="Amiri" w:hAnsi="Amiri" w:eastAsia="Amiri" w:cs="Amiri"/>
          <w:color w:val="111111"/>
          <w:sz w:val="28"/>
          <w:sz w:val="28"/>
          <w:szCs w:val="28"/>
          <w:rtl w:val="true"/>
          <w:lang w:bidi="ar-SA"/>
        </w:rPr>
        <w:t>،لكن في ضمان المتاع خاصّة،و مع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يدفعه غيره،فضمانه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المسألة رواية داود بن سرحان الثقة،المروية بعدّة طرق،و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 على رأسه فأصاب إنساناً فمات أو انكسر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ردّها في المسالك بأنّ في طريقها سهل بن زياد،و هو ضعيف، و هي بإطلاقها مخالفة للقواعد؛ لأنّه إنّما يضمن المصدوم في ماله مع قصده إلى فعله و خطائه في القصد،فلو لم يقصد الفعل كان خطأً محضاً،كما تقرّر،و أمّا المتاع المحمول فيعتبر في ضمانه لو كان لغيره التفريط إذا كان أميناً عليه كغيره من الأموال </w:t>
      </w:r>
      <w:r>
        <w:rPr>
          <w:rStyle w:val="FootnoteAnchor"/>
          <w:rtl w:val="true"/>
        </w:rPr>
        <w:footnoteReference w:id="18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لعدم الضعف إلّا بالطريق المروي في الكافي و التهذيب </w:t>
      </w:r>
    </w:p>
    <w:p>
      <w:pPr>
        <w:pStyle w:val="BookText"/>
        <w:rPr/>
      </w:pPr>
      <w:r>
        <w:rPr>
          <w:rFonts w:ascii="Amiri" w:hAnsi="Amiri" w:eastAsia="Amiri" w:cs="Amiri"/>
          <w:color w:val="111111"/>
          <w:sz w:val="28"/>
          <w:sz w:val="28"/>
          <w:szCs w:val="28"/>
          <w:rtl w:val="true"/>
          <w:lang w:bidi="ar-SA"/>
        </w:rPr>
        <w:t xml:space="preserve">في باب ضمان النفوس،و أمّا الطريق الآخر المروي في الأخير و الفقيه </w:t>
      </w:r>
      <w:r>
        <w:rPr>
          <w:rStyle w:val="FootnoteAnchor"/>
          <w:rtl w:val="true"/>
        </w:rPr>
        <w:footnoteReference w:id="1810"/>
      </w:r>
      <w:r>
        <w:rPr>
          <w:rFonts w:ascii="Amiri" w:hAnsi="Amiri" w:eastAsia="Amiri" w:cs="Amiri"/>
          <w:color w:val="111111"/>
          <w:sz w:val="28"/>
          <w:sz w:val="28"/>
          <w:szCs w:val="28"/>
          <w:rtl w:val="true"/>
          <w:lang w:bidi="ar-SA"/>
        </w:rPr>
        <w:t xml:space="preserve">في كتاب الإجارات منهما فليس بضعيف،بل صحيح،و مع ذلك الضعف بسهل سهل،سيّما بعد الانجبار بعمل الأصحاب </w:t>
      </w:r>
      <w:r>
        <w:rPr>
          <w:rStyle w:val="FootnoteAnchor"/>
          <w:rtl w:val="true"/>
        </w:rPr>
        <w:footnoteReference w:id="1811"/>
      </w:r>
      <w:r>
        <w:rPr>
          <w:rFonts w:ascii="Amiri" w:hAnsi="Amiri" w:eastAsia="Amiri" w:cs="Amiri"/>
          <w:color w:val="111111"/>
          <w:sz w:val="28"/>
          <w:sz w:val="28"/>
          <w:szCs w:val="28"/>
          <w:rtl w:val="true"/>
          <w:lang w:bidi="ar-SA"/>
        </w:rPr>
        <w:t>،كما يظهر منه في الروضة،حيث إنّه بعد ما استشكل في إطلاق الحكم بمخالفة القاعدة بنحو ما في المسالك قد ذكره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أنّهم أطلقوا الحكم هنا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الجواب عنها بمخالفتها القاعدة؛ إذ هي لا توجب قدحاً في الرواية المعمولة،بل سبيلها كسبيل الروايات المخصّص بها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صحة السند و عمل الأصحاب لاتّجه ما ذكره،و لكنّهما يصححان ما في العبارة،بل لعلّ الصحة مع فتوى جماعة أيضاً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أيّد المختار بعض الأجلة مع زعمه ضعف الرواية،و مخالفتها القاعدة،فقال بعد تضعيفها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الأسباب،و إنّه غير معلوم دخوله في الخطأ؛ لما مرّ من تفسيره في الروايات و سيأتي أيضاً،و تضمين شخص بجناية غيره خلاف القواعد العقلية و النقلية، فلا يصار إليه إلّا في المجمع عليه و المتيقن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 أخيراً نظر واضح لا يحتاج وجهه إلى بيان،و إن استسلفه و اعتمد عليه في غير مقام،هذا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المختار في ضمان المتاع على الإطلاق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اتي بحمّال </w:t>
      </w:r>
    </w:p>
    <w:p>
      <w:pPr>
        <w:pStyle w:val="BookText"/>
        <w:rPr/>
      </w:pPr>
      <w:r>
        <w:rPr>
          <w:rFonts w:ascii="Amiri" w:hAnsi="Amiri" w:eastAsia="Amiri" w:cs="Amiri"/>
          <w:color w:val="111111"/>
          <w:sz w:val="28"/>
          <w:sz w:val="28"/>
          <w:szCs w:val="28"/>
          <w:rtl w:val="true"/>
          <w:lang w:bidi="ar-SA"/>
        </w:rPr>
        <w:t>كانت عليه قارورة عظيمة فيها دهن فكسرها فضمّنها إيّاه،و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عامل مشترك إذا أفسد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يعمل لي و لك و لذا</w:t>
      </w:r>
      <w:r>
        <w:rPr>
          <w:rFonts w:eastAsia="Amiri" w:cs="Amiri" w:ascii="Amiri" w:hAnsi="Amiri"/>
          <w:color w:val="111111"/>
          <w:sz w:val="28"/>
          <w:szCs w:val="28"/>
          <w:rtl w:val="true"/>
          <w:lang w:bidi="ar-SA"/>
        </w:rPr>
        <w:t xml:space="preserve">» </w:t>
      </w:r>
      <w:r>
        <w:rPr>
          <w:rStyle w:val="FootnoteAnchor"/>
          <w:rtl w:val="true"/>
        </w:rPr>
        <w:footnoteReference w:id="1814"/>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815"/>
      </w:r>
      <w:r>
        <w:rPr>
          <w:rFonts w:ascii="IRNazanin" w:hAnsi="IRNazanin" w:eastAsia="IRNazanin"/>
          <w:color w:val="111111"/>
          <w:sz w:val="28"/>
          <w:sz w:val="28"/>
          <w:szCs w:val="28"/>
          <w:rtl w:val="true"/>
          <w:lang w:bidi="fa-IR"/>
        </w:rPr>
        <w:t>،منجبر ضعف سندهما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الحمّال </w:t>
      </w:r>
      <w:r>
        <w:rPr>
          <w:rStyle w:val="FootnoteAnchor"/>
          <w:rtl w:val="true"/>
        </w:rPr>
        <w:footnoteReference w:id="1816"/>
      </w:r>
      <w:r>
        <w:rPr>
          <w:rFonts w:ascii="Amiri" w:hAnsi="Amiri" w:eastAsia="Amiri" w:cs="Amiri"/>
          <w:color w:val="111111"/>
          <w:sz w:val="28"/>
          <w:sz w:val="28"/>
          <w:szCs w:val="28"/>
          <w:rtl w:val="true"/>
          <w:lang w:bidi="ar-SA"/>
        </w:rPr>
        <w:t>يكسر الذي حمل أو يهريقه،قال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مأموناً فليس عليه شيء،و إن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فشاذّ غير معلوم العامل،و التفصيل بالتفريط و عدمه غير مذكور فيه، و حمل التفصيل فيه عليه ليس بأولى من حمله على ما إذا ادّعى كسر الحمل من دون علم صاحبه به،و يكون المراد حينئذٍ أنّه يستحب أن لا يكلّفه البينة إذا كان مأموناً،و إلّا فهو ضامن،و يكون حينئذٍ سبيله كسبيل كثير من الأخبار الدالّة على هذا التفصيل،هذا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المرتضى </w:t>
      </w:r>
      <w:r>
        <w:rPr>
          <w:rStyle w:val="FootnoteAnchor"/>
          <w:rtl w:val="true"/>
        </w:rPr>
        <w:footnoteReference w:id="1818"/>
      </w:r>
      <w:r>
        <w:rPr>
          <w:rFonts w:ascii="Amiri" w:hAnsi="Amiri" w:eastAsia="Amiri" w:cs="Amiri"/>
          <w:color w:val="111111"/>
          <w:sz w:val="28"/>
          <w:sz w:val="28"/>
          <w:szCs w:val="28"/>
          <w:rtl w:val="true"/>
          <w:lang w:bidi="ar-SA"/>
        </w:rPr>
        <w:t>دعوى الإجماع على ضمان الأجير ما يتلف في يده و لو بغير سببه،و تمام الكلام في هذه المسألة يطلب من كتاب الإجارة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النوفلي عن السكوني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ختّاناً قطع حشفة غلام </w:t>
      </w:r>
      <w:r>
        <w:rPr>
          <w:rStyle w:val="FootnoteAnchor"/>
          <w:rtl w:val="true"/>
        </w:rPr>
        <w:footnoteReference w:id="1819"/>
      </w:r>
      <w:r>
        <w:rPr>
          <w:rFonts w:ascii="Amiri" w:hAnsi="Amiri" w:eastAsia="Amiri" w:cs="Amiri"/>
          <w:color w:val="111111"/>
          <w:sz w:val="28"/>
          <w:sz w:val="28"/>
          <w:szCs w:val="28"/>
          <w:rtl w:val="true"/>
          <w:lang w:bidi="ar-SA"/>
        </w:rPr>
        <w:t xml:space="preserve">،و هي و إن قصر سندها بهما إلّا أنّها مناسبة للمذهب و إن حملت على غير </w:t>
      </w:r>
      <w:r>
        <w:rPr>
          <w:rStyle w:val="FootnoteAnchor"/>
          <w:rtl w:val="true"/>
        </w:rPr>
        <w:footnoteReference w:id="1820"/>
      </w:r>
      <w:r>
        <w:rPr>
          <w:rFonts w:ascii="Amiri" w:hAnsi="Amiri" w:eastAsia="Amiri" w:cs="Amiri"/>
          <w:color w:val="111111"/>
          <w:sz w:val="28"/>
          <w:sz w:val="28"/>
          <w:szCs w:val="28"/>
          <w:rtl w:val="true"/>
          <w:lang w:bidi="ar-SA"/>
        </w:rPr>
        <w:t xml:space="preserve">صورة التفريط؛ لما مرّ في ضمان الطبيب دية </w:t>
      </w:r>
    </w:p>
    <w:p>
      <w:pPr>
        <w:pStyle w:val="BookText"/>
        <w:rPr/>
      </w:pPr>
      <w:r>
        <w:rPr>
          <w:rFonts w:ascii="Amiri" w:hAnsi="Amiri" w:eastAsia="Amiri" w:cs="Amiri"/>
          <w:color w:val="111111"/>
          <w:sz w:val="28"/>
          <w:sz w:val="28"/>
          <w:szCs w:val="28"/>
          <w:rtl w:val="true"/>
          <w:lang w:bidi="ar-SA"/>
        </w:rPr>
        <w:t>ما يجنيه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وقع إنسان من علوّ على آخر فقتله </w:t>
      </w:r>
      <w:r>
        <w:rPr>
          <w:rStyle w:val="FootnoteAnchor"/>
          <w:rtl w:val="true"/>
        </w:rPr>
        <w:footnoteReference w:id="1821"/>
      </w:r>
      <w:r>
        <w:rPr>
          <w:rFonts w:ascii="Amiri" w:hAnsi="Amiri" w:eastAsia="Amiri" w:cs="Amiri"/>
          <w:color w:val="111111"/>
          <w:sz w:val="28"/>
          <w:sz w:val="28"/>
          <w:szCs w:val="28"/>
          <w:rtl w:val="true"/>
          <w:lang w:bidi="ar-SA"/>
        </w:rPr>
        <w:t>أو جرحه فإن قصد الوقوع عليه و كان ممّا يقتل غالبا أو نادراً لكن مع قصده القتل أيضاً قتل به لأنه عمد يوجب القود و إن لم يقصد القتل مع الندرة،بل قصد الوقوع عليه خاصّة فاتفق موته فهو شبيه عمد يضمن الدية في ماله،و إن قصد الوقوع لكن لا عليه فصادفه فهو خطأ محض ديته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دفعه الهواء أو زلق فوقع عليه بغير اختيار منه و لا قصد للوقوع فلا ضمان عليه،و لا على عاقلته؛ لعدم استناد القتل إلى فعله، بل إلى أمر خارجي،و ليس هو كالنائم المنقلب على غيره؛ لحصول الجناية فيه بفعله و لو من غير اختياره،بخلاف ما نحن فيه؛ لحصولها بفعل غيره و لو بواسطته،هذا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يسقط على الرجل فيقتله،فقال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رجل فقتله؟فقال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رجل من فوق البيت فمات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الأعلى شيء،و لا على الأسفل شيء</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كمن انقلب على غيره في النوم فقتله في وجوب الدية عليه أو على عاقلته،و أن يكون كقتيل الزحام في وجوبها في بيت المال كما في السرائر و التحرير </w:t>
      </w:r>
      <w:r>
        <w:rPr>
          <w:rStyle w:val="FootnoteAnchor"/>
          <w:rtl w:val="true"/>
        </w:rPr>
        <w:footnoteReference w:id="1826"/>
      </w:r>
      <w:r>
        <w:rPr>
          <w:rFonts w:ascii="Amiri" w:hAnsi="Amiri" w:eastAsia="Amiri" w:cs="Amiri"/>
          <w:color w:val="111111"/>
          <w:sz w:val="28"/>
          <w:sz w:val="28"/>
          <w:szCs w:val="28"/>
          <w:rtl w:val="true"/>
          <w:lang w:bidi="ar-SA"/>
        </w:rPr>
        <w:t>لئلّا يطلّ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الأوّل لما عرفت بعيد،و الثاني ليس بذلك البعيد و إن نافته ظواهر النصوص المتقدمة الواردة في مقام الحاجة،فلو وجبت الدية على بيت المال لبيّنته،فتأمّل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أصالة البراءة،هذا كلّه في الواقع عليه،و أمّا الواقع هو فدمه لو مات هدر على جميع التقادير،بلا خلاف </w:t>
      </w:r>
      <w:r>
        <w:rPr>
          <w:rStyle w:val="FootnoteAnchor"/>
          <w:rtl w:val="true"/>
        </w:rPr>
        <w:footnoteReference w:id="1827"/>
      </w:r>
      <w:r>
        <w:rPr>
          <w:rFonts w:ascii="Amiri" w:hAnsi="Amiri" w:eastAsia="Amiri" w:cs="Amiri"/>
          <w:color w:val="111111"/>
          <w:sz w:val="28"/>
          <w:sz w:val="28"/>
          <w:szCs w:val="28"/>
          <w:rtl w:val="true"/>
          <w:lang w:bidi="ar-SA"/>
        </w:rPr>
        <w:t>لأنّ قتله لم يستند إلى أحد يحال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يقع على رجل فيقتله فمات الأعلى،قال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الأسفل</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دفعه دافع و هو إنسان فالضمان أي ضمان المدفوع عليه لو مات أو انجرح على الدافع فيقاد منه إن قصد جنايته بذلك مطلقاً، و كذا إن لم يقصد جنايته مع كون الدفع ممّا يقتل غالباً،و إن كان ممّا يقتل نادراً فالدية في ماله إن قصد الدفع عليه،و إلّا فخطأ محض إن قصد مطلق الدفع تؤخذ من عاقلته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بكون الضمان على الدافع دون المدفوع هو الأشهر بين المتأخّرين على الظاهر،بل صرّح بالشهرة المطلقة شيخنا في الروضة </w:t>
      </w:r>
      <w:r>
        <w:rPr>
          <w:rStyle w:val="FootnoteAnchor"/>
          <w:rtl w:val="true"/>
        </w:rPr>
        <w:footnoteReference w:id="18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خيرة الحلّي و المفيد </w:t>
      </w:r>
      <w:r>
        <w:rPr>
          <w:rStyle w:val="FootnoteAnchor"/>
          <w:rtl w:val="true"/>
        </w:rPr>
        <w:footnoteReference w:id="1830"/>
      </w:r>
      <w:r>
        <w:rPr>
          <w:rFonts w:ascii="Amiri" w:hAnsi="Amiri" w:eastAsia="Amiri" w:cs="Amiri"/>
          <w:color w:val="111111"/>
          <w:sz w:val="28"/>
          <w:sz w:val="28"/>
          <w:szCs w:val="28"/>
          <w:rtl w:val="true"/>
          <w:lang w:bidi="ar-SA"/>
        </w:rPr>
        <w:t>على ما حكي عنه،و وجهه واضح؛ لأنّه هو السبب القوي،و المباشر ضعيف بالإلجاء أو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النصوص النافية للضمان عن الواقع،بل عمومها الشامل لمفروض المسألة،حيث لم يستفصل فيها عن كون الوقوع منه أو من غيره،و هو و إن استلزم عدم ضمان الواقع مطلقاً حتى في جملة من الصور المتقدمة المحكوم عليه فيها بضمانه،لكنّها مخرجة عنه بالإجماع، و لا إجماع هنا حتى يخرج به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النهاية و كتابي الحديث </w:t>
      </w:r>
      <w:r>
        <w:rPr>
          <w:rStyle w:val="FootnoteAnchor"/>
          <w:rtl w:val="true"/>
        </w:rPr>
        <w:footnoteReference w:id="1831"/>
      </w:r>
      <w:r>
        <w:rPr>
          <w:rFonts w:ascii="IRNazanin" w:hAnsi="IRNazanin" w:eastAsia="IRNazanin"/>
          <w:color w:val="111111"/>
          <w:sz w:val="28"/>
          <w:sz w:val="28"/>
          <w:szCs w:val="28"/>
          <w:rtl w:val="true"/>
          <w:lang w:bidi="fa-IR"/>
        </w:rPr>
        <w:t xml:space="preserve">،و تبعه الجامع </w:t>
      </w:r>
      <w:r>
        <w:rPr>
          <w:rStyle w:val="FootnoteAnchor"/>
          <w:rtl w:val="true"/>
        </w:rPr>
        <w:footnoteReference w:id="1832"/>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المقتول على الواقع،و يرجع هو بها على الدافع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رجلاً على رجل فقتله،قال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على الذي وقع على الرجل لأولياء المقتول،و يرجع المدفوع بالدية على الذي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 المدفوع شيء فهو على الدافع أيضاً</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قوة من حيث الصحة و الصراحة لولا ما قدّمناه من الأدلّة المعتضدة بالشهرة العظيمة،فالخروج به عنها في غاية الجرأة،مع إمكان حمله على أنّ أولياء المقتول لم يعلموا دفع الغير له،هذا كلّه في ضمان المدفوع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المدفوع فضمانه على الدافع قولاً واحداً،و به صرّح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ركبت جارية على اُخرى فنخستها أي المركوبة ثالثة </w:t>
      </w:r>
    </w:p>
    <w:p>
      <w:pPr>
        <w:pStyle w:val="BookText"/>
        <w:rPr/>
      </w:pPr>
      <w:r>
        <w:rPr>
          <w:rFonts w:ascii="Amiri" w:hAnsi="Amiri" w:eastAsia="Amiri" w:cs="Amiri"/>
          <w:color w:val="111111"/>
          <w:sz w:val="28"/>
          <w:sz w:val="28"/>
          <w:szCs w:val="28"/>
          <w:rtl w:val="true"/>
          <w:lang w:bidi="ar-SA"/>
        </w:rPr>
        <w:t>فقمصت المركوبة،أي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نفرت و رفعت يديها و طرحتها فصرعت الراكبة و وقعت فماتت قال الشيخ في النهاية و أتباعه على ما حكاه جماعة </w:t>
      </w:r>
      <w:r>
        <w:rPr>
          <w:rStyle w:val="FootnoteAnchor"/>
          <w:rtl w:val="true"/>
        </w:rPr>
        <w:footnoteReference w:id="1834"/>
      </w:r>
      <w:r>
        <w:rPr>
          <w:rFonts w:ascii="Amiri" w:hAnsi="Amiri" w:eastAsia="Amiri" w:cs="Amiri"/>
          <w:color w:val="111111"/>
          <w:sz w:val="28"/>
          <w:sz w:val="28"/>
          <w:szCs w:val="28"/>
          <w:rtl w:val="true"/>
          <w:lang w:bidi="ar-SA"/>
        </w:rPr>
        <w:t xml:space="preserve">،بل ادّعى عليه في الشرائع و التحرير و المسالك </w:t>
      </w:r>
      <w:r>
        <w:rPr>
          <w:rStyle w:val="FootnoteAnchor"/>
          <w:rtl w:val="true"/>
        </w:rPr>
        <w:footnoteReference w:id="1835"/>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الدية بين الناخسة و القامصة نصفان 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ثلثا الدية و يسقط الثلث بإزاء الراكبة لركوبها عبثاً </w:t>
      </w:r>
      <w:r>
        <w:rPr>
          <w:rStyle w:val="FootnoteAnchor"/>
          <w:rtl w:val="true"/>
        </w:rPr>
        <w:footnoteReference w:id="1836"/>
      </w:r>
      <w:r>
        <w:rPr>
          <w:rFonts w:ascii="Amiri" w:hAnsi="Amiri" w:eastAsia="Amiri" w:cs="Amiri"/>
          <w:color w:val="111111"/>
          <w:sz w:val="28"/>
          <w:sz w:val="28"/>
          <w:szCs w:val="28"/>
          <w:rtl w:val="true"/>
          <w:lang w:bidi="ar-SA"/>
        </w:rPr>
        <w:t xml:space="preserve">و نحوه عن الإصباح و الكافي </w:t>
      </w:r>
      <w:r>
        <w:rPr>
          <w:rStyle w:val="FootnoteAnchor"/>
          <w:rtl w:val="true"/>
        </w:rPr>
        <w:footnoteReference w:id="1837"/>
      </w:r>
      <w:r>
        <w:rPr>
          <w:rFonts w:ascii="Amiri" w:hAnsi="Amiri" w:eastAsia="Amiri" w:cs="Amiri"/>
          <w:color w:val="111111"/>
          <w:sz w:val="28"/>
          <w:sz w:val="28"/>
          <w:szCs w:val="28"/>
          <w:rtl w:val="true"/>
          <w:lang w:bidi="ar-SA"/>
        </w:rPr>
        <w:t xml:space="preserve">و في الغنية </w:t>
      </w:r>
      <w:r>
        <w:rPr>
          <w:rStyle w:val="FootnoteAnchor"/>
          <w:rtl w:val="true"/>
        </w:rPr>
        <w:footnoteReference w:id="1838"/>
      </w:r>
      <w:r>
        <w:rPr>
          <w:rFonts w:ascii="Amiri" w:hAnsi="Amiri" w:eastAsia="Amiri" w:cs="Amiri"/>
          <w:color w:val="111111"/>
          <w:sz w:val="28"/>
          <w:sz w:val="28"/>
          <w:szCs w:val="28"/>
          <w:rtl w:val="true"/>
          <w:lang w:bidi="ar-SA"/>
        </w:rPr>
        <w:t>،و فيهما أنّ الراكبة كانت لاعبة،و لو كانت راكبة بأُجرة كان كمال ديتها على الناخسة و المنخوسة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الأوّل رواية أبي جميلة المفضّل بن صالح،المروية في الفقيه و التهذيب،عن سعد الإسكاف،عن الأصبغ بن نباته،قال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ركبت اخرى فنخستها ثالثة فقمصت المركوبة فصرعت الراكبة فماتت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 نصفان على الناخسة و المنخوسة</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أبي جميلة ضعف مشهور غير مختلف فيه،و لعلّه لذا خصّه الماتن بالتضعيف،و إلّا فباقي الرواة المذكورون هنا بل و غيرهم أيضاً مشاركون له في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جبر جميع ذلك،و كذا مخالفة الرواية لما سيأتي من الأُصول،بكون القول بها باعتراف الماتن و نحوه ممّن مضى هو المشهور، فلا قصور،و لكن الاعتماد على نقل مثل هذه الشهرة مع عدم وجدان موافق للنهاية صريحاً سوى القاضي لعلّه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المفيد حسن عند الماتن هنا و في النكت و الفاضل في المختلف </w:t>
      </w:r>
      <w:r>
        <w:rPr>
          <w:rStyle w:val="FootnoteAnchor"/>
          <w:rtl w:val="true"/>
        </w:rPr>
        <w:footnoteReference w:id="1840"/>
      </w:r>
      <w:r>
        <w:rPr>
          <w:rFonts w:ascii="Amiri" w:hAnsi="Amiri" w:eastAsia="Amiri" w:cs="Amiri"/>
          <w:color w:val="111111"/>
          <w:sz w:val="28"/>
          <w:sz w:val="28"/>
          <w:szCs w:val="28"/>
          <w:rtl w:val="true"/>
          <w:lang w:bidi="ar-SA"/>
        </w:rPr>
        <w:t>لموافقة الأُصول،فإنّ القتل إذا استند إلى جماعة يكون أثره موزّعاً عليهم،و الراكبة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رواه في الإرشاد مرسلاً،فقال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إليه باليمن خبر جارية حملت جارية على عاتقها عبثاً و لعباً،فجاءت جارية أُخرى فقرصت الحاملة فقفزت لقرصها فوقعت الراكبة فاندق عنقها فهلكت،فقضى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القارصة بثلث الدية،و على القامصة بثلثها، و أسقط الثلث الباقي لركوب الواقعة </w:t>
      </w:r>
      <w:r>
        <w:rPr>
          <w:rStyle w:val="FootnoteAnchor"/>
          <w:rtl w:val="true"/>
        </w:rPr>
        <w:footnoteReference w:id="1841"/>
      </w:r>
      <w:r>
        <w:rPr>
          <w:rFonts w:ascii="Amiri" w:hAnsi="Amiri" w:eastAsia="Amiri" w:cs="Amiri"/>
          <w:color w:val="111111"/>
          <w:sz w:val="28"/>
          <w:sz w:val="28"/>
          <w:szCs w:val="28"/>
          <w:rtl w:val="true"/>
          <w:lang w:bidi="ar-SA"/>
        </w:rPr>
        <w:t>فبلغ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فأمضاه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المقنعة كذلك أيضاً كالحلبي و ابن زهرة </w:t>
      </w:r>
      <w:r>
        <w:rPr>
          <w:rStyle w:val="FootnoteAnchor"/>
          <w:rtl w:val="true"/>
        </w:rPr>
        <w:footnoteReference w:id="1843"/>
      </w:r>
      <w:r>
        <w:rPr>
          <w:rFonts w:ascii="Amiri" w:hAnsi="Amiri" w:eastAsia="Amiri" w:cs="Amiri"/>
          <w:color w:val="111111"/>
          <w:sz w:val="28"/>
          <w:sz w:val="28"/>
          <w:szCs w:val="28"/>
          <w:rtl w:val="true"/>
          <w:lang w:bidi="ar-SA"/>
        </w:rPr>
        <w:t>،و لكنّها مرسلة لا تصلح للحجية،و إفادة الأُصول لهذا القول مطلقا ممنوعة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المتأخّر و هو الحلّي </w:t>
      </w:r>
      <w:r>
        <w:rPr>
          <w:rStyle w:val="FootnoteAnchor"/>
          <w:rtl w:val="true"/>
        </w:rPr>
        <w:footnoteReference w:id="1844"/>
      </w:r>
      <w:r>
        <w:rPr>
          <w:rFonts w:ascii="Amiri" w:hAnsi="Amiri" w:eastAsia="Amiri" w:cs="Amiri"/>
          <w:color w:val="111111"/>
          <w:sz w:val="28"/>
          <w:sz w:val="28"/>
          <w:szCs w:val="28"/>
          <w:rtl w:val="true"/>
          <w:lang w:bidi="ar-SA"/>
        </w:rPr>
        <w:t xml:space="preserve">وجهاً ثالثاً فأوجب الدية بأجمعها على الناخسة إن كانت ملجئةً للمركوبة إلى القموص و على القامصة إن لم تكن ملجئة </w:t>
      </w:r>
    </w:p>
    <w:p>
      <w:pPr>
        <w:pStyle w:val="BookText"/>
        <w:rPr/>
      </w:pPr>
      <w:r>
        <w:rPr>
          <w:rFonts w:ascii="Amiri" w:hAnsi="Amiri" w:eastAsia="Amiri" w:cs="Amiri"/>
          <w:color w:val="111111"/>
          <w:sz w:val="28"/>
          <w:sz w:val="28"/>
          <w:szCs w:val="28"/>
          <w:rtl w:val="true"/>
          <w:lang w:bidi="ar-SA"/>
        </w:rPr>
        <w:t xml:space="preserve">و هو خيرة الفاضل في الإرشاد و مستحسنه في التحرير </w:t>
      </w:r>
      <w:r>
        <w:rPr>
          <w:rStyle w:val="FootnoteAnchor"/>
          <w:rtl w:val="true"/>
        </w:rPr>
        <w:footnoteReference w:id="1845"/>
      </w:r>
      <w:r>
        <w:rPr>
          <w:rFonts w:ascii="Amiri" w:hAnsi="Amiri" w:eastAsia="Amiri" w:cs="Amiri"/>
          <w:color w:val="111111"/>
          <w:sz w:val="28"/>
          <w:sz w:val="28"/>
          <w:szCs w:val="28"/>
          <w:rtl w:val="true"/>
          <w:lang w:bidi="ar-SA"/>
        </w:rPr>
        <w:t xml:space="preserve">،و محتمل الماتن في الشرائع </w:t>
      </w:r>
      <w:r>
        <w:rPr>
          <w:rStyle w:val="FootnoteAnchor"/>
          <w:rtl w:val="true"/>
        </w:rPr>
        <w:footnoteReference w:id="1846"/>
      </w:r>
      <w:r>
        <w:rPr>
          <w:rFonts w:ascii="Amiri" w:hAnsi="Amiri" w:eastAsia="Amiri" w:cs="Amiri"/>
          <w:color w:val="111111"/>
          <w:sz w:val="28"/>
          <w:sz w:val="28"/>
          <w:szCs w:val="28"/>
          <w:rtl w:val="true"/>
          <w:lang w:bidi="ar-SA"/>
        </w:rPr>
        <w:t xml:space="preserve">،و قوّاه فخر الدين </w:t>
      </w:r>
      <w:r>
        <w:rPr>
          <w:rStyle w:val="FootnoteAnchor"/>
          <w:rtl w:val="true"/>
        </w:rPr>
        <w:footnoteReference w:id="1847"/>
      </w:r>
      <w:r>
        <w:rPr>
          <w:rFonts w:ascii="Amiri" w:hAnsi="Amiri" w:eastAsia="Amiri" w:cs="Amiri"/>
          <w:color w:val="111111"/>
          <w:sz w:val="28"/>
          <w:sz w:val="28"/>
          <w:szCs w:val="28"/>
          <w:rtl w:val="true"/>
          <w:lang w:bidi="ar-SA"/>
        </w:rPr>
        <w:t>و شيخنا في الروضة،قال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فعل المكرَه مستند إلى مكرِهِه،فيكون توسّط المكرَه كالآلة،فيتعلّق الحكم بالمكرِه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فلاستناد القتل إلى القامصة وحدها،حيث فعلت ذلك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يشكل بما أورده المصنف في الشرح من أنّ الإكراه على القتل لا يسقط الضمان،و أنّ القمص في الحالة الثانية ربما كان يقتل غالباً فيجب القصاص؛ لأنّ الإكراه الذي لا يسقط الضمان ما كان معه قصد المكرَه إلى الفعل،و بالإلجاء يسقط ذلك،فيكون كالآلة،و من ثمّ وجب القصاص على الدافع دون الواقع حيث يبلغ الإلجاء،و القمص لا يستلزم الوقوع بحسب ذاته،فضلاً عن كونه مما يقتل غالباً،فيكون من باب الأسباب لا الجنايات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فرض استلزامه له قطعاً و قصدته توجّه القصاص،إلّا أنّه خلاف الظاهر </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قوي متين لولا مخالفته للروايات المشهورة قطعاً بين الأصحاب،و إن اختلفت بعضها مع بعض،إلّا أنّها متفقة في ردّ هذا الوجه و غيره من الوجوه المخرجة أيضاً،كالمحكي عن الراوندي </w:t>
      </w:r>
      <w:r>
        <w:rPr>
          <w:rStyle w:val="FootnoteAnchor"/>
          <w:rtl w:val="true"/>
        </w:rPr>
        <w:footnoteReference w:id="1849"/>
      </w:r>
      <w:r>
        <w:rPr>
          <w:rFonts w:ascii="Amiri" w:hAnsi="Amiri" w:eastAsia="Amiri" w:cs="Amiri"/>
          <w:color w:val="111111"/>
          <w:sz w:val="28"/>
          <w:sz w:val="28"/>
          <w:szCs w:val="28"/>
          <w:rtl w:val="true"/>
          <w:lang w:bidi="ar-SA"/>
        </w:rPr>
        <w:t xml:space="preserve">من التفصيل </w:t>
      </w:r>
    </w:p>
    <w:p>
      <w:pPr>
        <w:pStyle w:val="BookText"/>
        <w:rPr/>
      </w:pPr>
      <w:r>
        <w:rPr>
          <w:rFonts w:ascii="Amiri" w:hAnsi="Amiri" w:eastAsia="Amiri" w:cs="Amiri"/>
          <w:color w:val="111111"/>
          <w:sz w:val="28"/>
          <w:sz w:val="28"/>
          <w:szCs w:val="28"/>
          <w:rtl w:val="true"/>
          <w:lang w:bidi="ar-SA"/>
        </w:rPr>
        <w:t>بين بلوغ الراكبة و اختيارها فما عليه المفيد،و صغرها و كرهها فما عليه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التنقيح </w:t>
      </w:r>
      <w:r>
        <w:rPr>
          <w:rStyle w:val="FootnoteAnchor"/>
          <w:rtl w:val="true"/>
        </w:rPr>
        <w:footnoteReference w:id="1850"/>
      </w:r>
      <w:r>
        <w:rPr>
          <w:rFonts w:ascii="Amiri" w:hAnsi="Amiri" w:eastAsia="Amiri" w:cs="Amiri"/>
          <w:color w:val="111111"/>
          <w:sz w:val="28"/>
          <w:sz w:val="28"/>
          <w:szCs w:val="28"/>
          <w:rtl w:val="true"/>
          <w:lang w:bidi="ar-SA"/>
        </w:rPr>
        <w:t>من التفصيل بين ما إذا كان الركوب عبثاً فالأوّل، و لغرض صحيح فالثاني إن كانت القامصة غير ملجأة،و إلّا فعلى الناخسة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الأوجُه ضعيفة،سيّما الأخيرين؛ لعدم شاهد لهما سوى محاولة الجمع بين الأقوال و الروايات،و لا يصحّ إلّا بعد شاهد،و 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الجمع من دونه لكان ما عليه الحلبي و ابن زهرة في غاية القوة؛ عملاً بروايتهما المفصّلة بين كون الركوب عبثاً فما في المقنعة، و كونه بأُجرة فما في النهاية،و روايتها و إن كانت مطلقة بتنصيف الدية إلّا أنّها محمولة على الصورة الثانية حمل المطلق على المقيد،فتأمّل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الوجوه المزبورة لا تفيد الحكم في شقوق المسألة كلية،و إنّما غايتها إفادته في صورة العلم بحال الناخسة و المنخوسة،و أمّا صورة الجهل بها فليست لحكمها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محل تردد و شبهة،و إن كان مختار الحلّي في الصورة الاُولى لا يخلو عن قوّة؛ لإمكان الذبّ عن الروايات المشهورة بأنّها قضية في واقعة فيحتمل اختصاصها بالصورة الثانية،و المختار فيها خيرة المفيد و من تبعه؛ للأُصول المتقدمة؛ مضافاً إلى أصالة البراءة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اشترك في هدم الحائط ثلاثة فوقع على أحدهم فمات،ضمن الآخران الباقيان الدية على رواية أبي بصير </w:t>
      </w:r>
      <w:r>
        <w:rPr>
          <w:rStyle w:val="FootnoteAnchor"/>
          <w:rtl w:val="true"/>
        </w:rPr>
        <w:footnoteReference w:id="1851"/>
      </w:r>
      <w:r>
        <w:rPr>
          <w:rFonts w:ascii="Amiri" w:hAnsi="Amiri" w:eastAsia="Amiri" w:cs="Amiri"/>
          <w:color w:val="111111"/>
          <w:sz w:val="28"/>
          <w:sz w:val="28"/>
          <w:szCs w:val="28"/>
          <w:rtl w:val="true"/>
          <w:lang w:bidi="ar-SA"/>
        </w:rPr>
        <w:t xml:space="preserve">المروية في الكتب الثلاثة بأسانيد متعدّدة عن علي بن أبي حمزة عنه،و هو ضعيف بلا شبهة </w:t>
      </w:r>
    </w:p>
    <w:p>
      <w:pPr>
        <w:pStyle w:val="BookText"/>
        <w:rPr/>
      </w:pPr>
      <w:r>
        <w:rPr>
          <w:rFonts w:ascii="Amiri" w:hAnsi="Amiri" w:eastAsia="Amiri" w:cs="Amiri"/>
          <w:color w:val="111111"/>
          <w:sz w:val="28"/>
          <w:sz w:val="28"/>
          <w:szCs w:val="28"/>
          <w:rtl w:val="true"/>
          <w:lang w:bidi="ar-SA"/>
        </w:rPr>
        <w:t xml:space="preserve">و لأجله تحقّق في الرواية ضعف و إن روى عنه في بعض طرقها </w:t>
      </w:r>
      <w:r>
        <w:rPr>
          <w:rStyle w:val="FootnoteAnchor"/>
          <w:rtl w:val="true"/>
        </w:rPr>
        <w:footnoteReference w:id="1852"/>
      </w:r>
      <w:r>
        <w:rPr>
          <w:rFonts w:ascii="Amiri" w:hAnsi="Amiri" w:eastAsia="Amiri" w:cs="Amiri"/>
          <w:color w:val="111111"/>
          <w:sz w:val="28"/>
          <w:sz w:val="28"/>
          <w:szCs w:val="28"/>
          <w:rtl w:val="true"/>
          <w:lang w:bidi="ar-SA"/>
        </w:rPr>
        <w:t>ابن أبي عمير مع صحة الطريق إليه؛ لعدم بلوغها بذلك درجة الصحة،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فيها من المخالفة للأُصول الآتية،و مع ذلك شاذّة لا عامل بها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رواها الشيخ في النهاية و الصدوق في الفقيه و المقنع </w:t>
      </w:r>
      <w:r>
        <w:rPr>
          <w:rStyle w:val="FootnoteAnchor"/>
          <w:rtl w:val="true"/>
        </w:rPr>
        <w:footnoteReference w:id="1853"/>
      </w:r>
      <w:r>
        <w:rPr>
          <w:rFonts w:ascii="Amiri" w:hAnsi="Amiri" w:eastAsia="Amiri" w:cs="Amiri"/>
          <w:color w:val="111111"/>
          <w:sz w:val="28"/>
          <w:sz w:val="28"/>
          <w:szCs w:val="28"/>
          <w:rtl w:val="true"/>
          <w:lang w:bidi="ar-SA"/>
        </w:rPr>
        <w:t xml:space="preserve">، و ظاهرهما و إن كان العمل بها إلّا أنّ الأوّل قد رجع عنها في المبسوط كما حكاه عنه الحلّي </w:t>
      </w:r>
      <w:r>
        <w:rPr>
          <w:rStyle w:val="FootnoteAnchor"/>
          <w:rtl w:val="true"/>
        </w:rPr>
        <w:footnoteReference w:id="1854"/>
      </w:r>
      <w:r>
        <w:rPr>
          <w:rFonts w:ascii="Amiri" w:hAnsi="Amiri" w:eastAsia="Amiri" w:cs="Amiri"/>
          <w:color w:val="111111"/>
          <w:sz w:val="28"/>
          <w:sz w:val="28"/>
          <w:szCs w:val="28"/>
          <w:rtl w:val="true"/>
          <w:lang w:bidi="ar-SA"/>
        </w:rPr>
        <w:t>،فانحصر العامل بها في الصدوق،و هو نادر قطعاً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الأشبه وفاقاً للحلّي </w:t>
      </w:r>
      <w:r>
        <w:rPr>
          <w:rStyle w:val="FootnoteAnchor"/>
          <w:rtl w:val="true"/>
        </w:rPr>
        <w:footnoteReference w:id="1855"/>
      </w:r>
      <w:r>
        <w:rPr>
          <w:rFonts w:ascii="Amiri" w:hAnsi="Amiri" w:eastAsia="Amiri" w:cs="Amiri"/>
          <w:color w:val="111111"/>
          <w:sz w:val="28"/>
          <w:sz w:val="28"/>
          <w:szCs w:val="28"/>
          <w:rtl w:val="true"/>
          <w:lang w:bidi="ar-SA"/>
        </w:rPr>
        <w:t xml:space="preserve">و عامّة المتأخّرين أن يضمن كل واحد ثلثاً من دية الميت و يسقط ثلث لمساعدة التالف لهما و شركته في تلف نفسه معهما،فيسقط ما قابل فعله،و إلّا لزم أن يضمن الشريك في الجناية جناية شريكه،و هو باطل قطعاً،قال تعالى وَ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و يمكن حمل الرواية عليه؛ لعدم التصريح فيها بأنّ عليهما الدية كملاً،فإنّ متنها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حائط اشترك في هدمه ثلاثة نفر فوقع على واحد منهم فمات،فضمّن الباقيين ديته؛ لأنّ كل واحد منهما ضامن لصاحبه</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235" w:name="pg11409_90978"/>
    </w:p>
    <w:p>
      <w:pPr>
        <w:pStyle w:val="BookText"/>
        <w:rPr/>
      </w:pPr>
      <w:bookmarkEnd w:id="23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كمالها إلّا أنّه ليس صريحاً فيه،فيحتمل ما ذكرناه من إرادة ثلثيها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02755_73709187"/>
      <w:bookmarkStart w:id="237" w:name="_Toc87"/>
      <w:bookmarkEnd w:id="236"/>
      <w:r>
        <w:rPr>
          <w:rtl w:val="true"/>
        </w:rPr>
        <w:t>و من اللواحق مسائل</w:t>
      </w:r>
      <w:bookmarkEnd w:id="237"/>
    </w:p>
    <w:p>
      <w:pPr>
        <w:pStyle w:val="Heading6"/>
        <w:numPr>
          <w:ilvl w:val="5"/>
          <w:numId w:val="1"/>
        </w:numPr>
        <w:rPr/>
      </w:pPr>
      <w:bookmarkStart w:id="238" w:name="__RefHeading___Toc1102757_73709187"/>
      <w:bookmarkStart w:id="239" w:name="_Toc88"/>
      <w:bookmarkEnd w:id="238"/>
      <w:r>
        <w:rPr>
          <w:rtl w:val="true"/>
        </w:rPr>
        <w:t>الأولى من دعا غيره فأخرجه من منزله ليلاً ضمنه</w:t>
      </w:r>
      <w:bookmarkEnd w:id="239"/>
    </w:p>
    <w:p>
      <w:pPr>
        <w:pStyle w:val="BookText"/>
        <w:rPr/>
      </w:pPr>
      <w:r>
        <w:rPr>
          <w:rFonts w:ascii="IRNazanin" w:hAnsi="IRNazanin" w:eastAsia="IRNazanin"/>
          <w:color w:val="111111"/>
          <w:sz w:val="28"/>
          <w:sz w:val="28"/>
          <w:szCs w:val="28"/>
          <w:rtl w:val="true"/>
          <w:lang w:bidi="fa-IR"/>
        </w:rPr>
        <w:t>و من اللواحق لهذا الباب 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غيره بالتماسه فأخرجه من منزله ليلاً ضمنه حتى يرجع المدعوّ إليه أي إلى منزله،بلا خلاف فيه في الجملة،بل عليه الوفاق كذلك في الروضة </w:t>
      </w:r>
      <w:r>
        <w:rPr>
          <w:rStyle w:val="FootnoteAnchor"/>
          <w:rtl w:val="true"/>
        </w:rPr>
        <w:footnoteReference w:id="1858"/>
      </w:r>
      <w:r>
        <w:rPr>
          <w:rFonts w:ascii="Amiri" w:hAnsi="Amiri" w:eastAsia="Amiri" w:cs="Amiri"/>
          <w:color w:val="111111"/>
          <w:sz w:val="28"/>
          <w:sz w:val="28"/>
          <w:szCs w:val="28"/>
          <w:rtl w:val="true"/>
          <w:lang w:bidi="ar-SA"/>
        </w:rPr>
        <w:t xml:space="preserve">و كلام جماعة </w:t>
      </w:r>
      <w:r>
        <w:rPr>
          <w:rStyle w:val="FootnoteAnchor"/>
          <w:rtl w:val="true"/>
        </w:rPr>
        <w:footnoteReference w:id="1859"/>
      </w:r>
      <w:r>
        <w:rPr>
          <w:rFonts w:ascii="Amiri" w:hAnsi="Amiri" w:eastAsia="Amiri" w:cs="Amiri"/>
          <w:color w:val="111111"/>
          <w:sz w:val="28"/>
          <w:sz w:val="28"/>
          <w:szCs w:val="28"/>
          <w:rtl w:val="true"/>
          <w:lang w:bidi="ar-SA"/>
        </w:rPr>
        <w:t xml:space="preserve">،و ادّعى الإجماع عليه مطلقاً ابن زهرة في الغنية و عن الماتن في نكت النهاية </w:t>
      </w:r>
      <w:r>
        <w:rPr>
          <w:rStyle w:val="FootnoteAnchor"/>
          <w:rtl w:val="true"/>
        </w:rPr>
        <w:footnoteReference w:id="186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طرق رجلاً بالليل فأخرجه من منزله فهو له ضامن إلّا أن يقيم البيّنة أنّه قد ردّه إلى منزله</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الرجل أخاه بالليل فهو ضامن له حتى يرجع إلى بيته</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و إن ضعفا و خالفا الأصل المجمع عليه على الظاهر،المصرّح به في التنقيح </w:t>
      </w:r>
      <w:r>
        <w:rPr>
          <w:rStyle w:val="FootnoteAnchor"/>
          <w:rtl w:val="true"/>
        </w:rPr>
        <w:footnoteReference w:id="1863"/>
      </w:r>
      <w:r>
        <w:rPr>
          <w:rFonts w:ascii="Amiri" w:hAnsi="Amiri" w:eastAsia="Amiri" w:cs="Amiri"/>
          <w:color w:val="111111"/>
          <w:sz w:val="28"/>
          <w:sz w:val="28"/>
          <w:szCs w:val="28"/>
          <w:rtl w:val="true"/>
          <w:lang w:bidi="ar-SA"/>
        </w:rPr>
        <w:t>من أنّ الحرّ الكامل لا يضمن ما لم يثبت الجناية عليه،إلّا أنّهما منجبران بفتوى الطائفة و الإجماعات المحكية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لم يرجع و لم يعلم خبره بموت و لا حياة ضمن الداعي </w:t>
      </w:r>
    </w:p>
    <w:p>
      <w:pPr>
        <w:pStyle w:val="BookText"/>
        <w:rPr/>
      </w:pPr>
      <w:r>
        <w:rPr>
          <w:rFonts w:ascii="Amiri" w:hAnsi="Amiri" w:eastAsia="Amiri" w:cs="Amiri"/>
          <w:color w:val="111111"/>
          <w:sz w:val="28"/>
          <w:sz w:val="28"/>
          <w:szCs w:val="28"/>
          <w:rtl w:val="true"/>
          <w:lang w:bidi="ar-SA"/>
        </w:rPr>
        <w:t xml:space="preserve">ديته في ماله دون عاقلته،بلا خلاف كما في التنقيح و شرح الشرائع للصيمري </w:t>
      </w:r>
      <w:r>
        <w:rPr>
          <w:rStyle w:val="FootnoteAnchor"/>
          <w:rtl w:val="true"/>
        </w:rPr>
        <w:footnoteReference w:id="1864"/>
      </w:r>
      <w:r>
        <w:rPr>
          <w:rFonts w:ascii="Amiri" w:hAnsi="Amiri" w:eastAsia="Amiri" w:cs="Amiri"/>
          <w:color w:val="111111"/>
          <w:sz w:val="28"/>
          <w:sz w:val="28"/>
          <w:szCs w:val="28"/>
          <w:rtl w:val="true"/>
          <w:lang w:bidi="ar-SA"/>
        </w:rPr>
        <w:t xml:space="preserve">،و لم يذكره هنا أحد من الطائفة،كما صرّح به المقدّس الأردبيلي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كذلك،فإنّ عبائر المتقدّمين و المتأخّرين ممّن وقفت على كلامه متفقة الدلالة على ضمان الدية في هذه الصورة،إطلاقاً في بعض،و تصريحاً في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اللمعة عدم الضمان مطلقاً هنا،و علّله في الروضة </w:t>
      </w:r>
      <w:r>
        <w:rPr>
          <w:rStyle w:val="FootnoteAnchor"/>
          <w:rtl w:val="true"/>
        </w:rPr>
        <w:footnoteReference w:id="1866"/>
      </w:r>
      <w:r>
        <w:rPr>
          <w:rFonts w:ascii="Amiri" w:hAnsi="Amiri" w:eastAsia="Amiri" w:cs="Amiri"/>
          <w:color w:val="111111"/>
          <w:sz w:val="28"/>
          <w:sz w:val="28"/>
          <w:szCs w:val="28"/>
          <w:rtl w:val="true"/>
          <w:lang w:bidi="ar-SA"/>
        </w:rPr>
        <w:t>بأصالة البراءة منه ديةً و نفساً حتى يتحقق سببه،و هو في غير حالة القتل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سبب الضمان هنا نصّاً و فتوى إنّما هو إخراجه من بيته،و ليس المخرَج عنه فيهما سوى عوده إليه حيّاً،و لا يشترط في صدق الضمان تحقّق تلفه،بل يكفي فيه صدق ضياعه و عدم العلم بخبره، فضياعه كتلفه،و ضمانه حينئذٍ كضمان المال الضائع بعينه،هذا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الخلاف الظاهر المحكي في تلك العبائر كافٍ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مقتولاً فإن أقرّ الداعي بقتله أو أُقيمت البيّنة عليه به أُقيد به،بلا خلاف فيه و في أنّه ادّعى قتله على غيره و أقام به عليه البيّنة و في معناها الإقرار و نحوه صرف عنه الضمان إلى ذلك الغير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عدم البيّنة منه عليه أو لم يدّع القتل على أحد ففي القود من الداعي أو إلزامه بالدية تردّد و اختلاف بين الأصحاب، و لكن أشبهه و أشهره على الظاهر،المصرَّح به في عبائر جماعة </w:t>
      </w:r>
      <w:r>
        <w:rPr>
          <w:rStyle w:val="FootnoteAnchor"/>
          <w:rtl w:val="true"/>
        </w:rPr>
        <w:footnoteReference w:id="1867"/>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لا قود للأصل،مع حصول الشك في موجب القصاص؛ لصدق الضمان المحكوم به في الفتوى و النص بضمان الدية التي هي بدل النفس كصدقه بالقود،و حيث لا معيِّن لهذا تعيّن الأوّل قطعاً؛ للشبهة الدارئة،هذا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تعيينه من وجه آخر،و هو الاتفاق على أنّ المراد من الضمان المذكور فيهما بالنسبة إلى الصورة السابقة و الآتية إن قلنا به فيها هو ضمان الدية،فليكن هو المراد منه أيضاً بالنسبة إلى هذه الصورة،إمّا </w:t>
      </w:r>
      <w:r>
        <w:rPr>
          <w:rStyle w:val="FootnoteAnchor"/>
          <w:rtl w:val="true"/>
        </w:rPr>
        <w:footnoteReference w:id="1868"/>
      </w:r>
      <w:r>
        <w:rPr>
          <w:rFonts w:ascii="Amiri" w:hAnsi="Amiri" w:eastAsia="Amiri" w:cs="Amiri"/>
          <w:color w:val="111111"/>
          <w:sz w:val="28"/>
          <w:sz w:val="28"/>
          <w:szCs w:val="28"/>
          <w:rtl w:val="true"/>
          <w:lang w:bidi="ar-SA"/>
        </w:rPr>
        <w:t xml:space="preserve">لاتحاد اللفظة المفيدة للحكم في الصور الثلاثة،أو </w:t>
      </w:r>
      <w:r>
        <w:rPr>
          <w:rStyle w:val="FootnoteAnchor"/>
          <w:rtl w:val="true"/>
        </w:rPr>
        <w:footnoteReference w:id="1869"/>
      </w:r>
      <w:r>
        <w:rPr>
          <w:rFonts w:ascii="Amiri" w:hAnsi="Amiri" w:eastAsia="Amiri" w:cs="Amiri"/>
          <w:color w:val="111111"/>
          <w:sz w:val="28"/>
          <w:sz w:val="28"/>
          <w:szCs w:val="28"/>
          <w:rtl w:val="true"/>
          <w:lang w:bidi="ar-SA"/>
        </w:rPr>
        <w:t>إلحاقاً للأقلّ بالأكثر،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تصريح ابن زهرة </w:t>
      </w:r>
      <w:r>
        <w:rPr>
          <w:rStyle w:val="FootnoteAnchor"/>
          <w:rtl w:val="true"/>
        </w:rPr>
        <w:footnoteReference w:id="1870"/>
      </w:r>
      <w:r>
        <w:rPr>
          <w:rFonts w:ascii="Amiri" w:hAnsi="Amiri" w:eastAsia="Amiri" w:cs="Amiri"/>
          <w:color w:val="111111"/>
          <w:sz w:val="28"/>
          <w:sz w:val="28"/>
          <w:szCs w:val="28"/>
          <w:rtl w:val="true"/>
          <w:lang w:bidi="ar-SA"/>
        </w:rPr>
        <w:t xml:space="preserve">بضمان الدية في عبارته المحكي فيها على الحكم مطلقاً إجماع الإمامية،و هو خيرة النهاية و الحلّي </w:t>
      </w:r>
      <w:r>
        <w:rPr>
          <w:rStyle w:val="FootnoteAnchor"/>
          <w:rtl w:val="true"/>
        </w:rPr>
        <w:footnoteReference w:id="1871"/>
      </w:r>
      <w:r>
        <w:rPr>
          <w:rFonts w:ascii="Amiri" w:hAnsi="Amiri" w:eastAsia="Amiri" w:cs="Amiri"/>
          <w:color w:val="111111"/>
          <w:sz w:val="28"/>
          <w:sz w:val="28"/>
          <w:szCs w:val="28"/>
          <w:rtl w:val="true"/>
          <w:lang w:bidi="ar-SA"/>
        </w:rPr>
        <w:t xml:space="preserve">،مصرِّحين بأنّه عليه رواية،بل روايات كما في كلام الأخير،لكنّه و الفاضل في المختلف و شيخنا في المسالك و الروضة </w:t>
      </w:r>
      <w:r>
        <w:rPr>
          <w:rStyle w:val="FootnoteAnchor"/>
          <w:rtl w:val="true"/>
        </w:rPr>
        <w:footnoteReference w:id="1872"/>
      </w:r>
      <w:r>
        <w:rPr>
          <w:rFonts w:ascii="Amiri" w:hAnsi="Amiri" w:eastAsia="Amiri" w:cs="Amiri"/>
          <w:color w:val="111111"/>
          <w:sz w:val="28"/>
          <w:sz w:val="28"/>
          <w:szCs w:val="28"/>
          <w:rtl w:val="true"/>
          <w:lang w:bidi="ar-SA"/>
        </w:rPr>
        <w:t>خصّوا ذلك بصورة عدم اللوث و التهمة،و قالوا في صورتها بالقسامة فيلزم بموجب ما أقسم عليه الوليّ من عمد أو خطأ أو شبهه،و مع عدم قسامته يُقسم المُخرِج 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تقييد للنصّ و الفتوى من غير دلالة،مع احتمال دعوى ظهورهما بحكم الغلبة في صورة اللوث خاصّة،و أنّه لأجله حكم فيهما بالضمان قوداً أو ديةً كلّيّة؛ حسماً لمادّة الفساد،فتأمّل جدّاً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عموم أدلّة القسامة باللوث و إن شمل هذه الصورة إلّا أنّه لا بُعد في تخصيصها و إخراج هذه الصورة منها بالأدلّة في المسألة،كما خصّصت من </w:t>
      </w:r>
    </w:p>
    <w:p>
      <w:pPr>
        <w:pStyle w:val="BookText"/>
        <w:rPr/>
      </w:pPr>
      <w:r>
        <w:rPr>
          <w:rFonts w:ascii="Amiri" w:hAnsi="Amiri" w:eastAsia="Amiri" w:cs="Amiri"/>
          <w:color w:val="111111"/>
          <w:sz w:val="28"/>
          <w:sz w:val="28"/>
          <w:szCs w:val="28"/>
          <w:rtl w:val="true"/>
          <w:lang w:bidi="ar-SA"/>
        </w:rPr>
        <w:t>الأُصول بعدم ضمان الحرّ و أُخرجت منها بلا شبهة،فهذا 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القول بالقود هنا إمّا مطلقا،كما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Style w:val="FootnoteAnchor"/>
          <w:rtl w:val="true"/>
        </w:rPr>
        <w:footnoteReference w:id="1873"/>
      </w:r>
      <w:r>
        <w:rPr>
          <w:rFonts w:ascii="Amiri" w:hAnsi="Amiri" w:eastAsia="Amiri" w:cs="Amiri"/>
          <w:color w:val="111111"/>
          <w:sz w:val="28"/>
          <w:sz w:val="28"/>
          <w:szCs w:val="28"/>
          <w:rtl w:val="true"/>
          <w:lang w:bidi="ar-SA"/>
        </w:rPr>
        <w:t xml:space="preserve">،أو إذا لم يدّع البراءة من قتله،كما عن ابن حمزة و الديلمي </w:t>
      </w:r>
      <w:r>
        <w:rPr>
          <w:rStyle w:val="FootnoteAnchor"/>
          <w:rtl w:val="true"/>
        </w:rPr>
        <w:footnoteReference w:id="1874"/>
      </w:r>
      <w:r>
        <w:rPr>
          <w:rFonts w:ascii="Amiri" w:hAnsi="Amiri" w:eastAsia="Amiri" w:cs="Amiri"/>
          <w:color w:val="111111"/>
          <w:sz w:val="28"/>
          <w:sz w:val="28"/>
          <w:szCs w:val="28"/>
          <w:rtl w:val="true"/>
          <w:lang w:bidi="ar-SA"/>
        </w:rPr>
        <w:t>، لكنّه خيّر أولياء المقتول بينه و بين أخذ الدية،و لعلّ حجته العمل بإطلاق الضمان الصادق بهما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يدفعه ما قدّمناه،مع أنّ ذلك على تقدير تسليمه لم يدل على التفصيل بين دعوى البراءة فالدية،و عدمها فالقود مخيّراً أو معيّناً،كما ذكره هو و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استند إلى ظاهر الرواية الأُولى المتضمن صدرها لقضاء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القضية بالقود،فقال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نحّ هذا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القضية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الجواب عنها بعد ضعف سندها،و عدم جابر له هنا بأنّه لعلّه لمصلحة التقرير و إيضاح الأمر كما ربما يشعر به سياقه،و مع ذلك فظاهره على تقدير التسليم الضمان بالقود مطلقاً حتى في الصورة السابقة و الآتية،و لم يقل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يكون عليه في ماله الدية قولاً واحداً؛ لعموم النص و الفتوى بالضمان الصادق بضمانها كما عرفته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 ميتاً و لم يوجد فيه أثر قتل أصلاً لا قود،إجماعاً على الظاهر،المصرّح به في التنقيح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في لزوم الدية عليه قولان،أشبههما و أشهرهما،على الظاهر،المصرَّح به في عبائر </w:t>
      </w:r>
      <w:r>
        <w:rPr>
          <w:rStyle w:val="FootnoteAnchor"/>
          <w:rtl w:val="true"/>
        </w:rPr>
        <w:footnoteReference w:id="1877"/>
      </w:r>
      <w:r>
        <w:rPr>
          <w:rFonts w:ascii="Amiri" w:hAnsi="Amiri" w:eastAsia="Amiri" w:cs="Amiri"/>
          <w:color w:val="111111"/>
          <w:sz w:val="28"/>
          <w:sz w:val="28"/>
          <w:szCs w:val="28"/>
          <w:rtl w:val="true"/>
          <w:lang w:bidi="ar-SA"/>
        </w:rPr>
        <w:t xml:space="preserve">اللزوم لعموم الخبرين المنجبرين بما مرّ،و لئلاّ يطلّ دم امرئ مسلم،مضافاً إلى إطلاق الإجماع المنقول،و ما في السرائر </w:t>
      </w:r>
      <w:r>
        <w:rPr>
          <w:rStyle w:val="FootnoteAnchor"/>
          <w:rtl w:val="true"/>
        </w:rPr>
        <w:footnoteReference w:id="1878"/>
      </w:r>
      <w:r>
        <w:rPr>
          <w:rFonts w:ascii="Amiri" w:hAnsi="Amiri" w:eastAsia="Amiri" w:cs="Amiri"/>
          <w:color w:val="111111"/>
          <w:sz w:val="28"/>
          <w:sz w:val="28"/>
          <w:szCs w:val="28"/>
          <w:rtl w:val="true"/>
          <w:lang w:bidi="ar-SA"/>
        </w:rPr>
        <w:t>من أنّ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للفاضلين في الشرائع و التحرير و شيخنا في المسالك و الروضة </w:t>
      </w:r>
      <w:r>
        <w:rPr>
          <w:rStyle w:val="FootnoteAnchor"/>
          <w:rtl w:val="true"/>
        </w:rPr>
        <w:footnoteReference w:id="1879"/>
      </w:r>
      <w:r>
        <w:rPr>
          <w:rFonts w:ascii="Amiri" w:hAnsi="Amiri" w:eastAsia="Amiri" w:cs="Amiri"/>
          <w:color w:val="111111"/>
          <w:sz w:val="28"/>
          <w:sz w:val="28"/>
          <w:szCs w:val="28"/>
          <w:rtl w:val="true"/>
          <w:lang w:bidi="ar-SA"/>
        </w:rPr>
        <w:t>،فلا شيء عليه مطلقاً؛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للحلّي </w:t>
      </w:r>
      <w:r>
        <w:rPr>
          <w:rStyle w:val="FootnoteAnchor"/>
          <w:rtl w:val="true"/>
        </w:rPr>
        <w:footnoteReference w:id="1880"/>
      </w:r>
      <w:r>
        <w:rPr>
          <w:rFonts w:ascii="Amiri" w:hAnsi="Amiri" w:eastAsia="Amiri" w:cs="Amiri"/>
          <w:color w:val="111111"/>
          <w:sz w:val="28"/>
          <w:sz w:val="28"/>
          <w:szCs w:val="28"/>
          <w:rtl w:val="true"/>
          <w:lang w:bidi="ar-SA"/>
        </w:rPr>
        <w:t xml:space="preserve">،ففصّل بين صورتي عدم اللوث فكما قالا،و ثبوته فالقسامة،و يلزم بموجب ما يقسم عليه الوليّ من عمد فقود،و غيره فدية، و نحوه الفاضل في المختلف </w:t>
      </w:r>
      <w:r>
        <w:rPr>
          <w:rStyle w:val="FootnoteAnchor"/>
          <w:rtl w:val="true"/>
        </w:rPr>
        <w:footnoteReference w:id="1881"/>
      </w:r>
      <w:r>
        <w:rPr>
          <w:rFonts w:ascii="Amiri" w:hAnsi="Amiri" w:eastAsia="Amiri" w:cs="Amiri"/>
          <w:color w:val="111111"/>
          <w:sz w:val="28"/>
          <w:sz w:val="28"/>
          <w:szCs w:val="28"/>
          <w:rtl w:val="true"/>
          <w:lang w:bidi="ar-SA"/>
        </w:rPr>
        <w:t>،إلّا أنّه أثبت مع القسامة الدية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ضعيفان يظهر ضعفهما ممّا مضى،مضافاً إلى ضعف الأخير من وجه آخر لو ابقي على إطلاقه بحيث يشمل ما لو كان المقسم عليه عمداً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تردّد الفاضل في الإرشاد و القواعد و الشهيد في اللمعة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للمسألة فروعات جليلة تطلب من الروضة </w:t>
      </w:r>
      <w:r>
        <w:rPr>
          <w:rStyle w:val="FootnoteAnchor"/>
          <w:rtl w:val="true"/>
        </w:rPr>
        <w:footnoteReference w:id="1883"/>
      </w:r>
      <w:r>
        <w:rPr>
          <w:rFonts w:ascii="Amiri" w:hAnsi="Amiri" w:eastAsia="Amiri" w:cs="Amiri"/>
          <w:color w:val="111111"/>
          <w:sz w:val="28"/>
          <w:sz w:val="28"/>
          <w:szCs w:val="28"/>
          <w:rtl w:val="true"/>
          <w:lang w:bidi="ar-SA"/>
        </w:rPr>
        <w:t xml:space="preserve">،فإنّ ما حقّق فيها و أفاده في غاية الجودة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bookmarkStart w:id="240" w:name="pg11409_90983"/>
    </w:p>
    <w:p>
      <w:pPr>
        <w:pStyle w:val="Heading6"/>
        <w:numPr>
          <w:ilvl w:val="5"/>
          <w:numId w:val="1"/>
        </w:numPr>
        <w:rPr/>
      </w:pPr>
      <w:bookmarkStart w:id="241" w:name="__RefHeading___Toc1102759_73709187"/>
      <w:bookmarkStart w:id="242" w:name="_Toc89"/>
      <w:bookmarkEnd w:id="240"/>
      <w:bookmarkEnd w:id="241"/>
      <w:r>
        <w:rPr>
          <w:rtl w:val="true"/>
        </w:rPr>
        <w:t>الثانية لو عادت الظئر بالطفل</w:t>
      </w:r>
      <w:bookmarkEnd w:id="24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عادت </w:t>
      </w:r>
      <w:r>
        <w:rPr>
          <w:rStyle w:val="FootnoteAnchor"/>
          <w:rtl w:val="true"/>
        </w:rPr>
        <w:footnoteReference w:id="1885"/>
      </w:r>
      <w:r>
        <w:rPr>
          <w:rFonts w:ascii="Amiri" w:hAnsi="Amiri" w:eastAsia="Amiri" w:cs="Amiri"/>
          <w:color w:val="111111"/>
          <w:sz w:val="28"/>
          <w:sz w:val="28"/>
          <w:szCs w:val="28"/>
          <w:rtl w:val="true"/>
          <w:lang w:bidi="ar-SA"/>
        </w:rPr>
        <w:t>الظئر بالطفل الذي ائتمنت على إرضاعه في بيتها فأنكره أهله أنّه طفلهم صدّقت الظئر؛ لأنّها أمينة ما لم يثبت كذبها،و تلزمها مع ثبوته الدية،أو إحضاره،أو إحضار من يحتمل أنّه هو لأنّها لا تدّعي موته و قد تسلّمته فتكون في ضمانها،و لو ادّعت الموت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تحضر من يحتمله يقبل و إن كذبت سابقاً؛ لأنّها أمينة لم يعلم كذبها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استأجرت أُخرى لإرضاعه و دفعته إليها بغير إذن أهله فجهلت خبره ضمنت الدية و لا خلاف في شيء من ذلك أجده،و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مرّ،و الصحيح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ظئراً فدفع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فغابت بالولد سنين ثم جاءت بالولد و زعمت أمّه أنّها لا تعرفه و زعم أهلها أنّهم لا يعرفونه،قال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 فليقبلوه فإنّما الظئر مأمونة</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ظئراً فأعطاها ولده فكان عندها، فانطلقت الظئر فاستأجرت اخرى فغابت الظئر بالولد فلا تدري ما صنع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اليمين حيث يقبل قولها كما في كلّ أمين،أم لا؟إطلاق </w:t>
      </w:r>
      <w:bookmarkStart w:id="243" w:name="pg11409_90984"/>
    </w:p>
    <w:p>
      <w:pPr>
        <w:pStyle w:val="BookText"/>
        <w:rPr/>
      </w:pPr>
      <w:bookmarkEnd w:id="243"/>
      <w:r>
        <w:rPr>
          <w:rFonts w:ascii="Amiri" w:hAnsi="Amiri" w:eastAsia="Amiri" w:cs="Amiri"/>
          <w:color w:val="111111"/>
          <w:sz w:val="28"/>
          <w:sz w:val="28"/>
          <w:szCs w:val="28"/>
          <w:rtl w:val="true"/>
          <w:lang w:bidi="ar-SA"/>
        </w:rPr>
        <w:t xml:space="preserve">النص و الفتوى يقتضي الثاني،و بالأوّل صرّح بعض الأصحاب </w:t>
      </w:r>
      <w:r>
        <w:rPr>
          <w:rStyle w:val="FootnoteAnchor"/>
          <w:rtl w:val="true"/>
        </w:rPr>
        <w:footnoteReference w:id="1889"/>
      </w:r>
      <w:r>
        <w:rPr>
          <w:rFonts w:ascii="Amiri" w:hAnsi="Amiri" w:eastAsia="Amiri" w:cs="Amiri"/>
          <w:color w:val="111111"/>
          <w:sz w:val="28"/>
          <w:sz w:val="28"/>
          <w:szCs w:val="28"/>
          <w:rtl w:val="true"/>
          <w:lang w:bidi="ar-SA"/>
        </w:rPr>
        <w:t>،و هو أحوط،و يمكن تنزيل إطلاقهما عليه</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102761_73709187"/>
      <w:bookmarkStart w:id="245" w:name="_Toc90"/>
      <w:bookmarkEnd w:id="244"/>
      <w:r>
        <w:rPr>
          <w:rtl w:val="true"/>
        </w:rPr>
        <w:t>الثالثة لو دخل لصّ فجمع متاعاً و وطئ صاحبة المنزل قهراً</w:t>
      </w:r>
      <w:bookmarkEnd w:id="24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لصّ منزلاً فجمع متاعاً و وطئ صاحبة المنزل قهراً فثار ولدها فقتله اللصّ ثم قتلته المرأة ذهب دمه أي اللص هدراً باطلاً لا عوض له و ضمن مواليه و ورثته دية الغلام الذي قتله و كان لها أربعة آلاف درهم من تركته عوضاً عن البضع لمكابرتها على فرجها فليست 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هذه الجملة بإطلاقها مخالفة للأُصول القطعية كما صرّح به الحلّي و غيره </w:t>
      </w:r>
      <w:r>
        <w:rPr>
          <w:rStyle w:val="FootnoteAnchor"/>
          <w:rtl w:val="true"/>
        </w:rPr>
        <w:footnoteReference w:id="1890"/>
      </w:r>
      <w:r>
        <w:rPr>
          <w:rFonts w:ascii="Amiri" w:hAnsi="Amiri" w:eastAsia="Amiri" w:cs="Amiri"/>
          <w:color w:val="111111"/>
          <w:sz w:val="28"/>
          <w:sz w:val="28"/>
          <w:szCs w:val="28"/>
          <w:rtl w:val="true"/>
          <w:lang w:bidi="ar-SA"/>
        </w:rPr>
        <w:t>نسبها الماتن إلى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محمّد بن حفص،عن عبد اللّه بن طلحة،عن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و كذا باقي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محتملة للانطباق مع الأُصول كما ذكروه،فوجّهوا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محارب يقتل إذا لم يندفع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بفوات محلّ القصاص فيضمن الورثة دية الغلام إذا لم يكن للّص تركة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المقدّر من الدراهم على أنّه كان مهر أمثالها،بناءً على أنّه لا يتقدّر بالسنّة؛ لأنّه جناية يغلب فيه جانب الماليّة،و بهذا التنزيل لا تنافي الأُصول،لكن لا يتعيّن ما قدّر فيها من عوض البضع إلّا في الفرض المزبور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قتل المرأة اللصّ قصاصاً عن ولدها،أو أسقطنا الحقّ بفوات </w:t>
      </w:r>
    </w:p>
    <w:p>
      <w:pPr>
        <w:pStyle w:val="BookText"/>
        <w:rPr/>
      </w:pPr>
      <w:r>
        <w:rPr>
          <w:rFonts w:ascii="Amiri" w:hAnsi="Amiri" w:eastAsia="Amiri" w:cs="Amiri"/>
          <w:color w:val="111111"/>
          <w:sz w:val="28"/>
          <w:sz w:val="28"/>
          <w:szCs w:val="28"/>
          <w:rtl w:val="true"/>
          <w:lang w:bidi="ar-SA"/>
        </w:rPr>
        <w:t>محل القصاص،سقط غرم الأولياء؛ و لو قتلته لا قصاصاً و لا دفاعاً اقيدت به، و ذلك لما مرّ،مع ضعف إسنادها بجهالة الراويين،و كونها قضية في واقعة محتملة لما تنطبق به 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 السابق في امرأة أدخلت الحجلة صديقاً لها ليلة بنائها و زفافها،فلمّا ذهب الرجل يباضع أهله ثار الصديق فاقتتل هو و زوجها في البيت فقتله الزوج لما وجده عندها فقتلت المرأة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المرأة دية الصديق و قتلت بالزوج </w:t>
      </w:r>
      <w:r>
        <w:rPr>
          <w:rStyle w:val="FootnoteAnchor"/>
          <w:rtl w:val="true"/>
        </w:rPr>
        <w:footnoteReference w:id="1892"/>
      </w:r>
      <w:r>
        <w:rPr>
          <w:rFonts w:ascii="Amiri" w:hAnsi="Amiri" w:eastAsia="Amiri" w:cs="Amiri"/>
          <w:color w:val="111111"/>
          <w:sz w:val="28"/>
          <w:sz w:val="28"/>
          <w:szCs w:val="28"/>
          <w:rtl w:val="true"/>
          <w:lang w:bidi="ar-SA"/>
        </w:rPr>
        <w:t>و لا إشكال في هذا،و إنما هو في سابقه؛ فإنّ الصديق إمّا كان يستحق القتل لقصده قتل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بهجمه عليه</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و محاربته معه مع عدم اندفاعه إلّا بالقتل،أولا،فإن كان الأوّل لم تستحق الدية،و إن كان الثاني ضمنها الزوج لا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أنّ دم الصديق هدر في الشق الأوّل،كما هو ظاهر الخبر؛ و لذا أطلق الماتن هنا و في الشرائع و الفاضل في التحرير و ولده في شرحه و الصيمري و الفاضل المقداد في الشرح </w:t>
      </w:r>
      <w:r>
        <w:rPr>
          <w:rStyle w:val="FootnoteAnchor"/>
          <w:rtl w:val="true"/>
        </w:rPr>
        <w:footnoteReference w:id="1894"/>
      </w:r>
      <w:r>
        <w:rPr>
          <w:rFonts w:ascii="Amiri" w:hAnsi="Amiri" w:eastAsia="Amiri" w:cs="Amiri"/>
          <w:color w:val="111111"/>
          <w:sz w:val="28"/>
          <w:sz w:val="28"/>
          <w:szCs w:val="28"/>
          <w:rtl w:val="true"/>
          <w:lang w:bidi="ar-SA"/>
        </w:rPr>
        <w:t xml:space="preserve">و غيرهم </w:t>
      </w:r>
      <w:r>
        <w:rPr>
          <w:rStyle w:val="FootnoteAnchor"/>
          <w:rtl w:val="true"/>
        </w:rPr>
        <w:footnoteReference w:id="1895"/>
      </w:r>
      <w:r>
        <w:rPr>
          <w:rFonts w:ascii="Amiri" w:hAnsi="Amiri" w:eastAsia="Amiri" w:cs="Amiri"/>
          <w:color w:val="111111"/>
          <w:sz w:val="28"/>
          <w:sz w:val="28"/>
          <w:szCs w:val="28"/>
          <w:rtl w:val="true"/>
          <w:lang w:bidi="ar-SA"/>
        </w:rPr>
        <w:t xml:space="preserve">،وفاقاً منهم للحلّي </w:t>
      </w:r>
      <w:r>
        <w:rPr>
          <w:rStyle w:val="FootnoteAnchor"/>
          <w:rtl w:val="true"/>
        </w:rPr>
        <w:footnoteReference w:id="1896"/>
      </w:r>
      <w:r>
        <w:rPr>
          <w:rFonts w:ascii="Amiri" w:hAnsi="Amiri" w:eastAsia="Amiri" w:cs="Amiri"/>
          <w:color w:val="111111"/>
          <w:sz w:val="28"/>
          <w:sz w:val="28"/>
          <w:szCs w:val="28"/>
          <w:rtl w:val="true"/>
          <w:lang w:bidi="ar-SA"/>
        </w:rPr>
        <w:t>لما مرّ،و مقتضاه عدم الفرق بين علم الصديق بالحال و عدمه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للّمعة </w:t>
      </w:r>
      <w:r>
        <w:rPr>
          <w:rStyle w:val="FootnoteAnchor"/>
          <w:rtl w:val="true"/>
        </w:rPr>
        <w:footnoteReference w:id="1897"/>
      </w:r>
      <w:r>
        <w:rPr>
          <w:rFonts w:ascii="Amiri" w:hAnsi="Amiri" w:eastAsia="Amiri" w:cs="Amiri"/>
          <w:color w:val="111111"/>
          <w:sz w:val="28"/>
          <w:sz w:val="28"/>
          <w:szCs w:val="28"/>
          <w:rtl w:val="true"/>
          <w:lang w:bidi="ar-SA"/>
        </w:rPr>
        <w:t>،فقيّده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أعرف وجهه</w:t>
      </w:r>
      <w:r>
        <w:rPr>
          <w:rFonts w:eastAsia="Amiri" w:cs="Amiri" w:ascii="Amiri" w:hAnsi="Amiri"/>
          <w:color w:val="111111"/>
          <w:sz w:val="28"/>
          <w:szCs w:val="28"/>
          <w:rtl w:val="true"/>
          <w:lang w:bidi="ar-SA"/>
        </w:rPr>
        <w:t xml:space="preserve">. </w:t>
      </w:r>
      <w:bookmarkStart w:id="246" w:name="pg11409_90986"/>
    </w:p>
    <w:p>
      <w:pPr>
        <w:pStyle w:val="BookText"/>
        <w:rPr/>
      </w:pPr>
      <w:bookmarkEnd w:id="246"/>
      <w:r>
        <w:rPr>
          <w:rFonts w:ascii="Amiri" w:hAnsi="Amiri" w:eastAsia="Amiri" w:cs="Amiri"/>
          <w:color w:val="111111"/>
          <w:sz w:val="28"/>
          <w:sz w:val="28"/>
          <w:szCs w:val="28"/>
          <w:rtl w:val="true"/>
          <w:lang w:bidi="ar-SA"/>
        </w:rPr>
        <w:t>و ظاهر شيخنا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لهم في الحكم،فقال بعد تعليله له بأنّ للزوج قتل من يجد في داره للزناء فسقط القود عن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بأنّ دخوله أعمّ من قصد الزناء،و لو سلّم منعنا الحكم بجواز قتل مريده مطلقاً </w:t>
      </w:r>
      <w:r>
        <w:rPr>
          <w:rStyle w:val="FootnoteAnchor"/>
          <w:rtl w:val="true"/>
        </w:rPr>
        <w:footnoteReference w:id="18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لو كان الدليل منحصراً فيما ذكره،و قد عرفت وجود غيره،و هو كونه متهجّماً على الزوج و محارباً معه،و دمه هدر حينئذٍ اتفاقاً فتوًى و روايةً،فالأصحّ ما ذكره الجماعة؛ لما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 الرواية،و كونها قضية في واقعة،فلعلّه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بموجب ما حكم به من ضمان الدية،و ربما يوجّه تارةً بأنّها غرّته،و أُخرى بأنّها أخرجته من بيته ليلاً</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102763_73709187"/>
      <w:bookmarkStart w:id="248" w:name="_Toc91"/>
      <w:bookmarkEnd w:id="247"/>
      <w:r>
        <w:rPr>
          <w:rtl w:val="true"/>
        </w:rPr>
        <w:t>الرابعة لو شرب أربعة فسكروا فوجد جريحان و قتيلان</w:t>
      </w:r>
      <w:bookmarkEnd w:id="24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أربعة مسكراً فسكروا فوجد بينهم جريحان و قتيلان،ففي رواية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بدية المقتولين على المجروحين بعد أن أسقط جراحة المجروحين أي دية جراحتهما من الدية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أحد المجروحين فليس على أحد من أولياء المقتولين شيء</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النوفلي،عن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أنّه قضى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هذه القضية ف جعل دية المقتولين على قبائل الأربعة و أخذ دية المجروحين من دية المقتولين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و الرواية الأُولى مشهورة بين الأصحاب،كما صرّح به جماعة و منهم الفاضل المقداد في التنقيح،قال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تجارح اثنان فقتل أحدهما قُضي بالدية على الباقي و وضع منها أرش الجناية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صحيحة؛ لكون الراوي هو الثقة بقرينة ما قبله و ما بعده، و بذلك صرّح من المحقّقين جماعة </w:t>
      </w:r>
      <w:r>
        <w:rPr>
          <w:rStyle w:val="FootnoteAnchor"/>
          <w:rtl w:val="true"/>
        </w:rPr>
        <w:footnoteReference w:id="1904"/>
      </w:r>
      <w:r>
        <w:rPr>
          <w:rFonts w:ascii="Amiri" w:hAnsi="Amiri" w:eastAsia="Amiri" w:cs="Amiri"/>
          <w:color w:val="111111"/>
          <w:sz w:val="28"/>
          <w:sz w:val="28"/>
          <w:szCs w:val="28"/>
          <w:rtl w:val="true"/>
          <w:lang w:bidi="ar-SA"/>
        </w:rPr>
        <w:t xml:space="preserve">،لكنّها مخالفة للأُصول،إمّا لعدم استلزام الاجتماع المذكور و الاقتتال كون القاتل هو المجروح و بالعكس،أو لما ذكره الشهيد من أنّه إذا حكم بأنّ المجروحين قاتلان فلِمَ لا يستعدي منهما،و أنّ إطلاق الحكم بأخذ دية الجرح و إهدار الدية لو ماتا لا يتم أيضاً،و كذا الحكم بوجوب الدية في جراحتهما؛ لأنّ موجَب العمد القصاص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ما ذكره الحلّي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دفع هذا بكون القتل وقع منهما حالة السكر،فلا يوجب إلّا الدية في مال القاتل،وفاقاً لجماعة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الجواب عن الرواية الثانية،مع ما هي عليه من قصور السند و عدم المقاومة للرواية الصحيحة المشهورة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الإشكال بإهدار الدية لو 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بفرض الجرح غير قاتل؛ و وجوب دية الجرح لوقوعه أيضاً من السكران،أو لفوات محل القصاص، فانحصر الوجه في مخالفتها للأصل فيما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أنّها كالثانية قضية في واقعة لا عموم لها يعمّ جميع الصور حتى ما يخالف منها للأُصول و هو أعلم بما أوجب ذلك الحكم الذي حكم به فيها،فلعلّه كان شيئاً يوافق الحكم معه 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الشهرة بنفسها سيّما المحكية منها ليست بحجة،و مع ذلك ليس بمعلوم كونها على الفتوى،فيحتمل كونها على الرواية خاصّة،و لو سلّم فهي ليست بمحقّقة،و حكايتها موهونة؛ إذ لم نجد مفتياً بها صريحاً أصلاً، و لم يحك عن أحدٍ إلّا عن الإسكافي و القاضي </w:t>
      </w:r>
      <w:r>
        <w:rPr>
          <w:rStyle w:val="FootnoteAnchor"/>
          <w:rtl w:val="true"/>
        </w:rPr>
        <w:footnoteReference w:id="1908"/>
      </w:r>
      <w:r>
        <w:rPr>
          <w:rFonts w:ascii="Amiri" w:hAnsi="Amiri" w:eastAsia="Amiri" w:cs="Amiri"/>
          <w:color w:val="111111"/>
          <w:sz w:val="28"/>
          <w:sz w:val="28"/>
          <w:szCs w:val="28"/>
          <w:rtl w:val="true"/>
          <w:lang w:bidi="ar-SA"/>
        </w:rPr>
        <w:t>،و هما نادران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رواها الكليني و الصدوق و الشيخان و ابن زهرة و غيرهم </w:t>
      </w:r>
      <w:r>
        <w:rPr>
          <w:rStyle w:val="FootnoteAnchor"/>
          <w:rtl w:val="true"/>
        </w:rPr>
        <w:footnoteReference w:id="1909"/>
      </w:r>
      <w:r>
        <w:rPr>
          <w:rFonts w:ascii="Amiri" w:hAnsi="Amiri" w:eastAsia="Amiri" w:cs="Amiri"/>
          <w:color w:val="111111"/>
          <w:sz w:val="28"/>
          <w:sz w:val="28"/>
          <w:szCs w:val="28"/>
          <w:rtl w:val="true"/>
          <w:lang w:bidi="ar-SA"/>
        </w:rPr>
        <w:t>من غير أن يقدحوا فيها بشيء بالكلية،و هو بمجرّده ليس صريحاً في الفتوى بها،بل و لا ظاهراً ظهوراً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الوجه فما الذي ينبغي أن يحكم في هذه القضية؟ذكر جماعة </w:t>
      </w:r>
      <w:r>
        <w:rPr>
          <w:rStyle w:val="FootnoteAnchor"/>
          <w:rtl w:val="true"/>
        </w:rPr>
        <w:footnoteReference w:id="1910"/>
      </w:r>
      <w:r>
        <w:rPr>
          <w:rFonts w:ascii="Amiri" w:hAnsi="Amiri" w:eastAsia="Amiri" w:cs="Amiri"/>
          <w:color w:val="111111"/>
          <w:sz w:val="28"/>
          <w:sz w:val="28"/>
          <w:szCs w:val="28"/>
          <w:rtl w:val="true"/>
          <w:lang w:bidi="ar-SA"/>
        </w:rPr>
        <w:t>أنّها صورة لوث،فلأولياء المقتولين القسامة على المجروحين؛ لأنّ كلّ واحد من المقتولين و المجروحين يجوز أن تكون الجناية عليه مضمونة،و يجوز أن تكون مباحة بتقدير أن يكون غريمه قصد دفعه فيكون هدراً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حسن،لكنّه منحصر فيما إذا كان هناك أولياء مدّعون،و يشكل مع عدمهم،و لعلّ الأخذ بالرواية الصحيحة في هذه الصورة غير بعيد؛ لعدم أصل ظاهر يرجع إليه فيها،و يمكن تنزيلها عليها،بل لعلّها ظاهرها،فتأمّل </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الفرات ستّة غلمان فغرق واحد منهم فشهد اثنان منهم على الثلاثة أنّهم غرّقوه،و شهد الثلاثة على الاثنين أنّهما غرّقاه ف </w:t>
      </w:r>
      <w:r>
        <w:rPr>
          <w:rStyle w:val="FootnoteAnchor"/>
          <w:rtl w:val="true"/>
        </w:rPr>
        <w:footnoteReference w:id="1911"/>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بما في رواية النوفلي عن السكوني و رواية محمّد بن قيس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بالدية أخماساً بنسبة الشهادة فجعل ثلاثة أخماس على الاثنين و خُمسين على الثلاثة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صحّ سندها بالطريق الثاني لكنّها مخالفة لأُصول المذهب،و الموافق لها من الحكم أنّ شهادة السابقين إن كانت مع استدعاء الوليّ و عدالتهم قبلت،ثم لا تقبل شهادة الآخرين؛ للتهمة،و إن كانت الدعوى على الجميع أو حصلت التهمة عليهم لم تقبل شهادة أحدهم، و يكون ذلك لوثاً يمكن إثباته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يذبّ عن الرواية مع كونها على ما ذكره الماتن هنا و في الشرائع </w:t>
      </w:r>
      <w:r>
        <w:rPr>
          <w:rStyle w:val="FootnoteAnchor"/>
          <w:rtl w:val="true"/>
        </w:rPr>
        <w:footnoteReference w:id="1913"/>
      </w:r>
      <w:r>
        <w:rPr>
          <w:rFonts w:ascii="Amiri" w:hAnsi="Amiri" w:eastAsia="Amiri" w:cs="Amiri"/>
          <w:color w:val="111111"/>
          <w:sz w:val="28"/>
          <w:sz w:val="28"/>
          <w:szCs w:val="28"/>
          <w:rtl w:val="true"/>
          <w:lang w:bidi="ar-SA"/>
        </w:rPr>
        <w:t>متروكة بما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النقل فهو واقعة في عين فلا يتعدّى؛ لاحتمال ما يوجب الاختصاص بها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هذه الرواية كما مضى في سابقتها،حتى في </w:t>
      </w:r>
      <w:bookmarkStart w:id="249" w:name="pg11409_90990"/>
    </w:p>
    <w:p>
      <w:pPr>
        <w:pStyle w:val="BookText"/>
        <w:rPr/>
      </w:pPr>
      <w:bookmarkEnd w:id="249"/>
      <w:r>
        <w:rPr>
          <w:rFonts w:ascii="Amiri" w:hAnsi="Amiri" w:eastAsia="Amiri" w:cs="Amiri"/>
          <w:color w:val="111111"/>
          <w:sz w:val="28"/>
          <w:sz w:val="28"/>
          <w:szCs w:val="28"/>
          <w:rtl w:val="true"/>
          <w:lang w:bidi="ar-SA"/>
        </w:rPr>
        <w:t xml:space="preserve">اشتهارها روايةً و فتوى القاضي </w:t>
      </w:r>
      <w:r>
        <w:rPr>
          <w:rStyle w:val="FootnoteAnchor"/>
          <w:rtl w:val="true"/>
        </w:rPr>
        <w:footnoteReference w:id="1914"/>
      </w:r>
      <w:r>
        <w:rPr>
          <w:rFonts w:ascii="Amiri" w:hAnsi="Amiri" w:eastAsia="Amiri" w:cs="Amiri"/>
          <w:color w:val="111111"/>
          <w:sz w:val="28"/>
          <w:sz w:val="28"/>
          <w:szCs w:val="28"/>
          <w:rtl w:val="true"/>
          <w:lang w:bidi="ar-SA"/>
        </w:rPr>
        <w:t xml:space="preserve">بها،و ادّعى السيّدان </w:t>
      </w:r>
      <w:r>
        <w:rPr>
          <w:rStyle w:val="FootnoteAnchor"/>
          <w:rtl w:val="true"/>
        </w:rPr>
        <w:footnoteReference w:id="1915"/>
      </w:r>
      <w:r>
        <w:rPr>
          <w:rFonts w:ascii="Amiri" w:hAnsi="Amiri" w:eastAsia="Amiri" w:cs="Amiri"/>
          <w:color w:val="111111"/>
          <w:sz w:val="28"/>
          <w:sz w:val="28"/>
          <w:szCs w:val="28"/>
          <w:rtl w:val="true"/>
          <w:lang w:bidi="ar-SA"/>
        </w:rPr>
        <w:t>شهرتها بحيث يظهر منهما الاعتماد عليها،فليت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ادّعى الماتن متروكيّتها مع مساواتها في جميع ذلك لسابقتها،بل لعلّها أقوى منها؛ لاختلافها دون هذه؛ لعدم اختلاف فيها،فلا بُعد في العمل بها حيث لأقسامه و لا قبول شهادة،مع تأمّل 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عادة الأصحاب جرت بحكاية هذه الأحكام هنا منسوبة إلى الرواية؛ نظراً إلى مخالفتها الأُصول،و احتياجها أو بعضها في الردّ إليها إلى التأويل أو التقييد،أو للتنبيه على مأخذ الحكم المخالف لها،و قد يزيد </w:t>
      </w:r>
      <w:r>
        <w:rPr>
          <w:rStyle w:val="FootnoteAnchor"/>
          <w:rtl w:val="true"/>
        </w:rPr>
        <w:footnoteReference w:id="1916"/>
      </w:r>
      <w:r>
        <w:rPr>
          <w:rFonts w:ascii="Amiri" w:hAnsi="Amiri" w:eastAsia="Amiri" w:cs="Amiri"/>
          <w:color w:val="111111"/>
          <w:sz w:val="28"/>
          <w:sz w:val="28"/>
          <w:szCs w:val="28"/>
          <w:rtl w:val="true"/>
          <w:lang w:bidi="ar-SA"/>
        </w:rPr>
        <w:t xml:space="preserve">بعضهم التنبيه على ضعف المستند أو غيره تحقيقاً </w:t>
      </w:r>
      <w:r>
        <w:rPr>
          <w:rStyle w:val="FootnoteAnchor"/>
          <w:rtl w:val="true"/>
        </w:rPr>
        <w:footnoteReference w:id="1917"/>
      </w:r>
      <w:r>
        <w:rPr>
          <w:rFonts w:ascii="IRNazanin" w:hAnsi="IRNazanin" w:eastAsia="IRNazanin"/>
          <w:color w:val="111111"/>
          <w:sz w:val="28"/>
          <w:sz w:val="28"/>
          <w:szCs w:val="28"/>
          <w:rtl w:val="true"/>
          <w:lang w:bidi="fa-IR"/>
        </w:rPr>
        <w:t>لعذر اطراحها</w:t>
      </w:r>
      <w:r>
        <w:rPr>
          <w:rFonts w:eastAsia="IRNazanin" w:cs="IRNazanin"/>
          <w:color w:val="111111"/>
          <w:sz w:val="28"/>
          <w:szCs w:val="28"/>
          <w:rtl w:val="true"/>
          <w:lang w:bidi="fa-IR"/>
        </w:rPr>
        <w:t>.</w:t>
      </w:r>
    </w:p>
    <w:p>
      <w:pPr>
        <w:pStyle w:val="Heading4"/>
        <w:numPr>
          <w:ilvl w:val="3"/>
          <w:numId w:val="1"/>
        </w:numPr>
        <w:rPr/>
      </w:pPr>
      <w:bookmarkStart w:id="250" w:name="__RefHeading___Toc1102765_73709187"/>
      <w:bookmarkStart w:id="251" w:name="_Toc92"/>
      <w:bookmarkEnd w:id="250"/>
      <w:r>
        <w:rPr>
          <w:rtl w:val="true"/>
        </w:rPr>
        <w:t>البحث الثاني في التسبيب</w:t>
      </w:r>
      <w:bookmarkEnd w:id="251"/>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التسبيب و هو في الجملة موجب للضمان،بلا خلاف أجده؛ للاعتبار المؤيد بحديث نفي الضرار؛ مضافاً إلى خصوص النصوص المستفيضة الآتية في المضمار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لولاه لما حصل التلف،لكن علّته غير السبب كحفر البئر و ما في معناها و نصب السكين و نحوه و طرح المعاثر من نحو قشور البطيخ و المزالق كرشّ الماء و نحوه في الطرق مثلاً و إلقاء الحجر و نحوه فيها ف إنّ التلف لم يحصل من شيء منها،بل من </w:t>
      </w:r>
    </w:p>
    <w:p>
      <w:pPr>
        <w:pStyle w:val="BookText"/>
        <w:rPr/>
      </w:pPr>
      <w:r>
        <w:rPr>
          <w:rFonts w:ascii="Amiri" w:hAnsi="Amiri" w:eastAsia="Amiri" w:cs="Amiri"/>
          <w:color w:val="111111"/>
          <w:sz w:val="28"/>
          <w:sz w:val="28"/>
          <w:szCs w:val="28"/>
          <w:rtl w:val="true"/>
          <w:lang w:bidi="ar-SA"/>
        </w:rPr>
        <w:t xml:space="preserve">العثار المسبّب عنها،و ليس الضمان فيها كلّياً،بل على تفصيل ذكره الماتن و غيره من أصحابنا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أنّه إن كان إحداث شيء من ذلك في ملكه لم يضمن التالف بها فيه إمّا مطلقاً،كما يقتضيه الأصل و إطلاق النصوص الآتية و العبارة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مقيّداً بما إذا لم يتضمن غروراً،و إلّا فيضمن،كما لو جهل الداخل بإذنه لكونه أعمى،أو كون ذلك مستوراً،أو الموضع مظلماً،أو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أظهر،وفاقاً لجمع ممّن تأخّر </w:t>
      </w:r>
      <w:r>
        <w:rPr>
          <w:rStyle w:val="FootnoteAnchor"/>
          <w:rtl w:val="true"/>
        </w:rPr>
        <w:footnoteReference w:id="1919"/>
      </w:r>
      <w:r>
        <w:rPr>
          <w:rFonts w:ascii="Amiri" w:hAnsi="Amiri" w:eastAsia="Amiri" w:cs="Amiri"/>
          <w:color w:val="111111"/>
          <w:sz w:val="28"/>
          <w:sz w:val="28"/>
          <w:szCs w:val="28"/>
          <w:rtl w:val="true"/>
          <w:lang w:bidi="ar-SA"/>
        </w:rPr>
        <w:t>عملاً بأدلّة نفي الضرر؛ و قدحاً في دلالة الإطلاقات بقوة احتمال اختصاصها بحكم التبادر بغير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يشعر به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حفر بئراً في داره ثم دخل رجل فوقع فيها لم يكن عليه شيء و لا ضمان،و لكن ليغطّها</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ألحق جماعة </w:t>
      </w:r>
      <w:r>
        <w:rPr>
          <w:rStyle w:val="FootnoteAnchor"/>
          <w:rtl w:val="true"/>
        </w:rPr>
        <w:footnoteReference w:id="1921"/>
      </w:r>
      <w:r>
        <w:rPr>
          <w:rFonts w:ascii="Amiri" w:hAnsi="Amiri" w:eastAsia="Amiri" w:cs="Amiri"/>
          <w:color w:val="111111"/>
          <w:sz w:val="28"/>
          <w:sz w:val="28"/>
          <w:szCs w:val="28"/>
          <w:rtl w:val="true"/>
          <w:lang w:bidi="ar-SA"/>
        </w:rPr>
        <w:t>بالملك المكان المباح؛ لإباحة التصرف فيه، فلا عدوان يوجب ضمان ما يتلف فيه و يقتضيه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لولا ما سيأتي من إطلاق الأخبار بالضمان بالإحداث فيما لا يملكه،بل عمومها الشامل لما نحن فيه،إلّا أن يذبّ عنه بنحو مما ذبّ عن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في غير ملكه أو كان في طريق مسلوك ضمن ديته إمّا مطلقاً،كما يقتضيه إطلاق العبارة و نحوها و النصوص الآتية أو مقيّداً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بوقوع الإحداث فيه من غير إذن المالك،و أمّا معه و لو بعده </w:t>
      </w:r>
      <w:r>
        <w:rPr>
          <w:rStyle w:val="FootnoteAnchor"/>
          <w:rtl w:val="true"/>
        </w:rPr>
        <w:footnoteReference w:id="1922"/>
      </w:r>
      <w:r>
        <w:rPr>
          <w:rFonts w:ascii="Amiri" w:hAnsi="Amiri" w:eastAsia="Amiri" w:cs="Amiri"/>
          <w:color w:val="111111"/>
          <w:sz w:val="28"/>
          <w:sz w:val="28"/>
          <w:szCs w:val="28"/>
          <w:rtl w:val="true"/>
          <w:lang w:bidi="ar-SA"/>
        </w:rPr>
        <w:t>فكوقوعه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كون الإحداث لمصلحة المسلمين،و أمّا معه فلا ضمان،كما ذكره جماعة </w:t>
      </w:r>
      <w:r>
        <w:rPr>
          <w:rStyle w:val="FootnoteAnchor"/>
          <w:rtl w:val="true"/>
        </w:rPr>
        <w:footnoteReference w:id="1923"/>
      </w:r>
      <w:r>
        <w:rPr>
          <w:rFonts w:ascii="Amiri" w:hAnsi="Amiri" w:eastAsia="Amiri" w:cs="Amiri"/>
          <w:color w:val="111111"/>
          <w:sz w:val="28"/>
          <w:sz w:val="28"/>
          <w:szCs w:val="28"/>
          <w:rtl w:val="true"/>
          <w:lang w:bidi="ar-SA"/>
        </w:rPr>
        <w:t>،و إن اختلفوا في نفي الضمان مع الإحداث للمصلحة هل هو مطلق،أو مشروط بما إذا كان بإذن الإمام؟ و لعلّه غير بعيد؛ لإلحاق إذن المالك للمُحدِث بالحدث ملكَه بملِكه في عدم العدوان الذي هو الأصل في شرعية الضمان بالإتلاف حيث لا دليل على العموم،كما فيما نحن فيه؛ لعدم عموم فيه سوى الإطلاق الممكن أن يذبّ عنه بما ذبّ به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بنحوه يجاب عن نفي الضمان في الإحداث مع المصلحة؛ مضافاً إلى أنّه محسن و ما عَلَى الْمُحْسِنِينَ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الأصل في هذه المسائل مضافاً إلى ما عرفته المعتبرة المستفيضة،منها زيادةً على ما مرّ و ما سيأتي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يحفر البئر في داره أو في أرضه؟فقال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حفر في ملكه فليس عليه ضمان،و أمّا ما حفر في الطريق أو في غير </w:t>
      </w:r>
    </w:p>
    <w:p>
      <w:pPr>
        <w:pStyle w:val="BookText"/>
        <w:rPr/>
      </w:pPr>
      <w:r>
        <w:rPr>
          <w:rFonts w:ascii="Amiri" w:hAnsi="Amiri" w:eastAsia="Amiri" w:cs="Amiri"/>
          <w:color w:val="111111"/>
          <w:sz w:val="28"/>
          <w:sz w:val="28"/>
          <w:szCs w:val="28"/>
          <w:rtl w:val="true"/>
          <w:lang w:bidi="ar-SA"/>
        </w:rPr>
        <w:t>ما يملك فهو ضامن لما يسقط فيه</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حفر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دخل دار قوم يلعب فوقع في بئرهم،هل يضمنون؟قال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يضمنون،فإن كانوا متّهمين ضمنوا</w:t>
      </w:r>
      <w:r>
        <w:rPr>
          <w:rFonts w:eastAsia="Amiri" w:cs="Amiri" w:ascii="Amiri" w:hAnsi="Amiri"/>
          <w:color w:val="111111"/>
          <w:sz w:val="28"/>
          <w:szCs w:val="28"/>
          <w:rtl w:val="true"/>
          <w:lang w:bidi="ar-SA"/>
        </w:rPr>
        <w:t xml:space="preserve">» </w:t>
      </w:r>
      <w:r>
        <w:rPr>
          <w:rStyle w:val="FootnoteAnchor"/>
          <w:rtl w:val="true"/>
        </w:rPr>
        <w:footnoteReference w:id="1927"/>
      </w:r>
      <w:r>
        <w:rPr>
          <w:rFonts w:ascii="Amiri" w:hAnsi="Amiri" w:eastAsia="Amiri" w:cs="Amiri"/>
          <w:color w:val="111111"/>
          <w:sz w:val="28"/>
          <w:sz w:val="28"/>
          <w:szCs w:val="28"/>
          <w:rtl w:val="true"/>
          <w:lang w:bidi="ar-SA"/>
        </w:rPr>
        <w:t>و نحوه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متهمين ضمنوا</w:t>
      </w:r>
      <w:r>
        <w:rPr>
          <w:rFonts w:eastAsia="Amiri" w:cs="Amiri" w:ascii="Amiri" w:hAnsi="Amiri"/>
          <w:color w:val="111111"/>
          <w:sz w:val="28"/>
          <w:szCs w:val="28"/>
          <w:rtl w:val="true"/>
          <w:lang w:bidi="ar-SA"/>
        </w:rPr>
        <w:t xml:space="preserve">» </w:t>
      </w:r>
      <w:r>
        <w:rPr>
          <w:rStyle w:val="FootnoteAnchor"/>
          <w:rtl w:val="true"/>
        </w:rPr>
        <w:footnoteReference w:id="1928"/>
      </w:r>
      <w:r>
        <w:rPr>
          <w:rFonts w:ascii="Amiri" w:hAnsi="Amiri" w:eastAsia="Amiri" w:cs="Amiri"/>
          <w:color w:val="111111"/>
          <w:sz w:val="28"/>
          <w:sz w:val="28"/>
          <w:szCs w:val="28"/>
          <w:rtl w:val="true"/>
          <w:lang w:bidi="ar-SA"/>
        </w:rPr>
        <w:t>فمحمول على وقوع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 من التسبيب نصب الميازيب،و هو جائز إلى الطرق النافذة إجماعاً كما في كلام جماعة </w:t>
      </w:r>
      <w:r>
        <w:rPr>
          <w:rStyle w:val="FootnoteAnchor"/>
          <w:rtl w:val="true"/>
        </w:rPr>
        <w:footnoteReference w:id="1929"/>
      </w:r>
      <w:r>
        <w:rPr>
          <w:rFonts w:ascii="Amiri" w:hAnsi="Amiri" w:eastAsia="Amiri" w:cs="Amiri"/>
          <w:color w:val="111111"/>
          <w:sz w:val="28"/>
          <w:sz w:val="28"/>
          <w:szCs w:val="28"/>
          <w:rtl w:val="true"/>
          <w:lang w:bidi="ar-SA"/>
        </w:rPr>
        <w:t xml:space="preserve">حدّ الاستفاضة،و لكن عن ابن حمزة </w:t>
      </w:r>
      <w:r>
        <w:rPr>
          <w:rStyle w:val="FootnoteAnchor"/>
          <w:rtl w:val="true"/>
        </w:rPr>
        <w:footnoteReference w:id="1930"/>
      </w:r>
      <w:r>
        <w:rPr>
          <w:rFonts w:ascii="Amiri" w:hAnsi="Amiri" w:eastAsia="Amiri" w:cs="Amiri"/>
          <w:color w:val="111111"/>
          <w:sz w:val="28"/>
          <w:sz w:val="28"/>
          <w:szCs w:val="28"/>
          <w:rtl w:val="true"/>
          <w:lang w:bidi="ar-SA"/>
        </w:rPr>
        <w:t>أنّه للمسلمين المنع عنه،و يمكن تخصيصه بالمضرّ،فلا خلاف كما ذكروه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ضمان ما يتلف به قولان،أحدهما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يضمن إلّا مع التفريط في نصبه،كأن يثبت على غير عادة أمثاله و هو الأشبه وفاقاً للمفيد و الحلّي و جماعة </w:t>
      </w:r>
      <w:r>
        <w:rPr>
          <w:rStyle w:val="FootnoteAnchor"/>
          <w:rtl w:val="true"/>
        </w:rPr>
        <w:footnoteReference w:id="1931"/>
      </w:r>
      <w:r>
        <w:rPr>
          <w:rFonts w:ascii="Amiri" w:hAnsi="Amiri" w:eastAsia="Amiri" w:cs="Amiri"/>
          <w:color w:val="111111"/>
          <w:sz w:val="28"/>
          <w:sz w:val="28"/>
          <w:szCs w:val="28"/>
          <w:rtl w:val="true"/>
          <w:lang w:bidi="ar-SA"/>
        </w:rPr>
        <w:t xml:space="preserve">للإذن في نصبها شرعاً، </w:t>
      </w:r>
    </w:p>
    <w:p>
      <w:pPr>
        <w:pStyle w:val="BookText"/>
        <w:rPr/>
      </w:pPr>
      <w:r>
        <w:rPr>
          <w:rFonts w:ascii="Amiri" w:hAnsi="Amiri" w:eastAsia="Amiri" w:cs="Amiri"/>
          <w:color w:val="111111"/>
          <w:sz w:val="28"/>
          <w:sz w:val="28"/>
          <w:szCs w:val="28"/>
          <w:rtl w:val="true"/>
          <w:lang w:bidi="ar-SA"/>
        </w:rPr>
        <w:t>فلا يستعقب ضماناً؛ و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آخرون،و منهم الشيخ في المبسوط و الخلاف </w:t>
      </w:r>
      <w:r>
        <w:rPr>
          <w:rStyle w:val="FootnoteAnchor"/>
          <w:rtl w:val="true"/>
        </w:rPr>
        <w:footnoteReference w:id="1932"/>
      </w:r>
      <w:r>
        <w:rPr>
          <w:rFonts w:ascii="Amiri" w:hAnsi="Amiri" w:eastAsia="Amiri" w:cs="Amiri"/>
          <w:color w:val="111111"/>
          <w:sz w:val="28"/>
          <w:sz w:val="28"/>
          <w:szCs w:val="28"/>
          <w:rtl w:val="true"/>
          <w:lang w:bidi="ar-SA"/>
        </w:rPr>
        <w:t>، مدّعياً فيه عليه 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يضمن و إن جاز وضعه؛ لأنّه سبب الإتلاف و إن أُبيح السبب كالطبيب و البيطار و المؤدِّب،و للنصوص و هي كثيرة،و إن اختلفت في الدلالة ظهوراً و صراحةً،ففي الصحاح المتقدمة و رواية </w:t>
      </w:r>
      <w:r>
        <w:rPr>
          <w:rStyle w:val="FootnoteAnchor"/>
          <w:rtl w:val="true"/>
        </w:rPr>
        <w:footnoteReference w:id="1933"/>
      </w:r>
      <w:r>
        <w:rPr>
          <w:rFonts w:ascii="Amiri" w:hAnsi="Amiri" w:eastAsia="Amiri" w:cs="Amiri"/>
          <w:color w:val="111111"/>
          <w:sz w:val="28"/>
          <w:sz w:val="28"/>
          <w:szCs w:val="28"/>
          <w:rtl w:val="true"/>
          <w:lang w:bidi="ar-SA"/>
        </w:rPr>
        <w:t>النوفلي عن السكوني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ميزاباً،أو كنيفاً،أو أوتد وتداً،أو أوثق دابّة،أو حفر شيئاً في طريق المسلمين فأصاب شيئاً فعطب فهو له ضامن</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للنظر في هذه الأدلّة مجال؛ لعدم الدليل على الضمان بمطلق الإتلاف حتى ما أبيح سببه،و الطبيب و البيطار خارجان بالنص المعتمد عليه،و ليس في محل البحث؛ لقصور دلالة الروايات الصحيحة،و عدم صحة سند الرواية الأخيرة،و لا جابر لها من شهرة أو غيرها سوى حكاية إجماع الأمّة،و هي موهونة بلا شبهة،سيّما مع مخالفة نحو المفيد بل الناقل نفسه أيضاً في النهاية،حيث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أحدث في الطريق ماله إحداثه لم يكن عليه شيء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قد ادّعى الإجماع في المبسوط على جواز نصب الميزاب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عن أصالة البراءة القطعية بهذه الأدلّة جرأة عظيمة،و لكن المسألة بعد لا تخلو عن شبهة،فهي محل تردّد،كما هو </w:t>
      </w:r>
    </w:p>
    <w:p>
      <w:pPr>
        <w:pStyle w:val="BookText"/>
        <w:rPr/>
      </w:pPr>
      <w:r>
        <w:rPr>
          <w:rFonts w:ascii="Amiri" w:hAnsi="Amiri" w:eastAsia="Amiri" w:cs="Amiri"/>
          <w:color w:val="111111"/>
          <w:sz w:val="28"/>
          <w:sz w:val="28"/>
          <w:szCs w:val="28"/>
          <w:rtl w:val="true"/>
          <w:lang w:bidi="ar-SA"/>
        </w:rPr>
        <w:t xml:space="preserve">ظاهر الفاضل في التحرير و شيخنا في المسالك و الروضة و غيرهم </w:t>
      </w:r>
      <w:r>
        <w:rPr>
          <w:rStyle w:val="FootnoteAnchor"/>
          <w:rtl w:val="true"/>
        </w:rPr>
        <w:footnoteReference w:id="1936"/>
      </w:r>
      <w:r>
        <w:rPr>
          <w:rFonts w:ascii="Amiri" w:hAnsi="Amiri" w:eastAsia="Amiri" w:cs="Amiri"/>
          <w:color w:val="111111"/>
          <w:sz w:val="28"/>
          <w:sz w:val="28"/>
          <w:szCs w:val="28"/>
          <w:rtl w:val="true"/>
          <w:lang w:bidi="ar-SA"/>
        </w:rPr>
        <w:t>،حيث اقتصروا على نقل القولين مع ذكر ثالث احتمالاً في الأوّل و قولاً لجماعة في الأخير،و هو الحكم بالضمان مطلقاً إن كان الساقط الخارج منه عن الحائط؛ لأنّ وضعه في الطريق مشروط بعدم الإضرار،كالروشن و الساباط،و بضمان النصف إن كان الساقط الجميع؛ لحصول التلف بأمرين أحدهما غير مضمون؛ لأنّ ما في الحائط منه بمنزلة أجزائه،و هو لا يوجب ضماناً حيث لا تقصير في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هذا التفصيل من المبسوط </w:t>
      </w:r>
      <w:r>
        <w:rPr>
          <w:rStyle w:val="FootnoteAnchor"/>
          <w:rtl w:val="true"/>
        </w:rPr>
        <w:footnoteReference w:id="1937"/>
      </w:r>
      <w:r>
        <w:rPr>
          <w:rFonts w:ascii="Amiri" w:hAnsi="Amiri" w:eastAsia="Amiri" w:cs="Amiri"/>
          <w:color w:val="111111"/>
          <w:sz w:val="28"/>
          <w:sz w:val="28"/>
          <w:szCs w:val="28"/>
          <w:rtl w:val="true"/>
          <w:lang w:bidi="ar-SA"/>
        </w:rPr>
        <w:t xml:space="preserve">،و تبعه في القواعد و ولده في شرحه و غيرهما </w:t>
      </w:r>
      <w:r>
        <w:rPr>
          <w:rStyle w:val="FootnoteAnchor"/>
          <w:rtl w:val="true"/>
        </w:rPr>
        <w:footnoteReference w:id="1938"/>
      </w:r>
      <w:r>
        <w:rPr>
          <w:rFonts w:ascii="Amiri" w:hAnsi="Amiri" w:eastAsia="Amiri" w:cs="Amiri"/>
          <w:color w:val="111111"/>
          <w:sz w:val="28"/>
          <w:sz w:val="28"/>
          <w:szCs w:val="28"/>
          <w:rtl w:val="true"/>
          <w:lang w:bidi="ar-SA"/>
        </w:rPr>
        <w:t>مفتين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الجناح و الروشن لا يضمن ما يتلف بسببهما إلّا مع التفريط؛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كلّه في الطرق النافذة،أمّا المرفوعة فلا يجوز فعل ذلك فيها إلّا بإذن أربابها أجمع؛ لأنّها ملك لهم،و إن كان الواضع أحدهم فبدون الإذن يضمن مطلقاً إلّا القدر الداخل في ملكه؛ لأنّه سائغ لا يتعقّبه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هجمت دابة على اخرى ضمن صاحب الداخلة جنايتها، و لم يضمن صاحب المدخول عليها بلا خلاف في الأخير مطلقا؛ للأصل و ما سيأتي من النص</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أطلقه الشيخ و القاضي </w:t>
      </w:r>
      <w:r>
        <w:rPr>
          <w:rStyle w:val="FootnoteAnchor"/>
          <w:rtl w:val="true"/>
        </w:rPr>
        <w:footnoteReference w:id="1939"/>
      </w:r>
      <w:r>
        <w:rPr>
          <w:rFonts w:ascii="Amiri" w:hAnsi="Amiri" w:eastAsia="Amiri" w:cs="Amiri"/>
          <w:color w:val="111111"/>
          <w:sz w:val="28"/>
          <w:sz w:val="28"/>
          <w:szCs w:val="28"/>
          <w:rtl w:val="true"/>
          <w:lang w:bidi="ar-SA"/>
        </w:rPr>
        <w:t xml:space="preserve">أيضاً،بل نسبه في </w:t>
      </w:r>
    </w:p>
    <w:p>
      <w:pPr>
        <w:pStyle w:val="BookText"/>
        <w:rPr/>
      </w:pPr>
      <w:r>
        <w:rPr>
          <w:rFonts w:ascii="Amiri" w:hAnsi="Amiri" w:eastAsia="Amiri" w:cs="Amiri"/>
          <w:color w:val="111111"/>
          <w:sz w:val="28"/>
          <w:sz w:val="28"/>
          <w:szCs w:val="28"/>
          <w:rtl w:val="true"/>
          <w:lang w:bidi="ar-SA"/>
        </w:rPr>
        <w:t xml:space="preserve">المسالك و الروضة </w:t>
      </w:r>
      <w:r>
        <w:rPr>
          <w:rStyle w:val="FootnoteAnchor"/>
          <w:rtl w:val="true"/>
        </w:rPr>
        <w:footnoteReference w:id="1940"/>
      </w:r>
      <w:r>
        <w:rPr>
          <w:rFonts w:ascii="Amiri" w:hAnsi="Amiri" w:eastAsia="Amiri" w:cs="Amiri"/>
          <w:color w:val="111111"/>
          <w:sz w:val="28"/>
          <w:sz w:val="28"/>
          <w:szCs w:val="28"/>
          <w:rtl w:val="true"/>
          <w:lang w:bidi="ar-SA"/>
        </w:rPr>
        <w:t>بعد الشيخ إلى جماعة؛ لإطلاق النص بذلك في 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جناية ثور على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الثور دخل على الحمار في مستراحه ضمن أصحاب الثور،و إن كان الحمار قد دخل على الثور في مراحه فلا ضمان عليهم</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و نحوه آخر في هذه الواقعة </w:t>
      </w:r>
      <w:r>
        <w:rPr>
          <w:rStyle w:val="FootnoteAnchor"/>
          <w:rtl w:val="true"/>
        </w:rPr>
        <w:footnoteReference w:id="1942"/>
      </w:r>
      <w:r>
        <w:rPr>
          <w:rFonts w:ascii="Amiri" w:hAnsi="Amiri" w:eastAsia="Amiri" w:cs="Amiri"/>
          <w:color w:val="111111"/>
          <w:sz w:val="28"/>
          <w:sz w:val="28"/>
          <w:szCs w:val="28"/>
          <w:rtl w:val="true"/>
          <w:lang w:bidi="ar-SA"/>
        </w:rPr>
        <w:t>لكن مع اختلافات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سندهما يمنع عن العمل بهما،مع مخالفة إطلاقهما الأصل و القاعدة،و كونهما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وفاقاً للمتأخّرين كافّة اعتبار التفريط في جناية الدابّة الاُولى فلو لم يفرّط في حفظها بأن انفلتت من الإصطبل الموثق،أو حلّها غيره،فلا ضمان عليه؛ للأصل،و عدم تقصير يوجب الضمان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فحوى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اليمن فأفلت فرس لرجل من أهل اليمن و مرّ يعدو،فمرّ برجل فنفحه </w:t>
      </w:r>
      <w:r>
        <w:rPr>
          <w:rStyle w:val="FootnoteAnchor"/>
          <w:rtl w:val="true"/>
        </w:rPr>
        <w:footnoteReference w:id="1943"/>
      </w:r>
      <w:r>
        <w:rPr>
          <w:rFonts w:ascii="Amiri" w:hAnsi="Amiri" w:eastAsia="Amiri" w:cs="Amiri"/>
          <w:color w:val="111111"/>
          <w:sz w:val="28"/>
          <w:sz w:val="28"/>
          <w:szCs w:val="28"/>
          <w:rtl w:val="true"/>
          <w:lang w:bidi="ar-SA"/>
        </w:rPr>
        <w:t>برجله فقتله،فجاء أولياء المقتول إلى الرجل فأخذوه فرفعوه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صاحب الفرس البيّنة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فرسه أفلت من داره فنفح </w:t>
      </w:r>
      <w:r>
        <w:rPr>
          <w:rStyle w:val="FootnoteAnchor"/>
          <w:rtl w:val="true"/>
        </w:rPr>
        <w:footnoteReference w:id="1944"/>
      </w:r>
      <w:r>
        <w:rPr>
          <w:rFonts w:ascii="Amiri" w:hAnsi="Amiri" w:eastAsia="Amiri" w:cs="Amiri"/>
          <w:color w:val="111111"/>
          <w:sz w:val="28"/>
          <w:sz w:val="28"/>
          <w:szCs w:val="28"/>
          <w:rtl w:val="true"/>
          <w:lang w:bidi="ar-SA"/>
        </w:rPr>
        <w:t>الرجل،فأبطل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ضعف السند مجبور بما مر،و يمكن تنزيل الخبرين على هذا ، و كذا كلام القائل بهما،سيّما مع أنّه ذكر في النهاية ما يوافقه،فقال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اغتلم البعير على صاحبه وجب عليه حبسه و حفظه،فإن جنى قبل أن يعلم به لم يكن عليه شيء،فإن علم به و فرّط في حفظه كان ضامناً لجميع ما يصيبه من قتل نفس و غيرها </w:t>
      </w:r>
      <w:r>
        <w:rPr>
          <w:rStyle w:val="FootnoteAnchor"/>
          <w:rtl w:val="true"/>
        </w:rPr>
        <w:footnoteReference w:id="1946"/>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ظاهر فيما ذكرناه،بل بإطلاقه يشمل محل البحث، فليس بمخالف لما عليه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أحد داراً لغيره فعقره كلبها ضمن أهلها إن دخل بإذنهم،و إلّا يدخلها بإذنهم فلا ضمان عليهم،بغير خلاف ظاهر مستفاد من كثير من العبائر </w:t>
      </w:r>
      <w:r>
        <w:rPr>
          <w:rStyle w:val="FootnoteAnchor"/>
          <w:rtl w:val="true"/>
        </w:rPr>
        <w:footnoteReference w:id="1947"/>
      </w:r>
      <w:r>
        <w:rPr>
          <w:rFonts w:ascii="IRNazanin" w:hAnsi="IRNazanin" w:eastAsia="IRNazanin"/>
          <w:color w:val="111111"/>
          <w:sz w:val="28"/>
          <w:sz w:val="28"/>
          <w:szCs w:val="28"/>
          <w:rtl w:val="true"/>
          <w:lang w:bidi="fa-IR"/>
        </w:rPr>
        <w:t xml:space="preserve">،بل عن ظاهر المبسوط </w:t>
      </w:r>
      <w:r>
        <w:rPr>
          <w:rStyle w:val="FootnoteAnchor"/>
          <w:rtl w:val="true"/>
        </w:rPr>
        <w:footnoteReference w:id="1948"/>
      </w:r>
      <w:r>
        <w:rPr>
          <w:rFonts w:ascii="Amiri" w:hAnsi="Amiri" w:eastAsia="Amiri" w:cs="Amiri"/>
          <w:color w:val="111111"/>
          <w:sz w:val="28"/>
          <w:sz w:val="28"/>
          <w:szCs w:val="28"/>
          <w:rtl w:val="true"/>
          <w:lang w:bidi="ar-SA"/>
        </w:rPr>
        <w:t>الإجماع عليه، و هو الحجة؛ مضافاً إلى النصوص الكثيرة،و فيها القويّ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إطلاقها كالفتاوي يقتضي عدم الفرق في الكلب بين كونه حاضراً في الدار و عدمه،و لا بين علمهم بكونه يعقر الداخل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بعض من في الدار دون بعض فإن كان ممّن يجوز الدخول بإذنه اختصّ الضمان به،و إلّا فكما لو لم يأذن إن لم يتضمّن إذنه تغريراً للداخل،و إلّا فيضمن مع جهله بحال الآذن و أنّه ممّن لا يجوز الدخول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الإذن قدّم المنكر؛ للأصل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يضمن راكب الدابّة ما تجنيه بيديها دون رجليها و كذا القائد </w:t>
      </w:r>
    </w:p>
    <w:p>
      <w:pPr>
        <w:pStyle w:val="BookText"/>
        <w:rPr/>
      </w:pPr>
      <w:r>
        <w:rPr>
          <w:rFonts w:ascii="Amiri" w:hAnsi="Amiri" w:eastAsia="Amiri" w:cs="Amiri"/>
          <w:color w:val="111111"/>
          <w:sz w:val="28"/>
          <w:sz w:val="28"/>
          <w:szCs w:val="28"/>
          <w:rtl w:val="true"/>
          <w:lang w:bidi="ar-SA"/>
        </w:rPr>
        <w:t>لها يضمن ما تجنيه باليدين خاصّة،هذا إذا سارا بها و أما لو وقف أحدهما بها ضمن كل منهما جنايتها مطلقا و لو برجليها،و كذا لو ضربها أحدهما فجنت ضمنا جنايتها مطلقاً و لو ضربها غيرهما ضمن الضارب مطلقا و كذا السائق لها يضمن جنايتها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شيء من ذلك أجده،بل عليه الإجماع في الغنية و شرح الشرائع للصيمري </w:t>
      </w:r>
      <w:r>
        <w:rPr>
          <w:rStyle w:val="FootnoteAnchor"/>
          <w:rtl w:val="true"/>
        </w:rPr>
        <w:footnoteReference w:id="1949"/>
      </w:r>
      <w:r>
        <w:rPr>
          <w:rFonts w:ascii="Amiri" w:hAnsi="Amiri" w:eastAsia="Amiri" w:cs="Amiri"/>
          <w:color w:val="111111"/>
          <w:sz w:val="28"/>
          <w:sz w:val="28"/>
          <w:szCs w:val="28"/>
          <w:rtl w:val="true"/>
          <w:lang w:bidi="ar-SA"/>
        </w:rPr>
        <w:t>،لكن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و إن لم يستفد من رواية واحدة إلّا أنّه مستفاد من الجمع بين المعتبرة المستفيضة،ففي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على طريق من طرق المسلمين فتصيب دابّته إنساناً برجلها؟قال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ما أصابته برجلها،و لكن عليه ما أصابته بيدها؛ لأنّ رجلها خلفه إن ركب، فإن كان قاد بها فإنّه يملك بإذن اللّه تعالى يدها يضعها حيث يشاء</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ظاهر في أنّ الضمان حالة الركوب خاصّة،و كذا هو مع قوله في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يملك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اختصاص ضمانه بما تجنيه بيديها خاصّة دون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منهما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القائد و السائق و الراكب،فقال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الرِّجل فعلى السائق،و ما أصاب اليد فعلى القائد و الراكب</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ظاهره في السائق و إن كان اختصاص ضمانه بما تجنيه بالرجل خاصّة بقرينة المقابلة،إلّا أنّه محمول على إرادة بيان الفرق بينه و بين الأخيرين بعدم ضمانهما ما تجنيه بالرجل،بخلافه فيضمنه أيضاً،و الشاهد عليه بعد فتوى الأصحاب التعليل المتقدم في الصحيحين للحكم بضمان ما تجنيه باليدين من كونهما قدّامه يضعهما حيث يشاء،و هو جارٍ في الرجلين أيضاً بالنسبة إلى السائق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الخبر المنجبر ضعفه بابن سنان على المشهور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يمرّ على طريق من طرق المسلمين على دابته فتصيب برجلها؟قال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ما أصابت برجلها،و عليه ما أصابت بيدها،و إذا وقف فعليه ما أصابت بيدها و رجلها،و إن كان يسوقها فعليه ما أصابت بيدها و رجلها</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الدلالة على الضمان مع الوقوف بالدابة لما تجنيه مطلقا،و عليه يحمل إطلاق ما مرّ،مع ظهوره في حالة السير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يحمل عليه إطلاق ما دلّ على ضمان الراكب لما تجنيه و لو بالرجلين مطلقاً،كالخبر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يضمن الراكب ما وطأت بيدها أو رجلها،إلّا أن يعبث بها أحد فيكون الضمان على الذي عبث بها</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بحمله على ما إذا ساقها خاصّة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الدلالة على ضمان الضارب مطلقا،مالكاً كان أو غيره؛ للإطلاق </w:t>
      </w:r>
    </w:p>
    <w:p>
      <w:pPr>
        <w:pStyle w:val="BookText"/>
        <w:rPr/>
      </w:pPr>
      <w:r>
        <w:rPr>
          <w:rFonts w:ascii="Amiri" w:hAnsi="Amiri" w:eastAsia="Amiri" w:cs="Amiri"/>
          <w:color w:val="111111"/>
          <w:sz w:val="28"/>
          <w:sz w:val="28"/>
          <w:szCs w:val="28"/>
          <w:rtl w:val="true"/>
          <w:lang w:bidi="ar-SA"/>
        </w:rPr>
        <w:t>مضافاً إلى الاعتبار،و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ينفر بالرجل فيعقره و تعقر </w:t>
      </w:r>
      <w:r>
        <w:rPr>
          <w:rStyle w:val="FootnoteAnchor"/>
          <w:rtl w:val="true"/>
        </w:rPr>
        <w:footnoteReference w:id="1954"/>
      </w:r>
      <w:r>
        <w:rPr>
          <w:rFonts w:ascii="Amiri" w:hAnsi="Amiri" w:eastAsia="Amiri" w:cs="Amiri"/>
          <w:color w:val="111111"/>
          <w:sz w:val="28"/>
          <w:sz w:val="28"/>
          <w:szCs w:val="28"/>
          <w:rtl w:val="true"/>
          <w:lang w:bidi="ar-SA"/>
        </w:rPr>
        <w:t xml:space="preserve">دابّته رجلاً </w:t>
      </w:r>
      <w:r>
        <w:rPr>
          <w:rStyle w:val="FootnoteAnchor"/>
          <w:rtl w:val="true"/>
        </w:rPr>
        <w:footnoteReference w:id="1955"/>
      </w:r>
      <w:r>
        <w:rPr>
          <w:rFonts w:ascii="Amiri" w:hAnsi="Amiri" w:eastAsia="Amiri" w:cs="Amiri"/>
          <w:color w:val="111111"/>
          <w:sz w:val="28"/>
          <w:sz w:val="28"/>
          <w:szCs w:val="28"/>
          <w:rtl w:val="true"/>
          <w:lang w:bidi="ar-SA"/>
        </w:rPr>
        <w:t>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فزع رجلاً عن الجدار أو نفر به دابة فخرّ فمات فهو ضامن لديته،و إن انكسر فهو ضامن لدية ما ينكسر منه</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ذلك الموثق كالصحيح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ما وطئت بيدها و رجلها،و ما نفحت </w:t>
      </w:r>
      <w:r>
        <w:rPr>
          <w:rStyle w:val="FootnoteAnchor"/>
          <w:rtl w:val="true"/>
        </w:rPr>
        <w:footnoteReference w:id="1958"/>
      </w:r>
      <w:r>
        <w:rPr>
          <w:rFonts w:ascii="Amiri" w:hAnsi="Amiri" w:eastAsia="Amiri" w:cs="Amiri"/>
          <w:color w:val="111111"/>
          <w:sz w:val="28"/>
          <w:sz w:val="28"/>
          <w:szCs w:val="28"/>
          <w:rtl w:val="true"/>
          <w:lang w:bidi="ar-SA"/>
        </w:rPr>
        <w:t>برجلها فلا ضمان عليه إلّا أن يضربها إنسان</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بضمان ما تجنيه بيدها و رجلها ما تجنيه بها أجمع و يكون الضمان باليدين خاصّة،و إلّا فلا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نفحت برجلها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منقطع،أو عن قوله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ما وطئت بيدها و رجلها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تقييد الضرب بما إذا كان عبثاً كما في الرواية الأُولى،و إلّا فلو قصد الدفع لم يكن ضامناً قطعاً؛ للأصل،و خصوص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راكباً على دابّة فغشي رجلاً ماشياً حتى كاد أن يوطئه،فزجر الماشي الدابّة </w:t>
      </w:r>
    </w:p>
    <w:p>
      <w:pPr>
        <w:pStyle w:val="BookText"/>
        <w:rPr/>
      </w:pPr>
      <w:r>
        <w:rPr>
          <w:rFonts w:ascii="Amiri" w:hAnsi="Amiri" w:eastAsia="Amiri" w:cs="Amiri"/>
          <w:color w:val="111111"/>
          <w:sz w:val="28"/>
          <w:sz w:val="28"/>
          <w:szCs w:val="28"/>
          <w:rtl w:val="true"/>
          <w:lang w:bidi="ar-SA"/>
        </w:rPr>
        <w:t>عنه فخرّ عنها فأصابه موت أو جرح؟قال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الذي زجر ضامناً،إنّما زجر عن نفسه</w:t>
      </w:r>
      <w:r>
        <w:rPr>
          <w:rFonts w:eastAsia="Amiri" w:cs="Amiri" w:ascii="Amiri" w:hAnsi="Amiri"/>
          <w:color w:val="111111"/>
          <w:sz w:val="28"/>
          <w:szCs w:val="28"/>
          <w:rtl w:val="true"/>
          <w:lang w:bidi="ar-SA"/>
        </w:rPr>
        <w:t xml:space="preserve">» </w:t>
      </w:r>
      <w:r>
        <w:rPr>
          <w:rStyle w:val="FootnoteAnchor"/>
          <w:rtl w:val="true"/>
        </w:rPr>
        <w:footnoteReference w:id="1960"/>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96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إطلاق النصوص بعدم الضمان بالدفاع أو فحواها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مقتضى التعليل لضمان ما تجنيه باليدين في الصحيحين ثبوته فيما تجنيه برأسها أيضاً،بل مطلق مقاديم بدنها التي هي قدّام الراكب، سيّما أعاليها؛ لثبوت الحكم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 xml:space="preserve">بطريق أولى،و عليه أكثر أصحابنا وفاقاً للمبسوط </w:t>
      </w:r>
      <w:r>
        <w:rPr>
          <w:rStyle w:val="FootnoteAnchor"/>
          <w:rtl w:val="true"/>
        </w:rPr>
        <w:footnoteReference w:id="1963"/>
      </w:r>
      <w:r>
        <w:rPr>
          <w:rFonts w:ascii="IRNazanin" w:hAnsi="IRNazanin" w:eastAsia="IRNazanin"/>
          <w:color w:val="111111"/>
          <w:sz w:val="28"/>
          <w:sz w:val="28"/>
          <w:szCs w:val="28"/>
          <w:rtl w:val="true"/>
          <w:lang w:bidi="fa-IR"/>
        </w:rPr>
        <w:t xml:space="preserve">،و عن الخلاف </w:t>
      </w:r>
      <w:r>
        <w:rPr>
          <w:rStyle w:val="FootnoteAnchor"/>
          <w:rtl w:val="true"/>
        </w:rPr>
        <w:footnoteReference w:id="1964"/>
      </w:r>
      <w:r>
        <w:rPr>
          <w:rFonts w:ascii="Amiri" w:hAnsi="Amiri" w:eastAsia="Amiri" w:cs="Amiri"/>
          <w:color w:val="111111"/>
          <w:sz w:val="28"/>
          <w:sz w:val="28"/>
          <w:szCs w:val="28"/>
          <w:rtl w:val="true"/>
          <w:lang w:bidi="ar-SA"/>
        </w:rPr>
        <w:t xml:space="preserve">الاقتصار على اليدين؛ جموداً فيما خالف الأصل على مورد النص،و لأجله تردّد الماتن في الشرائع </w:t>
      </w:r>
      <w:r>
        <w:rPr>
          <w:rStyle w:val="FootnoteAnchor"/>
          <w:rtl w:val="true"/>
        </w:rPr>
        <w:footnoteReference w:id="1965"/>
      </w:r>
      <w:r>
        <w:rPr>
          <w:rFonts w:ascii="Amiri" w:hAnsi="Amiri" w:eastAsia="Amiri" w:cs="Amiri"/>
          <w:color w:val="111111"/>
          <w:sz w:val="28"/>
          <w:sz w:val="28"/>
          <w:szCs w:val="28"/>
          <w:rtl w:val="true"/>
          <w:lang w:bidi="ar-SA"/>
        </w:rPr>
        <w:t>، إلّا أنّه اختار ما اخترناه،قال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لتمكّنه من مراعاته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حسن،و مرجعه إلى ما ذكرنا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هنا نصوصاً دالّة بإطلاقها على عدم الضمان بجناية الدابّة إمّا مطلقاً كما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جبار</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 لا يغرم أهلها شيئاً</w:t>
      </w:r>
      <w:r>
        <w:rPr>
          <w:rFonts w:eastAsia="Amiri" w:cs="Amiri" w:ascii="Amiri" w:hAnsi="Amiri"/>
          <w:color w:val="111111"/>
          <w:sz w:val="28"/>
          <w:szCs w:val="28"/>
          <w:rtl w:val="true"/>
          <w:lang w:bidi="ar-SA"/>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أو ما دامت مرسلة كما في المرسل </w:t>
      </w:r>
      <w:r>
        <w:rPr>
          <w:rStyle w:val="FootnoteAnchor"/>
          <w:rtl w:val="true"/>
        </w:rPr>
        <w:footnoteReference w:id="1968"/>
      </w:r>
      <w:r>
        <w:rPr>
          <w:rFonts w:ascii="Amiri" w:hAnsi="Amiri" w:eastAsia="Amiri" w:cs="Amiri"/>
          <w:color w:val="111111"/>
          <w:sz w:val="28"/>
          <w:sz w:val="28"/>
          <w:szCs w:val="28"/>
          <w:rtl w:val="true"/>
          <w:lang w:bidi="ar-SA"/>
        </w:rPr>
        <w:t xml:space="preserve">،فمع ضعف أسانيدها </w:t>
      </w:r>
    </w:p>
    <w:p>
      <w:pPr>
        <w:pStyle w:val="BookText"/>
        <w:rPr/>
      </w:pPr>
      <w:r>
        <w:rPr>
          <w:rFonts w:ascii="Amiri" w:hAnsi="Amiri" w:eastAsia="Amiri" w:cs="Amiri"/>
          <w:color w:val="111111"/>
          <w:sz w:val="28"/>
          <w:sz w:val="28"/>
          <w:szCs w:val="28"/>
          <w:rtl w:val="true"/>
          <w:lang w:bidi="ar-SA"/>
        </w:rPr>
        <w:t xml:space="preserve">محمولة على ما إذا فلتت عن صاحبها من غير تفريط منه في حفظها،أو ما اعتيد إرسالها للرعي،فإنّ المشهور عدم الضمان هنا،كما ذكره الخال العلّامة المجلسي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ركبها اثنان تساويا في الضمان لما تجنيه بيديها و رأسها، بلا خلاف؛ لاشتراكهما في اليد و السببية،إلّا أن يكون أحدهما ضعيفاً لصغر أو مرض فيختصّ الضمان بالآخر؛ لأنّه المتولّي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دابة عليها ردفان فقتلت الدابة رجلاً أو جرحت، فقضى في الغرامة بين الردفين بالسوية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تردّد،و لكن الأصحاب قاطعون به،هذا إذا كانا هما المتولّين لأمرها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معها صاحبها مراعياً لها ضمن هو دون الراكب مطلقا،و يأتي في المالك ما سبق من التفصيل باعتبار كونه سائقاً أو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ألقت الراكب لم يضمن المالك للأصل إلّا أن يكون الإلقاء بتنفيره أي المالك،فيضمن حينئذٍ؛ للسببية؛ مضافاً إلى ما مرّ من النصوص الصحيحة و غيرها بإيجاب الضرب ضمان الجناية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للدابّة سائق و قائد،أو أحدهما و راكب،أو الثلاثة اشتركوا في ضمان مشترك مع الاشتراك في الحفظ و الرعاية،و اختصّ السائق بجناية </w:t>
      </w:r>
    </w:p>
    <w:p>
      <w:pPr>
        <w:pStyle w:val="BookText"/>
        <w:rPr/>
      </w:pPr>
      <w:r>
        <w:rPr>
          <w:rFonts w:ascii="Amiri" w:hAnsi="Amiri" w:eastAsia="Amiri" w:cs="Amiri"/>
          <w:color w:val="111111"/>
          <w:sz w:val="28"/>
          <w:sz w:val="28"/>
          <w:szCs w:val="28"/>
          <w:rtl w:val="true"/>
          <w:lang w:bidi="ar-SA"/>
        </w:rPr>
        <w:t>الرجلين،و غير المشارك في الحفظ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أركب مملوكه دابّة </w:t>
      </w:r>
      <w:r>
        <w:rPr>
          <w:rStyle w:val="FootnoteAnchor"/>
          <w:rtl w:val="true"/>
        </w:rPr>
        <w:footnoteReference w:id="1972"/>
      </w:r>
      <w:r>
        <w:rPr>
          <w:rFonts w:ascii="Amiri" w:hAnsi="Amiri" w:eastAsia="Amiri" w:cs="Amiri"/>
          <w:color w:val="111111"/>
          <w:sz w:val="28"/>
          <w:sz w:val="28"/>
          <w:szCs w:val="28"/>
          <w:rtl w:val="true"/>
          <w:lang w:bidi="ar-SA"/>
        </w:rPr>
        <w:t>ضمن المولى جناية الدابّة بيديها، بلا خلاف إذا كان صغيراً؛ للصحيح الآتي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غلاماً يتيماً على فرس استأجره بأُجرة و ذلك معيشة ذلك الغلام قد يعرف ذلك عصبته فأجراه في الحَلبة </w:t>
      </w:r>
      <w:r>
        <w:rPr>
          <w:rStyle w:val="FootnoteAnchor"/>
          <w:rtl w:val="true"/>
        </w:rPr>
        <w:footnoteReference w:id="1973"/>
      </w:r>
      <w:r>
        <w:rPr>
          <w:rFonts w:ascii="Amiri" w:hAnsi="Amiri" w:eastAsia="Amiri" w:cs="Amiri"/>
          <w:color w:val="111111"/>
          <w:sz w:val="28"/>
          <w:sz w:val="28"/>
          <w:szCs w:val="28"/>
          <w:rtl w:val="true"/>
          <w:lang w:bidi="ar-SA"/>
        </w:rPr>
        <w:t>فنطح الفرس رجلاً فقتله،على من ديته؟قال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الفرس طرح الغلام فقتله؟قال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الفرس شيء</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إذا كان كبيراً في ظاهر إطلاق المحكي عن الشيخ و القاضي و الإسكافي </w:t>
      </w:r>
      <w:r>
        <w:rPr>
          <w:rStyle w:val="FootnoteAnchor"/>
          <w:rtl w:val="true"/>
        </w:rPr>
        <w:footnoteReference w:id="1975"/>
      </w:r>
      <w:r>
        <w:rPr>
          <w:rFonts w:ascii="Amiri" w:hAnsi="Amiri" w:eastAsia="Amiri" w:cs="Amiri"/>
          <w:color w:val="111111"/>
          <w:sz w:val="28"/>
          <w:sz w:val="28"/>
          <w:szCs w:val="28"/>
          <w:rtl w:val="true"/>
          <w:lang w:bidi="ar-SA"/>
        </w:rPr>
        <w:t xml:space="preserve">،بل الأكثر كما في التنقيح </w:t>
      </w:r>
      <w:r>
        <w:rPr>
          <w:rStyle w:val="FootnoteAnchor"/>
          <w:rtl w:val="true"/>
        </w:rPr>
        <w:footnoteReference w:id="1976"/>
      </w:r>
      <w:r>
        <w:rPr>
          <w:rFonts w:ascii="Amiri" w:hAnsi="Amiri" w:eastAsia="Amiri" w:cs="Amiri"/>
          <w:color w:val="111111"/>
          <w:sz w:val="28"/>
          <w:sz w:val="28"/>
          <w:szCs w:val="28"/>
          <w:rtl w:val="true"/>
          <w:lang w:bidi="ar-SA"/>
        </w:rPr>
        <w:t xml:space="preserve">،و نسبه في الروضة بعد الشيخ إلى جماعة </w:t>
      </w:r>
      <w:r>
        <w:rPr>
          <w:rStyle w:val="FootnoteAnchor"/>
          <w:rtl w:val="true"/>
        </w:rPr>
        <w:footnoteReference w:id="1977"/>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عبده على دابّته فوطئت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 على مولاه</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الأصحاب من شرط في ضمان المولى صغر المملوك و هو الحلّي،قال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فرّط بركوبه له الدابّة،و إن كان بالغاً عاقلاً فإن كانت الجناية على بني آدم فيؤخذ المملوك إذا كانت الجناية بقدر قيمته،أو يفديه السيّد،و إن كانت على الأموال فلا يباع العبد في قيمة ذلك،و لا يستسعى، </w:t>
      </w:r>
      <w:bookmarkStart w:id="252" w:name="pg11409_91004"/>
    </w:p>
    <w:p>
      <w:pPr>
        <w:pStyle w:val="BookText"/>
        <w:rPr/>
      </w:pPr>
      <w:bookmarkEnd w:id="252"/>
      <w:r>
        <w:rPr>
          <w:rFonts w:ascii="Amiri" w:hAnsi="Amiri" w:eastAsia="Amiri" w:cs="Amiri"/>
          <w:color w:val="111111"/>
          <w:sz w:val="28"/>
          <w:sz w:val="28"/>
          <w:szCs w:val="28"/>
          <w:rtl w:val="true"/>
          <w:lang w:bidi="ar-SA"/>
        </w:rPr>
        <w:t xml:space="preserve">و لا يلزم مولاه ذلك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استحسنه كثير من المتأخّرين </w:t>
      </w:r>
      <w:r>
        <w:rPr>
          <w:rStyle w:val="FootnoteAnchor"/>
          <w:rtl w:val="true"/>
        </w:rPr>
        <w:footnoteReference w:id="1980"/>
      </w:r>
      <w:r>
        <w:rPr>
          <w:rFonts w:ascii="Amiri" w:hAnsi="Amiri" w:eastAsia="Amiri" w:cs="Amiri"/>
          <w:color w:val="111111"/>
          <w:sz w:val="28"/>
          <w:sz w:val="28"/>
          <w:szCs w:val="28"/>
          <w:rtl w:val="true"/>
          <w:lang w:bidi="ar-SA"/>
        </w:rPr>
        <w:t>و زادوا في الأخير أنّه يتعلّق برقبته يتبع به بعد عتقه،و هو كذلك؛ للأصل؛ و عموم ما دلّ على جناية الراكب، مع ضعف دلالة إطلاق الصحيح،بل الظاهر اختصاصه بالصغير بشهادة السياق و لفظ الحمل و الإركاب،و نحوه جار في كلام الشيخ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التنقيح </w:t>
      </w:r>
      <w:r>
        <w:rPr>
          <w:rStyle w:val="FootnoteAnchor"/>
          <w:rtl w:val="true"/>
        </w:rPr>
        <w:footnoteReference w:id="1981"/>
      </w:r>
      <w:r>
        <w:rPr>
          <w:rFonts w:ascii="Amiri" w:hAnsi="Amiri" w:eastAsia="Amiri" w:cs="Amiri"/>
          <w:color w:val="111111"/>
          <w:sz w:val="28"/>
          <w:sz w:val="28"/>
          <w:szCs w:val="28"/>
          <w:rtl w:val="true"/>
          <w:lang w:bidi="ar-SA"/>
        </w:rPr>
        <w:t>نسب إلى الحلّي أنّه اشترط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و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الجناية على آدمي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نظر،فإنّه اشترط الأخير في البالغ،و أمّا الصغير فلم يذكر فيه إلّا الصغر و بعده فأطلق</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02767_73709187"/>
      <w:bookmarkStart w:id="254" w:name="_Toc93"/>
      <w:bookmarkEnd w:id="253"/>
      <w:r>
        <w:rPr>
          <w:rtl w:val="true"/>
        </w:rPr>
        <w:t>البحث الثالث في تزاحم الموجبات</w:t>
      </w:r>
      <w:bookmarkEnd w:id="254"/>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تزاحم الموجبات اعلم أنه إذا اتفق اجتماع السبب و المباشر و تساويا في القوة، أو كان المباشر أقوى ضمن المباشر اتفاقاً على الظاهر،المصرَّح به في بعض العبائر </w:t>
      </w:r>
      <w:r>
        <w:rPr>
          <w:rStyle w:val="FootnoteAnchor"/>
          <w:rtl w:val="true"/>
        </w:rPr>
        <w:footnoteReference w:id="1982"/>
      </w:r>
      <w:r>
        <w:rPr>
          <w:rFonts w:ascii="Amiri" w:hAnsi="Amiri" w:eastAsia="Amiri" w:cs="Amiri"/>
          <w:color w:val="111111"/>
          <w:sz w:val="28"/>
          <w:sz w:val="28"/>
          <w:szCs w:val="28"/>
          <w:rtl w:val="true"/>
          <w:lang w:bidi="ar-SA"/>
        </w:rPr>
        <w:t>،و ذلك ك اجتماع الدافع مع الحافر،و الممسك مع الذابح فيضمن الدافع و الذابح دون المجامع،و قد مرّ من النصوص ما يدل على الأخير،و فيه الحجة على أصل هذه القاعدة،مضافاً إلى الاتفاق الذي عرفته،هذا مع علم المباشر بالسبب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جهل المباشر السبب ضمن المسبِّب بكسر الباء الأُولى،أي </w:t>
      </w:r>
    </w:p>
    <w:p>
      <w:pPr>
        <w:pStyle w:val="BookText"/>
        <w:rPr/>
      </w:pPr>
      <w:r>
        <w:rPr>
          <w:rFonts w:ascii="Amiri" w:hAnsi="Amiri" w:eastAsia="Amiri" w:cs="Amiri"/>
          <w:color w:val="111111"/>
          <w:sz w:val="28"/>
          <w:sz w:val="28"/>
          <w:szCs w:val="28"/>
          <w:rtl w:val="true"/>
          <w:lang w:bidi="ar-SA"/>
        </w:rPr>
        <w:t xml:space="preserve">ذو السبب كمن غطّى بئراً </w:t>
      </w:r>
      <w:r>
        <w:rPr>
          <w:rStyle w:val="FootnoteAnchor"/>
          <w:rtl w:val="true"/>
        </w:rPr>
        <w:footnoteReference w:id="1983"/>
      </w:r>
      <w:r>
        <w:rPr>
          <w:rFonts w:ascii="Amiri" w:hAnsi="Amiri" w:eastAsia="Amiri" w:cs="Amiri"/>
          <w:color w:val="111111"/>
          <w:sz w:val="28"/>
          <w:sz w:val="28"/>
          <w:szCs w:val="28"/>
          <w:rtl w:val="true"/>
          <w:lang w:bidi="ar-SA"/>
        </w:rPr>
        <w:t xml:space="preserve">في غير ملكه فدفع غيره ثالثاً مع جهله بالحال فالضمان على الحافر بلا خلاف ظاهر إلّا من الماتن هنا،فقد حكم به على تردّد مع أنّه حكم به في الشرائع </w:t>
      </w:r>
      <w:r>
        <w:rPr>
          <w:rStyle w:val="FootnoteAnchor"/>
          <w:rtl w:val="true"/>
        </w:rPr>
        <w:footnoteReference w:id="1984"/>
      </w:r>
      <w:r>
        <w:rPr>
          <w:rFonts w:ascii="Amiri" w:hAnsi="Amiri" w:eastAsia="Amiri" w:cs="Amiri"/>
          <w:color w:val="111111"/>
          <w:sz w:val="28"/>
          <w:sz w:val="28"/>
          <w:szCs w:val="28"/>
          <w:rtl w:val="true"/>
          <w:lang w:bidi="ar-SA"/>
        </w:rPr>
        <w:t>كباقي الأصحاب من غير تردّد؛ لضعف المباشر هنا بالغرور،و قد اشترط في تقديمه على السبب قوّته،و هي مفقودة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أنّي لم أجد وجهاً لتقديم المباشر هنا إلّا ما ذكره في التنقيح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المباشر و السبب فالضمان على المباشر،و هو كما ترى؛ إذ لم أجد به نصّاً حتى يكون عمومه معتبراً،و إنّما المستند فيه مجرّد الوفاق المعتضد بالاعتبار،و هما كما عرفت مفقودان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واقعة الزبية بضم الزاء المعجمة،و هي الحفرة التي تحفر للأسد،و 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مشهورة بين الخاصّة و العامّة،لكن بكيفيات مختلفة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فيها واحد فتعلّق بآخر و الثاني بثالث و جذب الثالث رابعاً فوقعوا جميعاً فأكلهم الأسد و فيه أي فيما 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روايتان من طرقنا مختلفتان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ابن قيس الصحيحة إليه قطعاً،و هو الثقة بقرينة ما قبله و ما بعده،و هو روايته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 أنّه فريسة الأسد لا يلزم أحداً و أغرم أهله ثلث الدية للثاني، و غرّم الثاني لأهل الثالث ثلثي الدية،و غرّم الثالث لأهل الرابع كمال </w:t>
      </w:r>
    </w:p>
    <w:p>
      <w:pPr>
        <w:pStyle w:val="BookText"/>
        <w:rPr/>
      </w:pPr>
      <w:r>
        <w:rPr>
          <w:rFonts w:ascii="Amiri" w:hAnsi="Amiri" w:eastAsia="Amiri" w:cs="Amiri"/>
          <w:color w:val="111111"/>
          <w:sz w:val="28"/>
          <w:sz w:val="28"/>
          <w:szCs w:val="28"/>
          <w:rtl w:val="true"/>
          <w:lang w:bidi="ar-SA"/>
        </w:rPr>
        <w:t xml:space="preserve">الدية </w:t>
      </w:r>
      <w:r>
        <w:rPr>
          <w:rStyle w:val="FootnoteAnchor"/>
          <w:rtl w:val="true"/>
        </w:rPr>
        <w:footnoteReference w:id="1986"/>
      </w:r>
      <w:r>
        <w:rPr>
          <w:rFonts w:ascii="Amiri" w:hAnsi="Amiri" w:eastAsia="Amiri" w:cs="Amiri"/>
          <w:color w:val="111111"/>
          <w:sz w:val="28"/>
          <w:sz w:val="28"/>
          <w:szCs w:val="28"/>
          <w:rtl w:val="true"/>
          <w:lang w:bidi="ar-SA"/>
        </w:rPr>
        <w:t>و الأُخرى أي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مسمع،عن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للاوّل ربع الدية،و للثاني ثلث الدية،و للثالث نصف الدية،و للرابع الدية كاملة، و جعل ذلك على عاقلة الذين ازدحموا </w:t>
      </w:r>
      <w:r>
        <w:rPr>
          <w:rStyle w:val="FootnoteAnchor"/>
          <w:rtl w:val="true"/>
        </w:rPr>
        <w:footnoteReference w:id="1987"/>
      </w:r>
      <w:r>
        <w:rPr>
          <w:rFonts w:ascii="Amiri" w:hAnsi="Amiri" w:eastAsia="Amiri" w:cs="Amiri"/>
          <w:color w:val="111111"/>
          <w:sz w:val="28"/>
          <w:sz w:val="28"/>
          <w:szCs w:val="28"/>
          <w:rtl w:val="true"/>
          <w:lang w:bidi="ar-SA"/>
        </w:rPr>
        <w:t xml:space="preserve">و فيهما من المخالفة للأُصول ما لا يخفى،و إن وُجّهتا بتوجيهات زعم موافقتهما بها معها،لكنّها في التحقيق لا تفيد توفيقاً،كما صرّح به جماعة من أصحابنا </w:t>
      </w:r>
      <w:r>
        <w:rPr>
          <w:rStyle w:val="FootnoteAnchor"/>
          <w:rtl w:val="true"/>
        </w:rPr>
        <w:footnoteReference w:id="1988"/>
      </w:r>
      <w:r>
        <w:rPr>
          <w:rFonts w:ascii="Amiri" w:hAnsi="Amiri" w:eastAsia="Amiri" w:cs="Amiri"/>
          <w:color w:val="111111"/>
          <w:sz w:val="28"/>
          <w:sz w:val="28"/>
          <w:szCs w:val="28"/>
          <w:rtl w:val="true"/>
          <w:lang w:bidi="ar-SA"/>
        </w:rPr>
        <w:t>،و لذا تركنا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في سند الأخيرة منهما إلى مسمع ضعف بعدّة ضعفاء فهي ساقطة عن درجة الاعتبار لا حجة فيها قطعاً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الأُولى فيشكل التمسك بها أيضاً؛ لما مضى،إلّا أنّها مشهورة شهرةً لا يمكن دفعها،و استفاض نقلها في كلام كثير من أصحابنا </w:t>
      </w:r>
      <w:r>
        <w:rPr>
          <w:rStyle w:val="FootnoteAnchor"/>
          <w:rtl w:val="true"/>
        </w:rPr>
        <w:footnoteReference w:id="1989"/>
      </w:r>
      <w:r>
        <w:rPr>
          <w:rFonts w:ascii="Amiri" w:hAnsi="Amiri" w:eastAsia="Amiri" w:cs="Amiri"/>
          <w:color w:val="111111"/>
          <w:sz w:val="28"/>
          <w:sz w:val="28"/>
          <w:szCs w:val="28"/>
          <w:rtl w:val="true"/>
          <w:lang w:bidi="ar-SA"/>
        </w:rPr>
        <w:t xml:space="preserve">،بحيث إنّه لا رادّ لها و زاد جماعة منهم فادّعوا أنّ عليها فتوى الأصحاب كافّة،كما في ظاهر العبارة و غيرها </w:t>
      </w:r>
      <w:r>
        <w:rPr>
          <w:rStyle w:val="FootnoteAnchor"/>
          <w:rtl w:val="true"/>
        </w:rPr>
        <w:footnoteReference w:id="1990"/>
      </w:r>
      <w:r>
        <w:rPr>
          <w:rFonts w:ascii="Amiri" w:hAnsi="Amiri" w:eastAsia="Amiri" w:cs="Amiri"/>
          <w:color w:val="111111"/>
          <w:sz w:val="28"/>
          <w:sz w:val="28"/>
          <w:szCs w:val="28"/>
          <w:rtl w:val="true"/>
          <w:lang w:bidi="ar-SA"/>
        </w:rPr>
        <w:t xml:space="preserve">،أو أكثرهم كما في الروضة و غيرها </w:t>
      </w:r>
      <w:r>
        <w:rPr>
          <w:rStyle w:val="FootnoteAnchor"/>
          <w:rtl w:val="true"/>
        </w:rPr>
        <w:footnoteReference w:id="1991"/>
      </w:r>
      <w:r>
        <w:rPr>
          <w:rFonts w:ascii="Amiri" w:hAnsi="Amiri" w:eastAsia="Amiri" w:cs="Amiri"/>
          <w:color w:val="111111"/>
          <w:sz w:val="28"/>
          <w:sz w:val="28"/>
          <w:szCs w:val="28"/>
          <w:rtl w:val="true"/>
          <w:lang w:bidi="ar-SA"/>
        </w:rPr>
        <w:t xml:space="preserve">،فإن بلغت الشهرة إجماعاً،و إلّا فالتمسك بالرواية </w:t>
      </w:r>
    </w:p>
    <w:p>
      <w:pPr>
        <w:pStyle w:val="BookText"/>
        <w:rPr/>
      </w:pPr>
      <w:r>
        <w:rPr>
          <w:rFonts w:ascii="Amiri" w:hAnsi="Amiri" w:eastAsia="Amiri" w:cs="Amiri"/>
          <w:color w:val="111111"/>
          <w:sz w:val="28"/>
          <w:sz w:val="28"/>
          <w:szCs w:val="28"/>
          <w:rtl w:val="true"/>
          <w:lang w:bidi="ar-SA"/>
        </w:rPr>
        <w:t>مشكل و إن صحّ سندها؛ لكونها قضية في واقعة لا عموم لها،فيحتمل اختصاصها بواقعة اقترنت بأُمور أوجبت الحكم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بنحو هذا يجاب أيضاً عن الرواية الأخيرة لو سلّم سندها،و الشهرة ليست بحجة بنفسها ما لم تكن إجماعاً،أو تقترن برواية واضحة الدلالة و إن كانت ضعيفة،و ليست كسابقتها هنا كما فرضنا،و لذا استوجه الفاضل في التحرير </w:t>
      </w:r>
      <w:r>
        <w:rPr>
          <w:rStyle w:val="FootnoteAnchor"/>
          <w:rtl w:val="true"/>
        </w:rPr>
        <w:footnoteReference w:id="1992"/>
      </w:r>
      <w:r>
        <w:rPr>
          <w:rFonts w:ascii="Amiri" w:hAnsi="Amiri" w:eastAsia="Amiri" w:cs="Amiri"/>
          <w:color w:val="111111"/>
          <w:sz w:val="28"/>
          <w:sz w:val="28"/>
          <w:szCs w:val="28"/>
          <w:rtl w:val="true"/>
          <w:lang w:bidi="ar-SA"/>
        </w:rPr>
        <w:t>الرجوع إلى الأُصول في هذه الواقعة لو اتفقت في زماننا، و هو خيرة شيخنا في الروضة أيضاً،حيث إنّه استوجه أوّلاً ردّ الروايتين لما مضى بزيادة دعواه اشتراكاً في راوي الاُولى،ثم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يطرح الخبران فالمتّجه ضمان كل دية من أمسكه أجمع؛ لاستقلاله بإتلافه </w:t>
      </w:r>
      <w:r>
        <w:rPr>
          <w:rStyle w:val="FootnoteAnchor"/>
          <w:rtl w:val="true"/>
        </w:rPr>
        <w:footnoteReference w:id="19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احتمله الماتن في الشرائع و الفاضل في القواعد و الإرشاد و غيرهما </w:t>
      </w:r>
      <w:r>
        <w:rPr>
          <w:rStyle w:val="FootnoteAnchor"/>
          <w:rtl w:val="true"/>
        </w:rPr>
        <w:footnoteReference w:id="1994"/>
      </w:r>
      <w:r>
        <w:rPr>
          <w:rFonts w:ascii="Amiri" w:hAnsi="Amiri" w:eastAsia="Amiri" w:cs="Amiri"/>
          <w:color w:val="111111"/>
          <w:sz w:val="28"/>
          <w:sz w:val="28"/>
          <w:szCs w:val="28"/>
          <w:rtl w:val="true"/>
          <w:lang w:bidi="ar-SA"/>
        </w:rPr>
        <w:t>،و قالوا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بالتشريك بين مباشر الإمساك و المشارك في الجذب كان على الأوّل دية و نصف و ثلث،و على الثاني نصف و ثلث، و على الرابع ثلث لا غير،و إنّما لم يذكر هذا في الروضة لضعفه عنده،بل و عندهم أيضاً،كما يظهر منهم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حكمهم على كل منهم بالدية لمجذوبه إنّما يتم لو كانت جنايتهم عمداً أو شبيهه،لا خطأ</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بأنّ ما صدر عنهم من الجذب إنّما هو من حيث لم يشعروا به لما اعتراهم من الدهشة،فهو كانقلاب النائم على من قتله،فلا يكون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عمداً و لا شبيهه،و بذلك صرّح جماعة </w:t>
      </w:r>
      <w:r>
        <w:rPr>
          <w:rStyle w:val="FootnoteAnchor"/>
          <w:rtl w:val="true"/>
        </w:rPr>
        <w:footnoteReference w:id="1995"/>
      </w:r>
      <w:r>
        <w:rPr>
          <w:rFonts w:ascii="Amiri" w:hAnsi="Amiri" w:eastAsia="Amiri" w:cs="Amiri"/>
          <w:color w:val="111111"/>
          <w:sz w:val="28"/>
          <w:sz w:val="28"/>
          <w:szCs w:val="28"/>
          <w:rtl w:val="true"/>
          <w:lang w:bidi="ar-SA"/>
        </w:rPr>
        <w:t>،رادّين به من ضعّف الرواية الثانية في حكمها بأنّ الدية على العاقلة،بناءً على زعمه كون الجناية فيها عمداً أو شبيهه،و على هذا فمقتضى الأُصول أخذ الدية من العاقلة</w:t>
      </w:r>
      <w:r>
        <w:rPr>
          <w:rFonts w:eastAsia="Amiri" w:cs="Amiri" w:ascii="Amiri" w:hAnsi="Amiri"/>
          <w:color w:val="111111"/>
          <w:sz w:val="28"/>
          <w:szCs w:val="28"/>
          <w:rtl w:val="true"/>
          <w:lang w:bidi="ar-SA"/>
        </w:rPr>
        <w:t xml:space="preserve">. </w:t>
      </w:r>
      <w:bookmarkStart w:id="255" w:name="pg11409_91009"/>
    </w:p>
    <w:p>
      <w:pPr>
        <w:pStyle w:val="Heading3"/>
        <w:numPr>
          <w:ilvl w:val="2"/>
          <w:numId w:val="1"/>
        </w:numPr>
        <w:rPr/>
      </w:pPr>
      <w:bookmarkStart w:id="256" w:name="__RefHeading___Toc1102769_73709187"/>
      <w:bookmarkStart w:id="257" w:name="_Toc94"/>
      <w:bookmarkEnd w:id="255"/>
      <w:bookmarkEnd w:id="256"/>
      <w:r>
        <w:rPr>
          <w:rtl w:val="true"/>
        </w:rPr>
        <w:t>النظر الثالث في الجناية على الأطراف</w:t>
      </w:r>
      <w:bookmarkEnd w:id="257"/>
    </w:p>
    <w:p>
      <w:pPr>
        <w:pStyle w:val="Heading4"/>
        <w:numPr>
          <w:ilvl w:val="3"/>
          <w:numId w:val="1"/>
        </w:numPr>
        <w:rPr/>
      </w:pPr>
      <w:bookmarkStart w:id="258" w:name="__RefHeading___Toc1102771_73709187"/>
      <w:bookmarkStart w:id="259" w:name="_Toc95"/>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النظر الثالث</w:t>
      </w:r>
    </w:p>
    <w:p>
      <w:pPr>
        <w:pStyle w:val="Heading4"/>
        <w:numPr>
          <w:ilvl w:val="3"/>
          <w:numId w:val="1"/>
        </w:numPr>
        <w:rPr/>
      </w:pPr>
      <w:bookmarkStart w:id="260" w:name="__RefHeading___Toc1102773_73709187"/>
      <w:bookmarkStart w:id="261" w:name="_Toc96"/>
      <w:bookmarkEnd w:id="260"/>
      <w:r>
        <w:rPr>
          <w:rtl w:val="true"/>
        </w:rPr>
        <w:t>الأوّل في ديات الأعضاء</w:t>
      </w:r>
      <w:bookmarkEnd w:id="261"/>
    </w:p>
    <w:p>
      <w:pPr>
        <w:pStyle w:val="Heading5"/>
        <w:numPr>
          <w:ilvl w:val="4"/>
          <w:numId w:val="1"/>
        </w:numPr>
        <w:rPr/>
      </w:pPr>
      <w:bookmarkStart w:id="262" w:name="__RefHeading___Toc1102775_73709187"/>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في الجناية على الأطراف و بيان مقادير دياتها و مقاصده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ديات الأعضاء و اعلم أنّ في شعر الرأس إذا جني عليه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اللحية على الأظهر الأشهر بين الطائفة،بل عليه الإجماع في الغنية </w:t>
      </w:r>
      <w:r>
        <w:rPr>
          <w:rStyle w:val="FootnoteAnchor"/>
          <w:rtl w:val="true"/>
        </w:rPr>
        <w:footnoteReference w:id="1996"/>
      </w:r>
      <w:r>
        <w:rPr>
          <w:rFonts w:ascii="Amiri" w:hAnsi="Amiri" w:eastAsia="Amiri" w:cs="Amiri"/>
          <w:color w:val="111111"/>
          <w:sz w:val="28"/>
          <w:sz w:val="28"/>
          <w:szCs w:val="28"/>
          <w:rtl w:val="true"/>
          <w:lang w:bidi="ar-SA"/>
        </w:rPr>
        <w:t>للنصوص المستفيضة،منها الصحيح المروي في الفقيه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صبّ ماءً حارّاً على رأس رجل فأسقط شعره فلا ينبت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كذا في الفقيه،و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فامتعط شعر رأسه و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غيره </w:t>
      </w:r>
      <w:r>
        <w:rPr>
          <w:rStyle w:val="FootnoteAnchor"/>
          <w:rtl w:val="true"/>
        </w:rPr>
        <w:footnoteReference w:id="1998"/>
      </w:r>
      <w:r>
        <w:rPr>
          <w:rFonts w:ascii="Amiri" w:hAnsi="Amiri" w:eastAsia="Amiri" w:cs="Amiri"/>
          <w:color w:val="111111"/>
          <w:sz w:val="28"/>
          <w:sz w:val="28"/>
          <w:szCs w:val="28"/>
          <w:rtl w:val="true"/>
          <w:lang w:bidi="ar-SA"/>
        </w:rPr>
        <w:t>من دون زيادة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اللحية إذا حلقت فلم ينبت الدية كاملة،فإذا نبتت فثلث الدية</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أهرق رجل قدراً فيها </w:t>
      </w:r>
      <w:r>
        <w:rPr>
          <w:rStyle w:val="FootnoteAnchor"/>
          <w:rtl w:val="true"/>
        </w:rPr>
        <w:footnoteReference w:id="2000"/>
      </w:r>
      <w:r>
        <w:rPr>
          <w:rFonts w:ascii="IRNazanin" w:hAnsi="IRNazanin" w:eastAsia="IRNazanin"/>
          <w:color w:val="111111"/>
          <w:sz w:val="28"/>
          <w:sz w:val="28"/>
          <w:szCs w:val="28"/>
          <w:rtl w:val="true"/>
          <w:lang w:bidi="fa-IR"/>
        </w:rPr>
        <w:t xml:space="preserve">مرق على رأس رجل فذهب شعره، </w:t>
      </w:r>
    </w:p>
    <w:p>
      <w:pPr>
        <w:pStyle w:val="BookText"/>
        <w:rPr/>
      </w:pPr>
      <w:r>
        <w:rPr>
          <w:rFonts w:ascii="Amiri" w:hAnsi="Amiri" w:eastAsia="Amiri" w:cs="Amiri"/>
          <w:color w:val="111111"/>
          <w:sz w:val="28"/>
          <w:sz w:val="28"/>
          <w:szCs w:val="28"/>
          <w:rtl w:val="true"/>
          <w:lang w:bidi="ar-SA"/>
        </w:rPr>
        <w:t>فاختصموا في ذلك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فأجّله سنة فجاء فلم ينبت شعره،فقضى عليه بالدية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الآتي إلى بعضها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السند أو ضعفه منجبر بالشهرة و حكاية الإجماع المتقدمة، فاندفع الاعتراض به على ما عدا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 عليها بأنّ مفادها لزوم الدية في جناية شعر الرأس و اللحية معاً،و هو غير لزومها في أحدهما خاصة،كما هو المدّعى فمندفع بابتنائه على نسخة التهذيب،و أمّا نسخة الفقيه فقد عرفت خلوّها عن اللحية،و لعلّها أضبط من تلك النسخة،سيّما مع موافقتها للروايات الأُخر في المسألة،هذا إذا لم ينبتا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نبتا فالأرش على الأظهر الأشهر،بل عليه عامّة من تأخّر؛ لأنّه الواجب حيث لا تقدير له في الشرع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للحلبي و الغنية </w:t>
      </w:r>
      <w:r>
        <w:rPr>
          <w:rStyle w:val="FootnoteAnchor"/>
          <w:rtl w:val="true"/>
        </w:rPr>
        <w:footnoteReference w:id="2002"/>
      </w:r>
      <w:r>
        <w:rPr>
          <w:rFonts w:ascii="Amiri" w:hAnsi="Amiri" w:eastAsia="Amiri" w:cs="Amiri"/>
          <w:color w:val="111111"/>
          <w:sz w:val="28"/>
          <w:sz w:val="28"/>
          <w:szCs w:val="28"/>
          <w:rtl w:val="true"/>
          <w:lang w:bidi="ar-SA"/>
        </w:rPr>
        <w:t xml:space="preserve">،فاختارا عشر الدية،و حجتهما غير واضحة عدا ما في الأخير من حكاية الإجماع،و هي هنا موهونة بلا شبهة،و نسب في المسالك </w:t>
      </w:r>
      <w:r>
        <w:rPr>
          <w:rStyle w:val="FootnoteAnchor"/>
          <w:rtl w:val="true"/>
        </w:rPr>
        <w:footnoteReference w:id="2003"/>
      </w:r>
      <w:r>
        <w:rPr>
          <w:rFonts w:ascii="Amiri" w:hAnsi="Amiri" w:eastAsia="Amiri" w:cs="Amiri"/>
          <w:color w:val="111111"/>
          <w:sz w:val="28"/>
          <w:sz w:val="28"/>
          <w:szCs w:val="28"/>
          <w:rtl w:val="true"/>
          <w:lang w:bidi="ar-SA"/>
        </w:rPr>
        <w:t xml:space="preserve">قولهما إلى النهاية،لكن في الرأس خاصّة،مع أنّ صريح عبارته المحكية في المختلف </w:t>
      </w:r>
      <w:r>
        <w:rPr>
          <w:rStyle w:val="FootnoteAnchor"/>
          <w:rtl w:val="true"/>
        </w:rPr>
        <w:footnoteReference w:id="2004"/>
      </w:r>
      <w:r>
        <w:rPr>
          <w:rFonts w:ascii="Amiri" w:hAnsi="Amiri" w:eastAsia="Amiri" w:cs="Amiri"/>
          <w:color w:val="111111"/>
          <w:sz w:val="28"/>
          <w:sz w:val="28"/>
          <w:szCs w:val="28"/>
          <w:rtl w:val="true"/>
          <w:lang w:bidi="ar-SA"/>
        </w:rPr>
        <w:t>كظاهر العبارة و غيرها من عبائر الجماعة عدم مخالفته للقوم فيه،و اختصاص خلافه معهم في اللحية خاصّة حيث حكم فيها بثلث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المفيد و الصدوق </w:t>
      </w:r>
      <w:r>
        <w:rPr>
          <w:rStyle w:val="FootnoteAnchor"/>
          <w:rtl w:val="true"/>
        </w:rPr>
        <w:footnoteReference w:id="2005"/>
      </w:r>
      <w:r>
        <w:rPr>
          <w:rFonts w:ascii="Amiri" w:hAnsi="Amiri" w:eastAsia="Amiri" w:cs="Amiri"/>
          <w:color w:val="111111"/>
          <w:sz w:val="28"/>
          <w:sz w:val="28"/>
          <w:szCs w:val="28"/>
          <w:rtl w:val="true"/>
          <w:lang w:bidi="ar-SA"/>
        </w:rPr>
        <w:t>في موضع من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ينبتا فمائة دينار و حجتهما غير واضحة عدا ما يستفاد من الأوّل و القاضي و الديلمي </w:t>
      </w:r>
      <w:r>
        <w:rPr>
          <w:rStyle w:val="FootnoteAnchor"/>
          <w:rtl w:val="true"/>
        </w:rPr>
        <w:footnoteReference w:id="2006"/>
      </w:r>
      <w:r>
        <w:rPr>
          <w:rFonts w:ascii="Amiri" w:hAnsi="Amiri" w:eastAsia="Amiri" w:cs="Amiri"/>
          <w:color w:val="111111"/>
          <w:sz w:val="28"/>
          <w:sz w:val="28"/>
          <w:szCs w:val="28"/>
          <w:rtl w:val="true"/>
          <w:lang w:bidi="ar-SA"/>
        </w:rPr>
        <w:t>أنّ به رواية،و لم نجدها،فهي مرسلة لا يعترض بها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بنحوه يجاب عن مرسلة أُخرى مروية عن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 رجل فلم ينبت فعليه مائة دينار،فإن حلق لحيته فلم ينبت فعليه الدية،و إن نبت فطالت </w:t>
      </w:r>
      <w:r>
        <w:rPr>
          <w:rStyle w:val="FootnoteAnchor"/>
          <w:rtl w:val="true"/>
        </w:rPr>
        <w:footnoteReference w:id="2007"/>
      </w:r>
      <w:r>
        <w:rPr>
          <w:rFonts w:ascii="Amiri" w:hAnsi="Amiri" w:eastAsia="Amiri" w:cs="Amiri"/>
          <w:color w:val="111111"/>
          <w:sz w:val="28"/>
          <w:sz w:val="28"/>
          <w:szCs w:val="28"/>
          <w:rtl w:val="true"/>
          <w:lang w:bidi="ar-SA"/>
        </w:rPr>
        <w:t>بعد نباتها فلا شيء له</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مضافاً إلى شذوذها و عدم ظهور قائل بها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الخلاف و النهاية و الإسكافي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اللحية إذا نبتت ثلث الدية،و في الرواية المتقدمة و هي القوية و غيرها و إن كان دلالة عليه إلّا أنّه فيها </w:t>
      </w:r>
      <w:r>
        <w:rPr>
          <w:rStyle w:val="FootnoteAnchor"/>
          <w:rtl w:val="true"/>
        </w:rPr>
        <w:footnoteReference w:id="2010"/>
      </w:r>
      <w:r>
        <w:rPr>
          <w:rFonts w:ascii="Amiri" w:hAnsi="Amiri" w:eastAsia="Amiri" w:cs="Amiri"/>
          <w:color w:val="111111"/>
          <w:sz w:val="28"/>
          <w:sz w:val="28"/>
          <w:szCs w:val="28"/>
          <w:rtl w:val="true"/>
          <w:lang w:bidi="ar-SA"/>
        </w:rPr>
        <w:t>ضعف بالسكوني في الأُولى،و عدّة من الضعفاء في الثانية،و لا جابر لهما في المسألة،بل الشهرة التي هي العمدة في الجبر على خلافها كما عرفته،هذا إذا كان المجني عليه ذكراً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شعر رأس المرأة ديتها كملاً إذا لم ينبت كالرجل فإن نبت فمهرها </w:t>
      </w:r>
      <w:r>
        <w:rPr>
          <w:rStyle w:val="FootnoteAnchor"/>
          <w:rtl w:val="true"/>
        </w:rPr>
        <w:footnoteReference w:id="2011"/>
      </w:r>
      <w:r>
        <w:rPr>
          <w:rFonts w:ascii="Amiri" w:hAnsi="Amiri" w:eastAsia="Amiri" w:cs="Amiri"/>
          <w:color w:val="111111"/>
          <w:sz w:val="28"/>
          <w:sz w:val="28"/>
          <w:szCs w:val="28"/>
          <w:rtl w:val="true"/>
          <w:lang w:bidi="ar-SA"/>
        </w:rPr>
        <w:t xml:space="preserve">المثل بلا خلاف أجده إلّا من الإسكافي </w:t>
      </w:r>
      <w:r>
        <w:rPr>
          <w:rStyle w:val="FootnoteAnchor"/>
          <w:rtl w:val="true"/>
        </w:rPr>
        <w:footnoteReference w:id="2012"/>
      </w:r>
      <w:r>
        <w:rPr>
          <w:rFonts w:ascii="Amiri" w:hAnsi="Amiri" w:eastAsia="Amiri" w:cs="Amiri"/>
          <w:color w:val="111111"/>
          <w:sz w:val="28"/>
          <w:sz w:val="28"/>
          <w:szCs w:val="28"/>
          <w:rtl w:val="true"/>
          <w:lang w:bidi="ar-SA"/>
        </w:rPr>
        <w:t xml:space="preserve">في الثاني،فأثبت </w:t>
      </w:r>
    </w:p>
    <w:p>
      <w:pPr>
        <w:pStyle w:val="BookText"/>
        <w:rPr/>
      </w:pPr>
      <w:r>
        <w:rPr>
          <w:rFonts w:ascii="Amiri" w:hAnsi="Amiri" w:eastAsia="Amiri" w:cs="Amiri"/>
          <w:color w:val="111111"/>
          <w:sz w:val="28"/>
          <w:sz w:val="28"/>
          <w:szCs w:val="28"/>
          <w:rtl w:val="true"/>
          <w:lang w:bidi="ar-SA"/>
        </w:rPr>
        <w:t>فيه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 مع شذوذه غير واضحة،بل على خلافه الإجماع في الغنية </w:t>
      </w:r>
      <w:r>
        <w:rPr>
          <w:rStyle w:val="FootnoteAnchor"/>
          <w:rtl w:val="true"/>
        </w:rPr>
        <w:footnoteReference w:id="2013"/>
      </w:r>
      <w:r>
        <w:rPr>
          <w:rFonts w:ascii="Amiri" w:hAnsi="Amiri" w:eastAsia="Amiri" w:cs="Amiri"/>
          <w:color w:val="111111"/>
          <w:sz w:val="28"/>
          <w:sz w:val="28"/>
          <w:szCs w:val="28"/>
          <w:rtl w:val="true"/>
          <w:lang w:bidi="ar-SA"/>
        </w:rPr>
        <w:t>،و فيه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الرواية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رجل وثب على امرأة فحلق رأسها؟فقال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ضرباً وجيعاً و يحبس في محبس المسلمين حتى يستبرأ شعرها،فإن نبت أخذ منه مهر نسائها،و إن لم ينبت أُخذ منه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مهر نسائها إن نبت شعرها؟فقال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شعر المرأة و عذرتها شريكان في الجمال،فإذا ذهب أحدهما وجب لها المهر كملا</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السند بالجهالة مجبور بالشهرة الظاهرة و المحكية،و حكاية الإجماع المتقدمة،و فيها الدلالة على الحكم في الأوّل أيضاً،مع عدم خلاف فيه أجده،و ادّعى فيه أيضاً الإجماع في الغنية </w:t>
      </w:r>
      <w:r>
        <w:rPr>
          <w:rStyle w:val="FootnoteAnchor"/>
          <w:rtl w:val="true"/>
        </w:rPr>
        <w:footnoteReference w:id="2015"/>
      </w:r>
      <w:r>
        <w:rPr>
          <w:rFonts w:ascii="Amiri" w:hAnsi="Amiri" w:eastAsia="Amiri" w:cs="Amiri"/>
          <w:color w:val="111111"/>
          <w:sz w:val="28"/>
          <w:sz w:val="28"/>
          <w:szCs w:val="28"/>
          <w:rtl w:val="true"/>
          <w:lang w:bidi="ar-SA"/>
        </w:rPr>
        <w:t>،فلا شبهة فيه قطعاً،سيّما مع استلزام ثبوت الحكم في الرجل ثبوته هنا بطريق أولى،كما لا يخفى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شعر الحاجبين معاً خمسمائة دينار،و في كل واحد مائتان و خمسون ديناراً،وفاقاً للأكثر،بل ادّعى الشهرة عليه جمع ممن تأخّر </w:t>
      </w:r>
      <w:r>
        <w:rPr>
          <w:rStyle w:val="FootnoteAnchor"/>
          <w:rtl w:val="true"/>
        </w:rPr>
        <w:footnoteReference w:id="2016"/>
      </w:r>
      <w:r>
        <w:rPr>
          <w:rFonts w:ascii="Amiri" w:hAnsi="Amiri" w:eastAsia="Amiri" w:cs="Amiri"/>
          <w:color w:val="111111"/>
          <w:sz w:val="28"/>
          <w:sz w:val="28"/>
          <w:szCs w:val="28"/>
          <w:rtl w:val="true"/>
          <w:lang w:bidi="ar-SA"/>
        </w:rPr>
        <w:t xml:space="preserve">،و في السرائر </w:t>
      </w:r>
      <w:r>
        <w:rPr>
          <w:rStyle w:val="FootnoteAnchor"/>
          <w:rtl w:val="true"/>
        </w:rPr>
        <w:footnoteReference w:id="2017"/>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أُصيب الحاجب فذهب شعره كلّه فديته نصف دية العين مائتان و خمسون ديناراً،فما أُصيب منه فعلى حساب ذلك</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نحو ذلك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الغنية و الإصباح </w:t>
      </w:r>
      <w:r>
        <w:rPr>
          <w:rStyle w:val="FootnoteAnchor"/>
          <w:rtl w:val="true"/>
        </w:rPr>
        <w:footnoteReference w:id="2020"/>
      </w:r>
      <w:r>
        <w:rPr>
          <w:rFonts w:ascii="Amiri" w:hAnsi="Amiri" w:eastAsia="Amiri" w:cs="Amiri"/>
          <w:color w:val="111111"/>
          <w:sz w:val="28"/>
          <w:sz w:val="28"/>
          <w:szCs w:val="28"/>
          <w:rtl w:val="true"/>
          <w:lang w:bidi="ar-SA"/>
        </w:rPr>
        <w:t>،فالدية كاملة،و في كل واحد نصفها،و ظاهر الأوّلين الإجماع عليه،و يؤيدّه عموم النص و الفتوى على أنّ فيما كان في الجسد اثنين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معارضة ذلك لما مرّ نظر؛ لرجحانه بعمل الأكثر،مع صراحة كل من الإجماع و الخبر،هذا،مضافاً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النص و الفتوى يقتضي عدم الفرق بين عود نباتهما و عدمه، و في الغنية و الإصباح </w:t>
      </w:r>
      <w:r>
        <w:rPr>
          <w:rStyle w:val="FootnoteAnchor"/>
          <w:rtl w:val="true"/>
        </w:rPr>
        <w:footnoteReference w:id="2021"/>
      </w:r>
      <w:r>
        <w:rPr>
          <w:rFonts w:ascii="Amiri" w:hAnsi="Amiri" w:eastAsia="Amiri" w:cs="Amiri"/>
          <w:color w:val="111111"/>
          <w:sz w:val="28"/>
          <w:sz w:val="28"/>
          <w:szCs w:val="28"/>
          <w:rtl w:val="true"/>
          <w:lang w:bidi="ar-SA"/>
        </w:rPr>
        <w:t>أنّ ما ذكر إذا لم ينبت شعرهما،و إلّا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ذهب بحاجبه فنبت ففيه ربع الدية،و قد روي أيضاً أنّ فيهما إذا لم ينبت مائة دينار </w:t>
      </w:r>
      <w:r>
        <w:rPr>
          <w:rStyle w:val="FootnoteAnchor"/>
          <w:rtl w:val="true"/>
        </w:rPr>
        <w:footnoteReference w:id="2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عندي الحكومة فيما إذا نبت،و هو قول الحلبي؛ للأصل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بعضه أي بعض كل واحد من الشعور المذكورة بحسابه أي يثبت فيه من الدية المذكورة بنسبة مساحة محل الشعر المجني عليه إلى </w:t>
      </w:r>
    </w:p>
    <w:p>
      <w:pPr>
        <w:pStyle w:val="BookText"/>
        <w:rPr/>
      </w:pPr>
      <w:r>
        <w:rPr>
          <w:rFonts w:ascii="Amiri" w:hAnsi="Amiri" w:eastAsia="Amiri" w:cs="Amiri"/>
          <w:color w:val="111111"/>
          <w:sz w:val="28"/>
          <w:sz w:val="28"/>
          <w:szCs w:val="28"/>
          <w:rtl w:val="true"/>
          <w:lang w:bidi="ar-SA"/>
        </w:rPr>
        <w:t>محل الجميع و إن اختلف الشعر كثافةً و خفّةً،و يدلُّ عليه مضافاً إلى الإجماع الظاهر النص المتقدم قريباً،و حيث قلنا بالأرش فهو الثابت و لا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الشعور النابتة على الأجفان و يعبّر عنها بالأهداب أقوال،منها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الدية كاملة مع عدم النبات،كما في المبسوط و الخلاف </w:t>
      </w:r>
      <w:r>
        <w:rPr>
          <w:rStyle w:val="FootnoteAnchor"/>
          <w:rtl w:val="true"/>
        </w:rPr>
        <w:footnoteReference w:id="2024"/>
      </w:r>
      <w:r>
        <w:rPr>
          <w:rFonts w:ascii="Amiri" w:hAnsi="Amiri" w:eastAsia="Amiri" w:cs="Amiri"/>
          <w:color w:val="111111"/>
          <w:sz w:val="28"/>
          <w:sz w:val="28"/>
          <w:szCs w:val="28"/>
          <w:rtl w:val="true"/>
          <w:lang w:bidi="ar-SA"/>
        </w:rPr>
        <w:t>مدّعياً عليه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نصفها،كما عن القاضي </w:t>
      </w:r>
      <w:r>
        <w:rPr>
          <w:rStyle w:val="FootnoteAnchor"/>
          <w:rtl w:val="true"/>
        </w:rPr>
        <w:footnoteReference w:id="2025"/>
      </w:r>
      <w:r>
        <w:rPr>
          <w:rFonts w:ascii="IRNazanin" w:hAnsi="IRNazanin" w:eastAsia="IRNazanin"/>
          <w:color w:val="111111"/>
          <w:sz w:val="28"/>
          <w:sz w:val="28"/>
          <w:szCs w:val="28"/>
          <w:rtl w:val="true"/>
          <w:lang w:bidi="fa-IR"/>
        </w:rPr>
        <w:t>،و لم أقف له على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الأرش حالة الانفراد عن الجفن،و السقوط حالة الاجتماع، كشعر الساعدين و غيرهما من الأعضاء الذي ليس فيه إلّا الأرش،بلا خلاف كما عليه الحلّي </w:t>
      </w:r>
      <w:r>
        <w:rPr>
          <w:rStyle w:val="FootnoteAnchor"/>
          <w:rtl w:val="true"/>
        </w:rPr>
        <w:footnoteReference w:id="2026"/>
      </w:r>
      <w:r>
        <w:rPr>
          <w:rFonts w:ascii="Amiri" w:hAnsi="Amiri" w:eastAsia="Amiri" w:cs="Amiri"/>
          <w:color w:val="111111"/>
          <w:sz w:val="28"/>
          <w:sz w:val="28"/>
          <w:szCs w:val="28"/>
          <w:rtl w:val="true"/>
          <w:lang w:bidi="ar-SA"/>
        </w:rPr>
        <w:t xml:space="preserve">و كثير من المتأخّرين </w:t>
      </w:r>
      <w:r>
        <w:rPr>
          <w:rStyle w:val="FootnoteAnchor"/>
          <w:rtl w:val="true"/>
        </w:rPr>
        <w:footnoteReference w:id="20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دليل على التعيين، و عدم دخوله تحت إحدى القواعد،و هو ظاهر الماتن هنا،حيث لم يذكر ديتها كباقي الشعور،و هو متين لولا الإجماع المتقدم المعتضد بفتوى الأكثر كما في الروضة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المرجع في النبات و عدمه إلى أهل الخبرة،فإن اشتبه فالمروي في بعض ما مرّ </w:t>
      </w:r>
      <w:r>
        <w:rPr>
          <w:rStyle w:val="FootnoteAnchor"/>
          <w:rtl w:val="true"/>
        </w:rPr>
        <w:footnoteReference w:id="2029"/>
      </w:r>
      <w:r>
        <w:rPr>
          <w:rFonts w:ascii="Amiri" w:hAnsi="Amiri" w:eastAsia="Amiri" w:cs="Amiri"/>
          <w:color w:val="111111"/>
          <w:sz w:val="28"/>
          <w:sz w:val="28"/>
          <w:szCs w:val="28"/>
          <w:rtl w:val="true"/>
          <w:lang w:bidi="ar-SA"/>
        </w:rPr>
        <w:t>أنّه ينتظر سنة،ثم إن لم يعد تؤخذ الدية،و لو طلب الأرش قبلها دفع إليه؛ لأنّه إمّا الحق أو بعضه،فإن مضت و لم يعد أُكمل له على وفق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العينين الدية كاملة و في كل واحدة نصف الدية بإجماع الأُمة،كما في صريح المسالك و ظاهر الغنية </w:t>
      </w:r>
      <w:r>
        <w:rPr>
          <w:rStyle w:val="FootnoteAnchor"/>
          <w:rtl w:val="true"/>
        </w:rPr>
        <w:footnoteReference w:id="2030"/>
      </w:r>
      <w:r>
        <w:rPr>
          <w:rFonts w:ascii="Amiri" w:hAnsi="Amiri" w:eastAsia="Amiri" w:cs="Amiri"/>
          <w:color w:val="111111"/>
          <w:sz w:val="28"/>
          <w:sz w:val="28"/>
          <w:szCs w:val="28"/>
          <w:rtl w:val="true"/>
          <w:lang w:bidi="ar-SA"/>
        </w:rPr>
        <w:t xml:space="preserve">،و ادّعى الإجماع المطلق جماعة </w:t>
      </w:r>
      <w:r>
        <w:rPr>
          <w:rStyle w:val="FootnoteAnchor"/>
          <w:rtl w:val="true"/>
        </w:rPr>
        <w:footnoteReference w:id="203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السنّة المستفيضة بل المتواترة عموماً فيما كان منه في الجسد اثنين،و خصوصاً في العينين،ففي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اثنان ففيهما دية،و في إحداهما نصف الدية،و ما كان واحد ففيه الدية</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الجسد منه اثنان ففيه نصف الدية مثل اليدين و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فقئت عينه،قال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النص و الفتوى يقتضي عدم الفرق في ذلك بين كون العين صحيحةً،أو حولاء،أو عمشاء ضعيفة البصر مع سيلان دمعها في أكثر أوقاتها،أو جاحظة عظيمة المُقلة،أو جهراء لا تبصر في الشمس،أو رمداء،أو غيرها،و بذلك صرّح جماعة </w:t>
      </w:r>
      <w:r>
        <w:rPr>
          <w:rStyle w:val="FootnoteAnchor"/>
          <w:rtl w:val="true"/>
        </w:rPr>
        <w:footnoteReference w:id="203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عليها بياض فإن بقي معه البصر تامّاً فكذلك،و لو نقص نقص من الدية بحسابه، و يرجع فيه إلى رأي الحاكم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الأجفان الأربعة الدية كاملة،بلا خلاف كما في ظاهر </w:t>
      </w:r>
    </w:p>
    <w:p>
      <w:pPr>
        <w:pStyle w:val="BookText"/>
        <w:rPr/>
      </w:pPr>
      <w:r>
        <w:rPr>
          <w:rFonts w:ascii="Amiri" w:hAnsi="Amiri" w:eastAsia="Amiri" w:cs="Amiri"/>
          <w:color w:val="111111"/>
          <w:sz w:val="28"/>
          <w:sz w:val="28"/>
          <w:szCs w:val="28"/>
          <w:rtl w:val="true"/>
          <w:lang w:bidi="ar-SA"/>
        </w:rPr>
        <w:t xml:space="preserve">الشرائع و صريح الصيمري في شرحه و عن التحرير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في كيفية التقسيط ف قال العماني و الشيخ في المبسوط </w:t>
      </w:r>
      <w:r>
        <w:rPr>
          <w:rStyle w:val="FootnoteAnchor"/>
          <w:rtl w:val="true"/>
        </w:rPr>
        <w:footnoteReference w:id="2036"/>
      </w:r>
      <w:r>
        <w:rPr>
          <w:rFonts w:ascii="Amiri" w:hAnsi="Amiri" w:eastAsia="Amiri" w:cs="Amiri"/>
          <w:color w:val="111111"/>
          <w:sz w:val="28"/>
          <w:sz w:val="28"/>
          <w:szCs w:val="28"/>
          <w:rtl w:val="true"/>
          <w:lang w:bidi="ar-SA"/>
        </w:rPr>
        <w:t xml:space="preserve">ربع الدية في كل واحد و تبعهما من المتأخّرين جماعة </w:t>
      </w:r>
      <w:r>
        <w:rPr>
          <w:rStyle w:val="FootnoteAnchor"/>
          <w:rtl w:val="true"/>
        </w:rPr>
        <w:footnoteReference w:id="2037"/>
      </w:r>
      <w:r>
        <w:rPr>
          <w:rFonts w:ascii="Amiri" w:hAnsi="Amiri" w:eastAsia="Amiri" w:cs="Amiri"/>
          <w:color w:val="111111"/>
          <w:sz w:val="28"/>
          <w:sz w:val="28"/>
          <w:szCs w:val="28"/>
          <w:rtl w:val="true"/>
          <w:lang w:bidi="ar-SA"/>
        </w:rPr>
        <w:t>للصحيحين المتقدمين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ما كان في الإنسان منه اثنان فيه الدية و في أحدهما نصف الدية،و في الدلالة مناقشة؛ لأنّ الأجفان ليست ممّا في الإنسان منه اثنان إلّا بتكلّف أنّ جفن </w:t>
      </w:r>
      <w:r>
        <w:rPr>
          <w:rStyle w:val="FootnoteAnchor"/>
          <w:rtl w:val="true"/>
        </w:rPr>
        <w:footnoteReference w:id="2038"/>
      </w:r>
      <w:r>
        <w:rPr>
          <w:rFonts w:ascii="Amiri" w:hAnsi="Amiri" w:eastAsia="Amiri" w:cs="Amiri"/>
          <w:color w:val="111111"/>
          <w:sz w:val="28"/>
          <w:sz w:val="28"/>
          <w:szCs w:val="28"/>
          <w:rtl w:val="true"/>
          <w:lang w:bidi="ar-SA"/>
        </w:rPr>
        <w:t>كل عين كواحدة،و هو مجرّد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أوّلهما مقطوع،و الظن بكونه موصولاً إلى الإمام غير كافٍ في الاعتماد عليه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القطع فيه إنّما هو في التهذيب،و إلّا ففي الفقيه مسند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في الجواب الاقتصار على ضعف الدلالة و زيادة عدم المقاومة لما سيأتي من الأدلّة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الخلاف في </w:t>
      </w:r>
      <w:r>
        <w:rPr>
          <w:rStyle w:val="FootnoteAnchor"/>
          <w:rtl w:val="true"/>
        </w:rPr>
        <w:footnoteReference w:id="2040"/>
      </w:r>
      <w:r>
        <w:rPr>
          <w:rFonts w:ascii="Amiri" w:hAnsi="Amiri" w:eastAsia="Amiri" w:cs="Amiri"/>
          <w:color w:val="111111"/>
          <w:sz w:val="28"/>
          <w:sz w:val="28"/>
          <w:szCs w:val="28"/>
          <w:rtl w:val="true"/>
          <w:lang w:bidi="ar-SA"/>
        </w:rPr>
        <w:t xml:space="preserve">الجفن الأعلى ثلثا الدية و في الأسفل الثلث مدّعياً عليه الإجماع و الأخبار،و تبعه الحلّي </w:t>
      </w:r>
      <w:r>
        <w:rPr>
          <w:rStyle w:val="FootnoteAnchor"/>
          <w:rtl w:val="true"/>
        </w:rPr>
        <w:footnoteReference w:id="2041"/>
      </w:r>
      <w:r>
        <w:rPr>
          <w:rFonts w:ascii="Amiri" w:hAnsi="Amiri" w:eastAsia="Amiri" w:cs="Amiri"/>
          <w:color w:val="111111"/>
          <w:sz w:val="28"/>
          <w:sz w:val="28"/>
          <w:szCs w:val="28"/>
          <w:rtl w:val="true"/>
          <w:lang w:bidi="ar-SA"/>
        </w:rPr>
        <w:t xml:space="preserve">لشبهة الإجماع، و نسبه في المبسوط </w:t>
      </w:r>
      <w:r>
        <w:rPr>
          <w:rStyle w:val="FootnoteAnchor"/>
          <w:rtl w:val="true"/>
        </w:rPr>
        <w:footnoteReference w:id="2042"/>
      </w:r>
      <w:r>
        <w:rPr>
          <w:rFonts w:ascii="Amiri" w:hAnsi="Amiri" w:eastAsia="Amiri" w:cs="Amiri"/>
          <w:color w:val="111111"/>
          <w:sz w:val="28"/>
          <w:sz w:val="28"/>
          <w:szCs w:val="28"/>
          <w:rtl w:val="true"/>
          <w:lang w:bidi="ar-SA"/>
        </w:rPr>
        <w:t>إلى رواية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نرها،و الإجماع معارض بمثله،بل و أجود كما يأتي،مع وهنه هنا جدّاً،سيّما مع مخالفة الناقل لنفسه في موضع آخر من الخلاف </w:t>
      </w:r>
      <w:r>
        <w:rPr>
          <w:rStyle w:val="FootnoteAnchor"/>
          <w:rtl w:val="true"/>
        </w:rPr>
        <w:footnoteReference w:id="2043"/>
      </w:r>
      <w:r>
        <w:rPr>
          <w:rFonts w:ascii="Amiri" w:hAnsi="Amiri" w:eastAsia="Amiri" w:cs="Amiri"/>
          <w:color w:val="111111"/>
          <w:sz w:val="28"/>
          <w:sz w:val="28"/>
          <w:szCs w:val="28"/>
          <w:rtl w:val="true"/>
          <w:lang w:bidi="ar-SA"/>
        </w:rPr>
        <w:t xml:space="preserve">على ما نقله عنه الماتن في الشرائع و شيخنا في شرحه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بما قاله في النهاية </w:t>
      </w:r>
      <w:r>
        <w:rPr>
          <w:rStyle w:val="FootnoteAnchor"/>
          <w:rtl w:val="true"/>
        </w:rPr>
        <w:footnoteReference w:id="2045"/>
      </w:r>
      <w:r>
        <w:rPr>
          <w:rFonts w:ascii="Amiri" w:hAnsi="Amiri" w:eastAsia="Amiri" w:cs="Amiri"/>
          <w:color w:val="111111"/>
          <w:sz w:val="28"/>
          <w:sz w:val="28"/>
          <w:szCs w:val="28"/>
          <w:rtl w:val="true"/>
          <w:lang w:bidi="ar-SA"/>
        </w:rPr>
        <w:t xml:space="preserve">من أنّ في الأعلى ثلث الدية،و في الأسفل النصف،و عليه الأكثر كما في كلام جمع </w:t>
      </w:r>
      <w:r>
        <w:rPr>
          <w:rStyle w:val="FootnoteAnchor"/>
          <w:rtl w:val="true"/>
        </w:rPr>
        <w:footnoteReference w:id="2046"/>
      </w:r>
      <w:r>
        <w:rPr>
          <w:rFonts w:ascii="Amiri" w:hAnsi="Amiri" w:eastAsia="Amiri" w:cs="Amiri"/>
          <w:color w:val="111111"/>
          <w:sz w:val="28"/>
          <w:sz w:val="28"/>
          <w:szCs w:val="28"/>
          <w:rtl w:val="true"/>
          <w:lang w:bidi="ar-SA"/>
        </w:rPr>
        <w:t xml:space="preserve">،بل الشهرة كما في كلام آخرين </w:t>
      </w:r>
      <w:r>
        <w:rPr>
          <w:rStyle w:val="FootnoteAnchor"/>
          <w:rtl w:val="true"/>
        </w:rPr>
        <w:footnoteReference w:id="2047"/>
      </w:r>
      <w:r>
        <w:rPr>
          <w:rFonts w:ascii="Amiri" w:hAnsi="Amiri" w:eastAsia="Amiri" w:cs="Amiri"/>
          <w:color w:val="111111"/>
          <w:sz w:val="28"/>
          <w:sz w:val="28"/>
          <w:szCs w:val="28"/>
          <w:rtl w:val="true"/>
          <w:lang w:bidi="ar-SA"/>
        </w:rPr>
        <w:t xml:space="preserve">،و عليه الإجماع في الغنية </w:t>
      </w:r>
      <w:r>
        <w:rPr>
          <w:rStyle w:val="FootnoteAnchor"/>
          <w:rtl w:val="true"/>
        </w:rPr>
        <w:footnoteReference w:id="204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بعض المعتبرة المنجبر قصور سنده أو ضعفه بالشهرة الظاهرة و المحكية حدّ الاستفاضة،و الإجماع الذي عرفته،و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أُصيب شفر العين الأعلى فَشَتَرَ </w:t>
      </w:r>
      <w:r>
        <w:rPr>
          <w:rStyle w:val="FootnoteAnchor"/>
          <w:rtl w:val="true"/>
        </w:rPr>
        <w:footnoteReference w:id="2049"/>
      </w:r>
      <w:r>
        <w:rPr>
          <w:rFonts w:ascii="Amiri" w:hAnsi="Amiri" w:eastAsia="Amiri" w:cs="Amiri"/>
          <w:color w:val="111111"/>
          <w:sz w:val="28"/>
          <w:sz w:val="28"/>
          <w:szCs w:val="28"/>
          <w:rtl w:val="true"/>
          <w:lang w:bidi="ar-SA"/>
        </w:rPr>
        <w:t>فديته ثلث دية العين مائة دينار و ستة و ستون ديناراً و ثلثا دينار،و إن أُصيب شفر العين الأسفل فشتر فديته نصف دية العين مائتا دينار و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أُصيب منه فعلى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 هو الأظهر،و عليه فينقص من </w:t>
      </w:r>
    </w:p>
    <w:p>
      <w:pPr>
        <w:pStyle w:val="BookText"/>
        <w:rPr/>
      </w:pPr>
      <w:r>
        <w:rPr>
          <w:rFonts w:ascii="Amiri" w:hAnsi="Amiri" w:eastAsia="Amiri" w:cs="Amiri"/>
          <w:color w:val="111111"/>
          <w:sz w:val="28"/>
          <w:sz w:val="28"/>
          <w:szCs w:val="28"/>
          <w:rtl w:val="true"/>
          <w:lang w:bidi="ar-SA"/>
        </w:rPr>
        <w:t xml:space="preserve">دية المجموع سدس الدية،و ربما كان فيه منافاة لما مرّ من نفي الخلاف عن ثبوت الدية كملاً في الأجفان الأربعة،إلّا أن يذبّ عنه بما حكاه عن بعضٍ جماعة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هذا النقص إنّما هو على تقدير كون الجناية من اثنين أو من واحد بعد دفع أرش الجناية الأُولى،و إلّا فالواجب دية كاملة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بعد نقله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الظاهر من الرواية،لكن فتوى الأصحاب مطلقة </w:t>
      </w:r>
      <w:r>
        <w:rPr>
          <w:rStyle w:val="FootnoteAnchor"/>
          <w:rtl w:val="true"/>
        </w:rPr>
        <w:footnoteReference w:id="2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بين أجفان صحيح العين و غيره حتى الأعمى؛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تتداخل دية الأجفان مع العينين لو قلعهما معاً،بل يجب عليه ديتان،بلا خلاف؛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عين الأعور الصحيحة الدية دية النفس كاملة بلا خلاف أجده،بل عليه الإجماع في الخلاف و الغنية و المختلف و التنقيح و نكت الإرشاد </w:t>
      </w:r>
      <w:r>
        <w:rPr>
          <w:rStyle w:val="FootnoteAnchor"/>
          <w:rtl w:val="true"/>
        </w:rPr>
        <w:footnoteReference w:id="2054"/>
      </w:r>
      <w:r>
        <w:rPr>
          <w:rFonts w:ascii="Amiri" w:hAnsi="Amiri" w:eastAsia="Amiri" w:cs="Amiri"/>
          <w:color w:val="111111"/>
          <w:sz w:val="28"/>
          <w:sz w:val="28"/>
          <w:szCs w:val="28"/>
          <w:rtl w:val="true"/>
          <w:lang w:bidi="ar-SA"/>
        </w:rPr>
        <w:t xml:space="preserve">،و غيرها من كتب الجماعة </w:t>
      </w:r>
      <w:r>
        <w:rPr>
          <w:rStyle w:val="FootnoteAnchor"/>
          <w:rtl w:val="true"/>
        </w:rPr>
        <w:footnoteReference w:id="205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النصوص المستفيضة،منها زيادةً على ما مرّ في كتاب القصاص في القسم الثاني منه في قصاص الأطراف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عين الأعور الدية كاملة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 ثمّة وجه الحكمة في هذا الحكم،و هو كون الجناية فيها في المنفعة التي هي الإبصار دون 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تقييد الحكم بما إذا كان العور خلقةً،أو ذهبت العين الفاسدة بشيء من قبل اللّه تعالى،أو من غيره حيث لا يستحق عليه أرشاً كما لو جنى عليه حيوان غير مضمون،فلو استحق ديتها و إن لم يأخذها أو ذهبت في قصاص فنصف دية النفس ديتها كاملة؛ للأصل العامّ،و عدم معلومية انصراف إطلاق النصوص إلى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الخلاف في أصل التقييد،و إن اختلفوا فيما يستحقه في محل الفرض هل هو النصف،أو الثلث؟و المشهور الأوّل،بل عليه الإجماع في كلام جمع و منهم ابن زهرة </w:t>
      </w:r>
      <w:r>
        <w:rPr>
          <w:rStyle w:val="FootnoteAnchor"/>
          <w:rtl w:val="true"/>
        </w:rPr>
        <w:footnoteReference w:id="2057"/>
      </w:r>
      <w:r>
        <w:rPr>
          <w:rFonts w:ascii="Amiri" w:hAnsi="Amiri" w:eastAsia="Amiri" w:cs="Amiri"/>
          <w:color w:val="111111"/>
          <w:sz w:val="28"/>
          <w:sz w:val="28"/>
          <w:szCs w:val="28"/>
          <w:rtl w:val="true"/>
          <w:lang w:bidi="ar-SA"/>
        </w:rPr>
        <w:t xml:space="preserve">،و هو الأصحّ؛ عملاً بما مرّ من الأصل المجمع عليه نصّاً و فتوى من أنّ في إحدى العينين نصف الدية مطلقا،خرج منه عين الأعور بآفة أو خلقة بما تقدم،فيبقى ما نحن فيه تحته مندرجاً،مع أنّه لا خلاف فيه إلّا من الحلّي </w:t>
      </w:r>
      <w:r>
        <w:rPr>
          <w:rStyle w:val="FootnoteAnchor"/>
          <w:rtl w:val="true"/>
        </w:rPr>
        <w:footnoteReference w:id="2058"/>
      </w:r>
      <w:r>
        <w:rPr>
          <w:rFonts w:ascii="Amiri" w:hAnsi="Amiri" w:eastAsia="Amiri" w:cs="Amiri"/>
          <w:color w:val="111111"/>
          <w:sz w:val="28"/>
          <w:sz w:val="28"/>
          <w:szCs w:val="28"/>
          <w:rtl w:val="true"/>
          <w:lang w:bidi="ar-SA"/>
        </w:rPr>
        <w:t xml:space="preserve">،حيث حكم بالثاني، و هو شاذّ،بل على خلافه الإجماع في المختلف و التنقيح و غيرهما </w:t>
      </w:r>
      <w:r>
        <w:rPr>
          <w:rStyle w:val="FootnoteAnchor"/>
          <w:rtl w:val="true"/>
        </w:rPr>
        <w:footnoteReference w:id="2059"/>
      </w:r>
      <w:r>
        <w:rPr>
          <w:rFonts w:ascii="Amiri" w:hAnsi="Amiri" w:eastAsia="Amiri" w:cs="Amiri"/>
          <w:color w:val="111111"/>
          <w:sz w:val="28"/>
          <w:sz w:val="28"/>
          <w:szCs w:val="28"/>
          <w:rtl w:val="true"/>
          <w:lang w:bidi="ar-SA"/>
        </w:rPr>
        <w:t>، و حكما كسائر المتأخرين بأنّ ذلك منه و هم،و بيّنوا وجهه بما لا طائل مهمّاً في ذكره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خسف العين العوراء أي الفاسدة روايتان و قولان أشهرهما على الظاهر،المصرّح به في كلام جماعة </w:t>
      </w:r>
      <w:r>
        <w:rPr>
          <w:rStyle w:val="FootnoteAnchor"/>
          <w:rtl w:val="true"/>
        </w:rPr>
        <w:footnoteReference w:id="2060"/>
      </w:r>
      <w:r>
        <w:rPr>
          <w:rFonts w:ascii="Amiri" w:hAnsi="Amiri" w:eastAsia="Amiri" w:cs="Amiri"/>
          <w:color w:val="111111"/>
          <w:sz w:val="28"/>
          <w:sz w:val="28"/>
          <w:szCs w:val="28"/>
          <w:rtl w:val="true"/>
          <w:lang w:bidi="ar-SA"/>
        </w:rPr>
        <w:t xml:space="preserve">حدّ الاستفاضة،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الأخرس و عين الأعمى و ذكر الخصي الحرّ و أُنثييه ثلث الدية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ديتها حال كونها صحيحة،كما صرّح به جماعة </w:t>
      </w:r>
      <w:r>
        <w:rPr>
          <w:rStyle w:val="FootnoteAnchor"/>
          <w:rtl w:val="true"/>
        </w:rPr>
        <w:footnoteReference w:id="2062"/>
      </w:r>
      <w:r>
        <w:rPr>
          <w:rFonts w:ascii="Amiri" w:hAnsi="Amiri" w:eastAsia="Amiri" w:cs="Amiri"/>
          <w:color w:val="111111"/>
          <w:sz w:val="28"/>
          <w:sz w:val="28"/>
          <w:szCs w:val="28"/>
          <w:rtl w:val="true"/>
          <w:lang w:bidi="ar-SA"/>
        </w:rPr>
        <w:t xml:space="preserve">، و ادعّى عليه </w:t>
      </w:r>
      <w:r>
        <w:rPr>
          <w:rStyle w:val="FootnoteAnchor"/>
          <w:rtl w:val="true"/>
        </w:rPr>
        <w:footnoteReference w:id="2063"/>
      </w:r>
      <w:r>
        <w:rPr>
          <w:rFonts w:ascii="Amiri" w:hAnsi="Amiri" w:eastAsia="Amiri" w:cs="Amiri"/>
          <w:color w:val="111111"/>
          <w:sz w:val="28"/>
          <w:sz w:val="28"/>
          <w:szCs w:val="28"/>
          <w:rtl w:val="true"/>
          <w:lang w:bidi="ar-SA"/>
        </w:rPr>
        <w:t xml:space="preserve">الإجماع في الغنية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فيه ربع الدية </w:t>
      </w:r>
      <w:r>
        <w:rPr>
          <w:rStyle w:val="FootnoteAnchor"/>
          <w:rtl w:val="true"/>
        </w:rPr>
        <w:footnoteReference w:id="2065"/>
      </w:r>
      <w:r>
        <w:rPr>
          <w:rFonts w:ascii="Amiri" w:hAnsi="Amiri" w:eastAsia="Amiri" w:cs="Amiri"/>
          <w:color w:val="111111"/>
          <w:sz w:val="28"/>
          <w:sz w:val="28"/>
          <w:szCs w:val="28"/>
          <w:rtl w:val="true"/>
          <w:lang w:bidi="ar-SA"/>
        </w:rPr>
        <w:t xml:space="preserve">،و عمل بها المفيد و الديلمي </w:t>
      </w:r>
      <w:r>
        <w:rPr>
          <w:rStyle w:val="FootnoteAnchor"/>
          <w:rtl w:val="true"/>
        </w:rPr>
        <w:footnoteReference w:id="2066"/>
      </w:r>
      <w:r>
        <w:rPr>
          <w:rFonts w:ascii="Amiri" w:hAnsi="Amiri" w:eastAsia="Amiri" w:cs="Amiri"/>
          <w:color w:val="111111"/>
          <w:sz w:val="28"/>
          <w:sz w:val="28"/>
          <w:szCs w:val="28"/>
          <w:rtl w:val="true"/>
          <w:lang w:bidi="ar-SA"/>
        </w:rPr>
        <w:t xml:space="preserve">مطلقا،و الحلبي و ابن زهرة </w:t>
      </w:r>
      <w:r>
        <w:rPr>
          <w:rStyle w:val="FootnoteAnchor"/>
          <w:rtl w:val="true"/>
        </w:rPr>
        <w:footnoteReference w:id="2067"/>
      </w:r>
      <w:r>
        <w:rPr>
          <w:rFonts w:ascii="Amiri" w:hAnsi="Amiri" w:eastAsia="Amiri" w:cs="Amiri"/>
          <w:color w:val="111111"/>
          <w:sz w:val="28"/>
          <w:sz w:val="28"/>
          <w:szCs w:val="28"/>
          <w:rtl w:val="true"/>
          <w:lang w:bidi="ar-SA"/>
        </w:rPr>
        <w:t xml:space="preserve">فيما إذا كان الجناية عليها بإذهاب سوادها أو طبقها بعد أن كانت مفتوحة،و ادّعى الأخير فيه إجماع الإمامية،فإن تمّ، و إلّا فالرواية مع أنّها مطلقة ضعيفة و إن تعدّدت،فلا تكافئ السابقة مع صحتها و شهرتها،و شذوذ هذه و ندرتها،بل في الشرائع </w:t>
      </w:r>
      <w:r>
        <w:rPr>
          <w:rStyle w:val="FootnoteAnchor"/>
          <w:rtl w:val="true"/>
        </w:rPr>
        <w:footnoteReference w:id="2068"/>
      </w:r>
      <w:r>
        <w:rPr>
          <w:rFonts w:ascii="Amiri" w:hAnsi="Amiri" w:eastAsia="Amiri" w:cs="Amiri"/>
          <w:color w:val="111111"/>
          <w:sz w:val="28"/>
          <w:sz w:val="28"/>
          <w:szCs w:val="28"/>
          <w:rtl w:val="true"/>
          <w:lang w:bidi="ar-SA"/>
        </w:rPr>
        <w:t>أنّها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هنا بين كون العور خلقةً،أو بآفة من اللّه تعالى،أو جناية جانٍ استحق عليه ديتها،بلا خلاف،إلّا من الحلّي </w:t>
      </w:r>
      <w:r>
        <w:rPr>
          <w:rStyle w:val="FootnoteAnchor"/>
          <w:rtl w:val="true"/>
        </w:rPr>
        <w:footnoteReference w:id="2069"/>
      </w:r>
      <w:r>
        <w:rPr>
          <w:rFonts w:ascii="Amiri" w:hAnsi="Amiri" w:eastAsia="Amiri" w:cs="Amiri"/>
          <w:color w:val="111111"/>
          <w:sz w:val="28"/>
          <w:sz w:val="28"/>
          <w:szCs w:val="28"/>
          <w:rtl w:val="true"/>
          <w:lang w:bidi="ar-SA"/>
        </w:rPr>
        <w:t>،ففرّق و حكم بتمام ديتها خمسمائة دينار فيما عدا الأخير،و بثلثها فيه،نافياً الخلاف عن الأوّل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غريب،و لذا خطّأه المتأخّرون و نسبوه إلى الوهم كالسابق،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خطائه سوء فهمه لكلام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يشير إلى فرقه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لسان رجل أخرس،فقال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ولدته امّه و هو أخرس فعليه ثلث الدية،و إن كان لسانه ذهب به وجع أو آفة بعد ما كان يتكلم فإنّ على الذي قطع لسانه ثلث دية لسانه،و كذلك القضاء في العينين و الجوارح،هكذا وجدناه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صرّح في العور خلقةً بثلث الدية،و لم يقل به،نعم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في الفقيه،و إنّما هو في نسخة الكافي و التهذيب،فيحتمل كونه شاهداً له بالنسخة الأخيرة،لكن ليس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الاستدلال،فلا شاهد فيه لما ذكره،و مجرّد دلالته على الفرق بين الصورتين في الجملة غير نافع له مع مخالفته لما حكم به من تمام الدية،مع أنّه من الآحاد التي ليست عنده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شذوذ هذه الصحيحة،و عدم ظهور قائل بها بالمرّة، كما صرّح به بعض الأجلّة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فالعجب من شيخنا في المسالك و الروضة و غيره </w:t>
      </w:r>
      <w:r>
        <w:rPr>
          <w:rStyle w:val="FootnoteAnchor"/>
          <w:rtl w:val="true"/>
        </w:rPr>
        <w:footnoteReference w:id="2072"/>
      </w:r>
      <w:r>
        <w:rPr>
          <w:rFonts w:ascii="Amiri" w:hAnsi="Amiri" w:eastAsia="Amiri" w:cs="Amiri"/>
          <w:color w:val="111111"/>
          <w:sz w:val="28"/>
          <w:sz w:val="28"/>
          <w:szCs w:val="28"/>
          <w:rtl w:val="true"/>
          <w:lang w:bidi="ar-SA"/>
        </w:rPr>
        <w:t>كيف استدلّوا بها للمختار مضافاً إلى الصحيحة السابقة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الأنف إذا استؤصل الدية كاملة و كذا لو قطع مارنه و هو ما لان منه و نزل عن قصبته،بلا خلاف في الأخير أجده،و النصوص </w:t>
      </w:r>
    </w:p>
    <w:p>
      <w:pPr>
        <w:pStyle w:val="BookText"/>
        <w:rPr/>
      </w:pPr>
      <w:r>
        <w:rPr>
          <w:rFonts w:ascii="Amiri" w:hAnsi="Amiri" w:eastAsia="Amiri" w:cs="Amiri"/>
          <w:color w:val="111111"/>
          <w:sz w:val="28"/>
          <w:sz w:val="28"/>
          <w:szCs w:val="28"/>
          <w:rtl w:val="true"/>
          <w:lang w:bidi="ar-SA"/>
        </w:rPr>
        <w:t>به مع ذلك مستفيضة،ففي الصحيح و الموثّق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المارن الدية</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الأشهر في الأوّل أيضاً؛ للأصل؛ و عموم ما مرّ من النصوص في أنّ ما في الإنسان منه واحد فيه الدية </w:t>
      </w:r>
      <w:r>
        <w:rPr>
          <w:rStyle w:val="FootnoteAnchor"/>
          <w:rtl w:val="true"/>
        </w:rPr>
        <w:footnoteReference w:id="2074"/>
      </w:r>
      <w:r>
        <w:rPr>
          <w:rFonts w:ascii="Amiri" w:hAnsi="Amiri" w:eastAsia="Amiri" w:cs="Amiri"/>
          <w:color w:val="111111"/>
          <w:sz w:val="28"/>
          <w:sz w:val="28"/>
          <w:szCs w:val="28"/>
          <w:rtl w:val="true"/>
          <w:lang w:bidi="ar-SA"/>
        </w:rPr>
        <w:t>،و الأنف بتمامه منه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الأنف إذا استؤصل جدعه </w:t>
      </w:r>
      <w:r>
        <w:rPr>
          <w:rStyle w:val="FootnoteAnchor"/>
          <w:rtl w:val="true"/>
        </w:rPr>
        <w:footnoteReference w:id="2075"/>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الدية كاملة</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 xml:space="preserve">خلافاً للمحكي عن المبسوط و المهذّب و الوسيلة </w:t>
      </w:r>
      <w:r>
        <w:rPr>
          <w:rStyle w:val="FootnoteAnchor"/>
          <w:rtl w:val="true"/>
        </w:rPr>
        <w:footnoteReference w:id="2078"/>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الدية فيه إنّما هو للمارن خاصّة،و في الزائد الحكومة،و هو خيرة التحرير و شيخنا في الروضة </w:t>
      </w:r>
      <w:r>
        <w:rPr>
          <w:rStyle w:val="FootnoteAnchor"/>
          <w:rtl w:val="true"/>
        </w:rPr>
        <w:footnoteReference w:id="2079"/>
      </w:r>
      <w:r>
        <w:rPr>
          <w:rFonts w:ascii="Amiri" w:hAnsi="Amiri" w:eastAsia="Amiri" w:cs="Amiri"/>
          <w:color w:val="111111"/>
          <w:sz w:val="28"/>
          <w:sz w:val="28"/>
          <w:szCs w:val="28"/>
          <w:rtl w:val="true"/>
          <w:lang w:bidi="ar-SA"/>
        </w:rPr>
        <w:t xml:space="preserve">،و لعلّه لعدم دليل على أنّ دية الاستئصال غير </w:t>
      </w:r>
      <w:r>
        <w:rPr>
          <w:rStyle w:val="FootnoteAnchor"/>
          <w:rtl w:val="true"/>
        </w:rPr>
        <w:footnoteReference w:id="2080"/>
      </w:r>
      <w:r>
        <w:rPr>
          <w:rFonts w:ascii="Amiri" w:hAnsi="Amiri" w:eastAsia="Amiri" w:cs="Amiri"/>
          <w:color w:val="111111"/>
          <w:sz w:val="28"/>
          <w:sz w:val="28"/>
          <w:szCs w:val="28"/>
          <w:rtl w:val="true"/>
          <w:lang w:bidi="ar-SA"/>
        </w:rPr>
        <w:t>دية المارن، و ليس في أدلّة المشهور عموماً و خصوصاً سوى أنّ فيه الدية،أمّا أنّها له أو للمارن فليس فيها عليه دلالة،فيحتمل كونها لأجل المارن خاصّة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فإنّ وجه الدلالة في أدلّتهم إنّما هو ظهورها في أنّ الاستئصال الدية خاصّة،لا مع زيادة الحكومة لما قطع من القصبة،كما هو </w:t>
      </w:r>
    </w:p>
    <w:p>
      <w:pPr>
        <w:pStyle w:val="BookText"/>
        <w:rPr/>
      </w:pPr>
      <w:r>
        <w:rPr>
          <w:rFonts w:ascii="IRNazanin" w:hAnsi="IRNazanin" w:eastAsia="IRNazanin"/>
          <w:color w:val="111111"/>
          <w:sz w:val="28"/>
          <w:sz w:val="28"/>
          <w:szCs w:val="28"/>
          <w:rtl w:val="true"/>
          <w:lang w:bidi="fa-IR"/>
        </w:rPr>
        <w:t xml:space="preserve">مقتضى قول المبسوط و من تبعه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غاية أدلّة المشهور ثبوت الدية،و ليس فيه ما ينفي الحكومة؛ إذ ليس فيها مقام حاجة يمكن إثباتها بذلك،و الدليل على ثبوتها أنّ الزائد على المارن جارحة ذهبت زيادة عليه،و ديته لا يقع شيء منها في مقابلتها،فالاكتفاء بها يستلزم تفويت تلك الجارحة عليه من دون بدل،و هو غير جائز،فما ذكروه أقوى،فتأمّل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الخلاف ما لو قطع المارن و القصبة معاً،أمّا لو وقع التفريق في جنايتهما ثبت للقصبة الحكومة زيادةً على دية المارن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قطع الأنف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 ففسد بلا خلاف يظهر فيه و لا في أنّه لو جبر على غير عيب ف ديته مائة دينار بل على الأخير الإجماع في الغنية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شلله و هو فساده ثلثا ديته صحيحاً،و في قطعه أشل ثلث الدية،بلا خلاف في شيء من ذلك أجده،بل على الأوّل الإجماع عن المبسوط و الخلاف </w:t>
      </w:r>
      <w:r>
        <w:rPr>
          <w:rStyle w:val="FootnoteAnchor"/>
          <w:rtl w:val="true"/>
        </w:rPr>
        <w:footnoteReference w:id="2083"/>
      </w:r>
      <w:r>
        <w:rPr>
          <w:rFonts w:ascii="Amiri" w:hAnsi="Amiri" w:eastAsia="Amiri" w:cs="Amiri"/>
          <w:color w:val="111111"/>
          <w:sz w:val="28"/>
          <w:sz w:val="28"/>
          <w:szCs w:val="28"/>
          <w:rtl w:val="true"/>
          <w:lang w:bidi="ar-SA"/>
        </w:rPr>
        <w:t>،و هو الحجة المؤيدة بثبوت مثل الحكم في شلل اليد و الرجل و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الأخير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و فيه تأييد ما للحكم في سابقه،فتدبّر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الحاجز نصف الدية إذا استؤصل،و مستنده غير واضح و إن </w:t>
      </w:r>
    </w:p>
    <w:p>
      <w:pPr>
        <w:pStyle w:val="BookText"/>
        <w:rPr/>
      </w:pPr>
      <w:r>
        <w:rPr>
          <w:rFonts w:ascii="Amiri" w:hAnsi="Amiri" w:eastAsia="Amiri" w:cs="Amiri"/>
          <w:color w:val="111111"/>
          <w:sz w:val="28"/>
          <w:sz w:val="28"/>
          <w:szCs w:val="28"/>
          <w:rtl w:val="true"/>
          <w:lang w:bidi="ar-SA"/>
        </w:rPr>
        <w:t xml:space="preserve">أفتى به الأكثر كما في كلام جمع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كتاب ظريف المروي بعدّة طرق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قطعت روثة الأنف فديتها خمسمائة دينار نصف الدية</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يصح مستنداً بناءً على ما عليه الماتن و ابن عمّه و الفاضل في القواعد و التحرير و الإرشاد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 الروثة بالحاجز،و لم يثبت،بل المعروف عند أهل اللغة أنّها الأرنبة أو طرفها حيث يقطر الرعاف،و الأرنبة عندهم طرف الأنف،و يسمّون الحاجز بالوَتَرة،و سمّي في الكتاب المذكور بالخيشوم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أيضاً،و هو صريح في أنّ المراد بالروثة فيه ليس الحاجز،و مع ذلك ففيه في نسخة الكافي تفسيرها بطرف الأنف </w:t>
      </w:r>
      <w:r>
        <w:rPr>
          <w:rStyle w:val="FootnoteAnchor"/>
          <w:rtl w:val="true"/>
        </w:rPr>
        <w:footnoteReference w:id="2089"/>
      </w:r>
      <w:r>
        <w:rPr>
          <w:rFonts w:ascii="Amiri" w:hAnsi="Amiri" w:eastAsia="Amiri" w:cs="Amiri"/>
          <w:color w:val="111111"/>
          <w:sz w:val="28"/>
          <w:sz w:val="28"/>
          <w:szCs w:val="28"/>
          <w:rtl w:val="true"/>
          <w:lang w:bidi="ar-SA"/>
        </w:rPr>
        <w:t>،كما عليه أهل اللغة،و قريب منه ما قاله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 مجمع المارن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الأجود وفاقاً للّمعة و شرحها </w:t>
      </w:r>
      <w:r>
        <w:rPr>
          <w:rStyle w:val="FootnoteAnchor"/>
          <w:rtl w:val="true"/>
        </w:rPr>
        <w:footnoteReference w:id="2091"/>
      </w:r>
      <w:r>
        <w:rPr>
          <w:rFonts w:ascii="Amiri" w:hAnsi="Amiri" w:eastAsia="Amiri" w:cs="Amiri"/>
          <w:color w:val="111111"/>
          <w:sz w:val="28"/>
          <w:sz w:val="28"/>
          <w:szCs w:val="28"/>
          <w:rtl w:val="true"/>
          <w:lang w:bidi="ar-SA"/>
        </w:rPr>
        <w:t xml:space="preserve">الحكم في الحاجز بالثلث؛ عملاً بالأصل،و القاعدة في تقسيط الدية على أجزاء العضو الذي ثبتت فيه </w:t>
      </w:r>
    </w:p>
    <w:p>
      <w:pPr>
        <w:pStyle w:val="BookText"/>
        <w:rPr/>
      </w:pPr>
      <w:r>
        <w:rPr>
          <w:rFonts w:ascii="Amiri" w:hAnsi="Amiri" w:eastAsia="Amiri" w:cs="Amiri"/>
          <w:color w:val="111111"/>
          <w:sz w:val="28"/>
          <w:sz w:val="28"/>
          <w:szCs w:val="28"/>
          <w:rtl w:val="true"/>
          <w:lang w:bidi="ar-SA"/>
        </w:rPr>
        <w:t xml:space="preserve">بالنسبة،و المارن الموجب لها مشتمل عليه و على المنخرين،و حكى هذا الفاضل في القواعد </w:t>
      </w:r>
      <w:r>
        <w:rPr>
          <w:rStyle w:val="FootnoteAnchor"/>
          <w:rtl w:val="true"/>
        </w:rPr>
        <w:footnoteReference w:id="2092"/>
      </w:r>
      <w:r>
        <w:rPr>
          <w:rFonts w:ascii="Amiri" w:hAnsi="Amiri" w:eastAsia="Amiri" w:cs="Amiri"/>
          <w:color w:val="111111"/>
          <w:sz w:val="28"/>
          <w:sz w:val="28"/>
          <w:szCs w:val="28"/>
          <w:rtl w:val="true"/>
          <w:lang w:bidi="ar-SA"/>
        </w:rPr>
        <w:t>قولاً،لكن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نعرف له قائلاً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 كونه الحلّي،فإنّه قال بعد الحكم بأنّ في الأنف و كذا مارنه الدية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نقص منه بحساب ذلك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فيما ذكرناه من رجوعه هنا إلى القاعدة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أحد المنخرين نصف الدية على قول الشيخ في المبسوط مدّعياً أنّه مذهبنا،قال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ذهب بنصف المنفعة و نصف الجمال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بل روايات أنّ فيه ثلث الدية </w:t>
      </w:r>
      <w:r>
        <w:rPr>
          <w:rStyle w:val="FootnoteAnchor"/>
          <w:rtl w:val="true"/>
        </w:rPr>
        <w:footnoteReference w:id="2096"/>
      </w:r>
      <w:r>
        <w:rPr>
          <w:rFonts w:ascii="Amiri" w:hAnsi="Amiri" w:eastAsia="Amiri" w:cs="Amiri"/>
          <w:color w:val="111111"/>
          <w:sz w:val="28"/>
          <w:sz w:val="28"/>
          <w:szCs w:val="28"/>
          <w:rtl w:val="true"/>
          <w:lang w:bidi="ar-SA"/>
        </w:rPr>
        <w:t xml:space="preserve">و هي و إن كانت بأجمعها ضعيفة،لكنّها موافقة للقاعدة،و مع ذلك مشهورة بين الطائفة على الظاهر،المصرَّح به في كلام جماعة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يضعّف القول بالربع أيضاً،كما عن الحلبيين و الكيدري و في الغنية </w:t>
      </w:r>
      <w:r>
        <w:rPr>
          <w:rStyle w:val="FootnoteAnchor"/>
          <w:rtl w:val="true"/>
        </w:rPr>
        <w:footnoteReference w:id="2098"/>
      </w:r>
      <w:r>
        <w:rPr>
          <w:rFonts w:ascii="Amiri" w:hAnsi="Amiri" w:eastAsia="Amiri" w:cs="Amiri"/>
          <w:color w:val="111111"/>
          <w:sz w:val="28"/>
          <w:sz w:val="28"/>
          <w:szCs w:val="28"/>
          <w:rtl w:val="true"/>
          <w:lang w:bidi="ar-SA"/>
        </w:rPr>
        <w:t xml:space="preserve">مضافاً إلى عدم وضوح مستنده،و إن اعتذر لهم الشهيد </w:t>
      </w:r>
      <w:r>
        <w:rPr>
          <w:rStyle w:val="FootnoteAnchor"/>
          <w:rtl w:val="true"/>
        </w:rPr>
        <w:footnoteReference w:id="2099"/>
      </w:r>
      <w:r>
        <w:rPr>
          <w:rFonts w:ascii="Amiri" w:hAnsi="Amiri" w:eastAsia="Amiri" w:cs="Amiri"/>
          <w:color w:val="111111"/>
          <w:sz w:val="28"/>
          <w:sz w:val="28"/>
          <w:szCs w:val="28"/>
          <w:rtl w:val="true"/>
          <w:lang w:bidi="ar-SA"/>
        </w:rPr>
        <w:t>بالقاعدة بزعم تجزّؤ المارن بأجزاء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المنخرين،و الحاجز،و الروثة،و هو على </w:t>
      </w:r>
    </w:p>
    <w:p>
      <w:pPr>
        <w:pStyle w:val="BookText"/>
        <w:rPr/>
      </w:pPr>
      <w:r>
        <w:rPr>
          <w:rFonts w:ascii="Amiri" w:hAnsi="Amiri" w:eastAsia="Amiri" w:cs="Amiri"/>
          <w:color w:val="111111"/>
          <w:sz w:val="28"/>
          <w:sz w:val="28"/>
          <w:szCs w:val="28"/>
          <w:rtl w:val="true"/>
          <w:lang w:bidi="ar-SA"/>
        </w:rPr>
        <w:t>تقدير تسليمه لا يعترض به الرواية الصريحة المعمول بها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الأُذنين إذا استؤصلا الدية كاملة و في استئصال كل واحدة منهما نصف الدية،و في بعضها بحساب ديتها بأن يعتبر مساحة المجموع من أصل الاُذن و ينسب المقطوع إليه و يؤخذ له من الدية بنسبته إليه،فإن كان المقطوع النصف فالنصف،أو الثلث فالثلث،و هكذا، و يعتبر الشحمة في مساحتها حيث لا تكون هي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جميع ذلك مضافاً إلى الإجماع الظاهر،المصرَّح به في الغنية </w:t>
      </w:r>
      <w:r>
        <w:rPr>
          <w:rStyle w:val="FootnoteAnchor"/>
          <w:rtl w:val="true"/>
        </w:rPr>
        <w:footnoteReference w:id="2100"/>
      </w:r>
      <w:r>
        <w:rPr>
          <w:rFonts w:ascii="Amiri" w:hAnsi="Amiri" w:eastAsia="Amiri" w:cs="Amiri"/>
          <w:color w:val="111111"/>
          <w:sz w:val="28"/>
          <w:sz w:val="28"/>
          <w:szCs w:val="28"/>
          <w:rtl w:val="true"/>
          <w:lang w:bidi="ar-SA"/>
        </w:rPr>
        <w:t xml:space="preserve">المعتبرة المستفيضة عموماً و خصوصاً،فمن الأوّل ما مرّ في أنّ ما في الإنسان منه اثنان فالدية،و في أحدهما نصفها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الأُذنين الدية،و في إحداهما نصف الدية</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2103"/>
      </w:r>
      <w:r>
        <w:rPr>
          <w:rFonts w:ascii="Amiri" w:hAnsi="Amiri" w:eastAsia="Amiri" w:cs="Amiri"/>
          <w:color w:val="111111"/>
          <w:sz w:val="28"/>
          <w:sz w:val="28"/>
          <w:szCs w:val="28"/>
          <w:rtl w:val="true"/>
          <w:lang w:bidi="ar-SA"/>
        </w:rPr>
        <w:t>،لكن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الاُذن نصف الدية إذا قطعها من أصلها،و إذا قطعها من طرفها ففيها قيمة عدل</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و ربما كان فيهما الدلالة على الأخير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 منهما في ذلك ما في خبرين،أحدهما في كتاب ظريف </w:t>
      </w:r>
    </w:p>
    <w:p>
      <w:pPr>
        <w:pStyle w:val="BookText"/>
        <w:rPr/>
      </w:pPr>
      <w:r>
        <w:rPr>
          <w:rFonts w:ascii="Amiri" w:hAnsi="Amiri" w:eastAsia="Amiri" w:cs="Amiri"/>
          <w:color w:val="111111"/>
          <w:sz w:val="28"/>
          <w:sz w:val="28"/>
          <w:szCs w:val="28"/>
          <w:rtl w:val="true"/>
          <w:lang w:bidi="ar-SA"/>
        </w:rPr>
        <w:t>المروي بعدّة طرق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قطع منها فبحساب ذلك</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شحمتها ثلث ديتها على الأشهر الأقوى،بل لا أجد فيه خلافاً من أحدٍ صريحاً،مع أنّ في الغنية و عن الخلاف </w:t>
      </w:r>
      <w:r>
        <w:rPr>
          <w:rStyle w:val="FootnoteAnchor"/>
          <w:rtl w:val="true"/>
        </w:rPr>
        <w:footnoteReference w:id="2106"/>
      </w:r>
      <w:r>
        <w:rPr>
          <w:rFonts w:ascii="Amiri" w:hAnsi="Amiri" w:eastAsia="Amiri" w:cs="Amiri"/>
          <w:color w:val="111111"/>
          <w:sz w:val="28"/>
          <w:sz w:val="28"/>
          <w:szCs w:val="28"/>
          <w:rtl w:val="true"/>
          <w:lang w:bidi="ar-SA"/>
        </w:rPr>
        <w:t>أنّ عليه إجماعنا،و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بعض النصوص المنجبر ضعف سنده و لو من وجوه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شحمة الأُذن ثلث دية الأُذن</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خرم الشحمة و شقها ثلث ديتها أي الشحمة على الظاهر،المصرّح به في كلام الحلّي </w:t>
      </w:r>
      <w:r>
        <w:rPr>
          <w:rStyle w:val="FootnoteAnchor"/>
          <w:rtl w:val="true"/>
        </w:rPr>
        <w:footnoteReference w:id="2108"/>
      </w:r>
      <w:r>
        <w:rPr>
          <w:rFonts w:ascii="Amiri" w:hAnsi="Amiri" w:eastAsia="Amiri" w:cs="Amiri"/>
          <w:color w:val="111111"/>
          <w:sz w:val="28"/>
          <w:sz w:val="28"/>
          <w:szCs w:val="28"/>
          <w:rtl w:val="true"/>
          <w:lang w:bidi="ar-SA"/>
        </w:rPr>
        <w:t xml:space="preserve">،أو الاُذن كما تميل إليه جماعة </w:t>
      </w:r>
      <w:r>
        <w:rPr>
          <w:rStyle w:val="FootnoteAnchor"/>
          <w:rtl w:val="true"/>
        </w:rPr>
        <w:footnoteReference w:id="2109"/>
      </w:r>
      <w:r>
        <w:rPr>
          <w:rFonts w:ascii="Amiri" w:hAnsi="Amiri" w:eastAsia="Amiri" w:cs="Amiri"/>
          <w:color w:val="111111"/>
          <w:sz w:val="28"/>
          <w:sz w:val="28"/>
          <w:szCs w:val="28"/>
          <w:rtl w:val="true"/>
          <w:lang w:bidi="ar-SA"/>
        </w:rPr>
        <w:t xml:space="preserve">، و به صرح ابن حمزة </w:t>
      </w:r>
      <w:r>
        <w:rPr>
          <w:rStyle w:val="FootnoteAnchor"/>
          <w:rtl w:val="true"/>
        </w:rPr>
        <w:footnoteReference w:id="2110"/>
      </w:r>
      <w:r>
        <w:rPr>
          <w:rFonts w:ascii="Amiri" w:hAnsi="Amiri" w:eastAsia="Amiri" w:cs="Amiri"/>
          <w:color w:val="111111"/>
          <w:sz w:val="28"/>
          <w:sz w:val="28"/>
          <w:szCs w:val="28"/>
          <w:rtl w:val="true"/>
          <w:lang w:bidi="ar-SA"/>
        </w:rPr>
        <w:t xml:space="preserve">،و لا خلاف في أصل الحكم أجده هنا أيضاً،بل عن الخلاف </w:t>
      </w:r>
      <w:r>
        <w:rPr>
          <w:rStyle w:val="FootnoteAnchor"/>
          <w:rtl w:val="true"/>
        </w:rPr>
        <w:footnoteReference w:id="2111"/>
      </w:r>
      <w:r>
        <w:rPr>
          <w:rFonts w:ascii="Amiri" w:hAnsi="Amiri" w:eastAsia="Amiri" w:cs="Amiri"/>
          <w:color w:val="111111"/>
          <w:sz w:val="28"/>
          <w:sz w:val="28"/>
          <w:szCs w:val="28"/>
          <w:rtl w:val="true"/>
          <w:lang w:bidi="ar-SA"/>
        </w:rPr>
        <w:t>أنّ عليه إجماعنا،و هو الحجة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كتاب ظريف السابق ذكره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قرحة لا تبرأ ثلث دية ذلك العضو الذي هي فيه</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قريب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 xml:space="preserve">» </w:t>
      </w:r>
      <w:r>
        <w:rPr>
          <w:rStyle w:val="FootnoteAnchor"/>
          <w:rtl w:val="true"/>
        </w:rPr>
        <w:footnoteReference w:id="2113"/>
      </w:r>
      <w:r>
        <w:rPr>
          <w:rFonts w:ascii="IRNazanin" w:hAnsi="IRNazanin" w:eastAsia="IRNazanin"/>
          <w:color w:val="111111"/>
          <w:sz w:val="28"/>
          <w:sz w:val="28"/>
          <w:szCs w:val="28"/>
          <w:rtl w:val="true"/>
          <w:lang w:bidi="fa-IR"/>
        </w:rPr>
        <w:t>و أصل الفتق الشقّ، و ضعف السند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التأيّد بورود مثله في خرم الأنف،ففي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خرم الأنف ثلث دية الأنف</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فالعجب من شيخنا في المسالك و الروضة كيف نفى المستند للحكم في المسألة فقال بعد نقله عن الحلّي تفسير العبارة بما عرفته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إرادة الاُذن أو ما هو أعم،و لا مستند لذلك يرجع إليه </w:t>
      </w:r>
      <w:r>
        <w:rPr>
          <w:rStyle w:val="FootnoteAnchor"/>
          <w:rtl w:val="true"/>
        </w:rPr>
        <w:footnoteReference w:id="21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ظاهره كالماتن في الشرائع </w:t>
      </w:r>
      <w:r>
        <w:rPr>
          <w:rStyle w:val="FootnoteAnchor"/>
          <w:rtl w:val="true"/>
        </w:rPr>
        <w:footnoteReference w:id="2116"/>
      </w:r>
      <w:r>
        <w:rPr>
          <w:rFonts w:ascii="Amiri" w:hAnsi="Amiri" w:eastAsia="Amiri" w:cs="Amiri"/>
          <w:color w:val="111111"/>
          <w:sz w:val="28"/>
          <w:sz w:val="28"/>
          <w:szCs w:val="28"/>
          <w:rtl w:val="true"/>
          <w:lang w:bidi="ar-SA"/>
        </w:rPr>
        <w:t>عدم قبول تفسير الحلّي،و به صرّح الفاضل في المختلف،فقال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تأويل بلا دليل،و مخالف لظاهر كلام الشيخ </w:t>
      </w:r>
      <w:r>
        <w:rPr>
          <w:rStyle w:val="FootnoteAnchor"/>
          <w:rtl w:val="true"/>
        </w:rPr>
        <w:footnoteReference w:id="2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ظاهر الماتن هنا و المحكي عن الجامع </w:t>
      </w:r>
      <w:r>
        <w:rPr>
          <w:rStyle w:val="FootnoteAnchor"/>
          <w:rtl w:val="true"/>
        </w:rPr>
        <w:footnoteReference w:id="2118"/>
      </w:r>
      <w:r>
        <w:rPr>
          <w:rFonts w:ascii="Amiri" w:hAnsi="Amiri" w:eastAsia="Amiri" w:cs="Amiri"/>
          <w:color w:val="111111"/>
          <w:sz w:val="28"/>
          <w:sz w:val="28"/>
          <w:szCs w:val="28"/>
          <w:rtl w:val="true"/>
          <w:lang w:bidi="ar-SA"/>
        </w:rPr>
        <w:t>المصير إلى ما عليه الحلّي،و هو الأجود؛ لإجمال العبارات و النصوص المتقدمة،و عدم ظهور يعتدّ به في شيء منها،فينبغي الأخذ بالأقل المتيقن منها،و هو ما صرنا إليه،و يدفع الزائد بالأصل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التأيّد بأنّ مع اعتباره لم يبق فرق بين قطع الشحمة و خرمها </w:t>
      </w:r>
    </w:p>
    <w:p>
      <w:pPr>
        <w:pStyle w:val="BookText"/>
        <w:rPr/>
      </w:pPr>
      <w:r>
        <w:rPr>
          <w:rFonts w:ascii="Amiri" w:hAnsi="Amiri" w:eastAsia="Amiri" w:cs="Amiri"/>
          <w:color w:val="111111"/>
          <w:sz w:val="28"/>
          <w:sz w:val="28"/>
          <w:szCs w:val="28"/>
          <w:rtl w:val="true"/>
          <w:lang w:bidi="ar-SA"/>
        </w:rPr>
        <w:t>في مقدار الدية أصلاً،و هو مستبعد جدّاً،و بهذا يقرب تنزيل العبارات عليه إلّا ما صرّح فيه بثلث دية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أكثر النصوص و الفتاوي يقتضي عدم الفرق في الخرم الموجب لثلث الدية بين الملتئم منه و غيره،و عن ابن حمزة </w:t>
      </w:r>
      <w:r>
        <w:rPr>
          <w:rStyle w:val="FootnoteAnchor"/>
          <w:rtl w:val="true"/>
        </w:rPr>
        <w:footnoteReference w:id="2119"/>
      </w:r>
      <w:r>
        <w:rPr>
          <w:rFonts w:ascii="Amiri" w:hAnsi="Amiri" w:eastAsia="Amiri" w:cs="Amiri"/>
          <w:color w:val="111111"/>
          <w:sz w:val="28"/>
          <w:sz w:val="28"/>
          <w:szCs w:val="28"/>
          <w:rtl w:val="true"/>
          <w:lang w:bidi="ar-SA"/>
        </w:rPr>
        <w:t>التخصيص بالثاني،و قال في الأوّل بالحكومة،و هو ظاهر رواية ظريف المتقدمة، و ربما يعضده الاستقراء لما مرّ في الشعر و نحوه،و يمكن تنزيل الإطلاقات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استئصال الشفتين الدية بالإجماع الظاهر،المستفيض النقل </w:t>
      </w:r>
      <w:r>
        <w:rPr>
          <w:rStyle w:val="FootnoteAnchor"/>
          <w:rtl w:val="true"/>
        </w:rPr>
        <w:footnoteReference w:id="2120"/>
      </w:r>
      <w:r>
        <w:rPr>
          <w:rFonts w:ascii="Amiri" w:hAnsi="Amiri" w:eastAsia="Amiri" w:cs="Amiri"/>
          <w:color w:val="111111"/>
          <w:sz w:val="28"/>
          <w:sz w:val="28"/>
          <w:szCs w:val="28"/>
          <w:rtl w:val="true"/>
          <w:lang w:bidi="ar-SA"/>
        </w:rPr>
        <w:t xml:space="preserve">،المعتضد بالعمومات المتقدمة في الأُذنين،و خصوص النصوص المستفيضة </w:t>
      </w:r>
      <w:r>
        <w:rPr>
          <w:rStyle w:val="FootnoteAnchor"/>
          <w:rtl w:val="true"/>
        </w:rPr>
        <w:footnoteReference w:id="2121"/>
      </w:r>
      <w:r>
        <w:rPr>
          <w:rFonts w:ascii="Amiri" w:hAnsi="Amiri" w:eastAsia="Amiri" w:cs="Amiri"/>
          <w:color w:val="111111"/>
          <w:sz w:val="28"/>
          <w:sz w:val="28"/>
          <w:szCs w:val="28"/>
          <w:rtl w:val="true"/>
          <w:lang w:bidi="ar-SA"/>
        </w:rPr>
        <w:t>،و فيها الصحيح و غيره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تقدير دية كل واحدة منهما خلاف ف قال الشيخ في المبسوط </w:t>
      </w:r>
      <w:r>
        <w:rPr>
          <w:rStyle w:val="FootnoteAnchor"/>
          <w:rtl w:val="true"/>
        </w:rPr>
        <w:footnoteReference w:id="2122"/>
      </w:r>
      <w:r>
        <w:rPr>
          <w:rFonts w:ascii="Amiri" w:hAnsi="Amiri" w:eastAsia="Amiri" w:cs="Amiri"/>
          <w:color w:val="111111"/>
          <w:sz w:val="28"/>
          <w:sz w:val="28"/>
          <w:szCs w:val="28"/>
          <w:rtl w:val="true"/>
          <w:lang w:bidi="ar-SA"/>
        </w:rPr>
        <w:t xml:space="preserve">في العليا الثلث،و في السفلى الثلثان،و اختاره المفيد في المقنعة و جماعة كالمراسم و الكافي و الجامع و الإصباح </w:t>
      </w:r>
      <w:r>
        <w:rPr>
          <w:rStyle w:val="FootnoteAnchor"/>
          <w:rtl w:val="true"/>
        </w:rPr>
        <w:footnoteReference w:id="2123"/>
      </w:r>
      <w:r>
        <w:rPr>
          <w:rFonts w:ascii="Amiri" w:hAnsi="Amiri" w:eastAsia="Amiri" w:cs="Amiri"/>
          <w:color w:val="111111"/>
          <w:sz w:val="28"/>
          <w:sz w:val="28"/>
          <w:szCs w:val="28"/>
          <w:rtl w:val="true"/>
          <w:lang w:bidi="ar-SA"/>
        </w:rPr>
        <w:t xml:space="preserve">على ما حكي عنهم،و هو خيرة الغنية </w:t>
      </w:r>
      <w:r>
        <w:rPr>
          <w:rStyle w:val="FootnoteAnchor"/>
          <w:rtl w:val="true"/>
        </w:rPr>
        <w:footnoteReference w:id="2124"/>
      </w:r>
      <w:r>
        <w:rPr>
          <w:rFonts w:ascii="Amiri" w:hAnsi="Amiri" w:eastAsia="Amiri" w:cs="Amiri"/>
          <w:color w:val="111111"/>
          <w:sz w:val="28"/>
          <w:sz w:val="28"/>
          <w:szCs w:val="28"/>
          <w:rtl w:val="true"/>
          <w:lang w:bidi="ar-SA"/>
        </w:rPr>
        <w:t>مدّعياً في ظاهر كلامه كالمبسوط إجماع الإمامية،قال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تمسك الطعام و الشراب،و شينها أقبح من شين </w:t>
      </w:r>
    </w:p>
    <w:p>
      <w:pPr>
        <w:pStyle w:val="BookText"/>
        <w:rPr/>
      </w:pPr>
      <w:r>
        <w:rPr>
          <w:rFonts w:ascii="Amiri" w:hAnsi="Amiri" w:eastAsia="Amiri" w:cs="Amiri"/>
          <w:color w:val="111111"/>
          <w:sz w:val="28"/>
          <w:sz w:val="28"/>
          <w:szCs w:val="28"/>
          <w:rtl w:val="true"/>
          <w:lang w:bidi="ar-SA"/>
        </w:rPr>
        <w:t>العليا،و بهذا ثبتت الآثار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معارض بمثله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التعليل لا يفيد سوى التفضيل </w:t>
      </w:r>
      <w:r>
        <w:rPr>
          <w:rStyle w:val="FootnoteAnchor"/>
          <w:rtl w:val="true"/>
        </w:rPr>
        <w:footnoteReference w:id="2125"/>
      </w:r>
      <w:r>
        <w:rPr>
          <w:rFonts w:ascii="Amiri" w:hAnsi="Amiri" w:eastAsia="Amiri" w:cs="Amiri"/>
          <w:color w:val="111111"/>
          <w:sz w:val="28"/>
          <w:sz w:val="28"/>
          <w:szCs w:val="28"/>
          <w:rtl w:val="true"/>
          <w:lang w:bidi="ar-SA"/>
        </w:rPr>
        <w:t>في السفلى و نحن نقول به كما ستدري،و لكنّه لا يعيّن الثلثين كما يقولون،فيحتمل الثلاثة أخماس كما في القول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الآثار مرسلة لم نقف عليها،مع أنّ الموجود منها على خلافها،إلّا ما في كتاب ظريف </w:t>
      </w:r>
      <w:r>
        <w:rPr>
          <w:rStyle w:val="FootnoteAnchor"/>
          <w:rtl w:val="true"/>
        </w:rPr>
        <w:footnoteReference w:id="2126"/>
      </w:r>
      <w:r>
        <w:rPr>
          <w:rFonts w:ascii="Amiri" w:hAnsi="Amiri" w:eastAsia="Amiri" w:cs="Amiri"/>
          <w:color w:val="111111"/>
          <w:sz w:val="28"/>
          <w:sz w:val="28"/>
          <w:szCs w:val="28"/>
          <w:rtl w:val="true"/>
          <w:lang w:bidi="ar-SA"/>
        </w:rPr>
        <w:t>الذي وصل إلينا،و هو و إن تضمّن الثلثين في السفلى لكنّه صرّح بالنصف في العليا،و لم يقولوا به،فهو و إن وافق من جهة لكن خالف من اخرى،مع أنّ المحكي عنه أيضاً المخالفة مطلقا كما ستعرفها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الخلاف </w:t>
      </w:r>
      <w:r>
        <w:rPr>
          <w:rStyle w:val="FootnoteAnchor"/>
          <w:rtl w:val="true"/>
        </w:rPr>
        <w:footnoteReference w:id="2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العليا أربعمائة دينار،و في السفلى ستمائة،و كذا قال في النهاية و كتابي الحديث </w:t>
      </w:r>
      <w:r>
        <w:rPr>
          <w:rStyle w:val="FootnoteAnchor"/>
          <w:rtl w:val="true"/>
        </w:rPr>
        <w:footnoteReference w:id="2128"/>
      </w:r>
      <w:r>
        <w:rPr>
          <w:rFonts w:ascii="Amiri" w:hAnsi="Amiri" w:eastAsia="Amiri" w:cs="Amiri"/>
          <w:color w:val="111111"/>
          <w:sz w:val="28"/>
          <w:sz w:val="28"/>
          <w:szCs w:val="28"/>
          <w:rtl w:val="true"/>
          <w:lang w:bidi="ar-SA"/>
        </w:rPr>
        <w:t xml:space="preserve">،و حكي عن المقنع و الهداية و المهذّب و الوسيلة و الصهرشتي و الطبرسي و اختاره في المختلف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رواية أبي جميلة،عن أبان بن تغلب،عن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السفلى ستّة آلاف،و في العليا أربعة آلاف،لأنّ السفلى يمسك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كما ترى ضعف بأبي جميلة،و إن روى عنه الحسن بن محبوب المحكي على تصحيح ما يصح عنه إجماع العصابة </w:t>
      </w:r>
      <w:r>
        <w:rPr>
          <w:rStyle w:val="FootnoteAnchor"/>
          <w:rtl w:val="true"/>
        </w:rPr>
        <w:footnoteReference w:id="2131"/>
      </w:r>
      <w:r>
        <w:rPr>
          <w:rFonts w:ascii="Amiri" w:hAnsi="Amiri" w:eastAsia="Amiri" w:cs="Amiri"/>
          <w:color w:val="111111"/>
          <w:sz w:val="28"/>
          <w:sz w:val="28"/>
          <w:szCs w:val="28"/>
          <w:rtl w:val="true"/>
          <w:lang w:bidi="ar-SA"/>
        </w:rPr>
        <w:t xml:space="preserve">،و حكى الماتن مضمونها عن كتاب ظريف أيضاً </w:t>
      </w:r>
      <w:r>
        <w:rPr>
          <w:rStyle w:val="FootnoteAnchor"/>
          <w:rtl w:val="true"/>
        </w:rPr>
        <w:footnoteReference w:id="2132"/>
      </w:r>
      <w:r>
        <w:rPr>
          <w:rFonts w:ascii="Amiri" w:hAnsi="Amiri" w:eastAsia="Amiri" w:cs="Amiri"/>
          <w:color w:val="111111"/>
          <w:sz w:val="28"/>
          <w:sz w:val="28"/>
          <w:szCs w:val="28"/>
          <w:rtl w:val="true"/>
          <w:lang w:bidi="ar-SA"/>
        </w:rPr>
        <w:t>لعدم بلوغها بالأوّل درجة الاعتبار و الصحة،و ضعف الحكاية بمخالفتها لما يروى عن ذلك الكتاب في الكتب المشهورة ممّا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عن الخلاف </w:t>
      </w:r>
      <w:r>
        <w:rPr>
          <w:rStyle w:val="FootnoteAnchor"/>
          <w:rtl w:val="true"/>
        </w:rPr>
        <w:footnoteReference w:id="2133"/>
      </w:r>
      <w:r>
        <w:rPr>
          <w:rFonts w:ascii="Amiri" w:hAnsi="Amiri" w:eastAsia="Amiri" w:cs="Amiri"/>
          <w:color w:val="111111"/>
          <w:sz w:val="28"/>
          <w:sz w:val="28"/>
          <w:szCs w:val="28"/>
          <w:rtl w:val="true"/>
          <w:lang w:bidi="ar-SA"/>
        </w:rPr>
        <w:t>دعوى الإجماع،لكنّه بعد الإغماض عن وهنه في نحو المضمار معارض بالمثل،بل و أجود؛ للتعدّد،كما مضى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الإسكافي و ابن بابويه </w:t>
      </w:r>
      <w:r>
        <w:rPr>
          <w:rStyle w:val="FootnoteAnchor"/>
          <w:rtl w:val="true"/>
        </w:rPr>
        <w:footnoteReference w:id="2134"/>
      </w:r>
      <w:r>
        <w:rPr>
          <w:rFonts w:ascii="Amiri" w:hAnsi="Amiri" w:eastAsia="Amiri" w:cs="Amiri"/>
          <w:color w:val="111111"/>
          <w:sz w:val="28"/>
          <w:sz w:val="28"/>
          <w:szCs w:val="28"/>
          <w:rtl w:val="true"/>
          <w:lang w:bidi="ar-SA"/>
        </w:rPr>
        <w:t>على ما حكاه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العليا نصف الدية،و في السفلى الثلثان لما في كتاب ظريف المروي </w:t>
      </w:r>
      <w:r>
        <w:rPr>
          <w:rStyle w:val="FootnoteAnchor"/>
          <w:rtl w:val="true"/>
        </w:rPr>
        <w:footnoteReference w:id="2135"/>
      </w:r>
      <w:r>
        <w:rPr>
          <w:rFonts w:ascii="Amiri" w:hAnsi="Amiri" w:eastAsia="Amiri" w:cs="Amiri"/>
          <w:color w:val="111111"/>
          <w:sz w:val="28"/>
          <w:sz w:val="28"/>
          <w:szCs w:val="28"/>
          <w:rtl w:val="true"/>
          <w:lang w:bidi="ar-SA"/>
        </w:rPr>
        <w:t xml:space="preserve">في الكتب المشهورة بعدّة طرق معتبرة كما عرفته،لكن ندرة القول به و متروكيته كما في الشرائع و شرحه للصيمري </w:t>
      </w:r>
      <w:r>
        <w:rPr>
          <w:rStyle w:val="FootnoteAnchor"/>
          <w:rtl w:val="true"/>
        </w:rPr>
        <w:footnoteReference w:id="2136"/>
      </w:r>
      <w:r>
        <w:rPr>
          <w:rFonts w:ascii="Amiri" w:hAnsi="Amiri" w:eastAsia="Amiri" w:cs="Amiri"/>
          <w:color w:val="111111"/>
          <w:sz w:val="28"/>
          <w:sz w:val="28"/>
          <w:szCs w:val="28"/>
          <w:rtl w:val="true"/>
          <w:lang w:bidi="ar-SA"/>
        </w:rPr>
        <w:t>،و عدم مقاومته لما سبق من الأدلّة و ما يأتي يضعِّف العمل به،سيّما مع مخالفته للأدلّة فتوًى و نصّاً على أنّ في الشفتين الدية لا زائداً،إلّا أن يخصّ ذلك بصورة الجناية عليهما معاً لا منفرداً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واحدة نصف الدية لا يفضل إحداهما على الأُخرى بزيادة </w:t>
      </w:r>
      <w:r>
        <w:rPr>
          <w:rStyle w:val="FootnoteAnchor"/>
          <w:rtl w:val="true"/>
        </w:rPr>
        <w:footnoteReference w:id="2137"/>
      </w:r>
      <w:r>
        <w:rPr>
          <w:rFonts w:ascii="Amiri" w:hAnsi="Amiri" w:eastAsia="Amiri" w:cs="Amiri"/>
          <w:color w:val="111111"/>
          <w:sz w:val="28"/>
          <w:sz w:val="28"/>
          <w:szCs w:val="28"/>
          <w:rtl w:val="true"/>
          <w:lang w:bidi="ar-SA"/>
        </w:rPr>
        <w:t>و هو قوي متين؛ لعموم الأدلّة على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اثنين ففي كل منهما نصف الدية،و خصوص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الشفتان العليا و السفلى سواء في الدية</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على التساوي في وجوب الدية لا قدرها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ذهب الفاضلان هنا و في الشرائع و التحرير و الإرشاد و القواعد، و الشهيدان في اللمعتين،و الفاضل المقداد في الشرح </w:t>
      </w:r>
      <w:r>
        <w:rPr>
          <w:rStyle w:val="FootnoteAnchor"/>
          <w:rtl w:val="true"/>
        </w:rPr>
        <w:footnoteReference w:id="2139"/>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النفس منه شيء؛ لندرة القول به بين القدماء،بل كاد أن يكون خلاف المجمع عليه بينهم،كما نصّ عليه الحلّي،فقال بعد تقويته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على خلافه إجماع،و لا شك أنّ الإجماع منعقد على تفضيل السفلى،و الاتفاق حاصل على الستمائة دينار،و الأصل براءة الذمة ممّا زاد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القول الأخير أعمل و أُفتي،و هو قول شيخنا في الاستبصار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يعني القول بالأربعمائة و الستمائة،و قد كان اختار أوّلاً القول الأوّل، و لنعم ما استدرك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 يضعّف قول من تأخّر،سيّما مع دعاوي الإجماعات المتقدّمة، و ورود الروايات العديدة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حقّقه في اختيار ما في الاستبصار ضعيف؛ فإنّ حاصله الرجوع إلى أصل البراءة عن الزائد على الستمائة،و هو جارٍ في الزائد عن الثلث في العليا أيضاً،فهو و إن أبرأ ذمّة إلّا أنّه شغل اخرى،و التمسك به مشروط بأن لا يلزم منه ثبوت تكليف و لو من وجه آخر،و لو لزم لم يجز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تمسك به في العليا أيضاً لزم خرق الإجماع جدّاً؛ لعدم قائل بالثلث في العليا و ثلاثة أخماس في السفلى كما يقتضيه الأصل فيهما،بل كلّ من قال بالأوّل في الأُولى قال بضعفِه في الثانية،و كلّ من قال بالثلاثة أخماس فيها قال بالخُمسَين في الاُولى،مع أنّ هذا خيرة الإستبصار </w:t>
      </w:r>
      <w:r>
        <w:rPr>
          <w:rStyle w:val="FootnoteAnchor"/>
          <w:rtl w:val="true"/>
        </w:rPr>
        <w:footnoteReference w:id="2142"/>
      </w:r>
      <w:r>
        <w:rPr>
          <w:rFonts w:ascii="Amiri" w:hAnsi="Amiri" w:eastAsia="Amiri" w:cs="Amiri"/>
          <w:color w:val="111111"/>
          <w:sz w:val="28"/>
          <w:sz w:val="28"/>
          <w:szCs w:val="28"/>
          <w:rtl w:val="true"/>
          <w:lang w:bidi="ar-SA"/>
        </w:rPr>
        <w:t>الذي اختاره لا ما سبقه،فالتمسك لإثباته بأصالة البراءة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ظهر أنّ المسألة محل تردّد و شبهة،لكن الذي يقتضيه النظر ضعف الأخيرين جدّاً،و يبقى الكلام في تعيين أحد الأوّلين و ترجيحه على الآخر،و لا مرجّح يظهر،فليؤخذ بما هو الأحوط،و هو الأخذ بالمتيقن من الثلث في العليا و الثلاثة أخماس في السفلى،و يرجع في الزائد في المقامين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الأقوال في </w:t>
      </w:r>
      <w:r>
        <w:rPr>
          <w:rStyle w:val="FootnoteAnchor"/>
          <w:rtl w:val="true"/>
        </w:rPr>
        <w:footnoteReference w:id="2143"/>
      </w:r>
      <w:r>
        <w:rPr>
          <w:rFonts w:ascii="Amiri" w:hAnsi="Amiri" w:eastAsia="Amiri" w:cs="Amiri"/>
          <w:color w:val="111111"/>
          <w:sz w:val="28"/>
          <w:sz w:val="28"/>
          <w:szCs w:val="28"/>
          <w:rtl w:val="true"/>
          <w:lang w:bidi="ar-SA"/>
        </w:rPr>
        <w:t>بعضها يؤخذ له بحساب ديتها كما سبق في نظائرها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استئصال اللسان الصحيح الدية كاملةً إجماعاً؛ لما مرّ </w:t>
      </w:r>
    </w:p>
    <w:p>
      <w:pPr>
        <w:pStyle w:val="BookText"/>
        <w:rPr/>
      </w:pPr>
      <w:r>
        <w:rPr>
          <w:rFonts w:ascii="Amiri" w:hAnsi="Amiri" w:eastAsia="Amiri" w:cs="Amiri"/>
          <w:color w:val="111111"/>
          <w:sz w:val="28"/>
          <w:sz w:val="28"/>
          <w:szCs w:val="28"/>
          <w:rtl w:val="true"/>
          <w:lang w:bidi="ar-SA"/>
        </w:rPr>
        <w:t xml:space="preserve">من النصوص في أنّ ما في الإنسان منه واحد فيه الدية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خصوص المعتبرة،و فيها الموثق و غيره </w:t>
      </w:r>
      <w:r>
        <w:rPr>
          <w:rStyle w:val="FootnoteAnchor"/>
          <w:rtl w:val="true"/>
        </w:rPr>
        <w:footnoteReference w:id="2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اللّسان إذا استؤصل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إذهاب النطق جملة و لو بقي اللسان بحاله،بلا خلاف فيه و في أنّه إذا ذهب بعضه قسّمت الدية على الحروف و أُعطي بقدر الفائتة، لا إشكال فيه؛ للصحاح المستفيضة و غيرها من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في رأسه فثقل لسانه،أنّه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عليه حروف المعجم كلّها،ثم يعطى الدية بحصة ما لم يفصحه منها</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قطع بعضه أي بعض اللسان اعتبر بحروف المعجم أيضاً دون مساحته عند أكثر الأصحاب على الظاهر،المصرَّح به في كلام جماعة </w:t>
      </w:r>
      <w:r>
        <w:rPr>
          <w:rStyle w:val="FootnoteAnchor"/>
          <w:rtl w:val="true"/>
        </w:rPr>
        <w:footnoteReference w:id="2147"/>
      </w:r>
      <w:r>
        <w:rPr>
          <w:rFonts w:ascii="Amiri" w:hAnsi="Amiri" w:eastAsia="Amiri" w:cs="Amiri"/>
          <w:color w:val="111111"/>
          <w:sz w:val="28"/>
          <w:sz w:val="28"/>
          <w:szCs w:val="28"/>
          <w:rtl w:val="true"/>
          <w:lang w:bidi="ar-SA"/>
        </w:rPr>
        <w:t>،و حجتهم غير واضحة؛ لاختصاص المستفيضة المتقدمة بالجناية على المنفعة دون الجارحة التي هي مفروض المسألة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طرف لغلام طرفة فقطع بعض لسانه فأفصح ببعض و لم يفصح ببعض،قال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المعجم فما أفصح به طرح من الدية،و ما لم يفصح به أُلزم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حساب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ديتها واحد،و الباء ديتها اثنان،و الجيم ثلاثة،و الدال أربعة،و الهاء خمسة،و الواو ستة،و الزاي سبعة،و الحاء ثمانية،و الطاء تسعة،و الياء عشرة،و الكاف عشرون،و اللام ثلاثون،و الميم أربعون، و النون خمسون،و السين ستّون،و العين سبعون،و الفاء ثمانون،و الصاد تسعون،و القاف مائة،و الراء مائتان،و الشين ثلاثمائة،و التاء أربعمائة، و كل حرف يزيد بعد هذا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أ،ب،ت،ث،زدت له مائة درهم</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فيما ذكروه؛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بعض لسانه،و به صرّح بعض الأصحاب،بل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نصّ </w:t>
      </w:r>
      <w:r>
        <w:rPr>
          <w:rStyle w:val="FootnoteAnchor"/>
          <w:rtl w:val="true"/>
        </w:rPr>
        <w:footnoteReference w:id="214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اعتراض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بعدم الدليل،قال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الدليل على ما سمعت و أشار به إلى الأخبار المتقدمة إنّما دلّ على كون المدار على المنفعة فيما إذا ذهبت المنفعة فقط و لم يذهب من الجرم شيء؛ إذ ما كان في الدليل ما يشمل على قطع بعض اللسان مع كون المدار على نقصان الحروف،و أنّه قد يسقط من اللسان و لا يحصل قصور في صدور الحروف،فالمناسب أن يكون المدار على المنفعة فيما إذا كان فيها فقط،و على المساحة و المقدار على تقدير النقص فيه فقط </w:t>
      </w:r>
      <w:r>
        <w:rPr>
          <w:rStyle w:val="FootnoteAnchor"/>
          <w:rtl w:val="true"/>
        </w:rPr>
        <w:footnoteReference w:id="2150"/>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غفل عن دلالة هذه الموثقة،أو حمل قطع بعض اللسان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فقطع،على قطع بعض النطق و الكلام؛ لإطلاق اللسان عليه كثيراً، </w:t>
      </w:r>
    </w:p>
    <w:p>
      <w:pPr>
        <w:pStyle w:val="BookText"/>
        <w:rPr/>
      </w:pPr>
      <w:r>
        <w:rPr>
          <w:rFonts w:ascii="Amiri" w:hAnsi="Amiri" w:eastAsia="Amiri" w:cs="Amiri"/>
          <w:color w:val="111111"/>
          <w:sz w:val="28"/>
          <w:sz w:val="28"/>
          <w:szCs w:val="28"/>
          <w:rtl w:val="true"/>
          <w:lang w:bidi="ar-SA"/>
        </w:rPr>
        <w:t>و هو و إن كان مجازاً إلّا أنّ القرينة قائمة عليه فيها،و هي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طرف،و الطرف في الأصل الضرب على طرف العين،ثم نقل إلى الضرب على الرأس،كما في النهاية الأثيرية </w:t>
      </w:r>
      <w:r>
        <w:rPr>
          <w:rStyle w:val="FootnoteAnchor"/>
          <w:rtl w:val="true"/>
        </w:rPr>
        <w:footnoteReference w:id="2151"/>
      </w:r>
      <w:r>
        <w:rPr>
          <w:rFonts w:ascii="Amiri" w:hAnsi="Amiri" w:eastAsia="Amiri" w:cs="Amiri"/>
          <w:color w:val="111111"/>
          <w:sz w:val="28"/>
          <w:sz w:val="28"/>
          <w:szCs w:val="28"/>
          <w:rtl w:val="true"/>
          <w:lang w:bidi="ar-SA"/>
        </w:rPr>
        <w:t>،و ظاهر أنّ الضرب على الرأس لا يوجب قطع اللسان الحقيقي،بل المجازي،و على هذا يكون سبيل هذه الرواية سبيل المستفيضة في اختصاصها بجناية المنفعة،لا 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منافاة ما فيها من بسط الدية بحسب حروف الجمل لما عليه الأصحاب كافّة فيما أجده،و به صرّح بعض الأجلّة </w:t>
      </w:r>
      <w:r>
        <w:rPr>
          <w:rStyle w:val="FootnoteAnchor"/>
          <w:rtl w:val="true"/>
        </w:rPr>
        <w:footnoteReference w:id="2152"/>
      </w:r>
      <w:r>
        <w:rPr>
          <w:rFonts w:ascii="Amiri" w:hAnsi="Amiri" w:eastAsia="Amiri" w:cs="Amiri"/>
          <w:color w:val="111111"/>
          <w:sz w:val="28"/>
          <w:sz w:val="28"/>
          <w:szCs w:val="28"/>
          <w:rtl w:val="true"/>
          <w:lang w:bidi="ar-SA"/>
        </w:rPr>
        <w:t>من بسطها على حروف المعجم بالسوية،كما هو ظاهر المستفيضة،بل صريح بعضها، و هو قوية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ضرب فذهب بعض كلامه و بقي بعض كلامه،فجعل ديته على حروف المعجم كلّها،ثم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بالمعجم،فما نقص من كلامه فبحساب ذلك،و المعجم ثمانية و عشرون حرفاً،فجعل ثمانية و عشرين جزءاً،فما نقص من ذلك فبحساب ذلك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فالأصحّ ما ذكره من عدم دليل بذلك من نصّ و لا رواية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يقتضيه النظر و يعضده الأُصول وجوب دية للذّاهب من جرم اللّسان بالمساحة،و أُخرى للذّاهب من الحروف بالنسبة،و يحتمله ما عن الحلبي و الإصباح و في الغنية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إذا قطع بعض اللسان ففيه بحساب </w:t>
      </w:r>
    </w:p>
    <w:p>
      <w:pPr>
        <w:pStyle w:val="BookText"/>
        <w:rPr/>
      </w:pPr>
      <w:r>
        <w:rPr>
          <w:rFonts w:ascii="Amiri" w:hAnsi="Amiri" w:eastAsia="Amiri" w:cs="Amiri"/>
          <w:color w:val="111111"/>
          <w:sz w:val="28"/>
          <w:sz w:val="28"/>
          <w:szCs w:val="28"/>
          <w:rtl w:val="true"/>
          <w:lang w:bidi="ar-SA"/>
        </w:rPr>
        <w:t>الواجب في جميعه و يقاس بالميل،و إذا ذهب بعض اللسان يعنون الكلام اعتبر بحروف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إرادتهم بذلك الاعتبار بالمساحة إن لم يذهب من الكلام شيء،أو ذهب منه أقلّ من مساحة اللسان بالنسبة إلى الدية،كأن ذهب منه ربعه و من اللسان نصفه،فيؤخذ من الدية بنسبته دون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الأوّل أوفق بالأُصول،لكن القائل به من الأصحاب غير معلوم؛ لإطباقهم ظاهراً على تداخل الديتين مطلقا،حتى لو تفاوت نسبة كل منهما إلى الدية الكاملة،بأن كان إحداهما بالربع و الأُخرى بالنصف،أو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اختلفوا في أخذ الزيادة عن القدر المتداخل فيه مطلقاً،كما عليه المبسوط </w:t>
      </w:r>
      <w:r>
        <w:rPr>
          <w:rStyle w:val="FootnoteAnchor"/>
          <w:rtl w:val="true"/>
        </w:rPr>
        <w:footnoteReference w:id="2155"/>
      </w:r>
      <w:r>
        <w:rPr>
          <w:rFonts w:ascii="Amiri" w:hAnsi="Amiri" w:eastAsia="Amiri" w:cs="Amiri"/>
          <w:color w:val="111111"/>
          <w:sz w:val="28"/>
          <w:sz w:val="28"/>
          <w:szCs w:val="28"/>
          <w:rtl w:val="true"/>
          <w:lang w:bidi="ar-SA"/>
        </w:rPr>
        <w:t xml:space="preserve">نافياً الخلاف عنه،و حكى في المختلف عن الحلبي أيضاً </w:t>
      </w:r>
      <w:r>
        <w:rPr>
          <w:rStyle w:val="FootnoteAnchor"/>
          <w:rtl w:val="true"/>
        </w:rPr>
        <w:footnoteReference w:id="2156"/>
      </w:r>
      <w:r>
        <w:rPr>
          <w:rFonts w:ascii="Amiri" w:hAnsi="Amiri" w:eastAsia="Amiri" w:cs="Amiri"/>
          <w:color w:val="111111"/>
          <w:sz w:val="28"/>
          <w:sz w:val="28"/>
          <w:szCs w:val="28"/>
          <w:rtl w:val="true"/>
          <w:lang w:bidi="ar-SA"/>
        </w:rPr>
        <w:t xml:space="preserve">، أو إذا كانت الزيادة للمنفعة خاصّة،و لو انعكس فلا زيادة،كما عليه الأكثر على الظاهر،المصرّح به في كلام جمع </w:t>
      </w:r>
      <w:r>
        <w:rPr>
          <w:rStyle w:val="FootnoteAnchor"/>
          <w:rtl w:val="true"/>
        </w:rPr>
        <w:footnoteReference w:id="2157"/>
      </w:r>
      <w:r>
        <w:rPr>
          <w:rFonts w:ascii="Amiri" w:hAnsi="Amiri" w:eastAsia="Amiri" w:cs="Amiri"/>
          <w:color w:val="111111"/>
          <w:sz w:val="28"/>
          <w:sz w:val="28"/>
          <w:szCs w:val="28"/>
          <w:rtl w:val="true"/>
          <w:lang w:bidi="ar-SA"/>
        </w:rPr>
        <w:t xml:space="preserve">،بناءً منهم على أنّه لا اعتبار بقدر المقطوع هنا،و دليلهم غير واضح عدا ما قيل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ما مرّ من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الأجود القول الأوّل؛ أخذاً بالأصل الدالّ على لزوم ديتي الجارحة و المنفعة و أبعاضهما بالنسبة،خرج منهما القدر المتداخل فيه بشبهة الإجماع،و الأولوية المستفادة من ثبوت التداخل باستئصال الجارحة اتفاقاً، </w:t>
      </w:r>
    </w:p>
    <w:p>
      <w:pPr>
        <w:pStyle w:val="BookText"/>
        <w:rPr/>
      </w:pPr>
      <w:r>
        <w:rPr>
          <w:rFonts w:ascii="Amiri" w:hAnsi="Amiri" w:eastAsia="Amiri" w:cs="Amiri"/>
          <w:color w:val="111111"/>
          <w:sz w:val="28"/>
          <w:sz w:val="28"/>
          <w:szCs w:val="28"/>
          <w:rtl w:val="true"/>
          <w:lang w:bidi="ar-SA"/>
        </w:rPr>
        <w:t>فتوًى و رواية،ففي البعض أولى،فتأمّل جدّاً ،و يبقى الزائد عنه مندرجاً تحته؛ مضافاً إلى التأيّد بنقل عدم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هذا القول من محقّقي المتأخّرين جماعة،و منهم الفاضل في المختلف و التحرير و القواعد،و شيخنا في المسالك و الروضة </w:t>
      </w:r>
      <w:r>
        <w:rPr>
          <w:rStyle w:val="FootnoteAnchor"/>
          <w:rtl w:val="true"/>
        </w:rPr>
        <w:footnoteReference w:id="2159"/>
      </w:r>
      <w:r>
        <w:rPr>
          <w:rFonts w:ascii="Amiri" w:hAnsi="Amiri" w:eastAsia="Amiri" w:cs="Amiri"/>
          <w:color w:val="111111"/>
          <w:sz w:val="28"/>
          <w:sz w:val="28"/>
          <w:szCs w:val="28"/>
          <w:rtl w:val="true"/>
          <w:lang w:bidi="ar-SA"/>
        </w:rPr>
        <w:t xml:space="preserve">، و غيرهم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أي الحروف ثمانية و عشرون حرفاً في المشهور بين الفقهاء،و به نصّت القوية المتقدمة </w:t>
      </w:r>
      <w:r>
        <w:rPr>
          <w:rStyle w:val="FootnoteAnchor"/>
          <w:rtl w:val="true"/>
        </w:rPr>
        <w:footnoteReference w:id="2161"/>
      </w:r>
      <w:r>
        <w:rPr>
          <w:rFonts w:ascii="Amiri" w:hAnsi="Amiri" w:eastAsia="Amiri" w:cs="Amiri"/>
          <w:color w:val="111111"/>
          <w:sz w:val="28"/>
          <w:sz w:val="28"/>
          <w:szCs w:val="28"/>
          <w:rtl w:val="true"/>
          <w:lang w:bidi="ar-SA"/>
        </w:rPr>
        <w:t xml:space="preserve">،و نحوه رواية أُخرى صحيحة </w:t>
      </w:r>
      <w:r>
        <w:rPr>
          <w:rStyle w:val="FootnoteAnchor"/>
          <w:rtl w:val="true"/>
        </w:rPr>
        <w:footnoteReference w:id="2162"/>
      </w:r>
      <w:r>
        <w:rPr>
          <w:rFonts w:ascii="Amiri" w:hAnsi="Amiri" w:eastAsia="Amiri" w:cs="Amiri"/>
          <w:color w:val="111111"/>
          <w:sz w:val="28"/>
          <w:sz w:val="28"/>
          <w:szCs w:val="28"/>
          <w:rtl w:val="true"/>
          <w:lang w:bidi="ar-SA"/>
        </w:rPr>
        <w:t>و ثالثة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مروية </w:t>
      </w:r>
      <w:r>
        <w:rPr>
          <w:rStyle w:val="FootnoteAnchor"/>
          <w:rtl w:val="true"/>
        </w:rPr>
        <w:footnoteReference w:id="2163"/>
      </w:r>
      <w:r>
        <w:rPr>
          <w:rFonts w:ascii="Amiri" w:hAnsi="Amiri" w:eastAsia="Amiri" w:cs="Amiri"/>
          <w:color w:val="111111"/>
          <w:sz w:val="28"/>
          <w:sz w:val="28"/>
          <w:szCs w:val="28"/>
          <w:rtl w:val="true"/>
          <w:lang w:bidi="ar-SA"/>
        </w:rPr>
        <w:t>،و قصور السند فيها و في الاُولى مجبور بالشهرة بين الفقهاء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أُخرى صحيحة </w:t>
      </w:r>
      <w:r>
        <w:rPr>
          <w:rStyle w:val="FootnoteAnchor"/>
          <w:rtl w:val="true"/>
        </w:rPr>
        <w:footnoteReference w:id="2164"/>
      </w:r>
      <w:r>
        <w:rPr>
          <w:rFonts w:ascii="Amiri" w:hAnsi="Amiri" w:eastAsia="Amiri" w:cs="Amiri"/>
          <w:color w:val="111111"/>
          <w:sz w:val="28"/>
          <w:sz w:val="28"/>
          <w:szCs w:val="28"/>
          <w:rtl w:val="true"/>
          <w:lang w:bidi="ar-SA"/>
        </w:rPr>
        <w:t xml:space="preserve">أنّها تسعة و عشرون حرفاً،و هي مع أنّها معارضة بمثلها لراويها أيضاً،و زيادةً عليه عرفتها مطرحة لم أجد بها عاملاً عدا يحيى بن سعيد فيما يحكى عنه </w:t>
      </w:r>
      <w:r>
        <w:rPr>
          <w:rStyle w:val="FootnoteAnchor"/>
          <w:rtl w:val="true"/>
        </w:rPr>
        <w:footnoteReference w:id="2165"/>
      </w:r>
      <w:r>
        <w:rPr>
          <w:rFonts w:ascii="Amiri" w:hAnsi="Amiri" w:eastAsia="Amiri" w:cs="Amiri"/>
          <w:color w:val="111111"/>
          <w:sz w:val="28"/>
          <w:sz w:val="28"/>
          <w:szCs w:val="28"/>
          <w:rtl w:val="true"/>
          <w:lang w:bidi="ar-SA"/>
        </w:rPr>
        <w:t xml:space="preserve">،و هو شاذّ،بل على خلافه في ظاهر العبارة هنا و في الشرائع و غيره </w:t>
      </w:r>
      <w:r>
        <w:rPr>
          <w:rStyle w:val="FootnoteAnchor"/>
          <w:rtl w:val="true"/>
        </w:rPr>
        <w:footnoteReference w:id="2166"/>
      </w:r>
      <w:r>
        <w:rPr>
          <w:rFonts w:ascii="IRNazanin" w:hAnsi="IRNazanin" w:eastAsia="IRNazanin"/>
          <w:color w:val="111111"/>
          <w:sz w:val="28"/>
          <w:sz w:val="28"/>
          <w:szCs w:val="28"/>
          <w:rtl w:val="true"/>
          <w:lang w:bidi="fa-IR"/>
        </w:rPr>
        <w:t xml:space="preserve">الإجماع </w:t>
      </w:r>
    </w:p>
    <w:p>
      <w:pPr>
        <w:pStyle w:val="BookText"/>
        <w:rPr/>
      </w:pPr>
      <w:r>
        <w:rPr>
          <w:rFonts w:ascii="Amiri" w:hAnsi="Amiri" w:eastAsia="Amiri" w:cs="Amiri"/>
          <w:color w:val="111111"/>
          <w:sz w:val="28"/>
          <w:sz w:val="28"/>
          <w:szCs w:val="28"/>
          <w:rtl w:val="true"/>
          <w:lang w:bidi="ar-SA"/>
        </w:rPr>
        <w:t xml:space="preserve">من العلماء،بل من اللغة و العرف أيضاً كما في المسالك و غيره </w:t>
      </w:r>
      <w:r>
        <w:rPr>
          <w:rStyle w:val="FootnoteAnchor"/>
          <w:rtl w:val="true"/>
        </w:rPr>
        <w:footnoteReference w:id="2167"/>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المشهور عند أهل العربية </w:t>
      </w:r>
      <w:r>
        <w:rPr>
          <w:rStyle w:val="FootnoteAnchor"/>
          <w:rtl w:val="true"/>
        </w:rPr>
        <w:footnoteReference w:id="2168"/>
      </w:r>
      <w:r>
        <w:rPr>
          <w:rFonts w:ascii="Amiri" w:hAnsi="Amiri" w:eastAsia="Amiri" w:cs="Amiri"/>
          <w:color w:val="111111"/>
          <w:sz w:val="28"/>
          <w:sz w:val="28"/>
          <w:szCs w:val="28"/>
          <w:rtl w:val="true"/>
          <w:lang w:bidi="ar-SA"/>
        </w:rPr>
        <w:t xml:space="preserve">،و عن الكشّاف في تفسير أوّل سورة البقرة أنّ حروف المعجم تسعة و عشرون و اسمها ثمانية و عشرون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فالمذهب هو الأوّل؛ لما مرّ،مع ضعف المعارض،و عدم تعرضه لبيان الزائد ما هو؟و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فرّق بين الهمزة و الألف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استئصال لسان الأخرس ثلث الدية بلا خلاف أجده، بل عليه في ظاهر المبسوط و السرائر و صريح الخلاف و الغنية </w:t>
      </w:r>
      <w:r>
        <w:rPr>
          <w:rStyle w:val="FootnoteAnchor"/>
          <w:rtl w:val="true"/>
        </w:rPr>
        <w:footnoteReference w:id="2171"/>
      </w:r>
      <w:r>
        <w:rPr>
          <w:rFonts w:ascii="Amiri" w:hAnsi="Amiri" w:eastAsia="Amiri" w:cs="Amiri"/>
          <w:color w:val="111111"/>
          <w:sz w:val="28"/>
          <w:sz w:val="28"/>
          <w:szCs w:val="28"/>
          <w:rtl w:val="true"/>
          <w:lang w:bidi="ar-SA"/>
        </w:rPr>
        <w:t>إجماع الإمامية،و فيه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الأخرس و عين الأعمى ثلث الدية</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بين كون الخرس خلقيّاً أو عرضيا؛ لإطلاق النص و الفتوى، و لكن مرّ في بعض الصحاح </w:t>
      </w:r>
      <w:r>
        <w:rPr>
          <w:rStyle w:val="FootnoteAnchor"/>
          <w:rtl w:val="true"/>
        </w:rPr>
        <w:footnoteReference w:id="2173"/>
      </w:r>
      <w:r>
        <w:rPr>
          <w:rFonts w:ascii="Amiri" w:hAnsi="Amiri" w:eastAsia="Amiri" w:cs="Amiri"/>
          <w:color w:val="111111"/>
          <w:sz w:val="28"/>
          <w:sz w:val="28"/>
          <w:szCs w:val="28"/>
          <w:rtl w:val="true"/>
          <w:lang w:bidi="ar-SA"/>
        </w:rPr>
        <w:t>ما يفيد تقييده بالثاني،و لزوم تمام الدية في الأوّل،و لم أَرَ به عاملاً،فيكون على الظاهر شاذّاً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قطع بعضه بحساب ديته بمساحته،كما سبق في </w:t>
      </w:r>
    </w:p>
    <w:p>
      <w:pPr>
        <w:pStyle w:val="BookText"/>
        <w:rPr/>
      </w:pPr>
      <w:r>
        <w:rPr>
          <w:rFonts w:ascii="IRNazanin" w:hAnsi="IRNazanin" w:eastAsia="IRNazanin"/>
          <w:color w:val="111111"/>
          <w:sz w:val="28"/>
          <w:sz w:val="28"/>
          <w:szCs w:val="28"/>
          <w:rtl w:val="true"/>
          <w:lang w:bidi="fa-IR"/>
        </w:rPr>
        <w:t>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ادّعى المجني عليه ذهاب نطقه بالجناية ففي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لسانه بالإبرة،فإن خرج الدم أحمر فقد كذب،و إن خرج أسود فقد صدق </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 xml:space="preserve">و قد عمل بها الحلبي و ابنا زهرة و حمزة و الشيخ في الخلاف </w:t>
      </w:r>
      <w:r>
        <w:rPr>
          <w:rStyle w:val="FootnoteAnchor"/>
          <w:rtl w:val="true"/>
        </w:rPr>
        <w:footnoteReference w:id="2175"/>
      </w:r>
      <w:r>
        <w:rPr>
          <w:rFonts w:ascii="Amiri" w:hAnsi="Amiri" w:eastAsia="Amiri" w:cs="Amiri"/>
          <w:color w:val="111111"/>
          <w:sz w:val="28"/>
          <w:sz w:val="28"/>
          <w:szCs w:val="28"/>
          <w:rtl w:val="true"/>
          <w:lang w:bidi="ar-SA"/>
        </w:rPr>
        <w:t>مدّعياً عليه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 إجماعاً أو شهرة جابرة،و إلّا فالسند ضعيف بجماعة،و لذا أعرض عنها المتأخّرون،و قالوا بالتصديق بالقسامة خمسين يميناً بالإشارة أو ستّة على الخلاف المتقدم إليه الإشارة </w:t>
      </w:r>
      <w:r>
        <w:rPr>
          <w:rStyle w:val="FootnoteAnchor"/>
          <w:rtl w:val="true"/>
        </w:rPr>
        <w:footnoteReference w:id="2176"/>
      </w:r>
      <w:r>
        <w:rPr>
          <w:rFonts w:ascii="Amiri" w:hAnsi="Amiri" w:eastAsia="Amiri" w:cs="Amiri"/>
          <w:color w:val="111111"/>
          <w:sz w:val="28"/>
          <w:sz w:val="28"/>
          <w:szCs w:val="28"/>
          <w:rtl w:val="true"/>
          <w:lang w:bidi="ar-SA"/>
        </w:rPr>
        <w:t xml:space="preserve">لتعذّر إقامة البيّنة على ذلك، و حصول الظن المستند إلى الأمارة بصدقه و هي الجناية،فيكون لوثاً تثبت به القسامة؛ لما تقدم في بحثها من الأدلّة،و حكي القول بهذا أيضاً عن النهاية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الماتن التوقّف في الحكم،مع أنّه في الشرائع </w:t>
      </w:r>
      <w:r>
        <w:rPr>
          <w:rStyle w:val="FootnoteAnchor"/>
          <w:rtl w:val="true"/>
        </w:rPr>
        <w:footnoteReference w:id="2178"/>
      </w:r>
      <w:r>
        <w:rPr>
          <w:rFonts w:ascii="Amiri" w:hAnsi="Amiri" w:eastAsia="Amiri" w:cs="Amiri"/>
          <w:color w:val="111111"/>
          <w:sz w:val="28"/>
          <w:sz w:val="28"/>
          <w:szCs w:val="28"/>
          <w:rtl w:val="true"/>
          <w:lang w:bidi="ar-SA"/>
        </w:rPr>
        <w:t xml:space="preserve">حكم بالقسامة،و لعلّه نشأ من ضعفها كما عرفته،و من قوّة احتمال انجبارها بفتوى هؤلاء القدماء،و سيّما ابن زهرة الذي لا يعمل بالآحاد المجرّدة عن القرائن القطعية،مع احتمال عبارته دعوى الإجماع عليه كالشيخ،و مع ذلك الرواية مروية في الكتب الثلاثة،مع قوة احتمال فتوى الصدوق و الكليني </w:t>
      </w:r>
    </w:p>
    <w:p>
      <w:pPr>
        <w:pStyle w:val="BookText"/>
        <w:rPr/>
      </w:pPr>
      <w:r>
        <w:rPr>
          <w:rFonts w:ascii="Amiri" w:hAnsi="Amiri" w:eastAsia="Amiri" w:cs="Amiri"/>
          <w:color w:val="111111"/>
          <w:sz w:val="28"/>
          <w:sz w:val="28"/>
          <w:szCs w:val="28"/>
          <w:rtl w:val="true"/>
          <w:lang w:bidi="ar-SA"/>
        </w:rPr>
        <w:t xml:space="preserve">بها،و لا سيّما الأوّل،فتأمّل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الأسنان بفتح الهمزة لو كسرت فذهبت أجمع الدية كاملاً،بلا خلاف على الظاهر،المصرّح به في كلام جماعة </w:t>
      </w:r>
      <w:r>
        <w:rPr>
          <w:rStyle w:val="FootnoteAnchor"/>
          <w:rtl w:val="true"/>
        </w:rPr>
        <w:footnoteReference w:id="2179"/>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2180"/>
      </w:r>
      <w:r>
        <w:rPr>
          <w:rFonts w:ascii="Amiri" w:hAnsi="Amiri" w:eastAsia="Amiri" w:cs="Amiri"/>
          <w:color w:val="111111"/>
          <w:sz w:val="28"/>
          <w:sz w:val="28"/>
          <w:szCs w:val="28"/>
          <w:rtl w:val="true"/>
          <w:lang w:bidi="ar-SA"/>
        </w:rPr>
        <w:t>،و هو الحجة؛ مضافاً إلى المعتبرة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 الأسنان المقسوم عليها الدية ثمانية و عشرون سنّاً توزّع عليها متفاوتة كما يذكر منها المقاديم اثنا عشر الثنيّتان و هما وسطها،و الرباعيتان خلفهما،و النابان وراءها،كلّها من أعلى،و مثلها من أسفل،و فيها ستّمائة دينار موزّعة عليها بالسوية في كل واحد خمسون ديناراً،و المآخير ستّة عشر أربعة من كل جانب من الجوانب الأربعة ضاحك و أضراس ثلاثة،و فيها أربعمائة دينار موزّعة عليها بالسوية في كل واحد خمسة و عشرون ديناراً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هذا التفصيل رواية حكم بن عتيبة </w:t>
      </w:r>
      <w:r>
        <w:rPr>
          <w:rStyle w:val="FootnoteAnchor"/>
          <w:rtl w:val="true"/>
        </w:rPr>
        <w:footnoteReference w:id="2181"/>
      </w:r>
      <w:r>
        <w:rPr>
          <w:rFonts w:ascii="Amiri" w:hAnsi="Amiri" w:eastAsia="Amiri" w:cs="Amiri"/>
          <w:color w:val="111111"/>
          <w:sz w:val="28"/>
          <w:sz w:val="28"/>
          <w:szCs w:val="28"/>
          <w:rtl w:val="true"/>
          <w:lang w:bidi="ar-SA"/>
        </w:rPr>
        <w:t>أنّه 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الناس في فيه اثنتان و ثلاثون سنّاً،و بعضهم له ثمان و عشرون سنّاً،فعلى كم تقسم دية الإنسان؟فقال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الخلقة إنّما هي ثمان و عشرون سنّاً اثنتا عشرة في مقاديم الفم و ست عشرة سنّاً في مآخيره، فعلى هذا قسّمت دية الأسنان،فدية كل سنّ من المقاديم إذا كسرت حتى تذهب خمسمائة درهم،و هي اثنتا عشرة سنّاً،فديتها كلّها ستة آلاف درهم،و في كل سنّ من المآخير مائتان و خمسون درهماً،و هي ست عشرة </w:t>
      </w:r>
    </w:p>
    <w:p>
      <w:pPr>
        <w:pStyle w:val="BookText"/>
        <w:rPr/>
      </w:pPr>
      <w:r>
        <w:rPr>
          <w:rFonts w:ascii="Amiri" w:hAnsi="Amiri" w:eastAsia="Amiri" w:cs="Amiri"/>
          <w:color w:val="111111"/>
          <w:sz w:val="28"/>
          <w:sz w:val="28"/>
          <w:szCs w:val="28"/>
          <w:rtl w:val="true"/>
          <w:lang w:bidi="ar-SA"/>
        </w:rPr>
        <w:t>سنّاً،فديتها أربعة آلاف درهم،فجميع دية المقاديم و المآخير من الأسنان عشرة آلاف درهم،و إنّما وضعت الدية على هذا،فما زاد على ثمان و عشرين سنّاً فلا دية له،و ما نقص فلا دية له،هكذا وجدناه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سندها منجبر بفتوى أصحابنا كافّة على الظاهر،المصرَّح به في المسالك و غيره </w:t>
      </w:r>
      <w:r>
        <w:rPr>
          <w:rStyle w:val="FootnoteAnchor"/>
          <w:rtl w:val="true"/>
        </w:rPr>
        <w:footnoteReference w:id="2183"/>
      </w:r>
      <w:r>
        <w:rPr>
          <w:rFonts w:ascii="Amiri" w:hAnsi="Amiri" w:eastAsia="Amiri" w:cs="Amiri"/>
          <w:color w:val="111111"/>
          <w:sz w:val="28"/>
          <w:sz w:val="28"/>
          <w:szCs w:val="28"/>
          <w:rtl w:val="true"/>
          <w:lang w:bidi="ar-SA"/>
        </w:rPr>
        <w:t xml:space="preserve">،بل الإجماع كما في ظاهر الغنية و غيره </w:t>
      </w:r>
      <w:r>
        <w:rPr>
          <w:rStyle w:val="FootnoteAnchor"/>
          <w:rtl w:val="true"/>
        </w:rPr>
        <w:footnoteReference w:id="2184"/>
      </w:r>
      <w:r>
        <w:rPr>
          <w:rFonts w:ascii="Amiri" w:hAnsi="Amiri" w:eastAsia="Amiri" w:cs="Amiri"/>
          <w:color w:val="111111"/>
          <w:sz w:val="28"/>
          <w:sz w:val="28"/>
          <w:szCs w:val="28"/>
          <w:rtl w:val="true"/>
          <w:lang w:bidi="ar-SA"/>
        </w:rPr>
        <w:t>،و هو حجة أُخرى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المرسلة المروية في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و ذكر مضمون الرواية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المسألة،و إن ورد فيها نصوص مستفيضة </w:t>
      </w:r>
      <w:r>
        <w:rPr>
          <w:rStyle w:val="FootnoteAnchor"/>
          <w:rtl w:val="true"/>
        </w:rPr>
        <w:footnoteReference w:id="2186"/>
      </w:r>
      <w:r>
        <w:rPr>
          <w:rFonts w:ascii="Amiri" w:hAnsi="Amiri" w:eastAsia="Amiri" w:cs="Amiri"/>
          <w:color w:val="111111"/>
          <w:sz w:val="28"/>
          <w:sz w:val="28"/>
          <w:szCs w:val="28"/>
          <w:rtl w:val="true"/>
          <w:lang w:bidi="ar-SA"/>
        </w:rPr>
        <w:t>،فيها الصحيح و غيره ظاهرة المخالفة من حيث الدلالة على التسوية بين الأسنان كلّها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الدية؛ لشذوذها على إطلاقها،و احتمالها لذلك الحمل على المقاديم خاصّة،سيّما مع كونها أقرب إلى التلف بالجناية،مع أنّه لو لم تحمل عليها لكانت الدية تزيد على الدية الكاملة،و لا يبعد أيضاً حملها على التقية كما ذكره خالي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لاتفاق العامّة على أنّ في كل سنّ خمساً من الإبل،و أنّه لا فرق بين المقاديم </w:t>
      </w:r>
    </w:p>
    <w:p>
      <w:pPr>
        <w:pStyle w:val="BookText"/>
        <w:rPr/>
      </w:pPr>
      <w:r>
        <w:rPr>
          <w:rFonts w:ascii="Amiri" w:hAnsi="Amiri" w:eastAsia="Amiri" w:cs="Amiri"/>
          <w:color w:val="111111"/>
          <w:sz w:val="28"/>
          <w:sz w:val="28"/>
          <w:szCs w:val="28"/>
          <w:rtl w:val="true"/>
          <w:lang w:bidi="ar-SA"/>
        </w:rPr>
        <w:t xml:space="preserve">و المآخير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إحدى و ثلاثون ثغرة و في كل ثغرة ثلاثة أبعرة و خُمس بعير</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حمله الشيخ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موافق لمذهب بعض العامّة،و لسنا 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دية للزائدة عن العدد المذكور لو قلعت منضمّة إلى العضو المقدّر ديته المشتمل على غيره؛ للأصل و الرواية المتقدمة المعتضدين بثبوت الحكم في نظير المسألة،كالإصبع الزائدة لو قطعت مع الكفّ جملة،مع أنّه لا خلاف فيه أجده إلّا من إطلاق ما في الغنية و عن المقنعة و الكافي و الإصباح و نكت النهاية </w:t>
      </w:r>
      <w:r>
        <w:rPr>
          <w:rStyle w:val="FootnoteAnchor"/>
          <w:rtl w:val="true"/>
        </w:rPr>
        <w:footnoteReference w:id="2190"/>
      </w:r>
      <w:r>
        <w:rPr>
          <w:rFonts w:ascii="Amiri" w:hAnsi="Amiri" w:eastAsia="Amiri" w:cs="Amiri"/>
          <w:color w:val="111111"/>
          <w:sz w:val="28"/>
          <w:sz w:val="28"/>
          <w:szCs w:val="28"/>
          <w:rtl w:val="true"/>
          <w:lang w:bidi="ar-SA"/>
        </w:rPr>
        <w:t>من أنّ فيها حكومة من دون تفصيل بين قطعها منضمّة أو منفردة،و لكن الأصحاب لم يحكوا عنهم الخلاف هنا،بل حكوه عنهم في الثانية،و لعلّهم فهموا ما يفيد اختصاص كلامهم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الحكم هنا وفاقيّاً لكن الفاضل في المختلف </w:t>
      </w:r>
      <w:r>
        <w:rPr>
          <w:rStyle w:val="FootnoteAnchor"/>
          <w:rtl w:val="true"/>
        </w:rPr>
        <w:footnoteReference w:id="2191"/>
      </w:r>
      <w:r>
        <w:rPr>
          <w:rFonts w:ascii="Amiri" w:hAnsi="Amiri" w:eastAsia="Amiri" w:cs="Amiri"/>
          <w:color w:val="111111"/>
          <w:sz w:val="28"/>
          <w:sz w:val="28"/>
          <w:szCs w:val="28"/>
          <w:rtl w:val="true"/>
          <w:lang w:bidi="ar-SA"/>
        </w:rPr>
        <w:t>حكم بالأرش في المقامين مستدلّاً بأنّ فيه ألماً و نقصاً في خلقته،و هذا يتمّ في القلع منفرداً لا منضمّاً</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لا إشكال في عدم شيء فيها هنا و إنّما الإشكال في أنّه هل لها ثلث دية الأصل الذي يجنيه كما عن الوسيلة و التحرير </w:t>
      </w:r>
      <w:r>
        <w:rPr>
          <w:rStyle w:val="FootnoteAnchor"/>
          <w:rtl w:val="true"/>
        </w:rPr>
        <w:footnoteReference w:id="21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لها ثلث دية المقاديم إن كان بينها،و ثلث دية المآخير إن كان كذلك،و إن كانت فيما بينهما فالأقلّ؛ للأصل لو قلعت منفردة عنه،أم يثبت فيها الحكومة فينظر فيما نقص من قيمة صاحبه بذهابه منه لو كان عبداً،و يعطى بحساب دية الحرّ منه،كما في كلام هؤلاء الجماعة،و قوّاه الحلّي،قال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أخبار كثيرة معتمدة </w:t>
      </w:r>
      <w:r>
        <w:rPr>
          <w:rStyle w:val="FootnoteAnchor"/>
          <w:rtl w:val="true"/>
        </w:rPr>
        <w:footnoteReference w:id="2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 الماتن فيما حكي عنه بأنّا لا ندري قوّته من أين عرفها؟و لا الأخبار التي أشار إليها أين وجدها؟و لا الكثرة من أين حصّلها؟و نحن مطالبوه بدعواه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اختار الأكثر كما في المسالك و الروضة و غيرهما </w:t>
      </w:r>
      <w:r>
        <w:rPr>
          <w:rStyle w:val="FootnoteAnchor"/>
          <w:rtl w:val="true"/>
        </w:rPr>
        <w:footnoteReference w:id="2196"/>
      </w:r>
      <w:r>
        <w:rPr>
          <w:rFonts w:ascii="Amiri" w:hAnsi="Amiri" w:eastAsia="Amiri" w:cs="Amiri"/>
          <w:color w:val="111111"/>
          <w:sz w:val="28"/>
          <w:sz w:val="28"/>
          <w:szCs w:val="28"/>
          <w:rtl w:val="true"/>
          <w:lang w:bidi="ar-SA"/>
        </w:rPr>
        <w:t xml:space="preserve">الأوّل،وفاقاً للفقيه و النهاية و السرائر و الجامع </w:t>
      </w:r>
      <w:r>
        <w:rPr>
          <w:rStyle w:val="FootnoteAnchor"/>
          <w:rtl w:val="true"/>
        </w:rPr>
        <w:footnoteReference w:id="2197"/>
      </w:r>
      <w:r>
        <w:rPr>
          <w:rFonts w:ascii="IRNazanin" w:hAnsi="IRNazanin" w:eastAsia="IRNazanin"/>
          <w:color w:val="111111"/>
          <w:sz w:val="28"/>
          <w:sz w:val="28"/>
          <w:szCs w:val="28"/>
          <w:rtl w:val="true"/>
          <w:lang w:bidi="fa-IR"/>
        </w:rPr>
        <w:t xml:space="preserve">،و عن الخلاف </w:t>
      </w:r>
      <w:r>
        <w:rPr>
          <w:rStyle w:val="FootnoteAnchor"/>
          <w:rtl w:val="true"/>
        </w:rPr>
        <w:footnoteReference w:id="2198"/>
      </w:r>
      <w:r>
        <w:rPr>
          <w:rFonts w:ascii="Amiri" w:hAnsi="Amiri" w:eastAsia="Amiri" w:cs="Amiri"/>
          <w:color w:val="111111"/>
          <w:sz w:val="28"/>
          <w:sz w:val="28"/>
          <w:szCs w:val="28"/>
          <w:rtl w:val="true"/>
          <w:lang w:bidi="ar-SA"/>
        </w:rPr>
        <w:t xml:space="preserve">دعوى الإجماع عليه،فإن تمّ كان هو الحجة،لا ما ذكره من فساد ما ادّعاه الحلّي من الأخبار المعتمدة؛ لاحتمال دليل آخر غيره،و لعلّه الإجماع كما ادّعاه في الغنية </w:t>
      </w:r>
      <w:r>
        <w:rPr>
          <w:rStyle w:val="FootnoteAnchor"/>
          <w:rtl w:val="true"/>
        </w:rPr>
        <w:footnoteReference w:id="2199"/>
      </w:r>
      <w:r>
        <w:rPr>
          <w:rFonts w:ascii="Amiri" w:hAnsi="Amiri" w:eastAsia="Amiri" w:cs="Amiri"/>
          <w:color w:val="111111"/>
          <w:sz w:val="28"/>
          <w:sz w:val="28"/>
          <w:szCs w:val="28"/>
          <w:rtl w:val="true"/>
          <w:lang w:bidi="ar-SA"/>
        </w:rPr>
        <w:t>،و به يذبّ عن حكاية الإجماع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تأيّد هذا بالقاعدة المسلّمة </w:t>
      </w:r>
      <w:r>
        <w:rPr>
          <w:rStyle w:val="FootnoteAnchor"/>
          <w:rtl w:val="true"/>
        </w:rPr>
        <w:footnoteReference w:id="2200"/>
      </w:r>
      <w:r>
        <w:rPr>
          <w:rFonts w:ascii="Amiri" w:hAnsi="Amiri" w:eastAsia="Amiri" w:cs="Amiri"/>
          <w:color w:val="111111"/>
          <w:sz w:val="28"/>
          <w:sz w:val="28"/>
          <w:szCs w:val="28"/>
          <w:rtl w:val="true"/>
          <w:lang w:bidi="ar-SA"/>
        </w:rPr>
        <w:t>بثبوت الحكومة فيما لم يرد بتقديره نصّ في الشريعة كما هو مفروض المسألة،بل روي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أضراس العقل لا دية فيها إنّما على من أصابها أرش كأرش الخدش</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تعاضد القول بالحكومة،و يظهر منها بيان السنّ الزائدة،و أنّها أضراس العقل المتأخّرة عن مجموع الأسنان الموزّع عليها الدية،مع أنّ ذلك مقتضى تقسيمها بما عرفته،و صرّح به جماعة </w:t>
      </w:r>
      <w:r>
        <w:rPr>
          <w:rStyle w:val="FootnoteAnchor"/>
          <w:rtl w:val="true"/>
        </w:rPr>
        <w:footnoteReference w:id="2202"/>
      </w:r>
      <w:r>
        <w:rPr>
          <w:rFonts w:ascii="Amiri" w:hAnsi="Amiri" w:eastAsia="Amiri" w:cs="Amiri"/>
          <w:color w:val="111111"/>
          <w:sz w:val="28"/>
          <w:sz w:val="28"/>
          <w:szCs w:val="28"/>
          <w:rtl w:val="true"/>
          <w:lang w:bidi="ar-SA"/>
        </w:rPr>
        <w:t xml:space="preserve">،فلا اشتباه في الزائدة و الأصلية،فما في المسالك و غيره </w:t>
      </w:r>
      <w:r>
        <w:rPr>
          <w:rStyle w:val="FootnoteAnchor"/>
          <w:rtl w:val="true"/>
        </w:rPr>
        <w:footnoteReference w:id="2203"/>
      </w:r>
      <w:r>
        <w:rPr>
          <w:rFonts w:ascii="Amiri" w:hAnsi="Amiri" w:eastAsia="Amiri" w:cs="Amiri"/>
          <w:color w:val="111111"/>
          <w:sz w:val="28"/>
          <w:sz w:val="28"/>
          <w:szCs w:val="28"/>
          <w:rtl w:val="true"/>
          <w:lang w:bidi="ar-SA"/>
        </w:rPr>
        <w:t>من الإشكال مع عدم التميّز بينهما لا أعرف وجهه،سيّما مع تصريحهم بالتقسيم بما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للقول بالثلث بوروده في غيره كالإصبع الزائدة فقياس فاسد في الشريعة،فالقول بالحكومة في غاية القوّة،و اختاره من المتأخّرين الفاضل في المختلف </w:t>
      </w:r>
      <w:r>
        <w:rPr>
          <w:rStyle w:val="FootnoteAnchor"/>
          <w:rtl w:val="true"/>
        </w:rPr>
        <w:footnoteReference w:id="2204"/>
      </w:r>
      <w:r>
        <w:rPr>
          <w:rFonts w:ascii="Amiri" w:hAnsi="Amiri" w:eastAsia="Amiri" w:cs="Amiri"/>
          <w:color w:val="111111"/>
          <w:sz w:val="28"/>
          <w:sz w:val="28"/>
          <w:szCs w:val="28"/>
          <w:rtl w:val="true"/>
          <w:lang w:bidi="ar-SA"/>
        </w:rPr>
        <w:t xml:space="preserve">كما عرفته،و يميل إليه بعض الميل شيخنا في الروضة و المسالك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قول آخر حكي عن المقنع </w:t>
      </w:r>
      <w:r>
        <w:rPr>
          <w:rStyle w:val="FootnoteAnchor"/>
          <w:rtl w:val="true"/>
        </w:rPr>
        <w:footnoteReference w:id="2206"/>
      </w:r>
      <w:r>
        <w:rPr>
          <w:rFonts w:ascii="Amiri" w:hAnsi="Amiri" w:eastAsia="Amiri" w:cs="Amiri"/>
          <w:color w:val="111111"/>
          <w:sz w:val="28"/>
          <w:sz w:val="28"/>
          <w:szCs w:val="28"/>
          <w:rtl w:val="true"/>
          <w:lang w:bidi="ar-SA"/>
        </w:rPr>
        <w:t xml:space="preserve">،و هو أنّه لا شيء في الزائدة، و لم يفصّل بين صورتي قلعها منضمّة أو منفردة،و ربما استدل له برواية الحكم المتقدمة </w:t>
      </w:r>
      <w:r>
        <w:rPr>
          <w:rStyle w:val="FootnoteAnchor"/>
          <w:rtl w:val="true"/>
        </w:rPr>
        <w:footnoteReference w:id="2207"/>
      </w:r>
      <w:r>
        <w:rPr>
          <w:rFonts w:ascii="Amiri" w:hAnsi="Amiri" w:eastAsia="Amiri" w:cs="Amiri"/>
          <w:color w:val="111111"/>
          <w:sz w:val="28"/>
          <w:sz w:val="28"/>
          <w:szCs w:val="28"/>
          <w:rtl w:val="true"/>
          <w:lang w:bidi="ar-SA"/>
        </w:rPr>
        <w:t>،و لا دلالة فيها على نفي الأرش،بل الدية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اسوداد السنّ بالجناية و لم تسقط ثلثا الدية لها و هي صحيحة،بلا خلاف أجده حتى من الشيخ في المبسوط </w:t>
      </w:r>
      <w:r>
        <w:rPr>
          <w:rStyle w:val="FootnoteAnchor"/>
          <w:rtl w:val="true"/>
        </w:rPr>
        <w:footnoteReference w:id="2208"/>
      </w:r>
      <w:r>
        <w:rPr>
          <w:rFonts w:ascii="Amiri" w:hAnsi="Amiri" w:eastAsia="Amiri" w:cs="Amiri"/>
          <w:color w:val="111111"/>
          <w:sz w:val="28"/>
          <w:sz w:val="28"/>
          <w:szCs w:val="28"/>
          <w:rtl w:val="true"/>
          <w:lang w:bidi="ar-SA"/>
        </w:rPr>
        <w:t>،إلّا أنّه قيّده بما إذا ذهب كل منافعها حتى لا يقوى على أن يمضغ بها شيئاً،و قال فيها من دونه بالحكومة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المسألة مضافاً إلى عدم الخلاف فيها في الجملة،بل </w:t>
      </w:r>
    </w:p>
    <w:p>
      <w:pPr>
        <w:pStyle w:val="BookText"/>
        <w:rPr/>
      </w:pPr>
      <w:r>
        <w:rPr>
          <w:rFonts w:ascii="Amiri" w:hAnsi="Amiri" w:eastAsia="Amiri" w:cs="Amiri"/>
          <w:color w:val="111111"/>
          <w:sz w:val="28"/>
          <w:sz w:val="28"/>
          <w:szCs w:val="28"/>
          <w:rtl w:val="true"/>
          <w:lang w:bidi="ar-SA"/>
        </w:rPr>
        <w:t xml:space="preserve">الإجماع كما عن الخلاف و في الغنية </w:t>
      </w:r>
      <w:r>
        <w:rPr>
          <w:rStyle w:val="FootnoteAnchor"/>
          <w:rtl w:val="true"/>
        </w:rPr>
        <w:footnoteReference w:id="2209"/>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إذا ضربت انتظر بها سنة،فإن وقعت اغرم الضارب خمسمائة درهم،و إن لم تقع و اسودّت أُغرم ثلثي ديتها</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كسائر فتاوي الأصحاب و الإجماعات المنقولة التفصيل بما في المبسوط،كما اعترف به فيه،فقال بعد الحكم بالحكومة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أصحابنا فيها مقدّراً ذكرناه في النهاية </w:t>
      </w:r>
      <w:r>
        <w:rPr>
          <w:rStyle w:val="FootnoteAnchor"/>
          <w:rtl w:val="true"/>
        </w:rPr>
        <w:footnoteReference w:id="2211"/>
      </w:r>
      <w:r>
        <w:rPr>
          <w:rFonts w:ascii="Amiri" w:hAnsi="Amiri" w:eastAsia="Amiri" w:cs="Amiri"/>
          <w:color w:val="111111"/>
          <w:sz w:val="28"/>
          <w:sz w:val="28"/>
          <w:szCs w:val="28"/>
          <w:rtl w:val="true"/>
          <w:lang w:bidi="ar-SA"/>
        </w:rPr>
        <w:t>،يعني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ضعيف جدّاً،إلّا أن يحمل النص و كلام الأصحاب على المقيّد كما يومئ إليه عبائر جمع منهم </w:t>
      </w:r>
      <w:r>
        <w:rPr>
          <w:rStyle w:val="FootnoteAnchor"/>
          <w:rtl w:val="true"/>
        </w:rPr>
        <w:footnoteReference w:id="2212"/>
      </w:r>
      <w:r>
        <w:rPr>
          <w:rFonts w:ascii="Amiri" w:hAnsi="Amiri" w:eastAsia="Amiri" w:cs="Amiri"/>
          <w:color w:val="111111"/>
          <w:sz w:val="28"/>
          <w:sz w:val="28"/>
          <w:szCs w:val="28"/>
          <w:rtl w:val="true"/>
          <w:lang w:bidi="ar-SA"/>
        </w:rPr>
        <w:t xml:space="preserve">،حيث علّلوا الحكم زيادةً على النص بأنّ ذلك بمنزلة الشلل،و هو لا يحصل إلّا في المقيّد،فتأمّل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أخبار أُخر </w:t>
      </w:r>
      <w:r>
        <w:rPr>
          <w:rStyle w:val="FootnoteAnchor"/>
          <w:rtl w:val="true"/>
        </w:rPr>
        <w:footnoteReference w:id="2213"/>
      </w:r>
      <w:r>
        <w:rPr>
          <w:rFonts w:ascii="Amiri" w:hAnsi="Amiri" w:eastAsia="Amiri" w:cs="Amiri"/>
          <w:color w:val="111111"/>
          <w:sz w:val="28"/>
          <w:sz w:val="28"/>
          <w:szCs w:val="28"/>
          <w:rtl w:val="true"/>
          <w:lang w:bidi="ar-SA"/>
        </w:rPr>
        <w:t>شاذّة،و مع ذلك أكثرها بحسب السند قاصرة أو ضعيفة،و بعضها قابل للجمع بينه و بين الرواية المعمولة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روي في انصداعها و نقلقلها و لم تسقط ثلثا الدية،كما قطع بها الشيخان و جماعة </w:t>
      </w:r>
      <w:r>
        <w:rPr>
          <w:rStyle w:val="FootnoteAnchor"/>
          <w:rtl w:val="true"/>
        </w:rPr>
        <w:footnoteReference w:id="2214"/>
      </w:r>
      <w:r>
        <w:rPr>
          <w:rFonts w:ascii="Amiri" w:hAnsi="Amiri" w:eastAsia="Amiri" w:cs="Amiri"/>
          <w:color w:val="111111"/>
          <w:sz w:val="28"/>
          <w:sz w:val="28"/>
          <w:szCs w:val="28"/>
          <w:rtl w:val="true"/>
          <w:lang w:bidi="ar-SA"/>
        </w:rPr>
        <w:t xml:space="preserve">،بل ادّعى عليها في الروضة </w:t>
      </w:r>
      <w:r>
        <w:rPr>
          <w:rStyle w:val="FootnoteAnchor"/>
          <w:rtl w:val="true"/>
        </w:rPr>
        <w:footnoteReference w:id="2215"/>
      </w:r>
      <w:r>
        <w:rPr>
          <w:rFonts w:ascii="Amiri" w:hAnsi="Amiri" w:eastAsia="Amiri" w:cs="Amiri"/>
          <w:color w:val="111111"/>
          <w:sz w:val="28"/>
          <w:sz w:val="28"/>
          <w:szCs w:val="28"/>
          <w:rtl w:val="true"/>
          <w:lang w:bidi="ar-SA"/>
        </w:rPr>
        <w:t xml:space="preserve">الشهرة و هي تصلح جابرة لما في سند الرواية من ال ضعف إن وجدت، لكنّا لم نقف عليها،و به صرّح جماعة كالفاضل المقداد و الصيمري </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2216"/>
      </w:r>
      <w:r>
        <w:rPr>
          <w:rFonts w:ascii="Amiri" w:hAnsi="Amiri" w:eastAsia="Amiri" w:cs="Amiri"/>
          <w:color w:val="111111"/>
          <w:sz w:val="28"/>
          <w:sz w:val="28"/>
          <w:szCs w:val="28"/>
          <w:rtl w:val="true"/>
          <w:lang w:bidi="ar-SA"/>
        </w:rPr>
        <w:t xml:space="preserve">،فهي مرسلة سنداً و متناً لا تصلح الشهرة لها جابرة؛ إذ الجبر فرع وضوح الدلالة،و هو غير معلوم بعد عدم ظهور متن الرواية،و مع ذلك فالمروي في كتاب ظريف و الرضوي </w:t>
      </w:r>
      <w:r>
        <w:rPr>
          <w:rStyle w:val="FootnoteAnchor"/>
          <w:rtl w:val="true"/>
        </w:rPr>
        <w:footnoteReference w:id="2217"/>
      </w:r>
      <w:r>
        <w:rPr>
          <w:rFonts w:ascii="Amiri" w:hAnsi="Amiri" w:eastAsia="Amiri" w:cs="Amiri"/>
          <w:color w:val="111111"/>
          <w:sz w:val="28"/>
          <w:sz w:val="28"/>
          <w:szCs w:val="28"/>
          <w:rtl w:val="true"/>
          <w:lang w:bidi="ar-SA"/>
        </w:rPr>
        <w:t>كما حكي أنّ فيه نصف ديتها، لكن لم أجد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ضعف التمسك بهذه الروايات كان الحكومة أشبه عملاً بالقاعدة فيما لم يرد له تقدير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قلع السنّ السوداء ثلث الدية لها و هي صحيحة،على الأظهر الأشهر بين الطائفة،كما صرّح به جماعة </w:t>
      </w:r>
      <w:r>
        <w:rPr>
          <w:rStyle w:val="FootnoteAnchor"/>
          <w:rtl w:val="true"/>
        </w:rPr>
        <w:footnoteReference w:id="2218"/>
      </w:r>
      <w:r>
        <w:rPr>
          <w:rFonts w:ascii="Amiri" w:hAnsi="Amiri" w:eastAsia="Amiri" w:cs="Amiri"/>
          <w:color w:val="111111"/>
          <w:sz w:val="28"/>
          <w:sz w:val="28"/>
          <w:szCs w:val="28"/>
          <w:rtl w:val="true"/>
          <w:lang w:bidi="ar-SA"/>
        </w:rPr>
        <w:t xml:space="preserve">،بل عليه الإجماع عن الخلاف و في الغنية </w:t>
      </w:r>
      <w:r>
        <w:rPr>
          <w:rStyle w:val="FootnoteAnchor"/>
          <w:rtl w:val="true"/>
        </w:rPr>
        <w:footnoteReference w:id="221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الخبر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 السوداء ثلث ديتها</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لكنّه يتمّ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w:t>
      </w:r>
      <w:r>
        <w:rPr>
          <w:rStyle w:val="FootnoteAnchor"/>
          <w:rtl w:val="true"/>
        </w:rPr>
        <w:footnoteReference w:id="2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بالسواد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النهاية و عن الجامع </w:t>
      </w:r>
      <w:r>
        <w:rPr>
          <w:rStyle w:val="FootnoteAnchor"/>
          <w:rtl w:val="true"/>
        </w:rPr>
        <w:footnoteReference w:id="2223"/>
      </w:r>
      <w:r>
        <w:rPr>
          <w:rFonts w:ascii="IRNazanin" w:hAnsi="IRNazanin" w:eastAsia="IRNazanin"/>
          <w:color w:val="111111"/>
          <w:sz w:val="28"/>
          <w:sz w:val="28"/>
          <w:szCs w:val="28"/>
          <w:rtl w:val="true"/>
          <w:lang w:bidi="fa-IR"/>
        </w:rPr>
        <w:t xml:space="preserve">،فالربع؛ للخبر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مع ضعف سنده عدم مقاومته لما مرّ،سيّما مع تأيّده بأنّ في اسودادها ثلثي ديتها كما مضى،فينبغي أن يكون في قلعها سوداء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في المبسوط </w:t>
      </w:r>
      <w:r>
        <w:rPr>
          <w:rStyle w:val="FootnoteAnchor"/>
          <w:rtl w:val="true"/>
        </w:rPr>
        <w:footnoteReference w:id="2225"/>
      </w:r>
      <w:r>
        <w:rPr>
          <w:rFonts w:ascii="Amiri" w:hAnsi="Amiri" w:eastAsia="Amiri" w:cs="Amiri"/>
          <w:color w:val="111111"/>
          <w:sz w:val="28"/>
          <w:sz w:val="28"/>
          <w:szCs w:val="28"/>
          <w:rtl w:val="true"/>
          <w:lang w:bidi="ar-SA"/>
        </w:rPr>
        <w:t>،فالحكومة؛ لضعف الأخبار،فيرجع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الشهرة الجابرة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سقطت بعد و هي سوداء فديتها اثنا عشر ديناراً و نصف دينار</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يؤيّد ما في النهاية،لكن نسخه مختلفة،ففي الكافي و التهذيب كما ذكر،و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فديتها خمسة و عشرون ديناراً</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يتربّص بسنّ الصغير الذي لم يثغر مدّة يمكن النبات فيها عادة فإن نبتت فله الأرش و الحكومة و إن لم تنبت فله دية المثغر على الأصح،وفاقاً لجماعة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عمل بها جماعة </w:t>
      </w:r>
      <w:r>
        <w:rPr>
          <w:rStyle w:val="FootnoteAnchor"/>
          <w:rtl w:val="true"/>
        </w:rPr>
        <w:footnoteReference w:id="2229"/>
      </w:r>
      <w:r>
        <w:rPr>
          <w:rFonts w:ascii="Amiri" w:hAnsi="Amiri" w:eastAsia="Amiri" w:cs="Amiri"/>
          <w:color w:val="111111"/>
          <w:sz w:val="28"/>
          <w:sz w:val="28"/>
          <w:szCs w:val="28"/>
          <w:rtl w:val="true"/>
          <w:lang w:bidi="ar-SA"/>
        </w:rPr>
        <w:t xml:space="preserve">أنه فيها بعير من غير تفصيل فيها بين صورتي النبات و عدمه و هي رواية النوفلي عن السكوني </w:t>
      </w:r>
      <w:r>
        <w:rPr>
          <w:rStyle w:val="FootnoteAnchor"/>
          <w:rtl w:val="true"/>
        </w:rPr>
        <w:footnoteReference w:id="2230"/>
      </w:r>
      <w:r>
        <w:rPr>
          <w:rFonts w:ascii="Amiri" w:hAnsi="Amiri" w:eastAsia="Amiri" w:cs="Amiri"/>
          <w:color w:val="111111"/>
          <w:sz w:val="28"/>
          <w:sz w:val="28"/>
          <w:szCs w:val="28"/>
          <w:rtl w:val="true"/>
          <w:lang w:bidi="ar-SA"/>
        </w:rPr>
        <w:t xml:space="preserve">و رواية مسمع </w:t>
      </w:r>
      <w:r>
        <w:rPr>
          <w:rStyle w:val="FootnoteAnchor"/>
          <w:rtl w:val="true"/>
        </w:rPr>
        <w:footnoteReference w:id="2231"/>
      </w:r>
      <w:r>
        <w:rPr>
          <w:rFonts w:ascii="Amiri" w:hAnsi="Amiri" w:eastAsia="Amiri" w:cs="Amiri"/>
          <w:color w:val="111111"/>
          <w:sz w:val="28"/>
          <w:sz w:val="28"/>
          <w:szCs w:val="28"/>
          <w:rtl w:val="true"/>
          <w:lang w:bidi="ar-SA"/>
        </w:rPr>
        <w:t xml:space="preserve">،و السكوني ضعيف على المشهور،و صاحبه </w:t>
      </w:r>
    </w:p>
    <w:p>
      <w:pPr>
        <w:pStyle w:val="BookText"/>
        <w:rPr/>
      </w:pPr>
      <w:r>
        <w:rPr>
          <w:rFonts w:ascii="Amiri" w:hAnsi="Amiri" w:eastAsia="Amiri" w:cs="Amiri"/>
          <w:color w:val="111111"/>
          <w:sz w:val="28"/>
          <w:sz w:val="28"/>
          <w:szCs w:val="28"/>
          <w:rtl w:val="true"/>
          <w:lang w:bidi="ar-SA"/>
        </w:rPr>
        <w:t>مجهول و الطريق إلى مسمع في هذه يعني روايته ضعيف أيضا بسهل و غيره،و مع ذلك معارضتان بأجود منهما،و قد مضى تمام التحقيق في المسألة في كتاب القصاص في أواخر القسم الثاني منه في قصاص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اليدين و نحوهما الرجلان معاً الدية كاملة و في قطع كل واحدة منهما نصف الدية اتفاقاً،فتوًى و نصّاً مستفيضاً،عموماً و خصوصاً،ففي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الجسد منه اثنان ففيه نصف الدية مثل اليدين و العينين</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و نحوه عموماً 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اليد نصف الدية</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اليدين جميعاً الدية،و في الرجلين كذلك</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إطلاقها كالفتاوي و صريح جملة منها يقتضي عدم الفرق بين اليمنى و اليسرى،و اليد الواحدة خلقةً أو بآفة و المتعدّدة،و ظاهر بعض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2236"/>
      </w:r>
      <w:r>
        <w:rPr>
          <w:rFonts w:ascii="Amiri" w:hAnsi="Amiri" w:eastAsia="Amiri" w:cs="Amiri"/>
          <w:color w:val="111111"/>
          <w:sz w:val="28"/>
          <w:sz w:val="28"/>
          <w:szCs w:val="28"/>
          <w:rtl w:val="true"/>
          <w:lang w:bidi="ar-SA"/>
        </w:rPr>
        <w:t>أنّ عليه إجماع الطائفة،و هو حجة أُخرى،مضافاً إلى الإطلاقات،فلا يلتفت إلى قوّة اليمنى و كثرة منافعها،و كون اليد الواحدة خلقةً بمنزلة اليدين كما عين الأعور خلقةً؛ لأنّ ذلك خارج بالنص و الإجماع،و إلحاقها بها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حدّها أي اليد التي لها الدية المعصم أي الزند عندنا على الظاهر،المصرَّح به في عبارة بعض أصحابنا </w:t>
      </w:r>
      <w:r>
        <w:rPr>
          <w:rStyle w:val="FootnoteAnchor"/>
          <w:rtl w:val="true"/>
        </w:rPr>
        <w:footnoteReference w:id="2237"/>
      </w:r>
      <w:r>
        <w:rPr>
          <w:rFonts w:ascii="Amiri" w:hAnsi="Amiri" w:eastAsia="Amiri" w:cs="Amiri"/>
          <w:color w:val="111111"/>
          <w:sz w:val="28"/>
          <w:sz w:val="28"/>
          <w:szCs w:val="28"/>
          <w:rtl w:val="true"/>
          <w:lang w:bidi="ar-SA"/>
        </w:rPr>
        <w:t>،معرباً عن دعوى إجماعنا عليه،و هو القرينة على المراد منها في الأخبار،و لولاه لأشكل الحكم،إمّا للإجمال،أو لتبادر جملة العضو إلى المنكب منها عند الإطلاق الموجب لحمل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تدخل دية الأصابع في ديتها حيث يجتمعان في قطع واحد، بلا خلاف،بل عليه الإجماع في شرح الشرائع للصيمري </w:t>
      </w:r>
      <w:r>
        <w:rPr>
          <w:rStyle w:val="FootnoteAnchor"/>
          <w:rtl w:val="true"/>
        </w:rPr>
        <w:footnoteReference w:id="223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الأخبار بأنّ في اليدين أو إحداهما الدية أو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قطع الأصابع العشرة من اليدين كانت أو من الرجلين الدية كاملة إجماعاً على الظاهر،المصرَّح به في عبائر جماعة </w:t>
      </w:r>
      <w:r>
        <w:rPr>
          <w:rStyle w:val="FootnoteAnchor"/>
          <w:rtl w:val="true"/>
        </w:rPr>
        <w:footnoteReference w:id="2239"/>
      </w:r>
      <w:r>
        <w:rPr>
          <w:rFonts w:ascii="Amiri" w:hAnsi="Amiri" w:eastAsia="Amiri" w:cs="Amiri"/>
          <w:color w:val="111111"/>
          <w:sz w:val="28"/>
          <w:sz w:val="28"/>
          <w:szCs w:val="28"/>
          <w:rtl w:val="true"/>
          <w:lang w:bidi="ar-SA"/>
        </w:rPr>
        <w:t>حدّ الاستفاضة،و هو الحجة،مضافاً إلى المعتبرة المستفيضة الآتي إلى جملة منها الإشارة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قطع كل واحدة منها عشر الدية دية النفس،على </w:t>
      </w:r>
    </w:p>
    <w:p>
      <w:pPr>
        <w:pStyle w:val="BookText"/>
        <w:rPr/>
      </w:pPr>
      <w:r>
        <w:rPr>
          <w:rFonts w:ascii="Amiri" w:hAnsi="Amiri" w:eastAsia="Amiri" w:cs="Amiri"/>
          <w:color w:val="111111"/>
          <w:sz w:val="28"/>
          <w:sz w:val="28"/>
          <w:szCs w:val="28"/>
          <w:rtl w:val="true"/>
          <w:lang w:bidi="ar-SA"/>
        </w:rPr>
        <w:t xml:space="preserve">الأظهر الأشهر بين الطائفة،بل عليه المتأخّرون كافّة،و صرّح جماعة </w:t>
      </w:r>
      <w:r>
        <w:rPr>
          <w:rStyle w:val="FootnoteAnchor"/>
          <w:rtl w:val="true"/>
        </w:rPr>
        <w:footnoteReference w:id="2240"/>
      </w:r>
      <w:r>
        <w:rPr>
          <w:rFonts w:ascii="Amiri" w:hAnsi="Amiri" w:eastAsia="Amiri" w:cs="Amiri"/>
          <w:color w:val="111111"/>
          <w:sz w:val="28"/>
          <w:sz w:val="28"/>
          <w:szCs w:val="28"/>
          <w:rtl w:val="true"/>
          <w:lang w:bidi="ar-SA"/>
        </w:rPr>
        <w:t>منهم بالشهرة؛ للمستفيضة،ففي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الأصابع أ سَواء هنّ في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اليدين و الرجلين سواء في الدية،في كل إصبع عشر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الأصابع هل لبعضها على بعض فضل في الدية؟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الأصابع في كل إصبع عشر من الإبل</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الخلاف و الوسيلة و الإصباح و ابن زهرة </w:t>
      </w:r>
      <w:r>
        <w:rPr>
          <w:rStyle w:val="FootnoteAnchor"/>
          <w:rtl w:val="true"/>
        </w:rPr>
        <w:footnoteReference w:id="2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الإبهام ثلث دية اليد الواحدة،و في الأربع الباقية الثلثان بينها بالسوية، و ادّعى الأوّل و الأخير عليه إجماع الإمامية،و قال به الحلبي </w:t>
      </w:r>
      <w:r>
        <w:rPr>
          <w:rStyle w:val="FootnoteAnchor"/>
          <w:rtl w:val="true"/>
        </w:rPr>
        <w:footnoteReference w:id="2246"/>
      </w:r>
      <w:r>
        <w:rPr>
          <w:rFonts w:ascii="Amiri" w:hAnsi="Amiri" w:eastAsia="Amiri" w:cs="Amiri"/>
          <w:color w:val="111111"/>
          <w:sz w:val="28"/>
          <w:sz w:val="28"/>
          <w:szCs w:val="28"/>
          <w:rtl w:val="true"/>
          <w:lang w:bidi="ar-SA"/>
        </w:rPr>
        <w:t xml:space="preserve">أيضاً،لكن في اليد خاصّة،و قال في الرِّجل بالتسوية؛ لما في كتاب ظريف من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الإبهام إذا قطع ثلث دية اليد مائة دينار و ستة و ستون ديناراً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الأصابع في كل إصبع سدس دية اليد ثلاثة و ثمانون ديناراً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القصب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القدم للإبهام ثلث دية الرجلين ثلاث مائة و ثلاثون ديناراً و 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كل إصبع منها سدس دية الرجل ثلاثة و ثمانون ديناراً و ثلث دينار</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 xml:space="preserve">و نحوه الرضوي كما حكي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لوهن نقل الإجماع بمخالفة الأكثر،مع معارضته باستفاضة نقل الشهرة الموهنة على خلافه،و قصور الخبرين عن المقاومة للمستفيضة من وجوه عديدة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دية كل إصبع مقسومة على ثلاث عقد في كل عقدة ثلث ديتها و في الإبهام تقسم ديتها على اثنتين في كل منهما نصفها،بلا خلاف أجده،بل عليه الإجماع عن الخلاف و في الغنية </w:t>
      </w:r>
      <w:r>
        <w:rPr>
          <w:rStyle w:val="FootnoteAnchor"/>
          <w:rtl w:val="true"/>
        </w:rPr>
        <w:footnoteReference w:id="2250"/>
      </w:r>
      <w:r>
        <w:rPr>
          <w:rFonts w:ascii="Amiri" w:hAnsi="Amiri" w:eastAsia="Amiri" w:cs="Amiri"/>
          <w:color w:val="111111"/>
          <w:sz w:val="28"/>
          <w:sz w:val="28"/>
          <w:szCs w:val="28"/>
          <w:rtl w:val="true"/>
          <w:lang w:bidi="ar-SA"/>
        </w:rPr>
        <w:t>للقوي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يقضي في كل مفصل من الأصابع بثلث عقل تلك الإصبع إلّا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يقضي في مفصلها بنصف عقل تلك الإبهام؛ لأنّ لها مفصلين</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في كتاب ظريف و الرضوي كما حكي ممّا يخالف ذلك فشاذّ لا 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قطع الإصبع الزائدة ثلث دية الأصلية بلا خلاف أجده،و به صرّح بعض الأجلة </w:t>
      </w:r>
      <w:r>
        <w:rPr>
          <w:rStyle w:val="FootnoteAnchor"/>
          <w:rtl w:val="true"/>
        </w:rPr>
        <w:footnoteReference w:id="2253"/>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2254"/>
      </w:r>
      <w:r>
        <w:rPr>
          <w:rFonts w:ascii="Amiri" w:hAnsi="Amiri" w:eastAsia="Amiri" w:cs="Amiri"/>
          <w:color w:val="111111"/>
          <w:sz w:val="28"/>
          <w:sz w:val="28"/>
          <w:szCs w:val="28"/>
          <w:rtl w:val="true"/>
          <w:lang w:bidi="ar-SA"/>
        </w:rPr>
        <w:t>لبعض المعتبرة و لو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 التي قسّمت عليها الدية عشرة أصابع في اليدين، ما زاد أو نقص فلا دية له</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فمع ضعف سنده محمول على قطعها منضمّة،و يحمل الأوّل على قطعها منفردة؛ جمعاً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شلل الأصابع أو اليدين أو الرجلين ثلثا ديتها بلا خلاف أجده،بل عن ظاهر المبسوط و صريح الخلاف و في الغنية </w:t>
      </w:r>
      <w:r>
        <w:rPr>
          <w:rStyle w:val="FootnoteAnchor"/>
          <w:rtl w:val="true"/>
        </w:rPr>
        <w:footnoteReference w:id="2257"/>
      </w:r>
      <w:r>
        <w:rPr>
          <w:rFonts w:ascii="Amiri" w:hAnsi="Amiri" w:eastAsia="Amiri" w:cs="Amiri"/>
          <w:color w:val="111111"/>
          <w:sz w:val="28"/>
          <w:sz w:val="28"/>
          <w:szCs w:val="28"/>
          <w:rtl w:val="true"/>
          <w:lang w:bidi="ar-SA"/>
        </w:rPr>
        <w:t>أنّ عليه الإجماع؛ للمروي 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يبست من الكفّ فشلّت أصابع الكفّ كلّها فإنّ فيها ثلثي الدية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شلّت بعض الأصابع و بقي بعض فإنّ في كل إصبع شلّت ثلثي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الحكم في الساق و القدم إن شلّت أصابع القدم</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يرشد إليه أنّ في قطع الشلّاء ثلث ديتها اتفاقاً ظاهراً،و نسبه بعض الأصحاب </w:t>
      </w:r>
      <w:r>
        <w:rPr>
          <w:rStyle w:val="FootnoteAnchor"/>
          <w:rtl w:val="true"/>
        </w:rPr>
        <w:footnoteReference w:id="2259"/>
      </w:r>
      <w:r>
        <w:rPr>
          <w:rFonts w:ascii="Amiri" w:hAnsi="Amiri" w:eastAsia="Amiri" w:cs="Amiri"/>
          <w:color w:val="111111"/>
          <w:sz w:val="28"/>
          <w:sz w:val="28"/>
          <w:szCs w:val="28"/>
          <w:rtl w:val="true"/>
          <w:lang w:bidi="ar-SA"/>
        </w:rPr>
        <w:t>إليهم كافّة مشعراً بكونه إجماعاً،و ادّعاه في الغنية صريحاً، و يدلّ عليه الخبران أيضاً،في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إصبع من أصابع اليدين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قطع يد رجل له ثلاث أصابع من يده 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الثلاث أصابع الشلل مع الكفّ ألف درهم؛ لأنّها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النصوص </w:t>
      </w:r>
      <w:r>
        <w:rPr>
          <w:rStyle w:val="FootnoteAnchor"/>
          <w:rtl w:val="true"/>
        </w:rPr>
        <w:footnoteReference w:id="2262"/>
      </w:r>
      <w:r>
        <w:rPr>
          <w:rFonts w:ascii="Amiri" w:hAnsi="Amiri" w:eastAsia="Amiri" w:cs="Amiri"/>
          <w:color w:val="111111"/>
          <w:sz w:val="28"/>
          <w:sz w:val="28"/>
          <w:szCs w:val="28"/>
          <w:rtl w:val="true"/>
          <w:lang w:bidi="ar-SA"/>
        </w:rPr>
        <w:t xml:space="preserve">الدالّة على أنّ في شلل اليدين،و كذا الأصابع الدية، كالصحيحة،فشاذّة لا عامل بها أجده،و إن تضمّنت الصحيح و غيره،مع مخالفتها الاعتبار،و عدم مقاومتها لما مر من الإجماع و الأخبار،فلتطرح،أو تحمل على التقية؛ لكونها مذهب الشافعي كما حكاه بعض الأجلّة </w:t>
      </w:r>
      <w:r>
        <w:rPr>
          <w:rStyle w:val="FootnoteAnchor"/>
          <w:rtl w:val="true"/>
        </w:rPr>
        <w:footnoteReference w:id="2263"/>
      </w:r>
      <w:r>
        <w:rPr>
          <w:rFonts w:ascii="Amiri" w:hAnsi="Amiri" w:eastAsia="Amiri" w:cs="Amiri"/>
          <w:color w:val="111111"/>
          <w:sz w:val="28"/>
          <w:sz w:val="28"/>
          <w:szCs w:val="28"/>
          <w:rtl w:val="true"/>
          <w:lang w:bidi="ar-SA"/>
        </w:rPr>
        <w:t>،أو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بالسين المهملة لا المعجمة،بمعنى انتزعت و قطعت، فلا معارضة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الظفر إذا قلع و لم ينبت،أو نبت أسود عشرة دنانير،فإن </w:t>
      </w:r>
    </w:p>
    <w:p>
      <w:pPr>
        <w:pStyle w:val="BookText"/>
        <w:rPr/>
      </w:pPr>
      <w:r>
        <w:rPr>
          <w:rFonts w:ascii="Amiri" w:hAnsi="Amiri" w:eastAsia="Amiri" w:cs="Amiri"/>
          <w:color w:val="111111"/>
          <w:sz w:val="28"/>
          <w:sz w:val="28"/>
          <w:szCs w:val="28"/>
          <w:rtl w:val="true"/>
          <w:lang w:bidi="ar-SA"/>
        </w:rPr>
        <w:t xml:space="preserve">نبت أبيض فخمسة دنانير وفاقاً للمشهور كما ادّعاه جماعة </w:t>
      </w:r>
      <w:r>
        <w:rPr>
          <w:rStyle w:val="FootnoteAnchor"/>
          <w:rtl w:val="true"/>
        </w:rPr>
        <w:footnoteReference w:id="2264"/>
      </w:r>
      <w:r>
        <w:rPr>
          <w:rFonts w:ascii="Amiri" w:hAnsi="Amiri" w:eastAsia="Amiri" w:cs="Amiri"/>
          <w:color w:val="111111"/>
          <w:sz w:val="28"/>
          <w:sz w:val="28"/>
          <w:szCs w:val="28"/>
          <w:rtl w:val="true"/>
          <w:lang w:bidi="ar-SA"/>
        </w:rPr>
        <w:t>حدّ الاستفاضة؛ لرواية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الظفر إذا قطع و لم ينبت،أو خرج أسود فاسداً عشرة دنانير،فإن خرج أبيض فخمسة دنانير</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 الرواية ضعف بجماعة،لكنه مجبور بالشهرة،كما اعترف به الفاضلان في الشرائع و التحرير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الصحيح المطلق فيه لخمسة دنانير </w:t>
      </w:r>
      <w:r>
        <w:rPr>
          <w:rStyle w:val="FootnoteAnchor"/>
          <w:rtl w:val="true"/>
        </w:rPr>
        <w:footnoteReference w:id="2267"/>
      </w:r>
      <w:r>
        <w:rPr>
          <w:rFonts w:ascii="Amiri" w:hAnsi="Amiri" w:eastAsia="Amiri" w:cs="Amiri"/>
          <w:color w:val="111111"/>
          <w:sz w:val="28"/>
          <w:sz w:val="28"/>
          <w:szCs w:val="28"/>
          <w:rtl w:val="true"/>
          <w:lang w:bidi="ar-SA"/>
        </w:rPr>
        <w:t xml:space="preserve">فشاذّ،لا عامل به،محتمل للتقييد بالرواية بحمله على ما لو عاد أبيض،و لا بُعد في هذا الحمل و لا غرابة،و إن حكم بها شيخنا في الروضة </w:t>
      </w:r>
      <w:r>
        <w:rPr>
          <w:rStyle w:val="FootnoteAnchor"/>
          <w:rtl w:val="true"/>
        </w:rPr>
        <w:footnoteReference w:id="2268"/>
      </w:r>
      <w:r>
        <w:rPr>
          <w:rFonts w:ascii="Amiri" w:hAnsi="Amiri" w:eastAsia="Amiri" w:cs="Amiri"/>
          <w:color w:val="111111"/>
          <w:sz w:val="28"/>
          <w:sz w:val="28"/>
          <w:szCs w:val="28"/>
          <w:rtl w:val="true"/>
          <w:lang w:bidi="ar-SA"/>
        </w:rPr>
        <w:t xml:space="preserve">إذ لا وجه له سوى صحة المطلقة و ضعف المفصّلة،و إلّا فهي أصرح دلالةً بها تفوق على الصحيحة بحيث يجب حملها عليها بلا شبهة،و الضعف منجبر بالشهرة،و الصحيحة بإطلاقها شاذّة لا عامل بها،كما عرفت،و اعترف هو به في المسالك </w:t>
      </w:r>
      <w:r>
        <w:rPr>
          <w:rStyle w:val="FootnoteAnchor"/>
          <w:rtl w:val="true"/>
        </w:rPr>
        <w:footnoteReference w:id="2269"/>
      </w:r>
      <w:r>
        <w:rPr>
          <w:rFonts w:ascii="Amiri" w:hAnsi="Amiri" w:eastAsia="Amiri" w:cs="Amiri"/>
          <w:color w:val="111111"/>
          <w:sz w:val="28"/>
          <w:sz w:val="28"/>
          <w:szCs w:val="28"/>
          <w:rtl w:val="true"/>
          <w:lang w:bidi="ar-SA"/>
        </w:rPr>
        <w:t>، و رفع اليد عن مثلها بالرواية المنجبرة بالشهرة ليس بأوّل قارورة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فيه،بل الغرابة إنّما هي فيما ذهب إليه الحلّي </w:t>
      </w:r>
      <w:r>
        <w:rPr>
          <w:rStyle w:val="FootnoteAnchor"/>
          <w:rtl w:val="true"/>
        </w:rPr>
        <w:footnoteReference w:id="2270"/>
      </w:r>
      <w:r>
        <w:rPr>
          <w:rFonts w:ascii="Amiri" w:hAnsi="Amiri" w:eastAsia="Amiri" w:cs="Amiri"/>
          <w:color w:val="111111"/>
          <w:sz w:val="28"/>
          <w:sz w:val="28"/>
          <w:szCs w:val="28"/>
          <w:rtl w:val="true"/>
          <w:lang w:bidi="ar-SA"/>
        </w:rPr>
        <w:t xml:space="preserve">و تبعه جماعة و منهم هو في المسالك و الروضة </w:t>
      </w:r>
      <w:r>
        <w:rPr>
          <w:rStyle w:val="FootnoteAnchor"/>
          <w:rtl w:val="true"/>
        </w:rPr>
        <w:footnoteReference w:id="2271"/>
      </w:r>
      <w:r>
        <w:rPr>
          <w:rFonts w:ascii="Amiri" w:hAnsi="Amiri" w:eastAsia="Amiri" w:cs="Amiri"/>
          <w:color w:val="111111"/>
          <w:sz w:val="28"/>
          <w:sz w:val="28"/>
          <w:szCs w:val="28"/>
          <w:rtl w:val="true"/>
          <w:lang w:bidi="ar-SA"/>
        </w:rPr>
        <w:t xml:space="preserve">،و هو وجوب عشرة دنانير متى </w:t>
      </w:r>
    </w:p>
    <w:p>
      <w:pPr>
        <w:pStyle w:val="BookText"/>
        <w:rPr/>
      </w:pPr>
      <w:r>
        <w:rPr>
          <w:rFonts w:ascii="Amiri" w:hAnsi="Amiri" w:eastAsia="Amiri" w:cs="Amiri"/>
          <w:color w:val="111111"/>
          <w:sz w:val="28"/>
          <w:sz w:val="28"/>
          <w:szCs w:val="28"/>
          <w:rtl w:val="true"/>
          <w:lang w:bidi="ar-SA"/>
        </w:rPr>
        <w:t>قلع و لم يخرج،و متى خرج أسود فثلثا ديته؛ لأنّه في معنى الشلل؛ و لأصالة البراءة من الزائد،مع ضعف المأخذ،و بُعد مساواة عوده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الغرابة في ذلك أنّ فيه اطراحاً للروايات جملةً،سيّما الصحيحة؛ لعدم معلومية عملهم بها بالمرّة،فتأمّل ،بخلاف الضعيفة؛ لعملهم بها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هي الحجة لهم فيها فلتكن حجة في صورة نباته أسود أيضاً،و الأدلّة التي ذكروها في مقابلها لا تقاومها؛ لكونها ما بين عام يجب تخصيصه بها،و استبعاد و نحوه ممّا هو اجتهاد صرف لا يسمع في مقابلتها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هي الحجة لهم فلا دليل لهم على اعتبار العشرة دنانير عدا تخيّل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نظر،فإنّ للإسكافي </w:t>
      </w:r>
      <w:r>
        <w:rPr>
          <w:rStyle w:val="FootnoteAnchor"/>
          <w:rtl w:val="true"/>
        </w:rPr>
        <w:footnoteReference w:id="2272"/>
      </w:r>
      <w:r>
        <w:rPr>
          <w:rFonts w:ascii="Amiri" w:hAnsi="Amiri" w:eastAsia="Amiri" w:cs="Amiri"/>
          <w:color w:val="111111"/>
          <w:sz w:val="28"/>
          <w:sz w:val="28"/>
          <w:szCs w:val="28"/>
          <w:rtl w:val="true"/>
          <w:lang w:bidi="ar-SA"/>
        </w:rPr>
        <w:t>هنا قولاً ثالثاً،و هو أنّ في ظفر إبهام اليد عشرة دنانير،و في كلّ من الأظفار الباقية خمسة،و في ظفر إبهام الرِّجل ثلاثون،و في كل من الباقية عشرة،كلّ ذلك إذا لم ينبت أو نبت أسود معيباً،و إلّا فالنصف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صريح في عدم ثبوت العشر في كلّ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 عنه بعدم قدح في خروجه لمعلومية نسبه حسن لو حصل القطع بقول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بالعشر مطلقاً من اتفاق من عداه،و قد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يمكن ذلك من شيخنا،كما لا يذهب على من له انس بطريقته في الإجماع،و لا يخفى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فانحصر الحجة على العشر في الرواية،فإن تمسّكوا بها له فليقولوا به مطلقاً و يرفعوا اليد عن الأدلّة التي ذكروها؛ لما ذكرنا،و إلّا فلا أعرف </w:t>
      </w:r>
    </w:p>
    <w:p>
      <w:pPr>
        <w:pStyle w:val="BookText"/>
        <w:rPr/>
      </w:pPr>
      <w:r>
        <w:rPr>
          <w:rFonts w:ascii="Amiri" w:hAnsi="Amiri" w:eastAsia="Amiri" w:cs="Amiri"/>
          <w:color w:val="111111"/>
          <w:sz w:val="28"/>
          <w:sz w:val="28"/>
          <w:szCs w:val="28"/>
          <w:rtl w:val="true"/>
          <w:lang w:bidi="ar-SA"/>
        </w:rPr>
        <w:t>دليلهم على ثبوت العشر حيث اعتبروه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وجه لطرحهم الرواية الصحيحة و عدم العمل بإطلاقها عدا ندرتها و شذوذها،و هو بعد تسليمه يرفع أصل ما استبعده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ظفر من أظفار اليد خمسة دنانير،و من أظفار الرجل عشر</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و لم أرَ به عاملاً،فهو شاذّ كالصحيحة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كسر الظهر مع عدم صلاحه بالعلاج و الجبر الدية كاملة و كذا لو احدودب بالجناية،فخرج ظهره و ارتفع عن الاستواء أو صار بحيث لا يقدر على القعود أصلاً،بلا خلاف أجده،بل عليه الإجماع في الأوّل في الغنية </w:t>
      </w:r>
      <w:r>
        <w:rPr>
          <w:rStyle w:val="FootnoteAnchor"/>
          <w:rtl w:val="true"/>
        </w:rPr>
        <w:footnoteReference w:id="2274"/>
      </w:r>
      <w:r>
        <w:rPr>
          <w:rFonts w:ascii="Amiri" w:hAnsi="Amiri" w:eastAsia="Amiri" w:cs="Amiri"/>
          <w:color w:val="111111"/>
          <w:sz w:val="28"/>
          <w:sz w:val="28"/>
          <w:szCs w:val="28"/>
          <w:rtl w:val="true"/>
          <w:lang w:bidi="ar-SA"/>
        </w:rPr>
        <w:t xml:space="preserve">،و حكي عن الخلاف </w:t>
      </w:r>
      <w:r>
        <w:rPr>
          <w:rStyle w:val="FootnoteAnchor"/>
          <w:rtl w:val="true"/>
        </w:rPr>
        <w:footnoteReference w:id="2275"/>
      </w:r>
      <w:r>
        <w:rPr>
          <w:rFonts w:ascii="Amiri" w:hAnsi="Amiri" w:eastAsia="Amiri" w:cs="Amiri"/>
          <w:color w:val="111111"/>
          <w:sz w:val="28"/>
          <w:sz w:val="28"/>
          <w:szCs w:val="28"/>
          <w:rtl w:val="true"/>
          <w:lang w:bidi="ar-SA"/>
        </w:rPr>
        <w:t>في الأخيرين،و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 عموماً و خصوصاً،فمن الأوّل ما مرّ مراراً،و من الثاني في الأوّل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يكسر ظهره،فقال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و نحوه غيره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في الثاني في 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أحدب منها الظهر فحينئذٍ تمّت ديته ألف دينار</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إذا أحدب ألف دينار</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الثالث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كسر صلبه فلا يستطيع أن يجلس أنّ فيه الدية</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أو ضعفه حيث كان بالعمل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صلح بعد الكسر أو التحديب بحيث يقدر على المشي و القعود كما كان يقدر عليهما و لم يبق عليه من أثر الجناية شيء فثلث الدية على المشهور،كما في المسالك و الروضة و غيرهما </w:t>
      </w:r>
      <w:r>
        <w:rPr>
          <w:rStyle w:val="FootnoteAnchor"/>
          <w:rtl w:val="true"/>
        </w:rPr>
        <w:footnoteReference w:id="2281"/>
      </w:r>
      <w:r>
        <w:rPr>
          <w:rFonts w:ascii="Amiri" w:hAnsi="Amiri" w:eastAsia="Amiri" w:cs="Amiri"/>
          <w:color w:val="111111"/>
          <w:sz w:val="28"/>
          <w:sz w:val="28"/>
          <w:szCs w:val="28"/>
          <w:rtl w:val="true"/>
          <w:lang w:bidi="ar-SA"/>
        </w:rPr>
        <w:t xml:space="preserve">،و لم أعرف مستنده،و به صرّح جماعة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يكونوا حملوه على اللحية إذا نبتت،و قد مرّ،أو على الساعد </w:t>
      </w:r>
      <w:r>
        <w:rPr>
          <w:rStyle w:val="FootnoteAnchor"/>
          <w:rtl w:val="true"/>
        </w:rPr>
        <w:footnoteReference w:id="2283"/>
      </w:r>
      <w:r>
        <w:rPr>
          <w:rFonts w:ascii="Amiri" w:hAnsi="Amiri" w:eastAsia="Amiri" w:cs="Amiri"/>
          <w:color w:val="111111"/>
          <w:sz w:val="28"/>
          <w:sz w:val="28"/>
          <w:szCs w:val="28"/>
          <w:rtl w:val="true"/>
          <w:lang w:bidi="ar-SA"/>
        </w:rPr>
        <w:t>،ففي كتاب ظريف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 فجبر على غير عثم و لا عيب ثلث دية النفس</w:t>
      </w:r>
      <w:r>
        <w:rPr>
          <w:rFonts w:eastAsia="Amiri" w:cs="Amiri" w:ascii="Amiri" w:hAnsi="Amiri"/>
          <w:color w:val="111111"/>
          <w:sz w:val="28"/>
          <w:szCs w:val="28"/>
          <w:rtl w:val="true"/>
          <w:lang w:bidi="ar-SA"/>
        </w:rPr>
        <w:t xml:space="preserve">» </w:t>
      </w:r>
      <w:r>
        <w:rPr>
          <w:rStyle w:val="FootnoteAnchor"/>
          <w:rtl w:val="true"/>
        </w:rPr>
        <w:footnoteReference w:id="2284"/>
      </w:r>
      <w:r>
        <w:rPr>
          <w:rFonts w:ascii="Amiri" w:hAnsi="Amiri" w:eastAsia="Amiri" w:cs="Amiri"/>
          <w:color w:val="111111"/>
          <w:sz w:val="28"/>
          <w:sz w:val="28"/>
          <w:szCs w:val="28"/>
          <w:rtl w:val="true"/>
          <w:lang w:bidi="ar-SA"/>
        </w:rPr>
        <w:t xml:space="preserve">بناءً على أنّ المراد به الساعدان جميعاً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ترى،بل الظاهر وصول نصّ إليهم لم يصل إلينا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أقوال أُخر غير معلومة المأخذ عدا ما في الغنية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فيه </w:t>
      </w:r>
    </w:p>
    <w:p>
      <w:pPr>
        <w:pStyle w:val="BookText"/>
        <w:rPr/>
      </w:pPr>
      <w:r>
        <w:rPr>
          <w:rFonts w:ascii="Amiri" w:hAnsi="Amiri" w:eastAsia="Amiri" w:cs="Amiri"/>
          <w:color w:val="111111"/>
          <w:sz w:val="28"/>
          <w:sz w:val="28"/>
          <w:szCs w:val="28"/>
          <w:rtl w:val="true"/>
          <w:lang w:bidi="ar-SA"/>
        </w:rPr>
        <w:t xml:space="preserve">عشر الدية مدّعياً عليه إجماع الإمامية،و حكي أيضاً عن الإصباح و موضع من السرائر و المقنعة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عليه بعد الإجماع المزبور ما في كتاب ظريف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كسر الصلب فجبر على غير عيب فمائة دينار،و إن عثم فألف دينار</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 xml:space="preserve">و به أفتى في الإرشاد </w:t>
      </w:r>
      <w:r>
        <w:rPr>
          <w:rStyle w:val="FootnoteAnchor"/>
          <w:rtl w:val="true"/>
        </w:rPr>
        <w:footnoteReference w:id="2289"/>
      </w:r>
      <w:r>
        <w:rPr>
          <w:rFonts w:ascii="Amiri" w:hAnsi="Amiri" w:eastAsia="Amiri" w:cs="Amiri"/>
          <w:color w:val="111111"/>
          <w:sz w:val="28"/>
          <w:sz w:val="28"/>
          <w:szCs w:val="28"/>
          <w:rtl w:val="true"/>
          <w:lang w:bidi="ar-SA"/>
        </w:rPr>
        <w:t>أيضاً،فقال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كسر الصلب و جبر على غير عيب فمائة دينار،فإن عثم فألف،مع أنّه قال قبل ذلك بلا 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صلح أي الظهر فالثلث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غريب،إلّا أن يبنى على الفرق عنده بين الظهر و الصلب،كما يستفاد منه أيضاً في التحرير </w:t>
      </w:r>
      <w:r>
        <w:rPr>
          <w:rStyle w:val="FootnoteAnchor"/>
          <w:rtl w:val="true"/>
        </w:rPr>
        <w:footnoteReference w:id="2290"/>
      </w:r>
      <w:r>
        <w:rPr>
          <w:rFonts w:ascii="Amiri" w:hAnsi="Amiri" w:eastAsia="Amiri" w:cs="Amiri"/>
          <w:color w:val="111111"/>
          <w:sz w:val="28"/>
          <w:sz w:val="28"/>
          <w:szCs w:val="28"/>
          <w:rtl w:val="true"/>
          <w:lang w:bidi="ar-SA"/>
        </w:rPr>
        <w:t xml:space="preserve">،و لكنّه خلاف ظاهر الأصحاب،بل صريح بعضهم كشيخنا في الروضة </w:t>
      </w:r>
      <w:r>
        <w:rPr>
          <w:rStyle w:val="FootnoteAnchor"/>
          <w:rtl w:val="true"/>
        </w:rPr>
        <w:footnoteReference w:id="2291"/>
      </w:r>
      <w:r>
        <w:rPr>
          <w:rFonts w:ascii="Amiri" w:hAnsi="Amiri" w:eastAsia="Amiri" w:cs="Amiri"/>
          <w:color w:val="111111"/>
          <w:sz w:val="28"/>
          <w:sz w:val="28"/>
          <w:szCs w:val="28"/>
          <w:rtl w:val="true"/>
          <w:lang w:bidi="ar-SA"/>
        </w:rPr>
        <w:t xml:space="preserve">،حيث فسّر الصلب بالظهر،و به صرّح في مجمع البحرين و غيره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قطع ثديي المرأة ديتها كاملة و في كل واحدة نصف الدية إجماعاً على الظاهر،المصرّح به في الغنية و التحرير و الروضة و غيرها من كتب الجماعة </w:t>
      </w:r>
      <w:r>
        <w:rPr>
          <w:rStyle w:val="FootnoteAnchor"/>
          <w:rtl w:val="true"/>
        </w:rPr>
        <w:footnoteReference w:id="2293"/>
      </w:r>
      <w:r>
        <w:rPr>
          <w:rFonts w:ascii="Amiri" w:hAnsi="Amiri" w:eastAsia="Amiri" w:cs="Amiri"/>
          <w:color w:val="111111"/>
          <w:sz w:val="28"/>
          <w:sz w:val="28"/>
          <w:szCs w:val="28"/>
          <w:rtl w:val="true"/>
          <w:lang w:bidi="ar-SA"/>
        </w:rPr>
        <w:t>للقاعدة المتقدمة غير مرّة في أنّ كل ما في الإنسان منه اثنان فيه ديته،و في أحدهما نصفها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خصوص الصحيح المتضمّن لقول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قط ثدي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أُغرّمه لها نصف الدية</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حلمتي ثدييها عند جماعة </w:t>
      </w:r>
      <w:r>
        <w:rPr>
          <w:rStyle w:val="FootnoteAnchor"/>
          <w:rtl w:val="true"/>
        </w:rPr>
        <w:footnoteReference w:id="2295"/>
      </w:r>
      <w:r>
        <w:rPr>
          <w:rFonts w:ascii="Amiri" w:hAnsi="Amiri" w:eastAsia="Amiri" w:cs="Amiri"/>
          <w:color w:val="111111"/>
          <w:sz w:val="28"/>
          <w:sz w:val="28"/>
          <w:szCs w:val="28"/>
          <w:rtl w:val="true"/>
          <w:lang w:bidi="ar-SA"/>
        </w:rPr>
        <w:t>للقاعدة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استشكله آخرون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ذلك،و من أنّ الدية تجب في الثديين و هما بعضهما،فينبغي أن يكون فيهما بعضها 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على اليد و الرجل حيث تجب الدية بقطع الأصابع منهما خاصّة و بقطعها مع الكفّ أو القدم أيضاً،و نحو ذلك قياس مع الفرق بالإجماع و النص و عدمهما،و بإطلاق اليد و الرجل على أبعاضهما عرفاً كثيراً كما في آيتي الوضوء </w:t>
      </w:r>
      <w:r>
        <w:rPr>
          <w:rStyle w:val="FootnoteAnchor"/>
          <w:rtl w:val="true"/>
        </w:rPr>
        <w:footnoteReference w:id="2297"/>
      </w:r>
      <w:r>
        <w:rPr>
          <w:rFonts w:ascii="IRNazanin" w:hAnsi="IRNazanin" w:eastAsia="IRNazanin"/>
          <w:color w:val="111111"/>
          <w:sz w:val="28"/>
          <w:sz w:val="28"/>
          <w:szCs w:val="28"/>
          <w:rtl w:val="true"/>
          <w:lang w:bidi="fa-IR"/>
        </w:rPr>
        <w:t xml:space="preserve">و قطع السارق </w:t>
      </w:r>
      <w:r>
        <w:rPr>
          <w:rStyle w:val="FootnoteAnchor"/>
          <w:rtl w:val="true"/>
        </w:rPr>
        <w:footnoteReference w:id="2298"/>
      </w:r>
      <w:r>
        <w:rPr>
          <w:rFonts w:ascii="Amiri" w:hAnsi="Amiri" w:eastAsia="Amiri" w:cs="Amiri"/>
          <w:color w:val="111111"/>
          <w:sz w:val="28"/>
          <w:sz w:val="28"/>
          <w:szCs w:val="28"/>
          <w:rtl w:val="true"/>
          <w:lang w:bidi="ar-SA"/>
        </w:rPr>
        <w:t>،بخلاف الثدي؛ لعدم إطلاقه على الحلمة كإطلاقهما على أبعاضهما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حسن إن منع عموم ما يدل على القاعدة بحيث يشمل لمفروض المسألة،و إلّا فلا وجه له؛ فإنّ الحكم بالدية لذلك حكم بالنص لا بالقياس</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أوجبناها لحلمتيها فلإن نوجبها في حلمتي الرجل بطريق أولى؛ لعدم ثديين له تكونان بعضاً منهما حتى يجري فيهما وجه المنع عن </w:t>
      </w:r>
    </w:p>
    <w:p>
      <w:pPr>
        <w:pStyle w:val="BookText"/>
        <w:rPr/>
      </w:pPr>
      <w:r>
        <w:rPr>
          <w:rFonts w:ascii="Amiri" w:hAnsi="Amiri" w:eastAsia="Amiri" w:cs="Amiri"/>
          <w:color w:val="111111"/>
          <w:sz w:val="28"/>
          <w:sz w:val="28"/>
          <w:szCs w:val="28"/>
          <w:rtl w:val="true"/>
          <w:lang w:bidi="ar-SA"/>
        </w:rPr>
        <w:t xml:space="preserve">الدية في حلمتيها،كما لا يخفى،و به أفتى الفاضل في جملة من كتبه </w:t>
      </w:r>
      <w:r>
        <w:rPr>
          <w:rStyle w:val="FootnoteAnchor"/>
          <w:rtl w:val="true"/>
        </w:rPr>
        <w:footnoteReference w:id="2299"/>
      </w:r>
      <w:r>
        <w:rPr>
          <w:rFonts w:ascii="Amiri" w:hAnsi="Amiri" w:eastAsia="Amiri" w:cs="Amiri"/>
          <w:color w:val="111111"/>
          <w:sz w:val="28"/>
          <w:sz w:val="28"/>
          <w:szCs w:val="28"/>
          <w:rtl w:val="true"/>
          <w:lang w:bidi="ar-SA"/>
        </w:rPr>
        <w:t xml:space="preserve">تبعاً للشيخ في المبسوط و الخلاف و الحلّي </w:t>
      </w:r>
      <w:r>
        <w:rPr>
          <w:rStyle w:val="FootnoteAnchor"/>
          <w:rtl w:val="true"/>
        </w:rPr>
        <w:footnoteReference w:id="2300"/>
      </w:r>
      <w:r>
        <w:rPr>
          <w:rFonts w:ascii="Amiri" w:hAnsi="Amiri" w:eastAsia="Amiri" w:cs="Amiri"/>
          <w:color w:val="111111"/>
          <w:sz w:val="28"/>
          <w:sz w:val="28"/>
          <w:szCs w:val="28"/>
          <w:rtl w:val="true"/>
          <w:lang w:bidi="ar-SA"/>
        </w:rPr>
        <w:t>مدّعيين أنّه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بابويه في الفقيه و ابن حمزة </w:t>
      </w:r>
      <w:r>
        <w:rPr>
          <w:rStyle w:val="FootnoteAnchor"/>
          <w:rtl w:val="true"/>
        </w:rPr>
        <w:footnoteReference w:id="2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كل من حملة ثدي الرجل ثمن الدية مائة و خمسة و عشرون ديناراً و فيهما معاً ربع الدية،استناداً إلى كتاب ظريف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المسألة محل إشكال،فالاحتياط فيها مطلوب على كل حال،و إن كان القول بالحكومة في المقامين لا يخلو عن قوّة وفاقاً لجماعة </w:t>
      </w:r>
      <w:r>
        <w:rPr>
          <w:rStyle w:val="FootnoteAnchor"/>
          <w:rtl w:val="true"/>
        </w:rPr>
        <w:footnoteReference w:id="2303"/>
      </w:r>
      <w:r>
        <w:rPr>
          <w:rFonts w:ascii="Amiri" w:hAnsi="Amiri" w:eastAsia="Amiri" w:cs="Amiri"/>
          <w:color w:val="111111"/>
          <w:sz w:val="28"/>
          <w:sz w:val="28"/>
          <w:szCs w:val="28"/>
          <w:rtl w:val="true"/>
          <w:lang w:bidi="ar-SA"/>
        </w:rPr>
        <w:t>للشك في عموم القاعدة لمفروض المسألة،و عدم دليل يعتدّ به على تقدير؛ لتعارض كتاب ظريف إن قلنا باعتبار سنده مع الإجماع المستظهر من عبارة الشيخ و الحلّي،و لا مرجّح يطمأنّ به،فيرجع إلى الضابط فيما لا تقدير له؛ مضافاً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قطع حشفة الذكر فما زاد و إن استؤصل الدية كاملة، إجماعاً على الظاهر،المصرّح به في كلام جماعة </w:t>
      </w:r>
      <w:r>
        <w:rPr>
          <w:rStyle w:val="FootnoteAnchor"/>
          <w:rtl w:val="true"/>
        </w:rPr>
        <w:footnoteReference w:id="2304"/>
      </w:r>
      <w:r>
        <w:rPr>
          <w:rFonts w:ascii="Amiri" w:hAnsi="Amiri" w:eastAsia="Amiri" w:cs="Amiri"/>
          <w:color w:val="111111"/>
          <w:sz w:val="28"/>
          <w:sz w:val="28"/>
          <w:szCs w:val="28"/>
          <w:rtl w:val="true"/>
          <w:lang w:bidi="ar-SA"/>
        </w:rPr>
        <w:t>،و هو الحجة بعد القاعدة المشار إليها غير مرّة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خصوص الصحاح المستفيضة و غيرها من المعتبرة،ففي </w:t>
      </w:r>
    </w:p>
    <w:p>
      <w:pPr>
        <w:pStyle w:val="BookText"/>
        <w:rPr/>
      </w:pPr>
      <w:r>
        <w:rPr>
          <w:rFonts w:ascii="Amiri" w:hAnsi="Amiri" w:eastAsia="Amiri" w:cs="Amiri"/>
          <w:color w:val="111111"/>
          <w:sz w:val="28"/>
          <w:sz w:val="28"/>
          <w:szCs w:val="28"/>
          <w:rtl w:val="true"/>
          <w:lang w:bidi="ar-SA"/>
        </w:rPr>
        <w:t>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 إذا قطعت الحشفة فما فوق الدية</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و نحوهما صحيح آخر </w:t>
      </w:r>
      <w:r>
        <w:rPr>
          <w:rStyle w:val="FootnoteAnchor"/>
          <w:rtl w:val="true"/>
        </w:rPr>
        <w:footnoteReference w:id="2306"/>
      </w:r>
      <w:r>
        <w:rPr>
          <w:rFonts w:ascii="Amiri" w:hAnsi="Amiri" w:eastAsia="Amiri" w:cs="Amiri"/>
          <w:color w:val="111111"/>
          <w:sz w:val="28"/>
          <w:sz w:val="28"/>
          <w:szCs w:val="28"/>
          <w:rtl w:val="true"/>
          <w:lang w:bidi="ar-SA"/>
        </w:rPr>
        <w:t>،لكن من 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 إذا قطع الدية كاملة</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2308"/>
      </w:r>
      <w:r>
        <w:rPr>
          <w:rFonts w:ascii="Amiri" w:hAnsi="Amiri" w:eastAsia="Amiri" w:cs="Amiri"/>
          <w:color w:val="111111"/>
          <w:sz w:val="28"/>
          <w:sz w:val="28"/>
          <w:szCs w:val="28"/>
          <w:rtl w:val="true"/>
          <w:lang w:bidi="ar-SA"/>
        </w:rPr>
        <w:t>،لكن مقيّداً بذكر الرجل،و ليس المراد من القيد إخراج ذكر الصغير؛ للاتفاق ظاهراً على دخوله فتوًى و نصّاً،ففي الصحيح 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الغلام الدية</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المراد و اللّه العالم إخراج نحو ذكر الخنثى إذا لم تعلم حالها، أو علم كونها أُنثى،فإنّ في ذكرها و الحال هذه إمّا ثلث ديتها كما عن الإسكافي و المقنع </w:t>
      </w:r>
      <w:r>
        <w:rPr>
          <w:rStyle w:val="FootnoteAnchor"/>
          <w:rtl w:val="true"/>
        </w:rPr>
        <w:footnoteReference w:id="2310"/>
      </w:r>
      <w:r>
        <w:rPr>
          <w:rFonts w:ascii="Amiri" w:hAnsi="Amiri" w:eastAsia="Amiri" w:cs="Amiri"/>
          <w:color w:val="111111"/>
          <w:sz w:val="28"/>
          <w:sz w:val="28"/>
          <w:szCs w:val="28"/>
          <w:rtl w:val="true"/>
          <w:lang w:bidi="ar-SA"/>
        </w:rPr>
        <w:t>،لكنّه لم يضف الدية إليها،بل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الدية، و أطلقها؛ أو الحكومة كما صرّح به بعض الفضلاء </w:t>
      </w:r>
      <w:r>
        <w:rPr>
          <w:rStyle w:val="FootnoteAnchor"/>
          <w:rtl w:val="true"/>
        </w:rPr>
        <w:footnoteReference w:id="2311"/>
      </w:r>
      <w:r>
        <w:rPr>
          <w:rFonts w:ascii="Amiri" w:hAnsi="Amiri" w:eastAsia="Amiri" w:cs="Amiri"/>
          <w:color w:val="111111"/>
          <w:sz w:val="28"/>
          <w:sz w:val="28"/>
          <w:szCs w:val="28"/>
          <w:rtl w:val="true"/>
          <w:lang w:bidi="ar-SA"/>
        </w:rPr>
        <w:t>عملاً بالقاعدة فيما لم يرد به تقدير في الشريعة؛ لعدم نصّ على ما ذكرا من ثلث الدية مطلقاً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شمل الحكم ذكر الصبي مطلقا فشموله للشيخ و الشابّ العاجز </w:t>
      </w:r>
    </w:p>
    <w:p>
      <w:pPr>
        <w:pStyle w:val="BookText"/>
        <w:rPr/>
      </w:pPr>
      <w:r>
        <w:rPr>
          <w:rFonts w:ascii="Amiri" w:hAnsi="Amiri" w:eastAsia="Amiri" w:cs="Amiri"/>
          <w:color w:val="111111"/>
          <w:sz w:val="28"/>
          <w:sz w:val="28"/>
          <w:szCs w:val="28"/>
          <w:rtl w:val="true"/>
          <w:lang w:bidi="ar-SA"/>
        </w:rPr>
        <w:t xml:space="preserve">عن الجماع أصلاً أولى،و بالعموم لجميع هؤلاء صرّح جماعة من أصحابنا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ذكر العنّين ثلث الدية على الأظهر الأشهر،بل عليه عامّة من تأخّر،و مرّ نقل الإجماع عليه عن الخلاف مع نقل الخلاف فيه من كتاب القصاص في القسم الثاني منه في قصاص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الأشل فيه ثلث الدّية،و هو الذي يكون منبسطاً أبداً فلا ينقبض و لو في الماء البارد،أو يكون منقبضاً أبداً فلا ينبسط و لو في الماء الحارّ،و إن التذّ صاحبه و أمنى بالدخول أو المساحقة و أولد؛ لأنّه عضو أشلّ و ديته ذلك،كما أنّ في الجناية عليه صحيحاً حتى صار أشل ثلثي ديته،و عليه الإجماع في الغنية </w:t>
      </w:r>
      <w:r>
        <w:rPr>
          <w:rStyle w:val="FootnoteAnchor"/>
          <w:rtl w:val="true"/>
        </w:rPr>
        <w:footnoteReference w:id="2313"/>
      </w:r>
      <w:r>
        <w:rPr>
          <w:rFonts w:ascii="Amiri" w:hAnsi="Amiri" w:eastAsia="Amiri" w:cs="Amiri"/>
          <w:color w:val="111111"/>
          <w:sz w:val="28"/>
          <w:sz w:val="28"/>
          <w:szCs w:val="28"/>
          <w:rtl w:val="true"/>
          <w:lang w:bidi="ar-SA"/>
        </w:rPr>
        <w:t>،مع عدم خلاف فيه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قطع منه أي من كل من حشفة ذكر الصحيح و ذكر العنّين يؤخذ من ديتهما بحسابه أي بحساب ذلك المقطوع منسوباً إلى مجموع الحشفة في الأوّل،و إلى مجموع الذكر في الثاني و أشلّه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و بين الصحيح أنّ الحشفة في الصحيح هي الركن الأعظم في لذَّة الجماع و وردت بخصوصها الدّية،بخلافها فيهما؛ لاستواء الجميع في عدم المنفعة و عدم ورود الدية فيهما لخصوص الحشفة،مع كونه عضواً فينسب بعضه إلى مجموعة بناءً على الأصل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314"/>
      </w:r>
      <w:r>
        <w:rPr>
          <w:rFonts w:ascii="Amiri" w:hAnsi="Amiri" w:eastAsia="Amiri" w:cs="Amiri"/>
          <w:color w:val="111111"/>
          <w:sz w:val="28"/>
          <w:sz w:val="28"/>
          <w:szCs w:val="28"/>
          <w:rtl w:val="true"/>
          <w:lang w:bidi="ar-SA"/>
        </w:rPr>
        <w:t>الخصيتين معاً الدية كاملة إجماعاً،فتوًى و نصّاً، عموماً و خصوصاً،ففي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البيضتين الدية</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كل واحدة منهما نصف الدية وفاقاً للمقنعة و المبسوط و النهاية و الكافي و الكامل و الإصباح و السرائر و الغنية </w:t>
      </w:r>
      <w:r>
        <w:rPr>
          <w:rStyle w:val="FootnoteAnchor"/>
          <w:rtl w:val="true"/>
        </w:rPr>
        <w:footnoteReference w:id="2316"/>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 كما صرّح به جماعة </w:t>
      </w:r>
      <w:r>
        <w:rPr>
          <w:rStyle w:val="FootnoteAnchor"/>
          <w:rtl w:val="true"/>
        </w:rPr>
        <w:footnoteReference w:id="2317"/>
      </w:r>
      <w:r>
        <w:rPr>
          <w:rFonts w:ascii="Amiri" w:hAnsi="Amiri" w:eastAsia="Amiri" w:cs="Amiri"/>
          <w:color w:val="111111"/>
          <w:sz w:val="28"/>
          <w:sz w:val="28"/>
          <w:szCs w:val="28"/>
          <w:rtl w:val="true"/>
          <w:lang w:bidi="ar-SA"/>
        </w:rPr>
        <w:t>،بل عليه المتأخّرون كافّة،و ظاهر الغنية أنّ عليه إجماع الإمامية،و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في الإنسان منه اثنان في أحدهما نصف الدية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إطلاق ما في كتاب ظريف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خصية الرجل خمسمائة دينار</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صحيحة عمل بها جماعة،و منهم الشيخ في الخلاف </w:t>
      </w:r>
      <w:r>
        <w:rPr>
          <w:rStyle w:val="FootnoteAnchor"/>
          <w:rtl w:val="true"/>
        </w:rPr>
        <w:footnoteReference w:id="2320"/>
      </w:r>
      <w:r>
        <w:rPr>
          <w:rFonts w:ascii="Amiri" w:hAnsi="Amiri" w:eastAsia="Amiri" w:cs="Amiri"/>
          <w:color w:val="111111"/>
          <w:sz w:val="28"/>
          <w:sz w:val="28"/>
          <w:szCs w:val="28"/>
          <w:rtl w:val="true"/>
          <w:lang w:bidi="ar-SA"/>
        </w:rPr>
        <w:t xml:space="preserve">مدّعياً عليه الإجماع أنّه في اليسرى ثلثا الدية و في اليمنى الثلث،مع تضمّنها أنّ ما كان في الجسد منه اثنان فيه نصف الدية،و لذا سأل الراوي عن التفصيل </w:t>
      </w:r>
      <w:r>
        <w:rPr>
          <w:rStyle w:val="FootnoteAnchor"/>
          <w:rtl w:val="true"/>
        </w:rPr>
        <w:footnoteReference w:id="23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الجسد منه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البيضة اليسرى</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المرفوع المروي في الفقيه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يكون من البيضة اليسرى،فإذا قطعت ففيها ثلثا الدية،و في اليمنى الثلث</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بها من المتأخّرين الفاضل في المختلف </w:t>
      </w:r>
      <w:r>
        <w:rPr>
          <w:rStyle w:val="FootnoteAnchor"/>
          <w:rtl w:val="true"/>
        </w:rPr>
        <w:footnoteReference w:id="2324"/>
      </w:r>
      <w:r>
        <w:rPr>
          <w:rFonts w:ascii="Amiri" w:hAnsi="Amiri" w:eastAsia="Amiri" w:cs="Amiri"/>
          <w:color w:val="111111"/>
          <w:sz w:val="28"/>
          <w:sz w:val="28"/>
          <w:szCs w:val="28"/>
          <w:rtl w:val="true"/>
          <w:lang w:bidi="ar-SA"/>
        </w:rPr>
        <w:t>،مستدلّاً عليه زيادةً على الروايتين بتفاوتهما في المنفعة فتتفاوتان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مجرّد مناسبة،و في صلوحها حجة مناقشة،سيّما في مقابلة تلك الأدلّة،فإذاً الحجة الرواية الخاصة أن سلّمناها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الثانية مرفوعة،و مضمونها كالصحيحة من انحصار الولد في اليسرى ممّا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أنكره بعض الأطباء </w:t>
      </w:r>
      <w:r>
        <w:rPr>
          <w:rStyle w:val="FootnoteAnchor"/>
          <w:rtl w:val="true"/>
        </w:rPr>
        <w:footnoteReference w:id="2325"/>
      </w:r>
      <w:r>
        <w:rPr>
          <w:rFonts w:ascii="Amiri" w:hAnsi="Amiri" w:eastAsia="Amiri" w:cs="Amiri"/>
          <w:color w:val="111111"/>
          <w:sz w:val="28"/>
          <w:sz w:val="28"/>
          <w:szCs w:val="28"/>
          <w:rtl w:val="true"/>
          <w:lang w:bidi="ar-SA"/>
        </w:rPr>
        <w:t xml:space="preserve">،و إنّه نسبه الجاحظ إلى العامة العمياء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الذبّ عن هذا باندفاعه بعد تسليمه بأنّه لا يعارض به ما ثبت بالنص الصحيح عن أئمّة الهدى سلام اللّه عليهم،لكن الإشكال في التمسّك به في مقابلة الأدلّة العامّة المعتضدة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الخلاف مع وهنه بمخالفة الأكثر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محل إشكال،و لا يترك الاحتياط فيها على حال مع الإمكان،و مع عدمه فالإشكال بحاله،و لكن مقتضى الأصل المصير إلى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قولان آخران،أحدهما للإسكافي،و هو أنّ فيهما معاً و كذا في اليسرى الدية،و في اليمنى نصفها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للراوندي،و هو التنصيف في الشيخ اليائس من الجماع </w:t>
      </w:r>
    </w:p>
    <w:p>
      <w:pPr>
        <w:pStyle w:val="BookText"/>
        <w:rPr/>
      </w:pPr>
      <w:r>
        <w:rPr>
          <w:rFonts w:ascii="Amiri" w:hAnsi="Amiri" w:eastAsia="Amiri" w:cs="Amiri"/>
          <w:color w:val="111111"/>
          <w:sz w:val="28"/>
          <w:sz w:val="28"/>
          <w:szCs w:val="28"/>
          <w:rtl w:val="true"/>
          <w:lang w:bidi="ar-SA"/>
        </w:rPr>
        <w:t xml:space="preserve">و التثليث في الشابّ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مخالفتهما و لا سيّما الأوّل الأدلّة المتقدمة،بل الإجماع لا شاهد عليهما عدا الثاني،فربما يتخيّل له الجمع بين النصوص بذلك، و لا شاهد عليه عدا إشعار التعليل به،و هو قريب إن عملنا بالنص المعلّل به،و الإشكال إنّما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أُدْرَة الخصيتين بضمّ الهمزة فسكون الدال ففتح الراء المهملتين،و هي انتفاخهما أربعمائة دينار،فإن فَحَجَ بفتح الفاء فالحاء المهملة فالجيم،أي تباعدت رجلاه أعقاباً مع تقارب صدور قدميه فلم يقدر على المشي أو مشى مشياً لا ينتفع به فثمانمائة دينار بلا خلاف حتى من نحو الحلّي </w:t>
      </w:r>
      <w:r>
        <w:rPr>
          <w:rStyle w:val="FootnoteAnchor"/>
          <w:rtl w:val="true"/>
        </w:rPr>
        <w:footnoteReference w:id="2329"/>
      </w:r>
      <w:r>
        <w:rPr>
          <w:rFonts w:ascii="Amiri" w:hAnsi="Amiri" w:eastAsia="Amiri" w:cs="Amiri"/>
          <w:color w:val="111111"/>
          <w:sz w:val="28"/>
          <w:sz w:val="28"/>
          <w:szCs w:val="28"/>
          <w:rtl w:val="true"/>
          <w:lang w:bidi="ar-SA"/>
        </w:rPr>
        <w:t>ممّن لا يعمل بالآحاد الغير المحفوفة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كتاب ظريف </w:t>
      </w:r>
      <w:r>
        <w:rPr>
          <w:rStyle w:val="FootnoteAnchor"/>
          <w:rtl w:val="true"/>
        </w:rPr>
        <w:footnoteReference w:id="2330"/>
      </w:r>
      <w:r>
        <w:rPr>
          <w:rFonts w:ascii="Amiri" w:hAnsi="Amiri" w:eastAsia="Amiri" w:cs="Amiri"/>
          <w:color w:val="111111"/>
          <w:sz w:val="28"/>
          <w:sz w:val="28"/>
          <w:szCs w:val="28"/>
          <w:rtl w:val="true"/>
          <w:lang w:bidi="ar-SA"/>
        </w:rPr>
        <w:t xml:space="preserve">المروي بعدّة طرق معتبرة،كما عرفته، و على تقدير ضعفه فهو مجبور بالشهرة،كما اعترف به الماتن في الشرائع </w:t>
      </w:r>
      <w:r>
        <w:rPr>
          <w:rStyle w:val="FootnoteAnchor"/>
          <w:rtl w:val="true"/>
        </w:rPr>
        <w:footnoteReference w:id="2331"/>
      </w:r>
      <w:r>
        <w:rPr>
          <w:rFonts w:ascii="Amiri" w:hAnsi="Amiri" w:eastAsia="Amiri" w:cs="Amiri"/>
          <w:color w:val="111111"/>
          <w:sz w:val="28"/>
          <w:sz w:val="28"/>
          <w:szCs w:val="28"/>
          <w:rtl w:val="true"/>
          <w:lang w:bidi="ar-SA"/>
        </w:rPr>
        <w:t xml:space="preserve">و جماعة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رجل امرأة فلما أراد مواقعتها رفسته برجلها ففقأت </w:t>
      </w:r>
      <w:r>
        <w:rPr>
          <w:rStyle w:val="FootnoteAnchor"/>
          <w:rtl w:val="true"/>
        </w:rPr>
        <w:footnoteReference w:id="2333"/>
      </w:r>
      <w:r>
        <w:rPr>
          <w:rFonts w:ascii="Amiri" w:hAnsi="Amiri" w:eastAsia="Amiri" w:cs="Amiri"/>
          <w:color w:val="111111"/>
          <w:sz w:val="28"/>
          <w:sz w:val="28"/>
          <w:szCs w:val="28"/>
          <w:rtl w:val="true"/>
          <w:lang w:bidi="ar-SA"/>
        </w:rPr>
        <w:t>بيضته فصار آدر،فكان بعد ذلك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يولد له</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،فسألت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ذلك،و عن رجل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سرة </w:t>
      </w:r>
      <w:r>
        <w:rPr>
          <w:rStyle w:val="FootnoteAnchor"/>
          <w:rtl w:val="true"/>
        </w:rPr>
        <w:footnoteReference w:id="2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ففتقها؟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 xml:space="preserve">» </w:t>
      </w:r>
      <w:r>
        <w:rPr>
          <w:rStyle w:val="FootnoteAnchor"/>
          <w:rtl w:val="true"/>
        </w:rPr>
        <w:footnoteReference w:id="2336"/>
      </w:r>
      <w:r>
        <w:rPr>
          <w:rFonts w:ascii="Amiri" w:hAnsi="Amiri" w:eastAsia="Amiri" w:cs="Amiri"/>
          <w:color w:val="111111"/>
          <w:sz w:val="28"/>
          <w:sz w:val="28"/>
          <w:szCs w:val="28"/>
          <w:rtl w:val="true"/>
          <w:lang w:bidi="ar-SA"/>
        </w:rPr>
        <w:t xml:space="preserve">و هو ظاهر المنافاة للحكم الأوّل،إلّا أنّه قاصر السند،شاذّ،لا يوجد به عامل،فليطرح،أو يحمل على ما إذا لم يبلغ الفتق الأُدرة كما قيل </w:t>
      </w:r>
      <w:r>
        <w:rPr>
          <w:rStyle w:val="FootnoteAnchor"/>
          <w:rtl w:val="true"/>
        </w:rPr>
        <w:footnoteReference w:id="233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قطع الشفرتين بالضمّ،و هما اللحم المحيط بالفرج إحاطة الشفتين بالفم،كما في مجمع البحرين و الشرائع و القواعد و الروضة و عن المبسوط </w:t>
      </w:r>
      <w:r>
        <w:rPr>
          <w:rStyle w:val="FootnoteAnchor"/>
          <w:rtl w:val="true"/>
        </w:rPr>
        <w:footnoteReference w:id="2338"/>
      </w:r>
      <w:r>
        <w:rPr>
          <w:rFonts w:ascii="Amiri" w:hAnsi="Amiri" w:eastAsia="Amiri" w:cs="Amiri"/>
          <w:color w:val="111111"/>
          <w:sz w:val="28"/>
          <w:sz w:val="28"/>
          <w:szCs w:val="28"/>
          <w:rtl w:val="true"/>
          <w:lang w:bidi="ar-SA"/>
        </w:rPr>
        <w:t xml:space="preserve">،و لكن عن موضع آخر منه و في السرائر </w:t>
      </w:r>
      <w:r>
        <w:rPr>
          <w:rStyle w:val="FootnoteAnchor"/>
          <w:rtl w:val="true"/>
        </w:rPr>
        <w:footnoteReference w:id="2339"/>
      </w:r>
      <w:r>
        <w:rPr>
          <w:rFonts w:ascii="Amiri" w:hAnsi="Amiri" w:eastAsia="Amiri" w:cs="Amiri"/>
          <w:color w:val="111111"/>
          <w:sz w:val="28"/>
          <w:sz w:val="28"/>
          <w:szCs w:val="28"/>
          <w:rtl w:val="true"/>
          <w:lang w:bidi="ar-SA"/>
        </w:rPr>
        <w:t xml:space="preserve">تفسيرهما بما يخالف ذلك،و هو حاشية لحم الفرج،مع نسبتهما له إلى أهل اللغة، و وافقهم على النسبة بعض الأجلة </w:t>
      </w:r>
      <w:r>
        <w:rPr>
          <w:rStyle w:val="FootnoteAnchor"/>
          <w:rtl w:val="true"/>
        </w:rPr>
        <w:footnoteReference w:id="2340"/>
      </w:r>
      <w:r>
        <w:rPr>
          <w:rFonts w:ascii="Amiri" w:hAnsi="Amiri" w:eastAsia="Amiri" w:cs="Amiri"/>
          <w:color w:val="111111"/>
          <w:sz w:val="28"/>
          <w:sz w:val="28"/>
          <w:szCs w:val="28"/>
          <w:rtl w:val="true"/>
          <w:lang w:bidi="ar-SA"/>
        </w:rPr>
        <w:t>الدية كاملة و في كل واحد منهما نصف الدية بلا خلاف أجده؛ للقاعدة المتقدمة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فرج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أُغرمه لها نصف الدية</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الثاني،لكن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لاُغرمنّه ديتها</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محمول على قطع الشفرتين معاً،و الأوّل على قطع إحداهما، و الشاهد عليه بعد الاتفاق القاعدة التي قدّمناها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الخبرين كما ترى لفظ الشفرتين حتى يحتاج إلى تحقيق معناهما،بل غاية ما فيهما قطع الفرج،و المتبادر منه الشفرة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إثبات الدية في قطعها بالمعنى الثاني بالقاعدة حسن إن سلّم شمول عموم ما دلّ عليها للشفرتين بهذا المعنى،لكنّه محل إشكال،و الأصل يقتضي المصير فيه إلى الحكومة،أو الدية بنسبة المساحة إلى ما تجب فيه الدية من الشفرة بالمعنى الأوّل،فتأمّل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الإفضاء للمرأة الحرّة فلم يندمل صحيحاً الدية أي ديتها كاملة،إجماعاً على الظاهر،المصرّح به في الغنيّة </w:t>
      </w:r>
      <w:r>
        <w:rPr>
          <w:rStyle w:val="FootnoteAnchor"/>
          <w:rtl w:val="true"/>
        </w:rPr>
        <w:footnoteReference w:id="234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المستفيضة،منها زيادةً على ما يأتي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وقع بجارية فأفضاها و كانت إذا نزلت بتلك المنزلة لم تلد؟قال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في القوي </w:t>
      </w:r>
      <w:r>
        <w:rPr>
          <w:rStyle w:val="FootnoteAnchor"/>
          <w:rtl w:val="true"/>
        </w:rPr>
        <w:footnoteReference w:id="2345"/>
      </w:r>
      <w:r>
        <w:rPr>
          <w:rFonts w:ascii="Amiri" w:hAnsi="Amiri" w:eastAsia="Amiri" w:cs="Amiri"/>
          <w:color w:val="111111"/>
          <w:sz w:val="28"/>
          <w:sz w:val="28"/>
          <w:szCs w:val="28"/>
          <w:rtl w:val="true"/>
          <w:lang w:bidi="ar-SA"/>
        </w:rPr>
        <w:t>من ثبوت الأرش فمع قصور سنده و عدم مقاومته للمستفيضة من وجوه عديدة محمول على التقية،كما ذكره شيخ الطائفة،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ذلك مذهب كثير من العامّة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ما إذا كانت المفضاة جارية،فقد روى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 </w:t>
      </w:r>
      <w:r>
        <w:rPr>
          <w:rStyle w:val="FootnoteAnchor"/>
          <w:rtl w:val="true"/>
        </w:rPr>
        <w:footnoteReference w:id="2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جاريته </w:t>
      </w:r>
    </w:p>
    <w:p>
      <w:pPr>
        <w:pStyle w:val="BookText"/>
        <w:rPr/>
      </w:pPr>
      <w:r>
        <w:rPr>
          <w:rFonts w:ascii="Amiri" w:hAnsi="Amiri" w:eastAsia="Amiri" w:cs="Amiri"/>
          <w:color w:val="111111"/>
          <w:sz w:val="28"/>
          <w:sz w:val="28"/>
          <w:szCs w:val="28"/>
          <w:rtl w:val="true"/>
          <w:lang w:bidi="ar-SA"/>
        </w:rPr>
        <w:t>بيدها؛ فقضى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قيمة و هي صحيحة و قيمة و هي مفضاة،فيغرمها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w:t>
      </w:r>
      <w:r>
        <w:rPr>
          <w:rStyle w:val="FootnoteAnchor"/>
          <w:rtl w:val="true"/>
        </w:rPr>
        <w:footnoteReference w:id="2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العيب،و أجبرها على إمساكها؛ لأنّها لا تصلح للرجال</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لذا خصّ الحكم بالحرّة في بعض العبائر كالغنية </w:t>
      </w:r>
      <w:r>
        <w:rPr>
          <w:rStyle w:val="FootnoteAnchor"/>
          <w:rtl w:val="true"/>
        </w:rPr>
        <w:footnoteReference w:id="2350"/>
      </w:r>
      <w:r>
        <w:rPr>
          <w:rFonts w:ascii="Amiri" w:hAnsi="Amiri" w:eastAsia="Amiri" w:cs="Amiri"/>
          <w:color w:val="111111"/>
          <w:sz w:val="28"/>
          <w:sz w:val="28"/>
          <w:szCs w:val="28"/>
          <w:rtl w:val="true"/>
          <w:lang w:bidi="ar-SA"/>
        </w:rPr>
        <w:t xml:space="preserve">،لكنّه خلاف ما يقتضيه إطلاق أكثر النصوص و الفتاوي،فتأمّل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ذكره الخال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 بما إذا لم يبلغ حدّ الإفضاء المصطلح عليه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في مجمع البحرين </w:t>
      </w:r>
      <w:r>
        <w:rPr>
          <w:rStyle w:val="FootnoteAnchor"/>
          <w:rtl w:val="true"/>
        </w:rPr>
        <w:footnoteReference w:id="2352"/>
      </w:r>
      <w:r>
        <w:rPr>
          <w:rFonts w:ascii="Amiri" w:hAnsi="Amiri" w:eastAsia="Amiri" w:cs="Amiri"/>
          <w:color w:val="111111"/>
          <w:sz w:val="28"/>
          <w:sz w:val="28"/>
          <w:szCs w:val="28"/>
          <w:rtl w:val="true"/>
          <w:lang w:bidi="ar-SA"/>
        </w:rPr>
        <w:t>أن يصير المسلكين أي مسلك الحيض و الغائط واحداً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يخرق الحاجز بين مخرج البول و مخرج الحيض كما في المبسوط و السرائر و الفاضل في القواعد و الشهيدين في اللمعتين </w:t>
      </w:r>
      <w:r>
        <w:rPr>
          <w:rStyle w:val="FootnoteAnchor"/>
          <w:rtl w:val="true"/>
        </w:rPr>
        <w:footnoteReference w:id="2353"/>
      </w:r>
      <w:r>
        <w:rPr>
          <w:rFonts w:ascii="Amiri" w:hAnsi="Amiri" w:eastAsia="Amiri" w:cs="Amiri"/>
          <w:color w:val="111111"/>
          <w:sz w:val="28"/>
          <w:sz w:val="28"/>
          <w:szCs w:val="28"/>
          <w:rtl w:val="true"/>
          <w:lang w:bidi="ar-SA"/>
        </w:rPr>
        <w:t>،بل لم أرَ مخالفاً لهم عدا من مرّ و الماتن هنا،و غلّطاه في الكتابين الأوّلين بعد أن نسباه إلى كثير من أهل العلم؛ و وجهه أنّ الحاجز بين القبل و الدبر عصب قوي يتعذّر إزالته بالاستمتاع غالباً،فيشكل أن يحمل عليه إطلاق النص و الفتوى،و لا كذلك الحاجز بين مدخل الذكر و مخرج البول،فإنّه رقيق ربما انقطع بالتحامل عليها،فهذا القول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يلحق به في الأحكام كلّها الإفضاء بالتفسير الأوّل بطريق أولى،و به صرّح جماعة من أصحابنا،كالفاضل في المختلف و التحرير و القواعد و ولده في شرحه </w:t>
      </w:r>
      <w:r>
        <w:rPr>
          <w:rStyle w:val="FootnoteAnchor"/>
          <w:rtl w:val="true"/>
        </w:rPr>
        <w:footnoteReference w:id="2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اسم الإفضاء على كلّ منهما حقيقة، و عليه فيرجع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رجّح الإفضاء بالتفسير الأوّل أشكل أن يلحق به الإفضاء بالتفسير الثاني؛ لعدم الدليل،إلّا أن يعلّل أصل الحكم زيادةً على النص بإذهاب منفعة الوطء التي هي من أهمّ المنافع التي يجب بفواتها الدية، و هو مشترك بين التفسرين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بالإضافة إلى الحكم بوجوب الدية،سيّما مع وقوع التصريح به له في بعض النصوص الصحيحة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لا فرق في لزوم الدية بين الزوج و غيره إذا كان قبل بلوغها؛ لإطلاق النص و الفتوى؛ مضافاً إلى التصريح به في الزوج في جملة منهما،و يختصّ بغيره بعده؛ لإطلاقهما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ذلك أي لزوم الدية عن الزوج لو أفضى </w:t>
      </w:r>
      <w:r>
        <w:rPr>
          <w:rStyle w:val="FootnoteAnchor"/>
          <w:rtl w:val="true"/>
        </w:rPr>
        <w:footnoteReference w:id="2356"/>
      </w:r>
      <w:r>
        <w:rPr>
          <w:rFonts w:ascii="Amiri" w:hAnsi="Amiri" w:eastAsia="Amiri" w:cs="Amiri"/>
          <w:color w:val="111111"/>
          <w:sz w:val="28"/>
          <w:sz w:val="28"/>
          <w:szCs w:val="28"/>
          <w:rtl w:val="true"/>
          <w:lang w:bidi="ar-SA"/>
        </w:rPr>
        <w:t xml:space="preserve">زوجته بعد البلوغ بلا خلاف فيه في الجملة؛ لأنّه فعل سائغ </w:t>
      </w:r>
      <w:r>
        <w:rPr>
          <w:rStyle w:val="FootnoteAnchor"/>
          <w:rtl w:val="true"/>
        </w:rPr>
        <w:footnoteReference w:id="2357"/>
      </w:r>
      <w:r>
        <w:rPr>
          <w:rFonts w:ascii="Amiri" w:hAnsi="Amiri" w:eastAsia="Amiri" w:cs="Amiri"/>
          <w:color w:val="111111"/>
          <w:sz w:val="28"/>
          <w:sz w:val="28"/>
          <w:szCs w:val="28"/>
          <w:rtl w:val="true"/>
          <w:lang w:bidi="ar-SA"/>
        </w:rPr>
        <w:t xml:space="preserve">مأذون فيه شرعاً،فلا ينبغي أن يوجب ضماناً؛ و للصحيح و غيره المتقدّمين في كتاب النكاح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إطلاقهما كالعبارة و غيرها يقتضي عدم الفرق في الإفضاء بين صورتي وقوعه بتفريط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للمختلف و الروضة </w:t>
      </w:r>
      <w:r>
        <w:rPr>
          <w:rStyle w:val="FootnoteAnchor"/>
          <w:rtl w:val="true"/>
        </w:rPr>
        <w:footnoteReference w:id="2359"/>
      </w:r>
      <w:r>
        <w:rPr>
          <w:rFonts w:ascii="Amiri" w:hAnsi="Amiri" w:eastAsia="Amiri" w:cs="Amiri"/>
          <w:color w:val="111111"/>
          <w:sz w:val="28"/>
          <w:sz w:val="28"/>
          <w:szCs w:val="28"/>
          <w:rtl w:val="true"/>
          <w:lang w:bidi="ar-SA"/>
        </w:rPr>
        <w:t xml:space="preserve">فقيّداه بالصورة الثانية،و استجوده أيضاً بعض الأجلّة </w:t>
      </w:r>
      <w:r>
        <w:rPr>
          <w:rStyle w:val="FootnoteAnchor"/>
          <w:rtl w:val="true"/>
        </w:rPr>
        <w:footnoteReference w:id="2360"/>
      </w:r>
      <w:r>
        <w:rPr>
          <w:rFonts w:ascii="Amiri" w:hAnsi="Amiri" w:eastAsia="Amiri" w:cs="Amiri"/>
          <w:color w:val="111111"/>
          <w:sz w:val="28"/>
          <w:sz w:val="28"/>
          <w:szCs w:val="28"/>
          <w:rtl w:val="true"/>
          <w:lang w:bidi="ar-SA"/>
        </w:rPr>
        <w:t>،و لا بأس به،و إن كان بعد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إفضاء الزوج زوجته قبله أي قبل البلوغ ضمن الدية لما عرفته من إطلاق الفتوى و الرواية؛ مضافاً إلى التصريح به في الصحيح و غيره المتقدمين ثمّة،لكن فيهما أنّه لا شيء عليه لو أمسكها و لم يطلّقها،و الشيء المنفي يعمّ الدية أيضاً،و لكن لم أجد به قائلاً،و به صرّح خالي العلّامة المجلسي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به أحد، و حمل على ما سوى الدية،و أمّا هي فتجب عليه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المهر إن وقع الإفضاء بالجماع؛ لتحقّق الدخول الموجب لاستقراره،و لو وقع بغيره كالإصبع مثلاً بني استقراره على عدم عروض موجب التنصيف كالطلاق و الموت حيث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لزمه أي الزوج مع ذلك الإنفاق عليها حتى يموت أحدهما و تحرم عليه مؤبّداً،و قد مضى بيان ذلك مع ما يتعلق بالمسألة في كتاب النكاح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الرجلين معاً الدية كاملة و في كل واحدة نصف الدية إجماعاً؛ لما مرّ في اليدين عموماً و خصوصاً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الواحدة نصف الدية</w:t>
      </w:r>
      <w:r>
        <w:rPr>
          <w:rFonts w:eastAsia="Amiri" w:cs="Amiri" w:ascii="Amiri" w:hAnsi="Amiri"/>
          <w:color w:val="111111"/>
          <w:sz w:val="28"/>
          <w:szCs w:val="28"/>
          <w:rtl w:val="true"/>
          <w:lang w:bidi="ar-SA"/>
        </w:rPr>
        <w:t xml:space="preserve">»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bookmarkStart w:id="264" w:name="pg11409_91072"/>
    </w:p>
    <w:p>
      <w:pPr>
        <w:pStyle w:val="BookText"/>
        <w:rPr/>
      </w:pPr>
      <w:bookmarkEnd w:id="264"/>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 الرجل إذا قطع من المارن الدية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الرجلان بتلك المنزلة</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حدّهما مفصل الساق </w:t>
      </w:r>
      <w:r>
        <w:rPr>
          <w:rStyle w:val="FootnoteAnchor"/>
          <w:rtl w:val="true"/>
        </w:rPr>
        <w:footnoteReference w:id="2364"/>
      </w:r>
      <w:r>
        <w:rPr>
          <w:rFonts w:ascii="IRNazanin" w:hAnsi="IRNazanin" w:eastAsia="IRNazanin"/>
          <w:color w:val="111111"/>
          <w:sz w:val="28"/>
          <w:sz w:val="28"/>
          <w:szCs w:val="28"/>
          <w:rtl w:val="true"/>
          <w:lang w:bidi="fa-IR"/>
        </w:rPr>
        <w:t>،و إن اشتملت على الأصابع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أصابعهما و أظفارهما ما في أصابع اليدين و أظفارهما من التفصيل و الأحكام،بلا خلاف إلّا من الحلبي و الإسكافي </w:t>
      </w:r>
      <w:r>
        <w:rPr>
          <w:rStyle w:val="FootnoteAnchor"/>
          <w:rtl w:val="true"/>
        </w:rPr>
        <w:footnoteReference w:id="2365"/>
      </w:r>
      <w:r>
        <w:rPr>
          <w:rFonts w:ascii="Amiri" w:hAnsi="Amiri" w:eastAsia="Amiri" w:cs="Amiri"/>
          <w:color w:val="111111"/>
          <w:sz w:val="28"/>
          <w:sz w:val="28"/>
          <w:szCs w:val="28"/>
          <w:rtl w:val="true"/>
          <w:lang w:bidi="ar-SA"/>
        </w:rPr>
        <w:t>،حيث فرّق الأوّل بين إبهامي اليدين و الرجلين،فأثبت الثلث في الأوّل و العشر في الثاني،و فرّق الثاني بين أظفارهما كما مضى،و لكن ظاهر الأصحاب و الأدلّة خلافهما و اتحاد الرجلين مع اليدين و أبعاضهما حكماً من دون فرق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265" w:name="__RefHeading___Toc1102777_73709187"/>
      <w:bookmarkStart w:id="266" w:name="_Toc98"/>
      <w:bookmarkEnd w:id="265"/>
      <w:r>
        <w:rPr>
          <w:rtl w:val="true"/>
        </w:rPr>
        <w:t>مسائل</w:t>
      </w:r>
      <w:bookmarkEnd w:id="266"/>
    </w:p>
    <w:p>
      <w:pPr>
        <w:pStyle w:val="Heading6"/>
        <w:numPr>
          <w:ilvl w:val="5"/>
          <w:numId w:val="1"/>
        </w:numPr>
        <w:rPr/>
      </w:pPr>
      <w:bookmarkStart w:id="267" w:name="__RefHeading___Toc1102779_73709187"/>
      <w:bookmarkStart w:id="268" w:name="_Toc99"/>
      <w:bookmarkEnd w:id="267"/>
      <w:r>
        <w:rPr>
          <w:rtl w:val="true"/>
        </w:rPr>
        <w:t>الأولى دية كسر الضلع خمسة و عشرون ديناراً</w:t>
      </w:r>
      <w:bookmarkEnd w:id="268"/>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كسر الضلع خمسة و عشرون ديناراً إن كان ممّا خالط القلب،و عشرة دنانير إن كان ممّا يلي العضدين كما هنا و في الشرائع و التحرير و الإرشاد و القواعد و اللمعتين و عن الوسيلة </w:t>
      </w:r>
      <w:r>
        <w:rPr>
          <w:rStyle w:val="FootnoteAnchor"/>
          <w:rtl w:val="true"/>
        </w:rPr>
        <w:footnoteReference w:id="2366"/>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خلافاً فيه حتى من السرائر </w:t>
      </w:r>
      <w:r>
        <w:rPr>
          <w:rStyle w:val="FootnoteAnchor"/>
          <w:rtl w:val="true"/>
        </w:rPr>
        <w:footnoteReference w:id="2367"/>
      </w:r>
      <w:r>
        <w:rPr>
          <w:rFonts w:ascii="Amiri" w:hAnsi="Amiri" w:eastAsia="Amiri" w:cs="Amiri"/>
          <w:color w:val="111111"/>
          <w:sz w:val="28"/>
          <w:sz w:val="28"/>
          <w:szCs w:val="28"/>
          <w:rtl w:val="true"/>
          <w:lang w:bidi="ar-SA"/>
        </w:rPr>
        <w:t>،لكنّه أطلق المقدار الأوّل في مطلق الضلع و لم يفصّل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في المسألة كتاب ظريف </w:t>
      </w:r>
      <w:r>
        <w:rPr>
          <w:rStyle w:val="FootnoteAnchor"/>
          <w:rtl w:val="true"/>
        </w:rPr>
        <w:footnoteReference w:id="2368"/>
      </w:r>
      <w:r>
        <w:rPr>
          <w:rFonts w:ascii="Amiri" w:hAnsi="Amiri" w:eastAsia="Amiri" w:cs="Amiri"/>
          <w:color w:val="111111"/>
          <w:sz w:val="28"/>
          <w:sz w:val="28"/>
          <w:szCs w:val="28"/>
          <w:rtl w:val="true"/>
          <w:lang w:bidi="ar-SA"/>
        </w:rPr>
        <w:t xml:space="preserve">المروي بعدّة طرق معتبرة كما </w:t>
      </w:r>
      <w:bookmarkStart w:id="269" w:name="pg11409_91073"/>
    </w:p>
    <w:p>
      <w:pPr>
        <w:pStyle w:val="BookText"/>
        <w:rPr/>
      </w:pPr>
      <w:bookmarkEnd w:id="269"/>
      <w:r>
        <w:rPr>
          <w:rFonts w:ascii="Amiri" w:hAnsi="Amiri" w:eastAsia="Amiri" w:cs="Amiri"/>
          <w:color w:val="111111"/>
          <w:sz w:val="28"/>
          <w:sz w:val="28"/>
          <w:szCs w:val="28"/>
          <w:rtl w:val="true"/>
          <w:lang w:bidi="ar-SA"/>
        </w:rPr>
        <w:t>عرفته،و هو مصرّح بالتفصيل الذي ذكره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كالمستند أنّ الأضلاع قسمان،قسم يخالط القلب ففيه المقدار الأوّل،و قسم لا يخالطه و يلي العضدين و هو الأعلى منها ففيه المقدار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الأصحاب من نزّل العبارات على أنّ لكل ضلع جانبين،ففي جانبها الذي يخالط القلب خمسة و عشرون و في الجانب الآخر المقدار الآخر،و هو الفاضل المقداد في شرح الكتاب </w:t>
      </w:r>
      <w:r>
        <w:rPr>
          <w:rStyle w:val="FootnoteAnchor"/>
          <w:rtl w:val="true"/>
        </w:rPr>
        <w:footnoteReference w:id="2369"/>
      </w:r>
      <w:r>
        <w:rPr>
          <w:rFonts w:ascii="Amiri" w:hAnsi="Amiri" w:eastAsia="Amiri" w:cs="Amiri"/>
          <w:color w:val="111111"/>
          <w:sz w:val="28"/>
          <w:sz w:val="28"/>
          <w:szCs w:val="28"/>
          <w:rtl w:val="true"/>
          <w:lang w:bidi="ar-SA"/>
        </w:rPr>
        <w:t xml:space="preserve">،و تبعه شيخنا في المسالك و الروضة </w:t>
      </w:r>
      <w:r>
        <w:rPr>
          <w:rStyle w:val="FootnoteAnchor"/>
          <w:rtl w:val="true"/>
        </w:rPr>
        <w:footnoteReference w:id="2370"/>
      </w:r>
      <w:r>
        <w:rPr>
          <w:rFonts w:ascii="IRNazanin" w:hAnsi="IRNazanin" w:eastAsia="IRNazanin"/>
          <w:color w:val="111111"/>
          <w:sz w:val="28"/>
          <w:sz w:val="28"/>
          <w:szCs w:val="28"/>
          <w:rtl w:val="true"/>
          <w:lang w:bidi="fa-IR"/>
        </w:rPr>
        <w:t>،و لم أعرف وجهه</w:t>
      </w:r>
      <w:r>
        <w:rPr>
          <w:rFonts w:eastAsia="IRNazanin" w:cs="IRNazanin"/>
          <w:color w:val="111111"/>
          <w:sz w:val="28"/>
          <w:szCs w:val="28"/>
          <w:rtl w:val="true"/>
          <w:lang w:bidi="fa-IR"/>
        </w:rPr>
        <w:t>.</w:t>
      </w:r>
    </w:p>
    <w:p>
      <w:pPr>
        <w:pStyle w:val="Heading6"/>
        <w:numPr>
          <w:ilvl w:val="5"/>
          <w:numId w:val="1"/>
        </w:numPr>
        <w:rPr/>
      </w:pPr>
      <w:bookmarkStart w:id="270" w:name="__RefHeading___Toc1102781_73709187"/>
      <w:bookmarkStart w:id="271" w:name="_Toc100"/>
      <w:bookmarkEnd w:id="270"/>
      <w:r>
        <w:rPr>
          <w:rtl w:val="true"/>
        </w:rPr>
        <w:t>الثانية لو كسر بعصوص الإنسان أو عجانه</w:t>
      </w:r>
      <w:bookmarkEnd w:id="27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بعصوص الإنسان أو عجانه فلم يملك بذلك غائطه و لا بوله ففيه الدية كاملة،كما في الكتب المتقدمة من غير خلاف لهم أجده،و به صرّح الصيمري </w:t>
      </w:r>
      <w:r>
        <w:rPr>
          <w:rStyle w:val="FootnoteAnchor"/>
          <w:rtl w:val="true"/>
        </w:rPr>
        <w:footnoteReference w:id="2371"/>
      </w:r>
      <w:r>
        <w:rPr>
          <w:rFonts w:ascii="Amiri" w:hAnsi="Amiri" w:eastAsia="Amiri" w:cs="Amiri"/>
          <w:color w:val="111111"/>
          <w:sz w:val="28"/>
          <w:sz w:val="28"/>
          <w:szCs w:val="28"/>
          <w:rtl w:val="true"/>
          <w:lang w:bidi="ar-SA"/>
        </w:rPr>
        <w:t>،بل زاد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فتاوي الأصحاب متطابقة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بالشهرة صرّح في المسالك و الروضة </w:t>
      </w:r>
      <w:r>
        <w:rPr>
          <w:rStyle w:val="FootnoteAnchor"/>
          <w:rtl w:val="true"/>
        </w:rPr>
        <w:footnoteReference w:id="2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الأصحاب لم يذكر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العبارة ربما أشعرت بوجود ناقل للخلاف في المسألة،و لم أعرفه،و على تقدير وجوده فضعيف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للمعتبرة المعتضدة بالشهرة،ففي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كسر بعصوصه فلم يملك استه،ما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الموثق،بل الصحيح كما قيل </w:t>
      </w:r>
      <w:r>
        <w:rPr>
          <w:rStyle w:val="FootnoteAnchor"/>
          <w:rtl w:val="true"/>
        </w:rPr>
        <w:footnoteReference w:id="2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72" w:name="pg11409_91074"/>
    </w:p>
    <w:p>
      <w:pPr>
        <w:pStyle w:val="BookText"/>
        <w:rPr/>
      </w:pPr>
      <w:bookmarkEnd w:id="272"/>
      <w:r>
        <w:rPr>
          <w:rFonts w:ascii="Amiri" w:hAnsi="Amiri" w:eastAsia="Amiri" w:cs="Amiri"/>
          <w:color w:val="111111"/>
          <w:sz w:val="28"/>
          <w:sz w:val="28"/>
          <w:szCs w:val="28"/>
          <w:rtl w:val="true"/>
          <w:lang w:bidi="ar-SA"/>
        </w:rPr>
        <w:t>الرجل يضرب على عجانه فلا يستمسك غائطه و لا بوله أنّ في ذلك الدية</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فيه إذهاب للمنفعة المهمّة،فيناسبه إيجاب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بالبُعصوص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الورك و عظم رقيق حول الدبر و هو العُصعُص كما في مجمع البحرين و غيره </w:t>
      </w:r>
      <w:r>
        <w:rPr>
          <w:rStyle w:val="FootnoteAnchor"/>
          <w:rtl w:val="true"/>
        </w:rPr>
        <w:footnoteReference w:id="2376"/>
      </w:r>
      <w:r>
        <w:rPr>
          <w:rFonts w:ascii="Amiri" w:hAnsi="Amiri" w:eastAsia="Amiri" w:cs="Amiri"/>
          <w:color w:val="111111"/>
          <w:sz w:val="28"/>
          <w:sz w:val="28"/>
          <w:szCs w:val="28"/>
          <w:rtl w:val="true"/>
          <w:lang w:bidi="ar-SA"/>
        </w:rPr>
        <w:t xml:space="preserve">،و بالعجان بكسر العين ما بين الخصية و الفَقحة،أي حلقة الدبر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1102783_73709187"/>
      <w:bookmarkStart w:id="274" w:name="_Toc101"/>
      <w:bookmarkEnd w:id="273"/>
      <w:r>
        <w:rPr>
          <w:rtl w:val="true"/>
        </w:rPr>
        <w:t>الثالثة قال الشيخان في كسر عظم من عضو خمس دية ذلك العضو</w:t>
      </w:r>
      <w:bookmarkEnd w:id="27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في المقنعة و النهاية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كسر عظم من عضو لقطعه مقدّر خمس دية ذلك العضو،فإن جبر على غير عيب فأربعة أخماس دية كسره و به قال الحلّي و ابن زهرة </w:t>
      </w:r>
      <w:r>
        <w:rPr>
          <w:rStyle w:val="FootnoteAnchor"/>
          <w:rtl w:val="true"/>
        </w:rPr>
        <w:footnoteReference w:id="2379"/>
      </w:r>
      <w:r>
        <w:rPr>
          <w:rFonts w:ascii="Amiri" w:hAnsi="Amiri" w:eastAsia="Amiri" w:cs="Amiri"/>
          <w:color w:val="111111"/>
          <w:sz w:val="28"/>
          <w:sz w:val="28"/>
          <w:szCs w:val="28"/>
          <w:rtl w:val="true"/>
          <w:lang w:bidi="ar-SA"/>
        </w:rPr>
        <w:t xml:space="preserve">مدّعياً عليه إجماع الإمامية،و حكي عن المراسم و الإصباح و الجامع و التحرير و القواعد و التلخيص و الإرشاد و التبصرة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238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كسرت يده فجبرت فإن انجبرت على الاستقامة كان عليه خمس دية اليد،و إن انجبرت على عثم كان عليه ثلاثة أرباع دية كسره،و استدلّ عليه بالإجماع و الأخبار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الوسيلة </w:t>
      </w:r>
      <w:r>
        <w:rPr>
          <w:rStyle w:val="FootnoteAnchor"/>
          <w:rtl w:val="true"/>
        </w:rPr>
        <w:footnoteReference w:id="2382"/>
      </w:r>
      <w:r>
        <w:rPr>
          <w:rFonts w:ascii="Amiri" w:hAnsi="Amiri" w:eastAsia="Amiri" w:cs="Amiri"/>
          <w:color w:val="111111"/>
          <w:sz w:val="28"/>
          <w:sz w:val="28"/>
          <w:szCs w:val="28"/>
          <w:rtl w:val="true"/>
          <w:lang w:bidi="ar-SA"/>
        </w:rPr>
        <w:t xml:space="preserve">أنّ في كسر كل من العضد و المنكب و المرفق و قصبة </w:t>
      </w:r>
    </w:p>
    <w:p>
      <w:pPr>
        <w:pStyle w:val="BookText"/>
        <w:rPr/>
      </w:pPr>
      <w:r>
        <w:rPr>
          <w:rFonts w:ascii="Amiri" w:hAnsi="Amiri" w:eastAsia="Amiri" w:cs="Amiri"/>
          <w:color w:val="111111"/>
          <w:sz w:val="28"/>
          <w:sz w:val="28"/>
          <w:szCs w:val="28"/>
          <w:rtl w:val="true"/>
          <w:lang w:bidi="ar-SA"/>
        </w:rPr>
        <w:t>الساعد و أحد الزندين أو الكفّين خمس دية اليد،و في كسر الأنملة الأولى من الإبهام ثلث دية كسر الكفّ،و في الثانية نصف دية كسر الكفّ،و في كسر المفصل الثاني من الأصابع سوى الإبهام أحد عشر ديناراً و ثلثاً،و في كسر الأوّل نصفه،و في صدع العضو أربعة أخماس دية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قالا في موضحته ربع دية كسره و به قال أيضاً جميع من مرّ مدّعيا ابن زهرة فيه أيضاً الإجماع </w:t>
      </w:r>
      <w:r>
        <w:rPr>
          <w:rStyle w:val="FootnoteAnchor"/>
          <w:rtl w:val="true"/>
        </w:rPr>
        <w:footnoteReference w:id="2383"/>
      </w:r>
      <w:r>
        <w:rPr>
          <w:rFonts w:ascii="Amiri" w:hAnsi="Amiri" w:eastAsia="Amiri" w:cs="Amiri"/>
          <w:color w:val="111111"/>
          <w:sz w:val="28"/>
          <w:sz w:val="28"/>
          <w:szCs w:val="28"/>
          <w:rtl w:val="true"/>
          <w:lang w:bidi="ar-SA"/>
        </w:rPr>
        <w:t xml:space="preserve">،و لم ينقل الخلاف هنا عمّن سبق نقل الخلاف عنه و لا غيره،بل عن الخلاف الموافقة هنا مدّعياً عليه الوفاق أيضاً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قالا في رضّه ثلث دية ذلك العضو إن لم يبرأ أو عثم فإن بريء على غير عيب فأربعة أخماس دية رضّه و به قال أيضاً جميع من سبق، مع دعوى ابن زهرة عليه أيضاً الإجماع </w:t>
      </w:r>
      <w:r>
        <w:rPr>
          <w:rStyle w:val="FootnoteAnchor"/>
          <w:rtl w:val="true"/>
        </w:rPr>
        <w:footnoteReference w:id="2385"/>
      </w:r>
      <w:r>
        <w:rPr>
          <w:rFonts w:ascii="Amiri" w:hAnsi="Amiri" w:eastAsia="Amiri" w:cs="Amiri"/>
          <w:color w:val="111111"/>
          <w:sz w:val="28"/>
          <w:sz w:val="28"/>
          <w:szCs w:val="28"/>
          <w:rtl w:val="true"/>
          <w:lang w:bidi="ar-SA"/>
        </w:rPr>
        <w:t>،و عن ابن حمزة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 أحد خمسة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المنكب،و العضد،و المرفق،و الرسغ،و الكفّ، و انجبر على عثم ففيه ثلث دية اليد،و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w:t>
      </w:r>
      <w:r>
        <w:rPr>
          <w:rStyle w:val="FootnoteAnchor"/>
          <w:rtl w:val="true"/>
        </w:rPr>
        <w:footnoteReference w:id="2386"/>
      </w:r>
      <w:r>
        <w:rPr>
          <w:rFonts w:ascii="Amiri" w:hAnsi="Amiri" w:eastAsia="Amiri" w:cs="Amiri"/>
          <w:color w:val="111111"/>
          <w:sz w:val="28"/>
          <w:sz w:val="28"/>
          <w:szCs w:val="28"/>
          <w:rtl w:val="true"/>
          <w:lang w:bidi="ar-SA"/>
        </w:rPr>
        <w:t xml:space="preserve">و ثلاثون ديناراً و ثلث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 في فكّه من العضو بحيث يتعطل ثلثا ديته أي دية ذلك العضو فإن جبر على غير عيب فأربعة أخماس دية فكّه و به قال من مرّ أيضاً عدا ابن زهرة،فلم يذكر هذه المسألة،و لم ينقل الخلاف هنا عن أحد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المتأخّرين الموافقة لهم في جميع الأحكام المتقدمة،و به صرّح الماتن في النكت فيما حكي عنه،لكن في مسألتي الكسر و الرضّ، </w:t>
      </w:r>
    </w:p>
    <w:p>
      <w:pPr>
        <w:pStyle w:val="BookText"/>
        <w:rPr/>
      </w:pPr>
      <w:r>
        <w:rPr>
          <w:rFonts w:ascii="Amiri" w:hAnsi="Amiri" w:eastAsia="Amiri" w:cs="Amiri"/>
          <w:color w:val="111111"/>
          <w:sz w:val="28"/>
          <w:sz w:val="28"/>
          <w:szCs w:val="28"/>
          <w:rtl w:val="true"/>
          <w:lang w:bidi="ar-SA"/>
        </w:rPr>
        <w:t>فقال مشيراً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ذكرهما الشيخان و تبعهما المتأخّرون و لم يشيروا إلى المستند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بشهرتها على الإطلاق صرّح شيخنا في الروضة،فقال بعد الحكم بجميع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المشهور،و الأكثر لم يتوقّفوا في حكمه إلّا المحقق في النافع فنسبه إلى الشيخين،و المستند كتاب ظريف مع اختلاف يسير، فلعلّه نسبه إليهما لذلك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قريباً منه ذكر في المسالك </w:t>
      </w:r>
      <w:r>
        <w:rPr>
          <w:rStyle w:val="FootnoteAnchor"/>
          <w:rtl w:val="true"/>
        </w:rPr>
        <w:footnoteReference w:id="2390"/>
      </w:r>
      <w:r>
        <w:rPr>
          <w:rFonts w:ascii="Amiri" w:hAnsi="Amiri" w:eastAsia="Amiri" w:cs="Amiri"/>
          <w:color w:val="111111"/>
          <w:sz w:val="28"/>
          <w:sz w:val="28"/>
          <w:szCs w:val="28"/>
          <w:rtl w:val="true"/>
          <w:lang w:bidi="ar-SA"/>
        </w:rPr>
        <w:t>،لكن جعل المستند كتاب ظريف من دون ذكر ما فيه من الاختلاف،و جعل وجه النسبة إلى الشيخين ضعف المستند دونه،و لذا اعترضه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الضعف؛ فإنّ ما في كتابه منقول من غيره بطريق حسن،بل صحيح،و لكن ما رأيته،و كأنّه يفهم من رواية كتاب ظريف من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العضد إذا كسر و جبر على غير عثم و لا عيب خمس دية اليد، و دية موضحتها ربع دية كسرها خمسة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الركبة إذا كسرت فجبرت على غير عثم و لا عيب خمس دية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مائتا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دينار،فإن انصدعت فديتها أربعة أخماس دية كسرها مائة و ستّون ديناراً،و دية موضحتها ربع دية كسرها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كسر الركبتين معاً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دية المنكب إذا كسر خمس دية اليد مائة دينار،فإن </w:t>
      </w:r>
    </w:p>
    <w:p>
      <w:pPr>
        <w:pStyle w:val="BookText"/>
        <w:rPr/>
      </w:pPr>
      <w:r>
        <w:rPr>
          <w:rFonts w:ascii="Amiri" w:hAnsi="Amiri" w:eastAsia="Amiri" w:cs="Amiri"/>
          <w:color w:val="111111"/>
          <w:sz w:val="28"/>
          <w:sz w:val="28"/>
          <w:szCs w:val="28"/>
          <w:rtl w:val="true"/>
          <w:lang w:bidi="ar-SA"/>
        </w:rPr>
        <w:t>كان في المنكب صدع فديته أربعة أخماس دية كسره ثمانون ديناراً،فإن أوضح فديته ربع دية كسره خمسة و عشرون ديناراً</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 أي المنكب فعثم فديته ثلث دية النفس ثلاثمائة دينار و ثلاثة و ثلاثون ديناراً و ثلث دينار،فإن فكّ فديته ثلاثون ديناراً</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أمثالها كثيرة،و لا يفهم ما ذكروه،بل يفهم غيره من ثلث دية النفس في رضّ العضو إذا عثم،و دية فكّه ثلاثون ديناراً،فقول شارح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هذا التفصيل كتاب ظريف؛ غير واضح </w:t>
      </w:r>
      <w:r>
        <w:rPr>
          <w:rStyle w:val="FootnoteAnchor"/>
          <w:rtl w:val="true"/>
        </w:rPr>
        <w:footnoteReference w:id="2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حسن،و لكن ما في الروضة لا يرد عليه شيء ممّا ذكره،و إنّما نقلنا كلامه بطوله لتكفّله مع ذلك لبيان مآخذ الأحكام من كتاب ظريف و ما يتعلق به من النقض و الإبرام،لكن مرجعه إلى الإشكال في ثبوتها كما ذكروه؛ لعدم دليل يدل عليها كما سطروه؛ لما في كتاب ظريف من الاختلاف المعلوم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حسن،إلّا أنّ نقل الإجماع في الغنية المعتضد بالشهرة العظيمة الظاهرة و المحكية،و إجماع الخلاف في الموضحة،مع عدم دليل واضح على صحة ما عليه الخلاف في مسألة الكسر،و ابن حمزة فيها و في مسألة الرضّ،عدا الإجماع في الخلاف الموهون بمصير من عداه إلى الخلاف، </w:t>
      </w:r>
      <w:bookmarkStart w:id="275" w:name="pg11409_91078"/>
    </w:p>
    <w:p>
      <w:pPr>
        <w:pStyle w:val="BookText"/>
        <w:rPr/>
      </w:pPr>
      <w:bookmarkEnd w:id="275"/>
      <w:r>
        <w:rPr>
          <w:rFonts w:ascii="Amiri" w:hAnsi="Amiri" w:eastAsia="Amiri" w:cs="Amiri"/>
          <w:color w:val="111111"/>
          <w:sz w:val="28"/>
          <w:sz w:val="28"/>
          <w:szCs w:val="28"/>
          <w:rtl w:val="true"/>
          <w:lang w:bidi="ar-SA"/>
        </w:rPr>
        <w:t>مع معارضته بالمثل لعلّه كافٍ في إثباتها عدا الحكم الأخير،فيشكل من حيث عدم نقل الإجماع فيه،لكن الشهرة العظيمة مع عدم خلاف فيها أجده و لا نقله أحد من الطائفة لعلّها كافية في إثباته أيضاً،سيّما مع إمكان دعوى عدم القائل بالفرق بينه و بين ما سبقه من الأحكام،فكلّ من قال بها قال به أيضاً،فتأمّل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الاستدلال عليه بما ذكره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ما ذكره في المتن للفك بأنّه شلل،و بقوله في كتاب ظريف في ذكر الورك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فكّها ثلثا ديتها</w:t>
      </w:r>
      <w:r>
        <w:rPr>
          <w:rFonts w:eastAsia="Amiri" w:cs="Amiri" w:ascii="Amiri" w:hAnsi="Amiri"/>
          <w:color w:val="111111"/>
          <w:sz w:val="28"/>
          <w:szCs w:val="28"/>
          <w:rtl w:val="true"/>
          <w:lang w:bidi="ar-SA"/>
        </w:rPr>
        <w:t xml:space="preserve">» </w:t>
      </w:r>
      <w:r>
        <w:rPr>
          <w:rStyle w:val="FootnoteAnchor"/>
          <w:rtl w:val="true"/>
        </w:rPr>
        <w:footnoteReference w:id="2395"/>
      </w:r>
      <w:r>
        <w:rPr>
          <w:rFonts w:ascii="Amiri" w:hAnsi="Amiri" w:eastAsia="Amiri" w:cs="Amiri"/>
          <w:color w:val="111111"/>
          <w:sz w:val="28"/>
          <w:sz w:val="28"/>
          <w:szCs w:val="28"/>
          <w:rtl w:val="true"/>
          <w:lang w:bidi="ar-SA"/>
        </w:rPr>
        <w:t xml:space="preserve">و نحوها،فافهم،و ما يفهم منه في المجبور و المصلح على غير عيب أربعة أخماس الفك و الكسر كثير في كتاب ظريف،و قد مرّ البعض </w:t>
      </w:r>
      <w:r>
        <w:rPr>
          <w:rStyle w:val="FootnoteAnchor"/>
          <w:rtl w:val="true"/>
        </w:rPr>
        <w:footnoteReference w:id="2396"/>
      </w:r>
      <w:r>
        <w:rPr>
          <w:rFonts w:ascii="Amiri" w:hAnsi="Amiri" w:eastAsia="Amiri" w:cs="Amiri"/>
          <w:color w:val="111111"/>
          <w:sz w:val="28"/>
          <w:sz w:val="28"/>
          <w:szCs w:val="28"/>
          <w:rtl w:val="true"/>
          <w:lang w:bidi="ar-SA"/>
        </w:rPr>
        <w:t>،انتهى المقصود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102785_73709187"/>
      <w:bookmarkStart w:id="277" w:name="_Toc102"/>
      <w:bookmarkEnd w:id="276"/>
      <w:r>
        <w:rPr>
          <w:rtl w:val="true"/>
        </w:rPr>
        <w:t>الرابعة قال بعض الأصحاب في الترقوة إذا كسرت</w:t>
      </w:r>
      <w:bookmarkEnd w:id="27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الأصحاب و لعلّه الشيخ في المبسوط و الخلاف </w:t>
      </w:r>
      <w:r>
        <w:rPr>
          <w:rStyle w:val="FootnoteAnchor"/>
          <w:rtl w:val="true"/>
        </w:rPr>
        <w:footnoteReference w:id="2397"/>
      </w:r>
      <w:r>
        <w:rPr>
          <w:rFonts w:ascii="Amiri" w:hAnsi="Amiri" w:eastAsia="Amiri" w:cs="Amiri"/>
          <w:color w:val="111111"/>
          <w:sz w:val="28"/>
          <w:sz w:val="28"/>
          <w:szCs w:val="28"/>
          <w:rtl w:val="true"/>
          <w:lang w:bidi="ar-SA"/>
        </w:rPr>
        <w:t xml:space="preserve">،كما يفهم من الماتن في الشرائع </w:t>
      </w:r>
      <w:r>
        <w:rPr>
          <w:rStyle w:val="FootnoteAnchor"/>
          <w:rtl w:val="true"/>
        </w:rPr>
        <w:footnoteReference w:id="2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الترقوة بفتح التاء فسكون الراء فضمّ القاف،و هي العظم الذي بين ثغرة النحر و العاتق إذا كسرت فجبرت على غير عيب فأربعون ديناراً و حكي أيضاً عن ابن حمزة </w:t>
      </w:r>
      <w:r>
        <w:rPr>
          <w:rStyle w:val="FootnoteAnchor"/>
          <w:rtl w:val="true"/>
        </w:rPr>
        <w:footnoteReference w:id="2399"/>
      </w:r>
      <w:r>
        <w:rPr>
          <w:rFonts w:ascii="Amiri" w:hAnsi="Amiri" w:eastAsia="Amiri" w:cs="Amiri"/>
          <w:color w:val="111111"/>
          <w:sz w:val="28"/>
          <w:sz w:val="28"/>
          <w:szCs w:val="28"/>
          <w:rtl w:val="true"/>
          <w:lang w:bidi="ar-SA"/>
        </w:rPr>
        <w:t xml:space="preserve">،و أفتى به من المتأخّرين جماعة </w:t>
      </w:r>
      <w:r>
        <w:rPr>
          <w:rStyle w:val="FootnoteAnchor"/>
          <w:rtl w:val="true"/>
        </w:rPr>
        <w:footnoteReference w:id="2400"/>
      </w:r>
      <w:r>
        <w:rPr>
          <w:rFonts w:ascii="Amiri" w:hAnsi="Amiri" w:eastAsia="Amiri" w:cs="Amiri"/>
          <w:color w:val="111111"/>
          <w:sz w:val="28"/>
          <w:sz w:val="28"/>
          <w:szCs w:val="28"/>
          <w:rtl w:val="true"/>
          <w:lang w:bidi="ar-SA"/>
        </w:rPr>
        <w:t xml:space="preserve">،بل في شرح الشرائع للصيمري أنّه المشهور بين الأصحاب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bookmarkStart w:id="278" w:name="pg11409_91079"/>
    </w:p>
    <w:p>
      <w:pPr>
        <w:pStyle w:val="BookText"/>
        <w:rPr/>
      </w:pPr>
      <w:bookmarkEnd w:id="278"/>
      <w:r>
        <w:rPr>
          <w:rFonts w:ascii="Amiri" w:hAnsi="Amiri" w:eastAsia="Amiri" w:cs="Amiri"/>
          <w:color w:val="111111"/>
          <w:sz w:val="28"/>
          <w:sz w:val="28"/>
          <w:szCs w:val="28"/>
          <w:rtl w:val="true"/>
          <w:lang w:bidi="ar-SA"/>
        </w:rPr>
        <w:t xml:space="preserve">و المستند كتاب ظريف </w:t>
      </w:r>
      <w:r>
        <w:rPr>
          <w:rStyle w:val="FootnoteAnchor"/>
          <w:rtl w:val="true"/>
        </w:rPr>
        <w:footnoteReference w:id="2402"/>
      </w:r>
      <w:r>
        <w:rPr>
          <w:rFonts w:ascii="Amiri" w:hAnsi="Amiri" w:eastAsia="Amiri" w:cs="Amiri"/>
          <w:color w:val="111111"/>
          <w:sz w:val="28"/>
          <w:sz w:val="28"/>
          <w:szCs w:val="28"/>
          <w:rtl w:val="true"/>
          <w:lang w:bidi="ar-SA"/>
        </w:rPr>
        <w:t xml:space="preserve">و الرضوي </w:t>
      </w:r>
      <w:r>
        <w:rPr>
          <w:rStyle w:val="FootnoteAnchor"/>
          <w:rtl w:val="true"/>
        </w:rPr>
        <w:footnoteReference w:id="2403"/>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لم يجزم بذلك؛ لأنّ التقدير حكم شرعي فيقف على الدلالة الشرعية،و الكتاب المذكور لعلّه لم يصلح عنده حجة إمّا لضعفه كما زعمه غيره </w:t>
      </w:r>
      <w:r>
        <w:rPr>
          <w:rStyle w:val="FootnoteAnchor"/>
          <w:rtl w:val="true"/>
        </w:rPr>
        <w:footnoteReference w:id="2404"/>
      </w:r>
      <w:r>
        <w:rPr>
          <w:rFonts w:ascii="Amiri" w:hAnsi="Amiri" w:eastAsia="Amiri" w:cs="Amiri"/>
          <w:color w:val="111111"/>
          <w:sz w:val="28"/>
          <w:sz w:val="28"/>
          <w:szCs w:val="28"/>
          <w:rtl w:val="true"/>
          <w:lang w:bidi="ar-SA"/>
        </w:rPr>
        <w:t>،أو لتضمّنه ما لا يقول به الأصحاب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نظر،و لو سلّما لانجبرا بالشهرة المحكية،بل الإجماع كما عن الخلاف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النص و الفتوى حكم الترقوتين إذا لم تجبرا أو جبرتا على عيب،فينبغي الرجوع فيهما إلى القاعدة،و مقتضاها الحكومة،و يشكل لو نقصت عن الأربعين؛ لوجوبها فيما لو عدم العيب،فكيف لا تجب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بوجوب أكثر الأمرين كما في الروضة </w:t>
      </w:r>
      <w:r>
        <w:rPr>
          <w:rStyle w:val="FootnoteAnchor"/>
          <w:rtl w:val="true"/>
        </w:rPr>
        <w:footnoteReference w:id="2406"/>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حمزة و المهذّب و في شرح الشرائع للصيمري </w:t>
      </w:r>
      <w:r>
        <w:rPr>
          <w:rStyle w:val="FootnoteAnchor"/>
          <w:rtl w:val="true"/>
        </w:rPr>
        <w:footnoteReference w:id="2407"/>
      </w:r>
      <w:r>
        <w:rPr>
          <w:rFonts w:ascii="Amiri" w:hAnsi="Amiri" w:eastAsia="Amiri" w:cs="Amiri"/>
          <w:color w:val="111111"/>
          <w:sz w:val="28"/>
          <w:sz w:val="28"/>
          <w:szCs w:val="28"/>
          <w:rtl w:val="true"/>
          <w:lang w:bidi="ar-SA"/>
        </w:rPr>
        <w:t>أنّ فيهما الدية كاملة،و في إحداهما نصفها؛ عملاً بضابطة أنّ ما في الإنسان منه اثنان فيهما الدية و في أحدهما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سلّم شمولها لنحو الترقوتين،و هو محلّ تردّد،و الأصل يقتضي الرجوع إلى الحكومة كما قلنا</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102787_73709187"/>
      <w:bookmarkStart w:id="280" w:name="_Toc103"/>
      <w:bookmarkEnd w:id="279"/>
      <w:r>
        <w:rPr>
          <w:rtl w:val="true"/>
        </w:rPr>
        <w:t>الخامسة روي</w:t>
      </w:r>
      <w:r>
        <w:rPr>
          <w:rtl w:val="true"/>
        </w:rPr>
        <w:t>:</w:t>
      </w:r>
      <w:r>
        <w:rPr>
          <w:rtl w:val="true"/>
        </w:rPr>
        <w:t>أنّ من داس بطن إنسان حتى أحدث</w:t>
      </w:r>
      <w:bookmarkEnd w:id="28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داس بطن إنسان حتى أحدث في ثيابه ببول </w:t>
      </w:r>
    </w:p>
    <w:p>
      <w:pPr>
        <w:pStyle w:val="BookText"/>
        <w:rPr/>
      </w:pPr>
      <w:r>
        <w:rPr>
          <w:rFonts w:ascii="Amiri" w:hAnsi="Amiri" w:eastAsia="Amiri" w:cs="Amiri"/>
          <w:color w:val="111111"/>
          <w:sz w:val="28"/>
          <w:sz w:val="28"/>
          <w:szCs w:val="28"/>
          <w:rtl w:val="true"/>
          <w:lang w:bidi="ar-SA"/>
        </w:rPr>
        <w:t xml:space="preserve">أو غائط خاصّة كما هو ظاهر الرواية،فلا يلحق بهما الريح كما فعله في الروضة </w:t>
      </w:r>
      <w:r>
        <w:rPr>
          <w:rStyle w:val="FootnoteAnchor"/>
          <w:rtl w:val="true"/>
        </w:rPr>
        <w:footnoteReference w:id="2408"/>
      </w:r>
      <w:r>
        <w:rPr>
          <w:rFonts w:ascii="Amiri" w:hAnsi="Amiri" w:eastAsia="Amiri" w:cs="Amiri"/>
          <w:color w:val="111111"/>
          <w:sz w:val="28"/>
          <w:sz w:val="28"/>
          <w:szCs w:val="28"/>
          <w:rtl w:val="true"/>
          <w:lang w:bidi="ar-SA"/>
        </w:rPr>
        <w:t xml:space="preserve">،بل يجب القطع فيها بالحكومة،كما صرّح به بعض الأجلّة </w:t>
      </w:r>
      <w:r>
        <w:rPr>
          <w:rStyle w:val="FootnoteAnchor"/>
          <w:rtl w:val="true"/>
        </w:rPr>
        <w:footnoteReference w:id="2409"/>
      </w:r>
      <w:r>
        <w:rPr>
          <w:rFonts w:ascii="Amiri" w:hAnsi="Amiri" w:eastAsia="Amiri" w:cs="Amiri"/>
          <w:color w:val="111111"/>
          <w:sz w:val="28"/>
          <w:sz w:val="28"/>
          <w:szCs w:val="28"/>
          <w:rtl w:val="true"/>
          <w:lang w:bidi="ar-SA"/>
        </w:rPr>
        <w:t>ديس بطنه حتى يحدث أو يفتدي بثلث الدية،و هي رواية النوفلي عن السكوني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رفع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داس بطن رجل حتى أحدث في ثيابه فقضى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0"/>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بمضمونها جماعة كالشيخين و ابن حمزة </w:t>
      </w:r>
      <w:r>
        <w:rPr>
          <w:rStyle w:val="FootnoteAnchor"/>
          <w:rtl w:val="true"/>
        </w:rPr>
        <w:footnoteReference w:id="2411"/>
      </w:r>
      <w:r>
        <w:rPr>
          <w:rFonts w:ascii="Amiri" w:hAnsi="Amiri" w:eastAsia="Amiri" w:cs="Amiri"/>
          <w:color w:val="111111"/>
          <w:sz w:val="28"/>
          <w:sz w:val="28"/>
          <w:szCs w:val="28"/>
          <w:rtl w:val="true"/>
          <w:lang w:bidi="ar-SA"/>
        </w:rPr>
        <w:t xml:space="preserve">،و نسبه في الروضة إلى الأكثر </w:t>
      </w:r>
      <w:r>
        <w:rPr>
          <w:rStyle w:val="FootnoteAnchor"/>
          <w:rtl w:val="true"/>
        </w:rPr>
        <w:footnoteReference w:id="2412"/>
      </w:r>
      <w:r>
        <w:rPr>
          <w:rFonts w:ascii="Amiri" w:hAnsi="Amiri" w:eastAsia="Amiri" w:cs="Amiri"/>
          <w:color w:val="111111"/>
          <w:sz w:val="28"/>
          <w:sz w:val="28"/>
          <w:szCs w:val="28"/>
          <w:rtl w:val="true"/>
          <w:lang w:bidi="ar-SA"/>
        </w:rPr>
        <w:t xml:space="preserve">،و عن الشيخ في الخلاف عليه الإجماع </w:t>
      </w:r>
      <w:r>
        <w:rPr>
          <w:rStyle w:val="FootnoteAnchor"/>
          <w:rtl w:val="true"/>
        </w:rPr>
        <w:footnoteReference w:id="2413"/>
      </w:r>
      <w:r>
        <w:rPr>
          <w:rFonts w:ascii="Amiri" w:hAnsi="Amiri" w:eastAsia="Amiri" w:cs="Amiri"/>
          <w:color w:val="111111"/>
          <w:sz w:val="28"/>
          <w:sz w:val="28"/>
          <w:szCs w:val="28"/>
          <w:rtl w:val="true"/>
          <w:lang w:bidi="ar-SA"/>
        </w:rPr>
        <w:t>،فإن تمّ كان هو الحجّة،و إلّا فالرواية قضيّة في واقعة مخالفة للأُصول،كما أشار إليه الحلّي،فقال بعد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يقتضيه مذهبنا خلاف هذا الرواية؛ لأنّ فيه تغريراً </w:t>
      </w:r>
      <w:r>
        <w:rPr>
          <w:rStyle w:val="FootnoteAnchor"/>
          <w:rtl w:val="true"/>
        </w:rPr>
        <w:footnoteReference w:id="2414"/>
      </w:r>
      <w:r>
        <w:rPr>
          <w:rFonts w:ascii="Amiri" w:hAnsi="Amiri" w:eastAsia="Amiri" w:cs="Amiri"/>
          <w:color w:val="111111"/>
          <w:sz w:val="28"/>
          <w:sz w:val="28"/>
          <w:szCs w:val="28"/>
          <w:rtl w:val="true"/>
          <w:lang w:bidi="ar-SA"/>
        </w:rPr>
        <w:t xml:space="preserve">بالنفس،فلا قصاص في ذلك بحال </w:t>
      </w:r>
      <w:r>
        <w:rPr>
          <w:rStyle w:val="FootnoteAnchor"/>
          <w:rtl w:val="true"/>
        </w:rPr>
        <w:footnoteReference w:id="2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من المتأخّرين جماعة </w:t>
      </w:r>
      <w:r>
        <w:rPr>
          <w:rStyle w:val="FootnoteAnchor"/>
          <w:rtl w:val="true"/>
        </w:rPr>
        <w:footnoteReference w:id="2416"/>
      </w:r>
      <w:r>
        <w:rPr>
          <w:rFonts w:ascii="Amiri" w:hAnsi="Amiri" w:eastAsia="Amiri" w:cs="Amiri"/>
          <w:color w:val="111111"/>
          <w:sz w:val="28"/>
          <w:sz w:val="28"/>
          <w:szCs w:val="28"/>
          <w:rtl w:val="true"/>
          <w:lang w:bidi="ar-SA"/>
        </w:rPr>
        <w:t>مختارين الحكومة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الفاضلين هنا و في الشرائع و التحرير و الشهيد في اللمعة </w:t>
      </w:r>
      <w:r>
        <w:rPr>
          <w:rStyle w:val="FootnoteAnchor"/>
          <w:rtl w:val="true"/>
        </w:rPr>
        <w:footnoteReference w:id="2417"/>
      </w:r>
      <w:r>
        <w:rPr>
          <w:rFonts w:ascii="Amiri" w:hAnsi="Amiri" w:eastAsia="Amiri" w:cs="Amiri"/>
          <w:color w:val="111111"/>
          <w:sz w:val="28"/>
          <w:sz w:val="28"/>
          <w:szCs w:val="28"/>
          <w:rtl w:val="true"/>
          <w:lang w:bidi="ar-SA"/>
        </w:rPr>
        <w:t xml:space="preserve">و غيرهم </w:t>
      </w:r>
      <w:r>
        <w:rPr>
          <w:rStyle w:val="FootnoteAnchor"/>
          <w:rtl w:val="true"/>
        </w:rPr>
        <w:footnoteReference w:id="2418"/>
      </w:r>
      <w:r>
        <w:rPr>
          <w:rFonts w:ascii="Amiri" w:hAnsi="Amiri" w:eastAsia="Amiri" w:cs="Amiri"/>
          <w:color w:val="111111"/>
          <w:sz w:val="28"/>
          <w:sz w:val="28"/>
          <w:szCs w:val="28"/>
          <w:rtl w:val="true"/>
          <w:lang w:bidi="ar-SA"/>
        </w:rPr>
        <w:t xml:space="preserve">التوقّف في المسألة،حيث أجابوا عن الرواية بأنّ راويها </w:t>
      </w:r>
      <w:bookmarkStart w:id="281" w:name="pg11409_91081"/>
    </w:p>
    <w:p>
      <w:pPr>
        <w:pStyle w:val="BookText"/>
        <w:rPr/>
      </w:pPr>
      <w:bookmarkEnd w:id="281"/>
      <w:r>
        <w:rPr>
          <w:rFonts w:ascii="Amiri" w:hAnsi="Amiri" w:eastAsia="Amiri" w:cs="Amiri"/>
          <w:color w:val="111111"/>
          <w:sz w:val="28"/>
          <w:sz w:val="28"/>
          <w:szCs w:val="28"/>
          <w:rtl w:val="true"/>
          <w:lang w:bidi="ar-SA"/>
        </w:rPr>
        <w:t>السكوني و فيه ضعف مشهور،و لم يصرّحوا مع ذلك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لما ذكرنا من القوادح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لإمكان الذبّ عنها بالإجماع و الشهرة المنقولين،مضافاً إلى دعوى الشيخ الإجماع على قبول رواية السكوني </w:t>
      </w:r>
      <w:r>
        <w:rPr>
          <w:rStyle w:val="FootnoteAnchor"/>
          <w:rtl w:val="true"/>
        </w:rPr>
        <w:footnoteReference w:id="2419"/>
      </w:r>
      <w:r>
        <w:rPr>
          <w:rFonts w:ascii="Amiri" w:hAnsi="Amiri" w:eastAsia="Amiri" w:cs="Amiri"/>
          <w:color w:val="111111"/>
          <w:sz w:val="28"/>
          <w:sz w:val="28"/>
          <w:szCs w:val="28"/>
          <w:rtl w:val="true"/>
          <w:lang w:bidi="ar-SA"/>
        </w:rPr>
        <w:t>،مع أنّ صاحبه لا ينفكّ عنه غالباً،فيقوى قبول رواياتهما، سيّما مع كثرتها و عمل الأصحاب بأكثرها،مع ردّهم الروايات الصحيحة في مقابلها،و اعتناء المحمدين الثلاثة في كتبهم الأربعة بالرواية عنهما كثيراً، و لذا يعدّ حديثهما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بذلك عن مقتضى الأُصول محل إشكال،و الأصل معه يقتضي المصير إلى الحكومة إن لم يمكن الخروج عنه بنحو من المصالحة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102789_73709187"/>
      <w:bookmarkStart w:id="283" w:name="_Toc104"/>
      <w:bookmarkEnd w:id="282"/>
      <w:r>
        <w:rPr>
          <w:rtl w:val="true"/>
        </w:rPr>
        <w:t>السادسة من افتضّ بكراً بإصبعه</w:t>
      </w:r>
      <w:bookmarkEnd w:id="28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بكراً بإصبعه مثلاً فخرق مثانتها فلم تملك بولها ففيه ديتها كملاً و مهر نسائها على الأظهر الأشهر كما هنا و في التنقيح </w:t>
      </w:r>
      <w:r>
        <w:rPr>
          <w:rStyle w:val="FootnoteAnchor"/>
          <w:rtl w:val="true"/>
        </w:rPr>
        <w:footnoteReference w:id="2420"/>
      </w:r>
      <w:r>
        <w:rPr>
          <w:rFonts w:ascii="Amiri" w:hAnsi="Amiri" w:eastAsia="Amiri" w:cs="Amiri"/>
          <w:color w:val="111111"/>
          <w:sz w:val="28"/>
          <w:sz w:val="28"/>
          <w:szCs w:val="28"/>
          <w:rtl w:val="true"/>
          <w:lang w:bidi="ar-SA"/>
        </w:rPr>
        <w:t xml:space="preserve">،و نسبه في الفقيه إلى أكثر روايات الأصحاب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وصل إلينا منها صريحاً رواية هشام بن إبراهيم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فيه الدية </w:t>
      </w:r>
      <w:r>
        <w:rPr>
          <w:rStyle w:val="FootnoteAnchor"/>
          <w:rtl w:val="true"/>
        </w:rPr>
        <w:footnoteReference w:id="2422"/>
      </w:r>
      <w:r>
        <w:rPr>
          <w:rFonts w:ascii="Amiri" w:hAnsi="Amiri" w:eastAsia="Amiri" w:cs="Amiri"/>
          <w:color w:val="111111"/>
          <w:sz w:val="28"/>
          <w:sz w:val="28"/>
          <w:szCs w:val="28"/>
          <w:rtl w:val="true"/>
          <w:lang w:bidi="ar-SA"/>
        </w:rPr>
        <w:t xml:space="preserve">،و لم نقف على الباقي،و لعلّها وصلت إليه و لم تصل إلينا،أو أراد بها ما سيأتي من النصوص في أنّ السلس فيه الدية كاملة،و لأجله اختار الفاضلان و جماعة </w:t>
      </w:r>
      <w:r>
        <w:rPr>
          <w:rStyle w:val="FootnoteAnchor"/>
          <w:rtl w:val="true"/>
        </w:rPr>
        <w:footnoteReference w:id="2423"/>
      </w:r>
      <w:r>
        <w:rPr>
          <w:rFonts w:ascii="Amiri" w:hAnsi="Amiri" w:eastAsia="Amiri" w:cs="Amiri"/>
          <w:color w:val="111111"/>
          <w:sz w:val="28"/>
          <w:sz w:val="28"/>
          <w:szCs w:val="28"/>
          <w:rtl w:val="true"/>
          <w:lang w:bidi="ar-SA"/>
        </w:rPr>
        <w:t>مضمون الرواية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استمساك البول منفعة واحدة،فيجب في تفويتها الدية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في رواية ظريف المشهورة أنّ فيه ثلث ديتها </w:t>
      </w:r>
      <w:r>
        <w:rPr>
          <w:rStyle w:val="FootnoteAnchor"/>
          <w:rtl w:val="true"/>
        </w:rPr>
        <w:footnoteReference w:id="2424"/>
      </w:r>
      <w:r>
        <w:rPr>
          <w:rFonts w:ascii="Amiri" w:hAnsi="Amiri" w:eastAsia="Amiri" w:cs="Amiri"/>
          <w:color w:val="111111"/>
          <w:sz w:val="28"/>
          <w:sz w:val="28"/>
          <w:szCs w:val="28"/>
          <w:rtl w:val="true"/>
          <w:lang w:bidi="ar-SA"/>
        </w:rPr>
        <w:t>و هي و إن اعتبر سندها و اعتضدت بغيرها كالخبر المتقدم مراراً أنّ في كل فتق ثلث الدية،لكن لم أجد بها قائلاً،فلا يعترض بها ما قدّمنا،سيّما مع اعتضاده بالشهرة الظاهرة و المحكية،و بها يجبر ضعف الرواية السابقة، مضافاً إلى انجباره بالنصوص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Style w:val="FootnoteAnchor"/>
          <w:rtl w:val="true"/>
        </w:rPr>
        <w:footnoteReference w:id="2425"/>
      </w:r>
      <w:r>
        <w:rPr>
          <w:rFonts w:ascii="Amiri" w:hAnsi="Amiri" w:eastAsia="Amiri" w:cs="Amiri"/>
          <w:color w:val="111111"/>
          <w:sz w:val="28"/>
          <w:sz w:val="28"/>
          <w:szCs w:val="28"/>
          <w:rtl w:val="true"/>
          <w:lang w:bidi="ar-SA"/>
        </w:rPr>
        <w:t>أنّ في رواية أُخرى مهر نسائها،و لم يشر غيره إليها، و لعلّها قوية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إليه جاريتان دخلتا الحمام فافتضّت إحداهما الأُخرى بإصبعها،فقضى على التي فعلت عقلها</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أي مهرها،على ما فهمه جماعة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ديتها،و به نصّ في مجمع البحرين،فقال بعد تفسير العقل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جاريتان افتضّت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و قال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ديتها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فتكون هذه الرواية معاضدة للرواية الأُولى،لكن ليس فيها ذكر المهر،و ربما يتوهّم منه نظراً إلى ورودها في مقام الحاجة عدم لزومه، و لكن الأمر فيه سهل؛ للاتفاق على ثبوته،مضافاً إلى الرواية السابقة الصريحة و القاعدة،فإنّ هنا جنايتين في منفعة و جارحة،و الأصل عدم </w:t>
      </w:r>
    </w:p>
    <w:p>
      <w:pPr>
        <w:pStyle w:val="BookText"/>
        <w:rPr/>
      </w:pPr>
      <w:r>
        <w:rPr>
          <w:rFonts w:ascii="Amiri" w:hAnsi="Amiri" w:eastAsia="Amiri" w:cs="Amiri"/>
          <w:color w:val="111111"/>
          <w:sz w:val="28"/>
          <w:sz w:val="28"/>
          <w:szCs w:val="28"/>
          <w:rtl w:val="true"/>
          <w:lang w:bidi="ar-SA"/>
        </w:rPr>
        <w:t>التداخل إلّا ما أخرجته الأدلّة و لا مخرج في المسألة،و ظاهر الأصل ثبوت مهر المثل كما أفتى به الجماعة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أرش البكارة </w:t>
      </w:r>
      <w:r>
        <w:rPr>
          <w:rStyle w:val="FootnoteAnchor"/>
          <w:rtl w:val="true"/>
        </w:rPr>
        <w:footnoteReference w:id="2429"/>
      </w:r>
      <w:r>
        <w:rPr>
          <w:rFonts w:ascii="Amiri" w:hAnsi="Amiri" w:eastAsia="Amiri" w:cs="Amiri"/>
          <w:color w:val="111111"/>
          <w:sz w:val="28"/>
          <w:sz w:val="28"/>
          <w:szCs w:val="28"/>
          <w:rtl w:val="true"/>
          <w:lang w:bidi="ar-SA"/>
        </w:rPr>
        <w:t xml:space="preserve">،كما يشعر به القوية المتقدّمة في إفضاء المرأة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bookmarkStart w:id="284" w:name="pg11409_91084"/>
    </w:p>
    <w:p>
      <w:pPr>
        <w:pStyle w:val="Heading4"/>
        <w:numPr>
          <w:ilvl w:val="3"/>
          <w:numId w:val="1"/>
        </w:numPr>
        <w:rPr/>
      </w:pPr>
      <w:bookmarkStart w:id="285" w:name="__RefHeading___Toc1102791_73709187"/>
      <w:bookmarkStart w:id="286" w:name="_Toc105"/>
      <w:bookmarkEnd w:id="284"/>
      <w:bookmarkEnd w:id="285"/>
      <w:r>
        <w:rPr>
          <w:rtl w:val="true"/>
        </w:rPr>
        <w:t>المقصد الثاني في الجناية على المنافع</w:t>
      </w:r>
      <w:bookmarkEnd w:id="286"/>
    </w:p>
    <w:p>
      <w:pPr>
        <w:pStyle w:val="BookText"/>
        <w:rPr/>
      </w:pPr>
      <w:r>
        <w:rPr>
          <w:rFonts w:ascii="Amiri" w:hAnsi="Amiri" w:eastAsia="Amiri" w:cs="Amiri"/>
          <w:color w:val="111111"/>
          <w:sz w:val="28"/>
          <w:sz w:val="28"/>
          <w:szCs w:val="28"/>
          <w:rtl w:val="true"/>
          <w:lang w:bidi="ar-SA"/>
        </w:rPr>
        <w:t>المقصد الثاني في بيان أحكام الجناية على المنافع و 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في ذهاب العقل الدية كاملة،بلا خلاف على الظاهر،المصرّح به في المبسوط و الغنية و غيرهما من كتب الجماعة </w:t>
      </w:r>
      <w:r>
        <w:rPr>
          <w:rStyle w:val="FootnoteAnchor"/>
          <w:rtl w:val="true"/>
        </w:rPr>
        <w:footnoteReference w:id="2431"/>
      </w:r>
      <w:r>
        <w:rPr>
          <w:rFonts w:ascii="Amiri" w:hAnsi="Amiri" w:eastAsia="Amiri" w:cs="Amiri"/>
          <w:color w:val="111111"/>
          <w:sz w:val="28"/>
          <w:sz w:val="28"/>
          <w:szCs w:val="28"/>
          <w:rtl w:val="true"/>
          <w:lang w:bidi="ar-SA"/>
        </w:rPr>
        <w:t>،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المعتبرة،منها زيادةً على ما يأتي 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بعصا فذهب سمعه،و بصره، و لسانه،و عقله،و فرجه،و انقطع جماعه و هو حي،بستّ ديات</w:t>
      </w:r>
      <w:r>
        <w:rPr>
          <w:rFonts w:eastAsia="Amiri" w:cs="Amiri" w:ascii="Amiri" w:hAnsi="Amiri"/>
          <w:color w:val="111111"/>
          <w:sz w:val="28"/>
          <w:szCs w:val="28"/>
          <w:rtl w:val="true"/>
          <w:lang w:bidi="ar-SA"/>
        </w:rPr>
        <w:t xml:space="preserve">» </w:t>
      </w:r>
      <w:r>
        <w:rPr>
          <w:rStyle w:val="FootnoteAnchor"/>
          <w:rtl w:val="true"/>
        </w:rPr>
        <w:footnoteReference w:id="2432"/>
      </w:r>
      <w:r>
        <w:rPr>
          <w:rFonts w:ascii="Amiri" w:hAnsi="Amiri" w:eastAsia="Amiri" w:cs="Amiri"/>
          <w:color w:val="111111"/>
          <w:sz w:val="28"/>
          <w:sz w:val="28"/>
          <w:szCs w:val="28"/>
          <w:rtl w:val="true"/>
          <w:lang w:bidi="ar-SA"/>
        </w:rPr>
        <w:t>و يعضده القاعدة في أنّ كلّ ما كان في الإنسان منه واحد كان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شجّه أو قطع عضواً منه فذهب عقله لم تتداخل الجنايتان بل لكل منهما ديته على الأشهر الأقوى،بل عليه عامّة متأخّري أصحابنا،وفاقاً للمبسوط و الخلاف </w:t>
      </w:r>
      <w:r>
        <w:rPr>
          <w:rStyle w:val="FootnoteAnchor"/>
          <w:rtl w:val="true"/>
        </w:rPr>
        <w:footnoteReference w:id="2433"/>
      </w:r>
      <w:r>
        <w:rPr>
          <w:rFonts w:ascii="Amiri" w:hAnsi="Amiri" w:eastAsia="Amiri" w:cs="Amiri"/>
          <w:color w:val="111111"/>
          <w:sz w:val="28"/>
          <w:sz w:val="28"/>
          <w:szCs w:val="28"/>
          <w:rtl w:val="true"/>
          <w:lang w:bidi="ar-SA"/>
        </w:rPr>
        <w:t>،مدّعياً في ظاهر الأوّل و صريح الثاني الإجماع عليه،و هو الحجة؛ مضافاً إلى الرواية السابقة،و أصالة عدم التداخل في الدية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w:t>
      </w:r>
      <w:r>
        <w:rPr>
          <w:rStyle w:val="FootnoteAnchor"/>
          <w:rtl w:val="true"/>
        </w:rPr>
        <w:footnoteReference w:id="2434"/>
      </w:r>
      <w:r>
        <w:rPr>
          <w:rFonts w:ascii="Amiri" w:hAnsi="Amiri" w:eastAsia="Amiri" w:cs="Amiri"/>
          <w:color w:val="111111"/>
          <w:sz w:val="28"/>
          <w:sz w:val="28"/>
          <w:szCs w:val="28"/>
          <w:rtl w:val="true"/>
          <w:lang w:bidi="ar-SA"/>
        </w:rPr>
        <w:t xml:space="preserve">صحيحة عمل بها في النهاية </w:t>
      </w:r>
    </w:p>
    <w:p>
      <w:pPr>
        <w:pStyle w:val="BookText"/>
        <w:rPr/>
      </w:pPr>
      <w:r>
        <w:rPr>
          <w:rFonts w:ascii="Amiri" w:hAnsi="Amiri" w:eastAsia="Amiri" w:cs="Amiri"/>
          <w:color w:val="111111"/>
          <w:sz w:val="28"/>
          <w:sz w:val="28"/>
          <w:szCs w:val="28"/>
          <w:rtl w:val="true"/>
          <w:lang w:bidi="ar-SA"/>
        </w:rPr>
        <w:t xml:space="preserve">و ابن سعيد </w:t>
      </w:r>
      <w:r>
        <w:rPr>
          <w:rStyle w:val="FootnoteAnchor"/>
          <w:rtl w:val="true"/>
        </w:rPr>
        <w:footnoteReference w:id="2435"/>
      </w:r>
      <w:r>
        <w:rPr>
          <w:rFonts w:ascii="Amiri" w:hAnsi="Amiri" w:eastAsia="Amiri" w:cs="Amiri"/>
          <w:color w:val="111111"/>
          <w:sz w:val="28"/>
          <w:sz w:val="28"/>
          <w:szCs w:val="28"/>
          <w:rtl w:val="true"/>
          <w:lang w:bidi="ar-SA"/>
        </w:rPr>
        <w:t>أنّه إن كانت الجنايتان بضربة واحدة تداخلتا دية،و إلّا فلا،و هي طويلة مضى ذكرها في أوائل كتاب القصاص في بحث تداخل جناية النفس و الأطراف،و لم يعمل بها الأكثر هنا و ثمة،حتى الشيخ في النهاية هناك؛ لأنّ ظاهرها كما عرفته دخول جناية الطرف في النفس مطلقاً و لو افترقتا،و لم يقل به في النهاية،بل قال في صورة الافتراق بعدم التداخل،فليت شعري كيف يمكن استناده إليها هنا مع مخالفتها لما ذكره ثمّة،و يحتمل أن يكون له هنا مستند آخر غيرها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و إن كانت صحيحة إلّا أنّ العامل بها هنا لم أجده سوى الشيخ و بعض من تبعة،و هو قد رجع عنها في كتابيه المتقدّمين،و صرّح به الحلّي فقال هنا بعد الحكم بعدم 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كنّا قلنا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أصابه مع ذهاب العقل موضحة أو مأمومة أو غيرهما من الجراحات لم يكن فيه أكثر من الدية كاملة،إلّا أن يكون ضربه بضربتين أو ثلاث فجنت كل ضربة منها جناية كان عليه حينئذٍ جنايتها،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فأوردناه </w:t>
      </w:r>
      <w:r>
        <w:rPr>
          <w:rStyle w:val="FootnoteAnchor"/>
          <w:rtl w:val="true"/>
        </w:rPr>
        <w:footnoteReference w:id="2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أورده شيخنا في نهايته،إلّا أنّ هذا أظهر من ذلك، و شيخنا فقد رجع عمّا أورده في نهايته،و قال بما اخترناه الآن في مسائل خلافه،و هو الصحيح؛ لأنّ تداخل الديات إذا لم يمت المجني عليه يحتاج إلى دليل </w:t>
      </w:r>
      <w:r>
        <w:rPr>
          <w:rStyle w:val="FootnoteAnchor"/>
          <w:rtl w:val="true"/>
        </w:rPr>
        <w:footnoteReference w:id="24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لم يقف على كلامه هذا،الفاضل المقداد في شرح الكتاب </w:t>
      </w:r>
      <w:r>
        <w:rPr>
          <w:rStyle w:val="FootnoteAnchor"/>
          <w:rtl w:val="true"/>
        </w:rPr>
        <w:footnoteReference w:id="2438"/>
      </w:r>
      <w:r>
        <w:rPr>
          <w:rFonts w:ascii="Amiri" w:hAnsi="Amiri" w:eastAsia="Amiri" w:cs="Amiri"/>
          <w:color w:val="111111"/>
          <w:sz w:val="28"/>
          <w:sz w:val="28"/>
          <w:szCs w:val="28"/>
          <w:rtl w:val="true"/>
          <w:lang w:bidi="ar-SA"/>
        </w:rPr>
        <w:t>، فنسب إليه الموافقة هنا للنهاية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يعترض بمثل الرواية الأُصول المعتضدة بالشهرة العظيمة و حكاية الإجماع المتقدمة،مضافاً إلى ظاهر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تضمّنت أنّه لو ضربه على رأسه فذهب عقله انتظر به سنة،فإن مات قيد به،و إن بقي و لم يرجع إليه عقله فعليه الدية و هو أيضاً مخالف للأُصول،كما يظهر من الفاضلين هنا و في الشرائع و الإرشاد و التحرير </w:t>
      </w:r>
      <w:r>
        <w:rPr>
          <w:rStyle w:val="FootnoteAnchor"/>
          <w:rtl w:val="true"/>
        </w:rPr>
        <w:footnoteReference w:id="2439"/>
      </w:r>
      <w:r>
        <w:rPr>
          <w:rFonts w:ascii="Amiri" w:hAnsi="Amiri" w:eastAsia="Amiri" w:cs="Amiri"/>
          <w:color w:val="111111"/>
          <w:sz w:val="28"/>
          <w:sz w:val="28"/>
          <w:szCs w:val="28"/>
          <w:rtl w:val="true"/>
          <w:lang w:bidi="ar-SA"/>
        </w:rPr>
        <w:t xml:space="preserve">،حيث نسبا هذا الحكم إلى الرواية،و أشار إليه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أنّ إطلاق القود بعد مضي السنّة لا يتمّ إلّا بتقدير أن يكون الضربة ممّا يقتل غالباً،أو قصده و حصل الموت بها، و لكن الرواية أعمّ من ذلك،إلّا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هذا مقيّد بالنص الصحيح </w:t>
      </w:r>
      <w:r>
        <w:rPr>
          <w:rStyle w:val="FootnoteAnchor"/>
          <w:rtl w:val="true"/>
        </w:rPr>
        <w:footnoteReference w:id="2440"/>
      </w:r>
      <w:r>
        <w:rPr>
          <w:rFonts w:ascii="Amiri" w:hAnsi="Amiri" w:eastAsia="Amiri" w:cs="Amiri"/>
          <w:color w:val="111111"/>
          <w:sz w:val="28"/>
          <w:sz w:val="28"/>
          <w:szCs w:val="28"/>
          <w:rtl w:val="true"/>
          <w:lang w:bidi="ar-SA"/>
        </w:rPr>
        <w:t>،فلذا لم يتوقّف فيه غيرهما،و يمكن تقييده بما يوافق الأُصول جمعاً،و قرينته الضرب بعمود الفسطاط على الرأس،فربما كان ذلك مما يقتل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إذهاب السمع من الأُذنين معاً الدية كاملة، بلا خلاف أجده،بل عليه الإجماع في صريح التحرير و ظاهر الغنية </w:t>
      </w:r>
      <w:r>
        <w:rPr>
          <w:rStyle w:val="FootnoteAnchor"/>
          <w:rtl w:val="true"/>
        </w:rPr>
        <w:footnoteReference w:id="2441"/>
      </w:r>
      <w:r>
        <w:rPr>
          <w:rFonts w:ascii="Amiri" w:hAnsi="Amiri" w:eastAsia="Amiri" w:cs="Amiri"/>
          <w:color w:val="111111"/>
          <w:sz w:val="28"/>
          <w:sz w:val="28"/>
          <w:szCs w:val="28"/>
          <w:rtl w:val="true"/>
          <w:lang w:bidi="ar-SA"/>
        </w:rPr>
        <w:t>، و هو الحجة زيادةً على ما مرّ في العقل من النص عموماً و خصوصاً،و منه هنا زيادةً على ما يأتي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إذهاب سمع كل اذن نصف الدية مطلقاً،كانت إحداهما أحدّ من الأُخرى أولا،كانت الأُخرى ذاهبة بسبب من اللّه تعالى أو بجناية </w:t>
      </w:r>
    </w:p>
    <w:p>
      <w:pPr>
        <w:pStyle w:val="BookText"/>
        <w:rPr/>
      </w:pPr>
      <w:r>
        <w:rPr>
          <w:rFonts w:ascii="Amiri" w:hAnsi="Amiri" w:eastAsia="Amiri" w:cs="Amiri"/>
          <w:color w:val="111111"/>
          <w:sz w:val="28"/>
          <w:sz w:val="28"/>
          <w:szCs w:val="28"/>
          <w:rtl w:val="true"/>
          <w:lang w:bidi="ar-SA"/>
        </w:rPr>
        <w:t xml:space="preserve">أو غيرهما،بلا خلاف أجده إلّا من ابن حمزة </w:t>
      </w:r>
      <w:r>
        <w:rPr>
          <w:rStyle w:val="FootnoteAnchor"/>
          <w:rtl w:val="true"/>
        </w:rPr>
        <w:footnoteReference w:id="2443"/>
      </w:r>
      <w:r>
        <w:rPr>
          <w:rFonts w:ascii="Amiri" w:hAnsi="Amiri" w:eastAsia="Amiri" w:cs="Amiri"/>
          <w:color w:val="111111"/>
          <w:sz w:val="28"/>
          <w:sz w:val="28"/>
          <w:szCs w:val="28"/>
          <w:rtl w:val="true"/>
          <w:lang w:bidi="ar-SA"/>
        </w:rPr>
        <w:t>،فأوجب الدية كاملة إن كانت الأُخرى ذهبت بسبب من اللّه سبحانه،و نصفها إن كانت ذاهبة بغيره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نادر،و مستنده مع ذلك غير ظاهر عدا القياس بعين الأعور،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السمع بحسابه من الدية بلا خلاف؛ للقاعدة؛ مضافاً إلى الرواية </w:t>
      </w:r>
      <w:r>
        <w:rPr>
          <w:rStyle w:val="FootnoteAnchor"/>
          <w:rtl w:val="true"/>
        </w:rPr>
        <w:footnoteReference w:id="2444"/>
      </w:r>
      <w:r>
        <w:rPr>
          <w:rFonts w:ascii="Amiri" w:hAnsi="Amiri" w:eastAsia="Amiri" w:cs="Amiri"/>
          <w:color w:val="111111"/>
          <w:sz w:val="28"/>
          <w:sz w:val="28"/>
          <w:szCs w:val="28"/>
          <w:rtl w:val="true"/>
          <w:lang w:bidi="ar-SA"/>
        </w:rPr>
        <w:t>التي استندوا إليها لكيفية استعلام النسبة بين الصحيحة و الناقصة و هي أن تقاس الناقصة إلى الأُخرى بأن تسدّ الناقصة سدّاً شديداً و تطلق الصحيحة و يصاح به بصوت لا يختلف كميّته،كصوت الجرس متباعداً عنه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أسمع ثم يعاد عليه ثانياً من جهة أُخرى،و لو فعل به ذلك مراراً من أربع جهات كما في الرواية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يجب أن تعتبر المسافة من جانبيه،أو جوانبه الأربع بأن يعلّم مبدأ كل مسافة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أسمع،و منتهاه، و ينسب إلى باقي المسافات مبدءاً و منتهًى و يصدّق مع التساوي أي تساوي المسافات قدراً و يكذّب مع التفاوت ثم مع التساوي تطلق الناقصة و تسدّ الصحيحة سدّاً جيّداً و يفعل به كذلك أي يعتبر بالصوت كما مرّ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أسمع،ثم يكرّر عليه الاعتبار كما مرّ،و ينسب التفاوت بين الصحيحة و الناقصة و يؤخذ من ديتها بنسبة التفاوت بينهما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المتضمّنة لهذه الكيفية و إن كانت ضعيفة إلّا أنّها مجبورة بالاعتبار،مع عدم خلاف فيها في ظاهر الأصحاب،و يعضدها ما في كتاب </w:t>
      </w:r>
    </w:p>
    <w:p>
      <w:pPr>
        <w:pStyle w:val="BookText"/>
        <w:rPr/>
      </w:pPr>
      <w:r>
        <w:rPr>
          <w:rFonts w:ascii="Amiri" w:hAnsi="Amiri" w:eastAsia="Amiri" w:cs="Amiri"/>
          <w:color w:val="111111"/>
          <w:sz w:val="28"/>
          <w:sz w:val="28"/>
          <w:szCs w:val="28"/>
          <w:rtl w:val="true"/>
          <w:lang w:bidi="ar-SA"/>
        </w:rPr>
        <w:t>ظريف بعد ذكر المقايسة بين العينين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 سمعه شيء فعلى نحو ذلك يضرب له بشيء لكي يعلم منتهى سمعه،ثم يقاس ذلك</w:t>
      </w:r>
      <w:r>
        <w:rPr>
          <w:rFonts w:eastAsia="Amiri" w:cs="Amiri" w:ascii="Amiri" w:hAnsi="Amiri"/>
          <w:color w:val="111111"/>
          <w:sz w:val="28"/>
          <w:szCs w:val="28"/>
          <w:rtl w:val="true"/>
          <w:lang w:bidi="ar-SA"/>
        </w:rPr>
        <w:t xml:space="preserve">» </w:t>
      </w:r>
      <w:r>
        <w:rPr>
          <w:rStyle w:val="FootnoteAnchor"/>
          <w:rtl w:val="true"/>
        </w:rPr>
        <w:footnoteReference w:id="2445"/>
      </w:r>
      <w:r>
        <w:rPr>
          <w:rFonts w:ascii="Amiri" w:hAnsi="Amiri" w:eastAsia="Amiri" w:cs="Amiri"/>
          <w:color w:val="111111"/>
          <w:sz w:val="28"/>
          <w:sz w:val="28"/>
          <w:szCs w:val="28"/>
          <w:rtl w:val="true"/>
          <w:lang w:bidi="ar-SA"/>
        </w:rPr>
        <w:t xml:space="preserve">و نحوه غيره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يقاس السمع في يوم ريح،و لا في المواضع المختلفة في الارتفاع و الانخفاض؛ لعدم الانضباط،بل يتوخّى و يختار القياس في سكون الهواء و المواضع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إذهاب ضوء العينين معاً الدية و في إحداهما نصفها، بلا خلاف أجده،و به صرّح في الغنية </w:t>
      </w:r>
      <w:r>
        <w:rPr>
          <w:rStyle w:val="FootnoteAnchor"/>
          <w:rtl w:val="true"/>
        </w:rPr>
        <w:footnoteReference w:id="2447"/>
      </w:r>
      <w:r>
        <w:rPr>
          <w:rFonts w:ascii="Amiri" w:hAnsi="Amiri" w:eastAsia="Amiri" w:cs="Amiri"/>
          <w:color w:val="111111"/>
          <w:sz w:val="28"/>
          <w:sz w:val="28"/>
          <w:szCs w:val="28"/>
          <w:rtl w:val="true"/>
          <w:lang w:bidi="ar-SA"/>
        </w:rPr>
        <w:t xml:space="preserve">،بل عليه الإجماع كما صرّح به بعض الأجلّة </w:t>
      </w:r>
      <w:r>
        <w:rPr>
          <w:rStyle w:val="FootnoteAnchor"/>
          <w:rtl w:val="true"/>
        </w:rPr>
        <w:footnoteReference w:id="2448"/>
      </w:r>
      <w:r>
        <w:rPr>
          <w:rFonts w:ascii="Amiri" w:hAnsi="Amiri" w:eastAsia="Amiri" w:cs="Amiri"/>
          <w:color w:val="111111"/>
          <w:sz w:val="28"/>
          <w:sz w:val="28"/>
          <w:szCs w:val="28"/>
          <w:rtl w:val="true"/>
          <w:lang w:bidi="ar-SA"/>
        </w:rPr>
        <w:t>،و هو الحجة؛ مضافاً إلى ما مرّ في المسألتين عموماً و خصوصاً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إذهاب نظره عقيب الجناية و هي أي العين و حدقتها قائمة و لم يعلم بصدقه بالبيّنة أو تصديق الجاني حلف المجني عليه باللّه تعالى القسامة على الأظهر الأشهر،كما في المسالك </w:t>
      </w:r>
      <w:r>
        <w:rPr>
          <w:rStyle w:val="FootnoteAnchor"/>
          <w:rtl w:val="true"/>
        </w:rPr>
        <w:footnoteReference w:id="2449"/>
      </w:r>
      <w:r>
        <w:rPr>
          <w:rFonts w:ascii="Amiri" w:hAnsi="Amiri" w:eastAsia="Amiri" w:cs="Amiri"/>
          <w:color w:val="111111"/>
          <w:sz w:val="28"/>
          <w:sz w:val="28"/>
          <w:szCs w:val="28"/>
          <w:rtl w:val="true"/>
          <w:lang w:bidi="ar-SA"/>
        </w:rPr>
        <w:t xml:space="preserve">،بل لعلّه عليه عامة من تأخّر؛ لما في كتاب ظريف </w:t>
      </w:r>
      <w:r>
        <w:rPr>
          <w:rStyle w:val="FootnoteAnchor"/>
          <w:rtl w:val="true"/>
        </w:rPr>
        <w:footnoteReference w:id="2450"/>
      </w:r>
      <w:r>
        <w:rPr>
          <w:rFonts w:ascii="Amiri" w:hAnsi="Amiri" w:eastAsia="Amiri" w:cs="Amiri"/>
          <w:color w:val="111111"/>
          <w:sz w:val="28"/>
          <w:sz w:val="28"/>
          <w:szCs w:val="28"/>
          <w:rtl w:val="true"/>
          <w:lang w:bidi="ar-SA"/>
        </w:rPr>
        <w:t>،و ما عرضه يونس على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في الصحيح و غيره،و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القسامة على ستة أجزاء،فإن ادّعى ذهاب البصر كلّه حلف ستّاً أو حلف هو و خمسة رجال </w:t>
      </w:r>
    </w:p>
    <w:p>
      <w:pPr>
        <w:pStyle w:val="BookText"/>
        <w:rPr/>
      </w:pPr>
      <w:r>
        <w:rPr>
          <w:rFonts w:ascii="Amiri" w:hAnsi="Amiri" w:eastAsia="Amiri" w:cs="Amiri"/>
          <w:color w:val="111111"/>
          <w:sz w:val="28"/>
          <w:sz w:val="28"/>
          <w:szCs w:val="28"/>
          <w:rtl w:val="true"/>
          <w:lang w:bidi="ar-SA"/>
        </w:rPr>
        <w:t xml:space="preserve">معه،و إن ادّعى ذهاب سدس بصره حلف هو واحدة،و إن ادّعى ذهاب ثلثه حلف يمينين،أو هو و آخر معه </w:t>
      </w:r>
      <w:r>
        <w:rPr>
          <w:rStyle w:val="FootnoteAnchor"/>
          <w:rtl w:val="true"/>
        </w:rPr>
        <w:footnoteReference w:id="2451"/>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ضعيفة أنّه يقابل ب عينه الشمس فإن بقيتا مفتوحتين صدق و إلّا كذب،و بها أفتى ابن زهرة و الديلمي و الحلبي و الشيخ في الخلاف </w:t>
      </w:r>
      <w:r>
        <w:rPr>
          <w:rStyle w:val="FootnoteAnchor"/>
          <w:rtl w:val="true"/>
        </w:rPr>
        <w:footnoteReference w:id="2452"/>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وهن بمخالفة الأكثر،و الرواية ضعيفة كما عرفته،مع قصورها كالإجماع المحكي عن المقاومة لما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ضعيف،و إن نفى البأس عنه في المختلف </w:t>
      </w:r>
      <w:r>
        <w:rPr>
          <w:rStyle w:val="FootnoteAnchor"/>
          <w:rtl w:val="true"/>
        </w:rPr>
        <w:footnoteReference w:id="2453"/>
      </w:r>
      <w:r>
        <w:rPr>
          <w:rFonts w:ascii="Amiri" w:hAnsi="Amiri" w:eastAsia="Amiri" w:cs="Amiri"/>
          <w:color w:val="111111"/>
          <w:sz w:val="28"/>
          <w:sz w:val="28"/>
          <w:szCs w:val="28"/>
          <w:rtl w:val="true"/>
          <w:lang w:bidi="ar-SA"/>
        </w:rPr>
        <w:t>إن أفاد الحاكم ظنّاً؛ لعدم دليل عليه أيضاً،مع كونه خارجاً عن إطلاق القولين و أدلّتهما من دون دليل أجده له صالحاً،عدا ما دلّ على حجّية ظنّ الحاكم، و لا عموم له يشمل المقام؛ لاختصاصه بالظنّ الحاصل له في نفس الحكم الشرعي دون موضوعاته إلّا ما أخرجه الدليل منها،و لا مخرج هنا،إلّا أن يدّعى الاستقراء،و لم أتبيّنه هنا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نقصان بصر إحداهما قيست إلى الأُخرى،و فعل بالنظر إلى المنظور كما فعل بالسمع بلا خلاف على الظاهر،المصرّح به في الغنية </w:t>
      </w:r>
      <w:r>
        <w:rPr>
          <w:rStyle w:val="FootnoteAnchor"/>
          <w:rtl w:val="true"/>
        </w:rPr>
        <w:footnoteReference w:id="2454"/>
      </w:r>
      <w:r>
        <w:rPr>
          <w:rFonts w:ascii="Amiri" w:hAnsi="Amiri" w:eastAsia="Amiri" w:cs="Amiri"/>
          <w:color w:val="111111"/>
          <w:sz w:val="28"/>
          <w:sz w:val="28"/>
          <w:szCs w:val="28"/>
          <w:rtl w:val="true"/>
          <w:lang w:bidi="ar-SA"/>
        </w:rPr>
        <w:t>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يصاب في عينيه فيذهب بعض بصره،أيّ شيء يعطى؟قال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تربط إحداهما،ثم توضع له بيضة ثم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انظر،فما دام يدّعي أنّه يبصر موضعها حتى إذا انتهى إلى موضع إن جازه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أبصر،قرّبها حتى يبصر،ثم يعلّم ذلك المكان،ثم يقاس ذلك القياس من خلفه و عن يمينه و عن شماله،فإن جاء سواء،و إلّا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حتى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يصنع بالعين الأُخرى مثل ذلك ثم يقاس ذلك على دية العين</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آخر </w:t>
      </w:r>
      <w:r>
        <w:rPr>
          <w:rStyle w:val="FootnoteAnchor"/>
          <w:rtl w:val="true"/>
        </w:rPr>
        <w:footnoteReference w:id="2456"/>
      </w:r>
      <w:r>
        <w:rPr>
          <w:rFonts w:ascii="Amiri" w:hAnsi="Amiri" w:eastAsia="Amiri" w:cs="Amiri"/>
          <w:color w:val="111111"/>
          <w:sz w:val="28"/>
          <w:sz w:val="28"/>
          <w:szCs w:val="28"/>
          <w:rtl w:val="true"/>
          <w:lang w:bidi="ar-SA"/>
        </w:rPr>
        <w:t xml:space="preserve">،و غيره </w:t>
      </w:r>
      <w:r>
        <w:rPr>
          <w:rStyle w:val="FootnoteAnchor"/>
          <w:rtl w:val="true"/>
        </w:rPr>
        <w:footnoteReference w:id="2457"/>
      </w:r>
      <w:r>
        <w:rPr>
          <w:rFonts w:ascii="Amiri" w:hAnsi="Amiri" w:eastAsia="Amiri" w:cs="Amiri"/>
          <w:color w:val="111111"/>
          <w:sz w:val="28"/>
          <w:sz w:val="28"/>
          <w:szCs w:val="28"/>
          <w:rtl w:val="true"/>
          <w:lang w:bidi="ar-SA"/>
        </w:rPr>
        <w:t>،لكن ليس فيهما ذكر للجهات الأربع،بل اقتصر فيهما على جهتين خاصّة،و عليهما العمل،إلّا أنّ مراعاة الجهات الأربع أحوط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تضمّنته هذه النصوص في كيفية الاعتبار أجود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w:t>
      </w:r>
      <w:r>
        <w:rPr>
          <w:rStyle w:val="FootnoteAnchor"/>
          <w:rtl w:val="true"/>
        </w:rPr>
        <w:footnoteReference w:id="2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بنحو آخر،و لكنّ الأمر سهل؛ إذ الظاهر أنّ الضابط هو فعل ما يظهر معه للحاكم صدق المدّعى كما صرّح به في المختلف </w:t>
      </w:r>
      <w:r>
        <w:rPr>
          <w:rStyle w:val="FootnoteAnchor"/>
          <w:rtl w:val="true"/>
        </w:rPr>
        <w:footnoteReference w:id="2459"/>
      </w:r>
      <w:r>
        <w:rPr>
          <w:rFonts w:ascii="Amiri" w:hAnsi="Amiri" w:eastAsia="Amiri" w:cs="Amiri"/>
          <w:color w:val="111111"/>
          <w:sz w:val="28"/>
          <w:sz w:val="28"/>
          <w:szCs w:val="28"/>
          <w:rtl w:val="true"/>
          <w:lang w:bidi="ar-SA"/>
        </w:rPr>
        <w:t>،و لذا قال بعد نقل الأقوال في كيفية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و لا طائل تحت هذه المسألة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نقصانهما قيستا إلى أبناء سنّه بأن يوقف معه و ينظر ما يبلغه نظره،ثم يعتبر ما يبلغه نظر المجني عليه،و يعلم نسبة ما بينهما،فإن </w:t>
      </w:r>
    </w:p>
    <w:p>
      <w:pPr>
        <w:pStyle w:val="BookText"/>
        <w:rPr/>
      </w:pPr>
      <w:r>
        <w:rPr>
          <w:rFonts w:ascii="Amiri" w:hAnsi="Amiri" w:eastAsia="Amiri" w:cs="Amiri"/>
          <w:color w:val="111111"/>
          <w:sz w:val="28"/>
          <w:sz w:val="28"/>
          <w:szCs w:val="28"/>
          <w:rtl w:val="true"/>
          <w:lang w:bidi="ar-SA"/>
        </w:rPr>
        <w:t xml:space="preserve">استوت المسافات الأربع صدق و إلّا كذب،بلا خلاف أجده،بل عليه في ظاهر الغنية إجماع الإمامية </w:t>
      </w:r>
      <w:r>
        <w:rPr>
          <w:rStyle w:val="FootnoteAnchor"/>
          <w:rtl w:val="true"/>
        </w:rPr>
        <w:footnoteReference w:id="2460"/>
      </w:r>
      <w:r>
        <w:rPr>
          <w:rFonts w:ascii="Amiri" w:hAnsi="Amiri" w:eastAsia="Amiri" w:cs="Amiri"/>
          <w:color w:val="111111"/>
          <w:sz w:val="28"/>
          <w:sz w:val="28"/>
          <w:szCs w:val="28"/>
          <w:rtl w:val="true"/>
          <w:lang w:bidi="ar-SA"/>
        </w:rPr>
        <w:t>،و هو الحجة المعتضدة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قد ضرب رجلاً حتى نقص من بصره،فدعا برجل من أسنانه فأراهم شيئاً فنظر ما نقص من بصره فأعطاه من ديته ما انتقص من بصره</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يقاس في يوم غيم،و لا في أرض مختلفة الجهات؛ لئلّا يحصل الاختلاف بالعارض؛ و للقوي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تقاس عين في يوم غيم</w:t>
      </w:r>
      <w:r>
        <w:rPr>
          <w:rFonts w:eastAsia="Amiri" w:cs="Amiri" w:ascii="Amiri" w:hAnsi="Amiri"/>
          <w:color w:val="111111"/>
          <w:sz w:val="28"/>
          <w:szCs w:val="28"/>
          <w:rtl w:val="true"/>
          <w:lang w:bidi="ar-SA"/>
        </w:rPr>
        <w:t xml:space="preserve">»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إبطال الشم من المنخرين معاً الدية كاملة،و من إحداهما خاصّة نصفها،بلا خلاف أجده،و به صرّح في المبسوط و الخلاف و الغنية </w:t>
      </w:r>
      <w:r>
        <w:rPr>
          <w:rStyle w:val="FootnoteAnchor"/>
          <w:rtl w:val="true"/>
        </w:rPr>
        <w:footnoteReference w:id="2463"/>
      </w:r>
      <w:r>
        <w:rPr>
          <w:rFonts w:ascii="Amiri" w:hAnsi="Amiri" w:eastAsia="Amiri" w:cs="Amiri"/>
          <w:color w:val="111111"/>
          <w:sz w:val="28"/>
          <w:sz w:val="28"/>
          <w:szCs w:val="28"/>
          <w:rtl w:val="true"/>
          <w:lang w:bidi="ar-SA"/>
        </w:rPr>
        <w:t>،و هو الحجة؛ مضافاً إلى ما مرّ في المسائل السابقة من القاعدة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ذهابه عقيب جناية يمكن زواله بها و لم يظهر حاله بالامتحان اعتبر بتقريب الحراق بضم الحاء و تخفيف الراء،و هو ما يقع فيه النار عند القدح أي يقرب منه بعد علوق النار به فإن دمعت عيناه و حوّل أنفه عنه فهو كاذب و إلّا فصادق،كما في الرواية المتقدمة في اعتبار بصر العين المدّعى زواله،و أفتى بها هنا أيضاً ابن زهرة و الشيخ في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2464"/>
      </w:r>
      <w:r>
        <w:rPr>
          <w:rFonts w:ascii="Amiri" w:hAnsi="Amiri" w:eastAsia="Amiri" w:cs="Amiri"/>
          <w:color w:val="111111"/>
          <w:sz w:val="28"/>
          <w:sz w:val="28"/>
          <w:szCs w:val="28"/>
          <w:rtl w:val="true"/>
          <w:lang w:bidi="ar-SA"/>
        </w:rPr>
        <w:t>مدّعياً أيضاً عليه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على الظاهر،المصرّح به في المسالك </w:t>
      </w:r>
      <w:r>
        <w:rPr>
          <w:rStyle w:val="FootnoteAnchor"/>
          <w:rtl w:val="true"/>
        </w:rPr>
        <w:footnoteReference w:id="2465"/>
      </w:r>
      <w:r>
        <w:rPr>
          <w:rFonts w:ascii="Amiri" w:hAnsi="Amiri" w:eastAsia="Amiri" w:cs="Amiri"/>
          <w:color w:val="111111"/>
          <w:sz w:val="28"/>
          <w:sz w:val="28"/>
          <w:szCs w:val="28"/>
          <w:rtl w:val="true"/>
          <w:lang w:bidi="ar-SA"/>
        </w:rPr>
        <w:t>تحليف المجني عليه بالقسامة كما في المسألة السابقة،عملاً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الماتن كيف أخذ بها في المسألة السابقة و نحوها ممّا تقدّم إليه الإشارة طارحاً للرواية،و عكس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الجميع من باب واحد فتوًى و نصّاً و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أُصيب أحد بجناية فتعذّر عليه بها إنزال المني كان فيه الدية كاملةً،بلا خلاف أجده،و ربما يستدل له بما مرّ من القاعدة من أنّ كل ما في الإنسان منه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الظهر إذا كسر حتى لا ينزل صاحبه الماء الدية كاملة</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 البول و هو نزوله مترشّحاً لضعف القوّة الماسكة له الدية كاملة؛ للقاعدة المتقدمة،و للخبرين،في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رجل ضرب حتى سلس بوله بالدية كاملة</w:t>
      </w:r>
      <w:r>
        <w:rPr>
          <w:rFonts w:eastAsia="Amiri" w:cs="Amiri" w:ascii="Amiri" w:hAnsi="Amiri"/>
          <w:color w:val="111111"/>
          <w:sz w:val="28"/>
          <w:szCs w:val="28"/>
          <w:rtl w:val="true"/>
          <w:lang w:bidi="ar-SA"/>
        </w:rPr>
        <w:t xml:space="preserve">» </w:t>
      </w:r>
      <w:r>
        <w:rPr>
          <w:rStyle w:val="FootnoteAnchor"/>
          <w:rtl w:val="true"/>
        </w:rPr>
        <w:footnoteReference w:id="2467"/>
      </w:r>
      <w:r>
        <w:rPr>
          <w:rFonts w:ascii="Amiri" w:hAnsi="Amiri" w:eastAsia="Amiri" w:cs="Amiri"/>
          <w:color w:val="111111"/>
          <w:sz w:val="28"/>
          <w:sz w:val="28"/>
          <w:szCs w:val="28"/>
          <w:rtl w:val="true"/>
          <w:lang w:bidi="ar-SA"/>
        </w:rPr>
        <w:t xml:space="preserve">و نحوه الثاني المروي عن قرب الإسناد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ضعف سنداً،و في القاعدة دلالةً،و لذا نسبه الماتن هنا و في الشرائع </w:t>
      </w:r>
      <w:r>
        <w:rPr>
          <w:rStyle w:val="FootnoteAnchor"/>
          <w:rtl w:val="true"/>
        </w:rPr>
        <w:footnoteReference w:id="2469"/>
      </w:r>
      <w:r>
        <w:rPr>
          <w:rFonts w:ascii="Amiri" w:hAnsi="Amiri" w:eastAsia="Amiri" w:cs="Amiri"/>
          <w:color w:val="111111"/>
          <w:sz w:val="28"/>
          <w:sz w:val="28"/>
          <w:szCs w:val="28"/>
          <w:rtl w:val="true"/>
          <w:lang w:bidi="ar-SA"/>
        </w:rPr>
        <w:t>إلى القيل مشعراً بتمريضه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عليه أكثر المتأخّرين،بل في المسالك و الروضة أنّه المشهور بين الأصحاب </w:t>
      </w:r>
      <w:r>
        <w:rPr>
          <w:rStyle w:val="FootnoteAnchor"/>
          <w:rtl w:val="true"/>
        </w:rPr>
        <w:footnoteReference w:id="2470"/>
      </w:r>
      <w:r>
        <w:rPr>
          <w:rFonts w:ascii="Amiri" w:hAnsi="Amiri" w:eastAsia="Amiri" w:cs="Amiri"/>
          <w:color w:val="111111"/>
          <w:sz w:val="28"/>
          <w:sz w:val="28"/>
          <w:szCs w:val="28"/>
          <w:rtl w:val="true"/>
          <w:lang w:bidi="ar-SA"/>
        </w:rPr>
        <w:t>،و ربما أُيّد بما مرّ من النصوص بإثبات الدية بكسر البعصوص فلا يملك استه،و ضرب العجان فلا يستمسك بوله و لا غائطه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لعدم دلالتها على كون الدية لأجل الجناية على المنفعة خاصّة كما هو مفروض المسألة،و الشهرة بنفسها ليست بحجة إلّا أن تجعل لضعف الخبرين جابرة،و هو حسن إن لم تعارضه الشهرة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ثبوتها على الخلاف و هو العمل بما في رواية من أنّه إن دام السلس إلى الليل لزمته الدية كاملةً و إن دام إلى الزوال لزم ثلثاها،و إن دام إلى الضحوة لزم ثلث الدية </w:t>
      </w:r>
      <w:r>
        <w:rPr>
          <w:rStyle w:val="FootnoteAnchor"/>
          <w:rtl w:val="true"/>
        </w:rPr>
        <w:footnoteReference w:id="2471"/>
      </w:r>
      <w:r>
        <w:rPr>
          <w:rFonts w:ascii="Amiri" w:hAnsi="Amiri" w:eastAsia="Amiri" w:cs="Amiri"/>
          <w:color w:val="111111"/>
          <w:sz w:val="28"/>
          <w:sz w:val="28"/>
          <w:szCs w:val="28"/>
          <w:rtl w:val="true"/>
          <w:lang w:bidi="ar-SA"/>
        </w:rPr>
        <w:t xml:space="preserve">فقد حكي القول به عن السرائر و النزهة و الجامع و الوسيلة </w:t>
      </w:r>
      <w:r>
        <w:rPr>
          <w:rStyle w:val="FootnoteAnchor"/>
          <w:rtl w:val="true"/>
        </w:rPr>
        <w:footnoteReference w:id="2472"/>
      </w:r>
      <w:r>
        <w:rPr>
          <w:rFonts w:ascii="Amiri" w:hAnsi="Amiri" w:eastAsia="Amiri" w:cs="Amiri"/>
          <w:color w:val="111111"/>
          <w:sz w:val="28"/>
          <w:sz w:val="28"/>
          <w:szCs w:val="28"/>
          <w:rtl w:val="true"/>
          <w:lang w:bidi="ar-SA"/>
        </w:rPr>
        <w:t xml:space="preserve">،و اختاره من المتأخّرين الفاضل المقداد </w:t>
      </w:r>
      <w:r>
        <w:rPr>
          <w:rStyle w:val="FootnoteAnchor"/>
          <w:rtl w:val="true"/>
        </w:rPr>
        <w:footnoteReference w:id="2473"/>
      </w:r>
      <w:r>
        <w:rPr>
          <w:rFonts w:ascii="Amiri" w:hAnsi="Amiri" w:eastAsia="Amiri" w:cs="Amiri"/>
          <w:color w:val="111111"/>
          <w:sz w:val="28"/>
          <w:sz w:val="28"/>
          <w:szCs w:val="28"/>
          <w:rtl w:val="true"/>
          <w:lang w:bidi="ar-SA"/>
        </w:rPr>
        <w:t xml:space="preserve">،و ادّعى المحقّق الثاني فيما حكي عنه </w:t>
      </w:r>
      <w:r>
        <w:rPr>
          <w:rStyle w:val="FootnoteAnchor"/>
          <w:rtl w:val="true"/>
        </w:rPr>
        <w:footnoteReference w:id="2474"/>
      </w:r>
      <w:r>
        <w:rPr>
          <w:rFonts w:ascii="Amiri" w:hAnsi="Amiri" w:eastAsia="Amiri" w:cs="Amiri"/>
          <w:color w:val="111111"/>
          <w:sz w:val="28"/>
          <w:sz w:val="28"/>
          <w:szCs w:val="28"/>
          <w:rtl w:val="true"/>
          <w:lang w:bidi="ar-SA"/>
        </w:rPr>
        <w:t>الشهرة و جبر بها ضعف الرواية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لذلك محل إشكال و ريبة،لكن الأصل يقتضي المصير إلى القول الثاني؛ فإنّ لزوم كمال الدية على الإطلاق ممّا ينفيه أصالة البراءة، فينبغي الاقتصار فيه على الصورة المتّفق عليها،و هي الصورة الأُولى،و أمّا الصور </w:t>
      </w:r>
      <w:r>
        <w:rPr>
          <w:rStyle w:val="FootnoteAnchor"/>
          <w:rtl w:val="true"/>
        </w:rPr>
        <w:footnoteReference w:id="2475"/>
      </w:r>
      <w:r>
        <w:rPr>
          <w:rFonts w:ascii="Amiri" w:hAnsi="Amiri" w:eastAsia="Amiri" w:cs="Amiri"/>
          <w:color w:val="111111"/>
          <w:sz w:val="28"/>
          <w:sz w:val="28"/>
          <w:szCs w:val="28"/>
          <w:rtl w:val="true"/>
          <w:lang w:bidi="ar-SA"/>
        </w:rPr>
        <w:t>الباقية فالأصل عدم لزومه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إثبات الثلث و الثلثين في الصورتين الأخيرتين و إن كان ممّا لا يساعده الأصل حيث يزيدان عن الحكومة إلّا أنّه جاء من قبل الإجماع و عدم قائل بها مطلقاً؛ فإنّ كل من نفى كمال الدية على الإطلاق قال بالقول الثاني المفصّل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فليطرح الخبران المطلقان للدية،مع كونهما قضية في واقعة، أو يحملا على الصورة الأُولى خاصّة جمعاً،سيّما مع كونها أظهر أفراد المطلق؛ لندرة الصورتين الأخيرتين فيما 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الفاضل في الإرشاد و القواعد </w:t>
      </w:r>
      <w:r>
        <w:rPr>
          <w:rStyle w:val="FootnoteAnchor"/>
          <w:rtl w:val="true"/>
        </w:rPr>
        <w:footnoteReference w:id="2476"/>
      </w:r>
      <w:r>
        <w:rPr>
          <w:rFonts w:ascii="Amiri" w:hAnsi="Amiri" w:eastAsia="Amiri" w:cs="Amiri"/>
          <w:color w:val="111111"/>
          <w:sz w:val="28"/>
          <w:sz w:val="28"/>
          <w:szCs w:val="28"/>
          <w:rtl w:val="true"/>
          <w:lang w:bidi="ar-SA"/>
        </w:rPr>
        <w:t>قولاً ثالثاً مفصّلاً كالثاني،لكن مبدلاً الثلثين بالنصف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أعرف قائله و لا مستنده،و به صرّح جماعة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الظاهر أنّ المراد بالدوام في الصور الثلاث الدوام في كل يوم لا في يوم أو أيّام كما فهمه العلّامة </w:t>
      </w:r>
      <w:r>
        <w:rPr>
          <w:rStyle w:val="FootnoteAnchor"/>
          <w:rtl w:val="true"/>
        </w:rPr>
        <w:footnoteReference w:id="2478"/>
      </w:r>
      <w:r>
        <w:rPr>
          <w:rFonts w:ascii="Amiri" w:hAnsi="Amiri" w:eastAsia="Amiri" w:cs="Amiri"/>
          <w:color w:val="111111"/>
          <w:sz w:val="28"/>
          <w:sz w:val="28"/>
          <w:szCs w:val="28"/>
          <w:rtl w:val="true"/>
          <w:lang w:bidi="ar-SA"/>
        </w:rPr>
        <w:t xml:space="preserve">و جماعة </w:t>
      </w:r>
      <w:r>
        <w:rPr>
          <w:rStyle w:val="FootnoteAnchor"/>
          <w:rtl w:val="true"/>
        </w:rPr>
        <w:footnoteReference w:id="2479"/>
      </w:r>
      <w:r>
        <w:rPr>
          <w:rFonts w:ascii="Amiri" w:hAnsi="Amiri" w:eastAsia="Amiri" w:cs="Amiri"/>
          <w:color w:val="111111"/>
          <w:sz w:val="28"/>
          <w:sz w:val="28"/>
          <w:szCs w:val="28"/>
          <w:rtl w:val="true"/>
          <w:lang w:bidi="ar-SA"/>
        </w:rPr>
        <w:t>لأنّ المعهود أنّ الدية و بعضها المقدّر إنّما يجب في ذهاب العضو أو المنفعة بالكلية،و أنّ مع العود الحكومة مع أصالة البراءة</w:t>
      </w:r>
      <w:r>
        <w:rPr>
          <w:rFonts w:eastAsia="Amiri" w:cs="Amiri" w:ascii="Amiri" w:hAnsi="Amiri"/>
          <w:color w:val="111111"/>
          <w:sz w:val="28"/>
          <w:szCs w:val="28"/>
          <w:rtl w:val="true"/>
          <w:lang w:bidi="ar-SA"/>
        </w:rPr>
        <w:t xml:space="preserve">. </w:t>
      </w:r>
      <w:bookmarkStart w:id="287" w:name="pg11409_91095"/>
    </w:p>
    <w:p>
      <w:pPr>
        <w:pStyle w:val="Heading4"/>
        <w:numPr>
          <w:ilvl w:val="3"/>
          <w:numId w:val="1"/>
        </w:numPr>
        <w:rPr/>
      </w:pPr>
      <w:bookmarkStart w:id="288" w:name="__RefHeading___Toc1102793_73709187"/>
      <w:bookmarkStart w:id="289" w:name="_Toc106"/>
      <w:bookmarkEnd w:id="287"/>
      <w:bookmarkEnd w:id="288"/>
      <w:r>
        <w:rPr>
          <w:rtl w:val="true"/>
        </w:rPr>
        <w:t>المقصد الثالث في الشجاج و الجراح</w:t>
      </w:r>
      <w:bookmarkEnd w:id="289"/>
    </w:p>
    <w:p>
      <w:pPr>
        <w:pStyle w:val="Heading5"/>
        <w:numPr>
          <w:ilvl w:val="4"/>
          <w:numId w:val="1"/>
        </w:numPr>
        <w:rPr/>
      </w:pPr>
      <w:bookmarkStart w:id="290" w:name="__RefHeading___Toc1102795_73709187"/>
      <w:bookmarkStart w:id="291" w:name="_Toc107"/>
      <w:bookmarkEnd w:id="290"/>
      <w:r>
        <w:rPr>
          <w:rtl w:val="true"/>
        </w:rPr>
        <w:t>الشجاج ثمان</w:t>
      </w:r>
      <w:bookmarkEnd w:id="291"/>
    </w:p>
    <w:p>
      <w:pPr>
        <w:pStyle w:val="Heading6"/>
        <w:numPr>
          <w:ilvl w:val="5"/>
          <w:numId w:val="1"/>
        </w:numPr>
        <w:rPr/>
      </w:pPr>
      <w:bookmarkStart w:id="292" w:name="__RefHeading___Toc1102797_73709187"/>
      <w:bookmarkStart w:id="293" w:name="_Toc108"/>
      <w:bookmarkEnd w:id="292"/>
      <w:r>
        <w:rPr>
          <w:rtl w:val="true"/>
        </w:rPr>
        <w:t>الحارصة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ديات الشجاج و الجراح فالشجاج بكسر الشين جمع شجّة بفتحها،و هي الجرح المختصّ بالرأس كما في مجمع البحرين </w:t>
      </w:r>
      <w:r>
        <w:rPr>
          <w:rStyle w:val="FootnoteAnchor"/>
          <w:rtl w:val="true"/>
        </w:rPr>
        <w:footnoteReference w:id="2480"/>
      </w:r>
      <w:r>
        <w:rPr>
          <w:rFonts w:ascii="Amiri" w:hAnsi="Amiri" w:eastAsia="Amiri" w:cs="Amiri"/>
          <w:color w:val="111111"/>
          <w:sz w:val="28"/>
          <w:sz w:val="28"/>
          <w:szCs w:val="28"/>
          <w:rtl w:val="true"/>
          <w:lang w:bidi="ar-SA"/>
        </w:rPr>
        <w:t xml:space="preserve">،أو الوجه أيضاً كما في كلام جماعة </w:t>
      </w:r>
      <w:r>
        <w:rPr>
          <w:rStyle w:val="FootnoteAnchor"/>
          <w:rtl w:val="true"/>
        </w:rPr>
        <w:footnoteReference w:id="2481"/>
      </w:r>
      <w:r>
        <w:rPr>
          <w:rFonts w:ascii="Amiri" w:hAnsi="Amiri" w:eastAsia="Amiri" w:cs="Amiri"/>
          <w:color w:val="111111"/>
          <w:sz w:val="28"/>
          <w:sz w:val="28"/>
          <w:szCs w:val="28"/>
          <w:rtl w:val="true"/>
          <w:lang w:bidi="ar-SA"/>
        </w:rPr>
        <w:t>و عزي إلى نص اللغة،و يسمّى في غيرهما جرحاً بقول مطلق ثمان على المشهور الحارصة،و الدامية،و المتلاحمة،و السمحاق، و الموضحة،و الهاشمة،و المنقّلة،و المأمومة،و الجائفة فهذه تسعة، و لكن الأخيرة من الجراح لا الشجاج؛ إذ لا اختصاص لها بالرأس و الوجه،و عليه فيكون عدد الشجاج المختصّ بهما كما هو معناها لغةً بل و عرفاً ثمانية كما في العبارة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فالحارصة بإهمال الحروف جملة هي التي تقشر الجلد و تخدشه و فيها بعير على الأشهر الأظهر،بل عليه عامّة من تأخّر؛ للخبر المعتبر،بل الصحيح أو القريب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الحرصة شبه الخدش بعير</w:t>
      </w:r>
      <w:r>
        <w:rPr>
          <w:rFonts w:eastAsia="Amiri" w:cs="Amiri" w:ascii="Amiri" w:hAnsi="Amiri"/>
          <w:color w:val="111111"/>
          <w:sz w:val="28"/>
          <w:szCs w:val="28"/>
          <w:rtl w:val="true"/>
          <w:lang w:bidi="ar-SA"/>
        </w:rPr>
        <w:t xml:space="preserve">»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للإسكافي،فنصف بعير </w:t>
      </w:r>
      <w:r>
        <w:rPr>
          <w:rStyle w:val="FootnoteAnchor"/>
          <w:rtl w:val="true"/>
        </w:rPr>
        <w:footnoteReference w:id="2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غير واضح</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النص و أكثر الفتاوي يقتضي عدم الفرق بين كون المشجوج </w:t>
      </w:r>
    </w:p>
    <w:p>
      <w:pPr>
        <w:pStyle w:val="BookText"/>
        <w:rPr/>
      </w:pPr>
      <w:r>
        <w:rPr>
          <w:rFonts w:ascii="Amiri" w:hAnsi="Amiri" w:eastAsia="Amiri" w:cs="Amiri"/>
          <w:color w:val="111111"/>
          <w:sz w:val="28"/>
          <w:sz w:val="28"/>
          <w:szCs w:val="28"/>
          <w:rtl w:val="true"/>
          <w:lang w:bidi="ar-SA"/>
        </w:rPr>
        <w:t>ذكراً أو أُنثى،حرّا أو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للغنية و الإصباح و الجامع </w:t>
      </w:r>
      <w:r>
        <w:rPr>
          <w:rStyle w:val="FootnoteAnchor"/>
          <w:rtl w:val="true"/>
        </w:rPr>
        <w:footnoteReference w:id="2484"/>
      </w:r>
      <w:r>
        <w:rPr>
          <w:rFonts w:ascii="Amiri" w:hAnsi="Amiri" w:eastAsia="Amiri" w:cs="Amiri"/>
          <w:color w:val="111111"/>
          <w:sz w:val="28"/>
          <w:sz w:val="28"/>
          <w:szCs w:val="28"/>
          <w:rtl w:val="true"/>
          <w:lang w:bidi="ar-SA"/>
        </w:rPr>
        <w:t>فعبّروا بأنّ فيها عشر عشر الدية، و عليه يفترق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مع مخالفته إطلاق النص أنّ افتراقهما لا يكون إلّا بعد بلوغ الثلث أو </w:t>
      </w:r>
      <w:r>
        <w:rPr>
          <w:rStyle w:val="FootnoteAnchor"/>
          <w:rtl w:val="true"/>
        </w:rPr>
        <w:footnoteReference w:id="2485"/>
      </w:r>
      <w:r>
        <w:rPr>
          <w:rFonts w:ascii="Amiri" w:hAnsi="Amiri" w:eastAsia="Amiri" w:cs="Amiri"/>
          <w:color w:val="111111"/>
          <w:sz w:val="28"/>
          <w:sz w:val="28"/>
          <w:szCs w:val="28"/>
          <w:rtl w:val="true"/>
          <w:lang w:bidi="ar-SA"/>
        </w:rPr>
        <w:t>التجاوز عنه لا مطلقاً،كما مضى أيضاً و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عبائرهم عليه بأن يراد بالدية المضاف إليها عشر عشر دية الذكر التي هي الأصل،دون دية الأُنثى التي هي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حمزة </w:t>
      </w:r>
      <w:r>
        <w:rPr>
          <w:rStyle w:val="FootnoteAnchor"/>
          <w:rtl w:val="true"/>
        </w:rPr>
        <w:footnoteReference w:id="2486"/>
      </w:r>
      <w:r>
        <w:rPr>
          <w:rFonts w:ascii="Amiri" w:hAnsi="Amiri" w:eastAsia="Amiri" w:cs="Amiri"/>
          <w:color w:val="111111"/>
          <w:sz w:val="28"/>
          <w:sz w:val="28"/>
          <w:szCs w:val="28"/>
          <w:rtl w:val="true"/>
          <w:lang w:bidi="ar-SA"/>
        </w:rPr>
        <w:t>،ففرّق بين الحرّ فما في النص و العبارة،و المملوك فالأرش على حسب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للشك في دخول مثله في إطلاق الفتوى و النص، سيّما مع اختلافه مع الحرّ في كثير من الأحكام،سيّما الديات،و لكن الحكم بالأرش على الإطلاق مشكل،بل ينبغي تقييده بما إذا وافق عشر عشر قيمته كما هو الضابط في دية أعضائه،من نسبتها إلى دية الحرّ ثم إلى دية مجموعة التي هي قيمته،ما لم تزد عن دية الحرّ فتردّ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مضى</w:t>
      </w:r>
      <w:r>
        <w:rPr>
          <w:rFonts w:eastAsia="Amiri" w:cs="Amiri" w:ascii="Amiri" w:hAnsi="Amiri"/>
          <w:color w:val="111111"/>
          <w:sz w:val="28"/>
          <w:szCs w:val="28"/>
          <w:rtl w:val="true"/>
          <w:lang w:bidi="ar-SA"/>
        </w:rPr>
        <w:t xml:space="preserve">) </w:t>
      </w:r>
      <w:r>
        <w:rPr>
          <w:rStyle w:val="FootnoteAnchor"/>
          <w:rtl w:val="true"/>
        </w:rPr>
        <w:footnoteReference w:id="2487"/>
      </w:r>
      <w:r>
        <w:rPr>
          <w:rFonts w:ascii="Amiri" w:hAnsi="Amiri" w:eastAsia="Amiri" w:cs="Amiri"/>
          <w:color w:val="111111"/>
          <w:sz w:val="28"/>
          <w:sz w:val="28"/>
          <w:szCs w:val="28"/>
          <w:rtl w:val="true"/>
          <w:lang w:bidi="ar-SA"/>
        </w:rPr>
        <w:t>و يأتي أيضاً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إرجاع ما في الكتب الثلاثة المتقدمة من إثبات عشر عشر الدية إلى هذا،بحمل الدية فيها على ما يعمّ نحو قيمة المملوك،فتأمّل جدّاً </w:t>
      </w:r>
      <w:r>
        <w:rPr>
          <w:rFonts w:eastAsia="Amiri" w:cs="Amiri" w:ascii="Amiri" w:hAnsi="Amiri"/>
          <w:color w:val="111111"/>
          <w:sz w:val="28"/>
          <w:szCs w:val="28"/>
          <w:rtl w:val="true"/>
          <w:lang w:bidi="ar-SA"/>
        </w:rPr>
        <w:t xml:space="preserve">. </w:t>
      </w:r>
      <w:bookmarkStart w:id="294" w:name="pg11409_91097"/>
    </w:p>
    <w:p>
      <w:pPr>
        <w:pStyle w:val="Heading6"/>
        <w:numPr>
          <w:ilvl w:val="5"/>
          <w:numId w:val="1"/>
        </w:numPr>
        <w:rPr/>
      </w:pPr>
      <w:bookmarkStart w:id="295" w:name="__RefHeading___Toc1102799_73709187"/>
      <w:bookmarkStart w:id="296" w:name="_Toc109"/>
      <w:bookmarkEnd w:id="294"/>
      <w:bookmarkEnd w:id="295"/>
      <w:r>
        <w:rPr>
          <w:rtl w:val="true"/>
        </w:rPr>
        <w:t>الدامية</w:t>
      </w:r>
      <w:bookmarkEnd w:id="296"/>
    </w:p>
    <w:p>
      <w:pPr>
        <w:pStyle w:val="BookText"/>
        <w:rPr/>
      </w:pPr>
      <w:r>
        <w:rPr>
          <w:rFonts w:ascii="Amiri" w:hAnsi="Amiri" w:eastAsia="Amiri" w:cs="Amiri"/>
          <w:color w:val="111111"/>
          <w:sz w:val="28"/>
          <w:sz w:val="28"/>
          <w:szCs w:val="28"/>
          <w:rtl w:val="true"/>
          <w:lang w:bidi="ar-SA"/>
        </w:rPr>
        <w:t xml:space="preserve">و هل الحارصة هي الدامية فتكون ديتها ديتها بعيراً،و يبدل عنها في عدد الثمانية الذي فيه بعيران بالباضعة؟أم غيرها فتكون ديتها بعيرين،و تكون الباضعة مرادفة للمتلاحمة فيها ثلاثة أبعرة؟ قال الشيخ </w:t>
      </w:r>
      <w:r>
        <w:rPr>
          <w:rStyle w:val="FootnoteAnchor"/>
          <w:rtl w:val="true"/>
        </w:rPr>
        <w:footnoteReference w:id="2488"/>
      </w:r>
      <w:r>
        <w:rPr>
          <w:rFonts w:ascii="Amiri" w:hAnsi="Amiri" w:eastAsia="Amiri" w:cs="Amiri"/>
          <w:color w:val="111111"/>
          <w:sz w:val="28"/>
          <w:sz w:val="28"/>
          <w:szCs w:val="28"/>
          <w:rtl w:val="true"/>
          <w:lang w:bidi="ar-SA"/>
        </w:rPr>
        <w:t xml:space="preserve">و جماعة </w:t>
      </w:r>
      <w:r>
        <w:rPr>
          <w:rStyle w:val="FootnoteAnchor"/>
          <w:rtl w:val="true"/>
        </w:rPr>
        <w:footnoteReference w:id="2489"/>
      </w:r>
      <w:r>
        <w:rPr>
          <w:rFonts w:ascii="Amiri" w:hAnsi="Amiri" w:eastAsia="Amiri" w:cs="Amiri"/>
          <w:color w:val="111111"/>
          <w:sz w:val="28"/>
          <w:sz w:val="28"/>
          <w:szCs w:val="28"/>
          <w:rtl w:val="true"/>
          <w:lang w:bidi="ar-SA"/>
        </w:rPr>
        <w:t>نعم للخبرين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الدامية بعيراً،و في الباضعة بعيرين،و في المتلاحمة ثلاثة أبعرة</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سندهما و لا سيّما الأوّل لضعفه من وجوه يمنع عن العمل بهما،سيّما مع عدم مكافأتهما لأدلّة المشهور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صار الأكثرون كما هنا و في الشرائع و التحرير </w:t>
      </w:r>
      <w:r>
        <w:rPr>
          <w:rStyle w:val="FootnoteAnchor"/>
          <w:rtl w:val="true"/>
        </w:rPr>
        <w:footnoteReference w:id="2491"/>
      </w:r>
      <w:r>
        <w:rPr>
          <w:rFonts w:ascii="Amiri" w:hAnsi="Amiri" w:eastAsia="Amiri" w:cs="Amiri"/>
          <w:color w:val="111111"/>
          <w:sz w:val="28"/>
          <w:sz w:val="28"/>
          <w:szCs w:val="28"/>
          <w:rtl w:val="true"/>
          <w:lang w:bidi="ar-SA"/>
        </w:rPr>
        <w:t xml:space="preserve">،بل في المسالك و الروضة و شرح الشرائع للصيمري </w:t>
      </w:r>
      <w:r>
        <w:rPr>
          <w:rStyle w:val="FootnoteAnchor"/>
          <w:rtl w:val="true"/>
        </w:rPr>
        <w:footnoteReference w:id="2492"/>
      </w:r>
      <w:r>
        <w:rPr>
          <w:rFonts w:ascii="Amiri" w:hAnsi="Amiri" w:eastAsia="Amiri" w:cs="Amiri"/>
          <w:color w:val="111111"/>
          <w:sz w:val="28"/>
          <w:sz w:val="28"/>
          <w:szCs w:val="28"/>
          <w:rtl w:val="true"/>
          <w:lang w:bidi="ar-SA"/>
        </w:rPr>
        <w:t>المشهور على خلافه للمعتبرة المستفيضة منها الرواية المتقدّمة؛ إذ فيها بعد ما مرّ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الدامية بعيران،و في الباضعة و هي ما دون السمحاق ثلاث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الصحيحان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الباضعة ثلاث من الإبل</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 xml:space="preserve">. </w:t>
      </w:r>
      <w:bookmarkStart w:id="297" w:name="pg11409_91098"/>
    </w:p>
    <w:p>
      <w:pPr>
        <w:pStyle w:val="BookText"/>
        <w:rPr/>
      </w:pPr>
      <w:bookmarkEnd w:id="297"/>
      <w:r>
        <w:rPr>
          <w:rFonts w:ascii="Amiri" w:hAnsi="Amiri" w:eastAsia="Amiri" w:cs="Amiri"/>
          <w:color w:val="111111"/>
          <w:sz w:val="28"/>
          <w:sz w:val="28"/>
          <w:szCs w:val="28"/>
          <w:rtl w:val="true"/>
          <w:lang w:bidi="ar-SA"/>
        </w:rPr>
        <w:t>و هما و إن لم يتضمّنا ذكر الحارصة و الدامية إلّا أنّهما دلّا على أنّ في الباضعة ثلاثاً من الإبل،و كل من قال به من المشهور قال بتغايرهما،كما مضى و سيأتي الإشارة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أي الدامية أذن التي تقطع الجلد و تأخذ في اللحم يسيراً و فيها بعيران</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102801_73709187"/>
      <w:bookmarkStart w:id="299" w:name="_Toc110"/>
      <w:bookmarkEnd w:id="298"/>
      <w:r>
        <w:rPr>
          <w:rtl w:val="true"/>
        </w:rPr>
        <w:t>المتلاحمة</w:t>
      </w:r>
      <w:bookmarkEnd w:id="299"/>
    </w:p>
    <w:p>
      <w:pPr>
        <w:pStyle w:val="BookText"/>
        <w:rPr/>
      </w:pPr>
      <w:r>
        <w:rPr>
          <w:rFonts w:ascii="Amiri" w:hAnsi="Amiri" w:eastAsia="Amiri" w:cs="Amiri"/>
          <w:color w:val="111111"/>
          <w:sz w:val="28"/>
          <w:sz w:val="28"/>
          <w:szCs w:val="28"/>
          <w:rtl w:val="true"/>
          <w:lang w:bidi="ar-SA"/>
        </w:rPr>
        <w:t>و المتلاحمة و هي التي تقطع الجلد و تأخذ في اللحم كثيراً و هل هي غير الباضعة فيجب فيها ثلاثة أبعرة و في الباضعة بعيران،و يكون أوّل الشجاج الدامية و الحارصة مترادفتين؟أم متّحدتان ديتهما ثلاثة أبعرة،و يكون أوّلها الحارصة فيها بعير،و ثانيها الدامية فيها بعيران؟ اختلاف مبني على الاختلاف السابق فمن قال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الدامية غير الحارصة و هم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الباضعة هي المتلاحمة ديتها ثلاثة أبعرة،عدا الإسكافي </w:t>
      </w:r>
      <w:r>
        <w:rPr>
          <w:rStyle w:val="FootnoteAnchor"/>
          <w:rtl w:val="true"/>
        </w:rPr>
        <w:footnoteReference w:id="2495"/>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الدامية هي الحارصة و هو الشيخ و من تبعه فالباضعة عنده غير المتلاحمة فيها بعيران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قد عرفت أنّ الأوّل أقرب ففي المتلاحمة و الباضعة إذن ثلاثة أبعرة و يظهر من هنا عدم الخلاف فتوًى و نصّاً في ثبوتها في </w:t>
      </w:r>
      <w:bookmarkStart w:id="300" w:name="pg11409_91099"/>
    </w:p>
    <w:p>
      <w:pPr>
        <w:pStyle w:val="BookText"/>
        <w:rPr/>
      </w:pPr>
      <w:bookmarkEnd w:id="300"/>
      <w:r>
        <w:rPr>
          <w:rFonts w:ascii="Amiri" w:hAnsi="Amiri" w:eastAsia="Amiri" w:cs="Amiri"/>
          <w:color w:val="111111"/>
          <w:sz w:val="28"/>
          <w:sz w:val="28"/>
          <w:szCs w:val="28"/>
          <w:rtl w:val="true"/>
          <w:lang w:bidi="ar-SA"/>
        </w:rPr>
        <w:t>المتلاحمة،و إنّما هو في ثبوتها في الباضعة،و قد عرفت من المعتبرة المستفيضة المعتضدة بالشهرة ثبوتها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الخبران المتقدّمان و إن نصّا على الخلاف بإثبات البعيرين فيها، و الثلاثة في المتلاحمة خاصّة،فارقين بينهما،إلّا أنّك قد عرفت الجواب عنهما،فما عليه الأكثر في المقامين أقوى إن فرض ثمرة معنوية تترتّب على الخلاف،و إلّا فيعود النزاع لفظيّاً كما صرّح به في المسالك و الروضة </w:t>
      </w:r>
      <w:r>
        <w:rPr>
          <w:rStyle w:val="FootnoteAnchor"/>
          <w:rtl w:val="true"/>
        </w:rPr>
        <w:footnoteReference w:id="2496"/>
      </w:r>
      <w:r>
        <w:rPr>
          <w:rFonts w:ascii="Amiri" w:hAnsi="Amiri" w:eastAsia="Amiri" w:cs="Amiri"/>
          <w:color w:val="111111"/>
          <w:sz w:val="28"/>
          <w:sz w:val="28"/>
          <w:szCs w:val="28"/>
          <w:rtl w:val="true"/>
          <w:lang w:bidi="ar-SA"/>
        </w:rPr>
        <w:t xml:space="preserve">شيخنا،فتأمّل جدّاً </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102803_73709187"/>
      <w:bookmarkStart w:id="302" w:name="_Toc111"/>
      <w:bookmarkEnd w:id="301"/>
      <w:r>
        <w:rPr>
          <w:rtl w:val="true"/>
        </w:rPr>
        <w:t>السِّمحاق</w:t>
      </w:r>
      <w:bookmarkEnd w:id="302"/>
    </w:p>
    <w:p>
      <w:pPr>
        <w:pStyle w:val="BookText"/>
        <w:rPr/>
      </w:pPr>
      <w:r>
        <w:rPr>
          <w:rFonts w:ascii="Amiri" w:hAnsi="Amiri" w:eastAsia="Amiri" w:cs="Amiri"/>
          <w:color w:val="111111"/>
          <w:sz w:val="28"/>
          <w:sz w:val="28"/>
          <w:szCs w:val="28"/>
          <w:rtl w:val="true"/>
          <w:lang w:bidi="ar-SA"/>
        </w:rPr>
        <w:t xml:space="preserve">و السِّمحاق بكسر السين المهملة و إسكان الميم،و هي التي تقطع اللحم و تقف على السمحاقة،و هي الجلدة المغشية للعظم،و فيها أربعة أبعرة للصحيحين </w:t>
      </w:r>
      <w:r>
        <w:rPr>
          <w:rStyle w:val="FootnoteAnchor"/>
          <w:rtl w:val="true"/>
        </w:rPr>
        <w:footnoteReference w:id="2497"/>
      </w:r>
      <w:r>
        <w:rPr>
          <w:rFonts w:ascii="Amiri" w:hAnsi="Amiri" w:eastAsia="Amiri" w:cs="Amiri"/>
          <w:color w:val="111111"/>
          <w:sz w:val="28"/>
          <w:sz w:val="28"/>
          <w:szCs w:val="28"/>
          <w:rtl w:val="true"/>
          <w:lang w:bidi="ar-SA"/>
        </w:rPr>
        <w:t xml:space="preserve">و غيرهما من المستفيضة </w:t>
      </w:r>
      <w:r>
        <w:rPr>
          <w:rStyle w:val="FootnoteAnchor"/>
          <w:rtl w:val="true"/>
        </w:rPr>
        <w:footnoteReference w:id="2498"/>
      </w:r>
      <w:r>
        <w:rPr>
          <w:rFonts w:ascii="Amiri" w:hAnsi="Amiri" w:eastAsia="Amiri" w:cs="Amiri"/>
          <w:color w:val="111111"/>
          <w:sz w:val="28"/>
          <w:sz w:val="28"/>
          <w:szCs w:val="28"/>
          <w:rtl w:val="true"/>
          <w:lang w:bidi="ar-SA"/>
        </w:rPr>
        <w:t xml:space="preserve">،و عليه الإجماع على الظاهر،المحكي في الغنية و عن الانتصار و الناصريات و الخلاف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الإسكافي أنّه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فيها حقّة و جذعة و ابنة مخاض و ابنة لبون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المقنع أنّ فيها خمسمائة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في الوجه </w:t>
      </w:r>
      <w:bookmarkStart w:id="303" w:name="pg11409_91100"/>
    </w:p>
    <w:p>
      <w:pPr>
        <w:pStyle w:val="BookText"/>
        <w:rPr/>
      </w:pPr>
      <w:bookmarkEnd w:id="303"/>
      <w:r>
        <w:rPr>
          <w:rFonts w:ascii="Amiri" w:hAnsi="Amiri" w:eastAsia="Amiri" w:cs="Amiri"/>
          <w:color w:val="111111"/>
          <w:sz w:val="28"/>
          <w:sz w:val="28"/>
          <w:szCs w:val="28"/>
          <w:rtl w:val="true"/>
          <w:lang w:bidi="ar-SA"/>
        </w:rPr>
        <w:t xml:space="preserve">فالدية على قدر الشين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ينصّ المرسل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1102805_73709187"/>
      <w:bookmarkStart w:id="305" w:name="_Toc112"/>
      <w:bookmarkEnd w:id="304"/>
      <w:r>
        <w:rPr>
          <w:rtl w:val="true"/>
        </w:rPr>
        <w:t>الموضحة</w:t>
      </w:r>
      <w:bookmarkEnd w:id="305"/>
    </w:p>
    <w:p>
      <w:pPr>
        <w:pStyle w:val="BookText"/>
        <w:rPr/>
      </w:pPr>
      <w:r>
        <w:rPr>
          <w:rFonts w:ascii="Amiri" w:hAnsi="Amiri" w:eastAsia="Amiri" w:cs="Amiri"/>
          <w:color w:val="111111"/>
          <w:sz w:val="28"/>
          <w:sz w:val="28"/>
          <w:szCs w:val="28"/>
          <w:rtl w:val="true"/>
          <w:lang w:bidi="ar-SA"/>
        </w:rPr>
        <w:t xml:space="preserve">و الموضحة و هي التي تكشف عن وضح العظم و بياضه و تقشر السمحاقة و فيها خمسة أبعرة بلا خلاف على الظاهر،المصرّح به في الغنية </w:t>
      </w:r>
      <w:r>
        <w:rPr>
          <w:rStyle w:val="FootnoteAnchor"/>
          <w:rtl w:val="true"/>
        </w:rPr>
        <w:footnoteReference w:id="2503"/>
      </w:r>
      <w:r>
        <w:rPr>
          <w:rFonts w:ascii="Amiri" w:hAnsi="Amiri" w:eastAsia="Amiri" w:cs="Amiri"/>
          <w:color w:val="111111"/>
          <w:sz w:val="28"/>
          <w:sz w:val="28"/>
          <w:szCs w:val="28"/>
          <w:rtl w:val="true"/>
          <w:lang w:bidi="ar-SA"/>
        </w:rPr>
        <w:t xml:space="preserve">،و حكي عن الخلاف و غيره </w:t>
      </w:r>
      <w:r>
        <w:rPr>
          <w:rStyle w:val="FootnoteAnchor"/>
          <w:rtl w:val="true"/>
        </w:rPr>
        <w:footnoteReference w:id="2504"/>
      </w:r>
      <w:r>
        <w:rPr>
          <w:rFonts w:ascii="IRNazanin" w:hAnsi="IRNazanin" w:eastAsia="IRNazanin"/>
          <w:color w:val="111111"/>
          <w:sz w:val="28"/>
          <w:sz w:val="28"/>
          <w:szCs w:val="28"/>
          <w:rtl w:val="true"/>
          <w:lang w:bidi="fa-IR"/>
        </w:rPr>
        <w:t xml:space="preserve">للصحاح </w:t>
      </w:r>
      <w:r>
        <w:rPr>
          <w:rStyle w:val="FootnoteAnchor"/>
          <w:rtl w:val="true"/>
        </w:rPr>
        <w:footnoteReference w:id="2505"/>
      </w:r>
      <w:r>
        <w:rPr>
          <w:rFonts w:ascii="Amiri" w:hAnsi="Amiri" w:eastAsia="Amiri" w:cs="Amiri"/>
          <w:color w:val="111111"/>
          <w:sz w:val="28"/>
          <w:sz w:val="28"/>
          <w:szCs w:val="28"/>
          <w:rtl w:val="true"/>
          <w:lang w:bidi="ar-SA"/>
        </w:rPr>
        <w:t xml:space="preserve">و الموثّق القريب منها </w:t>
      </w:r>
      <w:r>
        <w:rPr>
          <w:rStyle w:val="FootnoteAnchor"/>
          <w:rtl w:val="true"/>
        </w:rPr>
        <w:footnoteReference w:id="2506"/>
      </w:r>
      <w:r>
        <w:rPr>
          <w:rFonts w:ascii="Amiri" w:hAnsi="Amiri" w:eastAsia="Amiri" w:cs="Amiri"/>
          <w:color w:val="111111"/>
          <w:sz w:val="28"/>
          <w:sz w:val="28"/>
          <w:szCs w:val="28"/>
          <w:rtl w:val="true"/>
          <w:lang w:bidi="ar-SA"/>
        </w:rPr>
        <w:t xml:space="preserve">و غيرها من المستفيضة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موضحة الرأس خمسون ديناراً</w:t>
      </w:r>
      <w:r>
        <w:rPr>
          <w:rFonts w:eastAsia="Amiri" w:cs="Amiri" w:ascii="Amiri" w:hAnsi="Amiri"/>
          <w:color w:val="111111"/>
          <w:sz w:val="28"/>
          <w:szCs w:val="28"/>
          <w:rtl w:val="true"/>
          <w:lang w:bidi="ar-SA"/>
        </w:rPr>
        <w:t xml:space="preserve">» </w:t>
      </w:r>
      <w:r>
        <w:rPr>
          <w:rStyle w:val="FootnoteAnchor"/>
          <w:rtl w:val="true"/>
        </w:rPr>
        <w:footnoteReference w:id="2508"/>
      </w:r>
      <w:r>
        <w:rPr>
          <w:rFonts w:ascii="Amiri" w:hAnsi="Amiri" w:eastAsia="Amiri" w:cs="Amiri"/>
          <w:color w:val="111111"/>
          <w:sz w:val="28"/>
          <w:sz w:val="28"/>
          <w:szCs w:val="28"/>
          <w:rtl w:val="true"/>
          <w:lang w:bidi="ar-SA"/>
        </w:rPr>
        <w:t>و قريب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شجّ عبداً موضحة،قال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عشر قيمة العبد</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الجمع بينهما و بين المستفيضة أنّ ذكر الإبل فيها و النقد فيهما بعنوان المثل،و أنّ الضابط نصف عشر الدية كما عبّر به في الغنيّة </w:t>
      </w:r>
      <w:r>
        <w:rPr>
          <w:rStyle w:val="FootnoteAnchor"/>
          <w:rtl w:val="true"/>
        </w:rPr>
        <w:footnoteReference w:id="2510"/>
      </w:r>
      <w:r>
        <w:rPr>
          <w:rFonts w:ascii="Amiri" w:hAnsi="Amiri" w:eastAsia="Amiri" w:cs="Amiri"/>
          <w:color w:val="111111"/>
          <w:sz w:val="28"/>
          <w:sz w:val="28"/>
          <w:szCs w:val="28"/>
          <w:rtl w:val="true"/>
          <w:lang w:bidi="ar-SA"/>
        </w:rPr>
        <w:t xml:space="preserve">و عبائر جماعة </w:t>
      </w:r>
      <w:r>
        <w:rPr>
          <w:rStyle w:val="FootnoteAnchor"/>
          <w:rtl w:val="true"/>
        </w:rPr>
        <w:footnoteReference w:id="2511"/>
      </w:r>
      <w:r>
        <w:rPr>
          <w:rFonts w:ascii="Amiri" w:hAnsi="Amiri" w:eastAsia="Amiri" w:cs="Amiri"/>
          <w:color w:val="111111"/>
          <w:sz w:val="28"/>
          <w:sz w:val="28"/>
          <w:szCs w:val="28"/>
          <w:rtl w:val="true"/>
          <w:lang w:bidi="ar-SA"/>
        </w:rPr>
        <w:t xml:space="preserve">مع نفي الخلاف عنه،كتعبيرهم بخمسي عشر الدية في </w:t>
      </w:r>
      <w:bookmarkStart w:id="306" w:name="pg11409_91101"/>
    </w:p>
    <w:p>
      <w:pPr>
        <w:pStyle w:val="BookText"/>
        <w:rPr/>
      </w:pPr>
      <w:bookmarkEnd w:id="306"/>
      <w:r>
        <w:rPr>
          <w:rFonts w:ascii="Amiri" w:hAnsi="Amiri" w:eastAsia="Amiri" w:cs="Amiri"/>
          <w:color w:val="111111"/>
          <w:sz w:val="28"/>
          <w:sz w:val="28"/>
          <w:szCs w:val="28"/>
          <w:rtl w:val="true"/>
          <w:lang w:bidi="ar-SA"/>
        </w:rPr>
        <w:t xml:space="preserve">المسألة السابقة،و يمكن تنزيل عبائر الأكثر المعبّرة بالإبل خاصّة عليه، بحمله على المثل في المقامين،بل فيما يأتي و ما مضى مطلقاً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1102807_73709187"/>
      <w:bookmarkStart w:id="308" w:name="_Toc113"/>
      <w:bookmarkEnd w:id="307"/>
      <w:r>
        <w:rPr>
          <w:rtl w:val="true"/>
        </w:rPr>
        <w:t>الهاشمة</w:t>
      </w:r>
      <w:bookmarkEnd w:id="308"/>
    </w:p>
    <w:p>
      <w:pPr>
        <w:pStyle w:val="BookText"/>
        <w:rPr/>
      </w:pPr>
      <w:r>
        <w:rPr>
          <w:rFonts w:ascii="Amiri" w:hAnsi="Amiri" w:eastAsia="Amiri" w:cs="Amiri"/>
          <w:color w:val="111111"/>
          <w:sz w:val="28"/>
          <w:sz w:val="28"/>
          <w:szCs w:val="28"/>
          <w:rtl w:val="true"/>
          <w:lang w:bidi="ar-SA"/>
        </w:rPr>
        <w:t xml:space="preserve">و الهاشمة و هي التي تهشم العظم أي تكسره و إن لم تسبق بجرح و فيها عشرة أبعرة عشر الدية،بلا خلاف،و به صرّح في الغنية </w:t>
      </w:r>
      <w:r>
        <w:rPr>
          <w:rStyle w:val="FootnoteAnchor"/>
          <w:rtl w:val="true"/>
        </w:rPr>
        <w:footnoteReference w:id="2513"/>
      </w:r>
      <w:r>
        <w:rPr>
          <w:rFonts w:ascii="Amiri" w:hAnsi="Amiri" w:eastAsia="Amiri" w:cs="Amiri"/>
          <w:color w:val="111111"/>
          <w:sz w:val="28"/>
          <w:sz w:val="28"/>
          <w:szCs w:val="28"/>
          <w:rtl w:val="true"/>
          <w:lang w:bidi="ar-SA"/>
        </w:rPr>
        <w:t xml:space="preserve">،و بالإجماع بعض الأجلّة </w:t>
      </w:r>
      <w:r>
        <w:rPr>
          <w:rStyle w:val="FootnoteAnchor"/>
          <w:rtl w:val="true"/>
        </w:rPr>
        <w:footnoteReference w:id="2514"/>
      </w:r>
      <w:r>
        <w:rPr>
          <w:rFonts w:ascii="Amiri" w:hAnsi="Amiri" w:eastAsia="Amiri" w:cs="Amiri"/>
          <w:color w:val="111111"/>
          <w:sz w:val="28"/>
          <w:sz w:val="28"/>
          <w:szCs w:val="28"/>
          <w:rtl w:val="true"/>
          <w:lang w:bidi="ar-SA"/>
        </w:rPr>
        <w:t>للقوي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الهاشمة بعشر من الإبل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 كالعبارة و نحوها ما ذكره جماعة </w:t>
      </w:r>
      <w:r>
        <w:rPr>
          <w:rStyle w:val="FootnoteAnchor"/>
          <w:rtl w:val="true"/>
        </w:rPr>
        <w:footnoteReference w:id="2516"/>
      </w:r>
      <w:r>
        <w:rPr>
          <w:rFonts w:ascii="Amiri" w:hAnsi="Amiri" w:eastAsia="Amiri" w:cs="Amiri"/>
          <w:color w:val="111111"/>
          <w:sz w:val="28"/>
          <w:sz w:val="28"/>
          <w:szCs w:val="28"/>
          <w:rtl w:val="true"/>
          <w:lang w:bidi="ar-SA"/>
        </w:rPr>
        <w:t>من اعتبار الأسنان فيها أرباعاً في الخطأ و أثلاثاً في شبهه على نسبة ما يوزّع في الدية الكاملة،و إن كان أحوط</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102809_73709187"/>
      <w:bookmarkStart w:id="310" w:name="_Toc114"/>
      <w:bookmarkEnd w:id="309"/>
      <w:r>
        <w:rPr>
          <w:rtl w:val="true"/>
        </w:rPr>
        <w:t>المنقّلة</w:t>
      </w:r>
      <w:bookmarkEnd w:id="31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المنقّلة و هي على تعريف الماتن و جماعة </w:t>
      </w:r>
      <w:r>
        <w:rPr>
          <w:rStyle w:val="FootnoteAnchor"/>
          <w:rtl w:val="true"/>
        </w:rPr>
        <w:footnoteReference w:id="2517"/>
      </w:r>
      <w:r>
        <w:rPr>
          <w:rFonts w:ascii="Amiri" w:hAnsi="Amiri" w:eastAsia="Amiri" w:cs="Amiri"/>
          <w:color w:val="111111"/>
          <w:sz w:val="28"/>
          <w:sz w:val="28"/>
          <w:szCs w:val="28"/>
          <w:rtl w:val="true"/>
          <w:lang w:bidi="ar-SA"/>
        </w:rPr>
        <w:t xml:space="preserve">التي تحوج إلى نقل العظم من موضع إلى غيره،و قيل فيها تفاسير أُخر متقاربة و فيها خمسة عشر بعيراً عشر الدية و نصفه،بلا خلاف كما عن المبسوط و الخلاف و في الغنية </w:t>
      </w:r>
      <w:r>
        <w:rPr>
          <w:rStyle w:val="FootnoteAnchor"/>
          <w:rtl w:val="true"/>
        </w:rPr>
        <w:footnoteReference w:id="2518"/>
      </w:r>
      <w:r>
        <w:rPr>
          <w:rFonts w:ascii="Amiri" w:hAnsi="Amiri" w:eastAsia="Amiri" w:cs="Amiri"/>
          <w:color w:val="111111"/>
          <w:sz w:val="28"/>
          <w:sz w:val="28"/>
          <w:szCs w:val="28"/>
          <w:rtl w:val="true"/>
          <w:lang w:bidi="ar-SA"/>
        </w:rPr>
        <w:t xml:space="preserve">للصحيح </w:t>
      </w:r>
      <w:r>
        <w:rPr>
          <w:rStyle w:val="FootnoteAnchor"/>
          <w:rtl w:val="true"/>
        </w:rPr>
        <w:footnoteReference w:id="2519"/>
      </w:r>
      <w:r>
        <w:rPr>
          <w:rFonts w:ascii="Amiri" w:hAnsi="Amiri" w:eastAsia="Amiri" w:cs="Amiri"/>
          <w:color w:val="111111"/>
          <w:sz w:val="28"/>
          <w:sz w:val="28"/>
          <w:szCs w:val="28"/>
          <w:rtl w:val="true"/>
          <w:lang w:bidi="ar-SA"/>
        </w:rPr>
        <w:t xml:space="preserve">و الموثّق القريب منه </w:t>
      </w:r>
      <w:bookmarkStart w:id="311" w:name="pg11409_91102"/>
    </w:p>
    <w:p>
      <w:pPr>
        <w:pStyle w:val="BookText"/>
        <w:rPr/>
      </w:pPr>
      <w:bookmarkEnd w:id="311"/>
      <w:r>
        <w:rPr>
          <w:rFonts w:ascii="Amiri" w:hAnsi="Amiri" w:eastAsia="Amiri" w:cs="Amiri"/>
          <w:color w:val="111111"/>
          <w:sz w:val="28"/>
          <w:sz w:val="28"/>
          <w:szCs w:val="28"/>
          <w:rtl w:val="true"/>
          <w:lang w:bidi="ar-SA"/>
        </w:rPr>
        <w:t xml:space="preserve">سنداً </w:t>
      </w:r>
      <w:r>
        <w:rPr>
          <w:rStyle w:val="FootnoteAnchor"/>
          <w:rtl w:val="true"/>
        </w:rPr>
        <w:footnoteReference w:id="2520"/>
      </w:r>
      <w:r>
        <w:rPr>
          <w:rFonts w:ascii="Amiri" w:hAnsi="Amiri" w:eastAsia="Amiri" w:cs="Amiri"/>
          <w:color w:val="111111"/>
          <w:sz w:val="28"/>
          <w:sz w:val="28"/>
          <w:szCs w:val="28"/>
          <w:rtl w:val="true"/>
          <w:lang w:bidi="ar-SA"/>
        </w:rPr>
        <w:t xml:space="preserve">و غيرهما من المستفيضة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فسّرت في بعضها بالتي قد صارت قرحة ينقل منها العظام </w:t>
      </w:r>
      <w:r>
        <w:rPr>
          <w:rStyle w:val="FootnoteAnchor"/>
          <w:rtl w:val="true"/>
        </w:rPr>
        <w:footnoteReference w:id="2522"/>
      </w:r>
      <w:r>
        <w:rPr>
          <w:rFonts w:ascii="Amiri" w:hAnsi="Amiri" w:eastAsia="Amiri" w:cs="Amiri"/>
          <w:color w:val="111111"/>
          <w:sz w:val="28"/>
          <w:sz w:val="28"/>
          <w:szCs w:val="28"/>
          <w:rtl w:val="true"/>
          <w:lang w:bidi="ar-SA"/>
        </w:rPr>
        <w:t>،و في بعضها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المنقّلة خمسة عشر من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و نصف عشر</w:t>
      </w:r>
      <w:r>
        <w:rPr>
          <w:rFonts w:eastAsia="Amiri" w:cs="Amiri" w:ascii="Amiri" w:hAnsi="Amiri"/>
          <w:color w:val="111111"/>
          <w:sz w:val="28"/>
          <w:szCs w:val="28"/>
          <w:rtl w:val="true"/>
          <w:lang w:bidi="ar-SA"/>
        </w:rPr>
        <w:t xml:space="preserve">» </w:t>
      </w:r>
      <w:r>
        <w:rPr>
          <w:rStyle w:val="FootnoteAnchor"/>
          <w:rtl w:val="true"/>
        </w:rPr>
        <w:footnoteReference w:id="2523"/>
      </w:r>
      <w:r>
        <w:rPr>
          <w:rFonts w:ascii="Amiri" w:hAnsi="Amiri" w:eastAsia="Amiri" w:cs="Amiri"/>
          <w:color w:val="111111"/>
          <w:sz w:val="28"/>
          <w:sz w:val="28"/>
          <w:szCs w:val="28"/>
          <w:rtl w:val="true"/>
          <w:lang w:bidi="ar-SA"/>
        </w:rPr>
        <w:t>و فيه دلالة على الضابط المتقدم،لكن فيه قطع،و في المفسِّر 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العماني هنا عشرين بعيراً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 ندرته جدّاً على الظاهر،المصرّح به في عبائر جماعة </w:t>
      </w:r>
      <w:r>
        <w:rPr>
          <w:rStyle w:val="FootnoteAnchor"/>
          <w:rtl w:val="true"/>
        </w:rPr>
        <w:footnoteReference w:id="2525"/>
      </w:r>
      <w:r>
        <w:rPr>
          <w:rFonts w:ascii="IRNazanin" w:hAnsi="IRNazanin" w:eastAsia="IRNazanin"/>
          <w:color w:val="111111"/>
          <w:sz w:val="28"/>
          <w:sz w:val="28"/>
          <w:szCs w:val="28"/>
          <w:rtl w:val="true"/>
          <w:lang w:bidi="fa-IR"/>
        </w:rPr>
        <w:t>لم أر له مستنداً</w:t>
      </w:r>
      <w:r>
        <w:rPr>
          <w:rFonts w:eastAsia="IRNazanin" w:cs="IRNazanin"/>
          <w:color w:val="111111"/>
          <w:sz w:val="28"/>
          <w:szCs w:val="28"/>
          <w:rtl w:val="true"/>
          <w:lang w:bidi="fa-IR"/>
        </w:rPr>
        <w:t>.</w:t>
      </w:r>
    </w:p>
    <w:p>
      <w:pPr>
        <w:pStyle w:val="Heading6"/>
        <w:numPr>
          <w:ilvl w:val="5"/>
          <w:numId w:val="1"/>
        </w:numPr>
        <w:rPr/>
      </w:pPr>
      <w:bookmarkStart w:id="312" w:name="__RefHeading___Toc1102811_73709187"/>
      <w:bookmarkStart w:id="313" w:name="_Toc115"/>
      <w:bookmarkEnd w:id="312"/>
      <w:r>
        <w:rPr>
          <w:rtl w:val="true"/>
        </w:rPr>
        <w:t>المأمومة</w:t>
      </w:r>
      <w:bookmarkEnd w:id="31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المأمومة و هي التي تصل إلى أُمّ الرأس،و هي الخريطة الجامعة للدماغ بكسر الدال،و لا تفتقها و فيها ثلث الدّية كما في الغنية و عن الخلاف و المراسم و المقنع و الوسيلة </w:t>
      </w:r>
      <w:r>
        <w:rPr>
          <w:rStyle w:val="FootnoteAnchor"/>
          <w:rtl w:val="true"/>
        </w:rPr>
        <w:footnoteReference w:id="2526"/>
      </w:r>
      <w:r>
        <w:rPr>
          <w:rFonts w:ascii="Amiri" w:hAnsi="Amiri" w:eastAsia="Amiri" w:cs="Amiri"/>
          <w:color w:val="111111"/>
          <w:sz w:val="28"/>
          <w:sz w:val="28"/>
          <w:szCs w:val="28"/>
          <w:rtl w:val="true"/>
          <w:lang w:bidi="ar-SA"/>
        </w:rPr>
        <w:t xml:space="preserve">و غيرها </w:t>
      </w:r>
      <w:r>
        <w:rPr>
          <w:rStyle w:val="FootnoteAnchor"/>
          <w:rtl w:val="true"/>
        </w:rPr>
        <w:footnoteReference w:id="2527"/>
      </w:r>
      <w:r>
        <w:rPr>
          <w:rFonts w:ascii="Amiri" w:hAnsi="Amiri" w:eastAsia="Amiri" w:cs="Amiri"/>
          <w:color w:val="111111"/>
          <w:sz w:val="28"/>
          <w:sz w:val="28"/>
          <w:szCs w:val="28"/>
          <w:rtl w:val="true"/>
          <w:lang w:bidi="ar-SA"/>
        </w:rPr>
        <w:t>للنصوص المستفيضة،منها الصحيح عن الشجّة المأمومة؟فقال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 و الشجّة الجائفة ثلث الدية</w:t>
      </w:r>
      <w:r>
        <w:rPr>
          <w:rFonts w:eastAsia="Amiri" w:cs="Amiri" w:ascii="Amiri" w:hAnsi="Amiri"/>
          <w:color w:val="111111"/>
          <w:sz w:val="28"/>
          <w:szCs w:val="28"/>
          <w:rtl w:val="true"/>
          <w:lang w:bidi="ar-SA"/>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2529"/>
      </w:r>
      <w:r>
        <w:rPr>
          <w:rFonts w:ascii="Amiri" w:hAnsi="Amiri" w:eastAsia="Amiri" w:cs="Amiri"/>
          <w:color w:val="111111"/>
          <w:sz w:val="28"/>
          <w:sz w:val="28"/>
          <w:szCs w:val="28"/>
          <w:rtl w:val="true"/>
          <w:lang w:bidi="ar-SA"/>
        </w:rPr>
        <w:t xml:space="preserve">،لكن بزيادة تفسير الثلث في الجائفة بثلاث و ثلاثين من الإبل،و فيه إيماء إلى وقوع التجوّز في الثلث في الجائفة،فيحتمل وقوعه فيه أيضاً في المأمومة،سيّما مع ورود الصحيح </w:t>
      </w:r>
      <w:r>
        <w:rPr>
          <w:rStyle w:val="FootnoteAnchor"/>
          <w:rtl w:val="true"/>
        </w:rPr>
        <w:footnoteReference w:id="2530"/>
      </w:r>
      <w:r>
        <w:rPr>
          <w:rFonts w:ascii="Amiri" w:hAnsi="Amiri" w:eastAsia="Amiri" w:cs="Amiri"/>
          <w:color w:val="111111"/>
          <w:sz w:val="28"/>
          <w:sz w:val="28"/>
          <w:szCs w:val="28"/>
          <w:rtl w:val="true"/>
          <w:lang w:bidi="ar-SA"/>
        </w:rPr>
        <w:t xml:space="preserve">و غيره </w:t>
      </w:r>
      <w:r>
        <w:rPr>
          <w:rStyle w:val="FootnoteAnchor"/>
          <w:rtl w:val="true"/>
        </w:rPr>
        <w:footnoteReference w:id="2531"/>
      </w:r>
      <w:r>
        <w:rPr>
          <w:rFonts w:ascii="Amiri" w:hAnsi="Amiri" w:eastAsia="Amiri" w:cs="Amiri"/>
          <w:color w:val="111111"/>
          <w:sz w:val="28"/>
          <w:sz w:val="28"/>
          <w:szCs w:val="28"/>
          <w:rtl w:val="true"/>
          <w:lang w:bidi="ar-SA"/>
        </w:rPr>
        <w:t>بأنّه فيها ثلاث و ثلاثون بعيراً و مثل هذا التجوّز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أنّ الفاضلين في الشرائع و التحرير </w:t>
      </w:r>
      <w:r>
        <w:rPr>
          <w:rStyle w:val="FootnoteAnchor"/>
          <w:rtl w:val="true"/>
        </w:rPr>
        <w:footnoteReference w:id="2532"/>
      </w:r>
      <w:r>
        <w:rPr>
          <w:rFonts w:ascii="Amiri" w:hAnsi="Amiri" w:eastAsia="Amiri" w:cs="Amiri"/>
          <w:color w:val="111111"/>
          <w:sz w:val="28"/>
          <w:sz w:val="28"/>
          <w:szCs w:val="28"/>
          <w:rtl w:val="true"/>
          <w:lang w:bidi="ar-SA"/>
        </w:rPr>
        <w:t>مع تصريحهما بأنّ فيها ثلث الدية فسّراه بثلاث و ثلاثين من الإبل من دون ذكر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الشيخان في المقنعة و النهاية و المرتضى في الناصريات </w:t>
      </w:r>
      <w:r>
        <w:rPr>
          <w:rStyle w:val="FootnoteAnchor"/>
          <w:rtl w:val="true"/>
        </w:rPr>
        <w:footnoteReference w:id="2533"/>
      </w:r>
      <w:r>
        <w:rPr>
          <w:rFonts w:ascii="Amiri" w:hAnsi="Amiri" w:eastAsia="Amiri" w:cs="Amiri"/>
          <w:color w:val="111111"/>
          <w:sz w:val="28"/>
          <w:sz w:val="28"/>
          <w:szCs w:val="28"/>
          <w:rtl w:val="true"/>
          <w:lang w:bidi="ar-SA"/>
        </w:rPr>
        <w:t>على ما حكي عنهم،فقالوا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ثلاثون بعيراً،أو ثلث الدية من العين أو الورق على السواء؛ لأنّ ذلك يتحدّد فيه الثلث و لا يتحدّد في الإبل و البقر و الغنم على السلامة،كما في عبارة السيّد و شيخه،و قريب منها عبارة النهاية،لكن بزيادة الحلّة و عدم إشارة إلى العلّة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الحلّي أنّ فيها ثلث الدية دية النفس و هي ثلاث و ثلاثون بعيراً فحسب بلا زيادة و لا نقصان إن كان من أصحاب الإبل،و لم يلزمه أصحابنا ثلث البعير الذي يتكمّل به ثلث المائة بعير التي هي دية النفس؛ لأنّ رواياتهم هكذا مطلقة،و كذا مصنّفاتهم و قول مشايخهم و فتاويهم، </w:t>
      </w:r>
    </w:p>
    <w:p>
      <w:pPr>
        <w:pStyle w:val="BookText"/>
        <w:rPr/>
      </w:pPr>
      <w:r>
        <w:rPr>
          <w:rFonts w:ascii="Amiri" w:hAnsi="Amiri" w:eastAsia="Amiri" w:cs="Amiri"/>
          <w:color w:val="111111"/>
          <w:sz w:val="28"/>
          <w:sz w:val="28"/>
          <w:szCs w:val="28"/>
          <w:rtl w:val="true"/>
          <w:lang w:bidi="ar-SA"/>
        </w:rPr>
        <w:t xml:space="preserve">و إجماعهم منعقد على هذا الإطلاق،أو ثلث الدية من العين أو الورق على السواء؛ لأنّ ذلك يتحدّد فيه الثلث و لا يتحدّد في الإبل و البقر و الغنم </w:t>
      </w:r>
      <w:r>
        <w:rPr>
          <w:rStyle w:val="FootnoteAnchor"/>
          <w:rtl w:val="true"/>
        </w:rPr>
        <w:footnoteReference w:id="2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صريح في دعوى الإجماع على سقوط الثلث من عدد الإبل، لكن عرفت إطلاق عبائر جماعة بثلث الدية بقول مطلق،و مقتضاه زيادة الثلث في العدد المتقدم،و حكي التصريح بها عن المبسوط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ثلاثة و ثلاثون بعيراً و ثلث بعير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صرّح في القواعد </w:t>
      </w:r>
      <w:r>
        <w:rPr>
          <w:rStyle w:val="FootnoteAnchor"/>
          <w:rtl w:val="true"/>
        </w:rPr>
        <w:footnoteReference w:id="2536"/>
      </w:r>
      <w:r>
        <w:rPr>
          <w:rFonts w:ascii="Amiri" w:hAnsi="Amiri" w:eastAsia="Amiri" w:cs="Amiri"/>
          <w:color w:val="111111"/>
          <w:sz w:val="28"/>
          <w:sz w:val="28"/>
          <w:szCs w:val="28"/>
          <w:rtl w:val="true"/>
          <w:lang w:bidi="ar-SA"/>
        </w:rPr>
        <w:t xml:space="preserve">،و شيخنا في المسالك و الروضة </w:t>
      </w:r>
      <w:r>
        <w:rPr>
          <w:rStyle w:val="FootnoteAnchor"/>
          <w:rtl w:val="true"/>
        </w:rPr>
        <w:footnoteReference w:id="2537"/>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2538"/>
      </w:r>
      <w:r>
        <w:rPr>
          <w:rFonts w:ascii="Amiri" w:hAnsi="Amiri" w:eastAsia="Amiri" w:cs="Amiri"/>
          <w:color w:val="111111"/>
          <w:sz w:val="28"/>
          <w:sz w:val="28"/>
          <w:szCs w:val="28"/>
          <w:rtl w:val="true"/>
          <w:lang w:bidi="ar-SA"/>
        </w:rPr>
        <w:t>،مختارين التجوّز في العكس بحمل ما دلّ على العدد من دون ذكر الثلث عليه تخفيفاً في اللفظ و تجوّزاً في العدد بالاقتصار على الأعداد الصحيحة و الإيماء إلى إكمال الثلث من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وجد مرجّح لهذا التجوّز،و ليس عدا المناسبة لمراعاة النسبة إلى أصل الدية في المسائل السابقة بل في المسألة أيضاً بالإضافة إلى النقدين و الحلّة،و هي بمجرّدها للترجيح غير صالحة،سيّما و أنّ الشهرة و حكاية الإجماع المتقدمة للتجوّز في الأوّل مرجّحة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عدمهما لكان التحقيق يقتضي التوقّف في ترجيح أيّهما أو تساقطهما،و معه يكون وجوب ثلث البعير زيادة على العدد بالأصل منفيّاً، فما في العبارة أقوى،و إن كانت الزيادة أو العدول إلى النقدين و ما شاكلهما </w:t>
      </w:r>
      <w:bookmarkStart w:id="314" w:name="pg11409_91105"/>
    </w:p>
    <w:p>
      <w:pPr>
        <w:pStyle w:val="BookText"/>
        <w:rPr/>
      </w:pPr>
      <w:bookmarkEnd w:id="314"/>
      <w:r>
        <w:rPr>
          <w:rFonts w:ascii="IRNazanin" w:hAnsi="IRNazanin" w:eastAsia="IRNazanin"/>
          <w:color w:val="111111"/>
          <w:sz w:val="28"/>
          <w:sz w:val="28"/>
          <w:szCs w:val="28"/>
          <w:rtl w:val="true"/>
          <w:lang w:bidi="fa-IR"/>
        </w:rPr>
        <w:t>أحوط و أولى</w:t>
      </w:r>
      <w:r>
        <w:rPr>
          <w:rFonts w:eastAsia="IRNazanin" w:cs="IRNazanin"/>
          <w:color w:val="111111"/>
          <w:sz w:val="28"/>
          <w:szCs w:val="28"/>
          <w:rtl w:val="true"/>
          <w:lang w:bidi="fa-IR"/>
        </w:rPr>
        <w:t>.</w:t>
      </w:r>
    </w:p>
    <w:p>
      <w:pPr>
        <w:pStyle w:val="Heading6"/>
        <w:numPr>
          <w:ilvl w:val="5"/>
          <w:numId w:val="1"/>
        </w:numPr>
        <w:rPr/>
      </w:pPr>
      <w:bookmarkStart w:id="315" w:name="__RefHeading___Toc1102813_73709187"/>
      <w:bookmarkStart w:id="316" w:name="_Toc116"/>
      <w:bookmarkEnd w:id="315"/>
      <w:r>
        <w:rPr>
          <w:rtl w:val="true"/>
        </w:rPr>
        <w:t>الجائفة</w:t>
      </w:r>
      <w:bookmarkEnd w:id="316"/>
    </w:p>
    <w:p>
      <w:pPr>
        <w:pStyle w:val="BookText"/>
        <w:rPr/>
      </w:pPr>
      <w:r>
        <w:rPr>
          <w:rFonts w:ascii="Amiri" w:hAnsi="Amiri" w:eastAsia="Amiri" w:cs="Amiri"/>
          <w:color w:val="111111"/>
          <w:sz w:val="28"/>
          <w:sz w:val="28"/>
          <w:szCs w:val="28"/>
          <w:rtl w:val="true"/>
          <w:lang w:bidi="ar-SA"/>
        </w:rPr>
        <w:t xml:space="preserve">و الجائفة و هي التي تبلغ الجوف من أيّ الجهات كان و لو من ثغرة النحر و فيها ثلث الدية كما في النصوص المستفيضة </w:t>
      </w:r>
      <w:r>
        <w:rPr>
          <w:rStyle w:val="FootnoteAnchor"/>
          <w:rtl w:val="true"/>
        </w:rPr>
        <w:footnoteReference w:id="2539"/>
      </w:r>
      <w:r>
        <w:rPr>
          <w:rFonts w:ascii="Amiri" w:hAnsi="Amiri" w:eastAsia="Amiri" w:cs="Amiri"/>
          <w:color w:val="111111"/>
          <w:sz w:val="28"/>
          <w:sz w:val="28"/>
          <w:szCs w:val="28"/>
          <w:rtl w:val="true"/>
          <w:lang w:bidi="ar-SA"/>
        </w:rPr>
        <w:t xml:space="preserve">،و فيها الصحيح و القريب منه،لكن في بعضها بعد الحكم بأنّ فيها الثلث فسّر بالثلاث و الثلاثين بعيراً </w:t>
      </w:r>
      <w:r>
        <w:rPr>
          <w:rStyle w:val="FootnoteAnchor"/>
          <w:rtl w:val="true"/>
        </w:rPr>
        <w:footnoteReference w:id="2540"/>
      </w:r>
      <w:r>
        <w:rPr>
          <w:rFonts w:ascii="Amiri" w:hAnsi="Amiri" w:eastAsia="Amiri" w:cs="Amiri"/>
          <w:color w:val="111111"/>
          <w:sz w:val="28"/>
          <w:sz w:val="28"/>
          <w:szCs w:val="28"/>
          <w:rtl w:val="true"/>
          <w:lang w:bidi="ar-SA"/>
        </w:rPr>
        <w:t>،و قد تقدم،فيأتي فيها احتمال التجوّز المتقدم أيضاً،سيّما مع ورود الصحيح و غيره بأنّ فيها ثلاثاً و ثلاثين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الأصحاب هنا أطلقوا الحكم بالثلث الذي مقتضاه زيادة ثلث بعير على العدد من غير خلاف بينهم يعرف،و به صرّح في الغنية </w:t>
      </w:r>
      <w:r>
        <w:rPr>
          <w:rStyle w:val="FootnoteAnchor"/>
          <w:rtl w:val="true"/>
        </w:rPr>
        <w:footnoteReference w:id="2541"/>
      </w:r>
      <w:r>
        <w:rPr>
          <w:rFonts w:ascii="Amiri" w:hAnsi="Amiri" w:eastAsia="Amiri" w:cs="Amiri"/>
          <w:color w:val="111111"/>
          <w:sz w:val="28"/>
          <w:sz w:val="28"/>
          <w:szCs w:val="28"/>
          <w:rtl w:val="true"/>
          <w:lang w:bidi="ar-SA"/>
        </w:rPr>
        <w:t xml:space="preserve">، و حكي عن المبسوط و الخلاف </w:t>
      </w:r>
      <w:r>
        <w:rPr>
          <w:rStyle w:val="FootnoteAnchor"/>
          <w:rtl w:val="true"/>
        </w:rPr>
        <w:footnoteReference w:id="2542"/>
      </w:r>
      <w:r>
        <w:rPr>
          <w:rFonts w:ascii="Amiri" w:hAnsi="Amiri" w:eastAsia="Amiri" w:cs="Amiri"/>
          <w:color w:val="111111"/>
          <w:sz w:val="28"/>
          <w:sz w:val="28"/>
          <w:szCs w:val="28"/>
          <w:rtl w:val="true"/>
          <w:lang w:bidi="ar-SA"/>
        </w:rPr>
        <w:t xml:space="preserve">،بل صرّح بالاتفاق على زيادته هنا شيخنا في الروضة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فهو الحجة،و لكن في التمامية مناقشة؛ لأنّ عبارات الأصحاب هنا بالثلث و إن كانت مطلقة،إلّا أنّ تعليل جملة منهم سقوط الثلث في المسألة السابقة بأنّه من البعير لا يحدّ كما وقع في عبارة السيّد و شيخه و الحلّي </w:t>
      </w:r>
      <w:r>
        <w:rPr>
          <w:rStyle w:val="FootnoteAnchor"/>
          <w:rtl w:val="true"/>
        </w:rPr>
        <w:footnoteReference w:id="2544"/>
      </w:r>
      <w:r>
        <w:rPr>
          <w:rFonts w:ascii="Amiri" w:hAnsi="Amiri" w:eastAsia="Amiri" w:cs="Amiri"/>
          <w:color w:val="111111"/>
          <w:sz w:val="28"/>
          <w:sz w:val="28"/>
          <w:szCs w:val="28"/>
          <w:rtl w:val="true"/>
          <w:lang w:bidi="ar-SA"/>
        </w:rPr>
        <w:t xml:space="preserve">،أو بلزوم متابعة النص بالعدد كما وقع في عبارة الماتن في الشرائع </w:t>
      </w:r>
      <w:r>
        <w:rPr>
          <w:rStyle w:val="FootnoteAnchor"/>
          <w:rtl w:val="true"/>
        </w:rPr>
        <w:footnoteReference w:id="2545"/>
      </w:r>
      <w:r>
        <w:rPr>
          <w:rFonts w:ascii="Amiri" w:hAnsi="Amiri" w:eastAsia="Amiri" w:cs="Amiri"/>
          <w:color w:val="111111"/>
          <w:sz w:val="28"/>
          <w:sz w:val="28"/>
          <w:szCs w:val="28"/>
          <w:rtl w:val="true"/>
          <w:lang w:bidi="ar-SA"/>
        </w:rPr>
        <w:t xml:space="preserve">،و قريب منه الفاضل في المختلف </w:t>
      </w:r>
      <w:r>
        <w:rPr>
          <w:rStyle w:val="FootnoteAnchor"/>
          <w:rtl w:val="true"/>
        </w:rPr>
        <w:footnoteReference w:id="2546"/>
      </w:r>
      <w:r>
        <w:rPr>
          <w:rFonts w:ascii="Amiri" w:hAnsi="Amiri" w:eastAsia="Amiri" w:cs="Amiri"/>
          <w:color w:val="111111"/>
          <w:sz w:val="28"/>
          <w:sz w:val="28"/>
          <w:szCs w:val="28"/>
          <w:rtl w:val="true"/>
          <w:lang w:bidi="ar-SA"/>
        </w:rPr>
        <w:t xml:space="preserve">،جارٍ في المسألة؛ لعدم </w:t>
      </w:r>
      <w:bookmarkStart w:id="317" w:name="pg11409_91106"/>
    </w:p>
    <w:p>
      <w:pPr>
        <w:pStyle w:val="BookText"/>
        <w:rPr/>
      </w:pPr>
      <w:bookmarkEnd w:id="317"/>
      <w:r>
        <w:rPr>
          <w:rFonts w:ascii="Amiri" w:hAnsi="Amiri" w:eastAsia="Amiri" w:cs="Amiri"/>
          <w:color w:val="111111"/>
          <w:sz w:val="28"/>
          <w:sz w:val="28"/>
          <w:szCs w:val="28"/>
          <w:rtl w:val="true"/>
          <w:lang w:bidi="ar-SA"/>
        </w:rPr>
        <w:t>تحديد ثلث البعير فيها أيضاً و لو بزعمهم،و ورود الصحيح و غيره بالثلاث و الثلاثين من غير ذكر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318" w:name="__RefHeading___Toc1102815_73709187"/>
      <w:bookmarkStart w:id="319" w:name="_Toc117"/>
      <w:bookmarkEnd w:id="318"/>
      <w:r>
        <w:rPr>
          <w:rtl w:val="true"/>
        </w:rPr>
        <w:t>مسائل</w:t>
      </w:r>
      <w:bookmarkEnd w:id="319"/>
    </w:p>
    <w:p>
      <w:pPr>
        <w:pStyle w:val="Heading6"/>
        <w:numPr>
          <w:ilvl w:val="5"/>
          <w:numId w:val="1"/>
        </w:numPr>
        <w:rPr/>
      </w:pPr>
      <w:bookmarkStart w:id="320" w:name="__RefHeading___Toc1102817_73709187"/>
      <w:bookmarkStart w:id="321" w:name="_Toc118"/>
      <w:bookmarkEnd w:id="320"/>
      <w:r>
        <w:rPr>
          <w:rtl w:val="true"/>
        </w:rPr>
        <w:t>الأولى دية النافذة في الأنف</w:t>
      </w:r>
      <w:bookmarkEnd w:id="321"/>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النافذة في الأنف بحيث تثقب المنخرين معاً و لا تنسد ثلث ديته بلا خلاف أجده،بل عليه الإجماع في ظاهر عبارة بعض الأجلّة </w:t>
      </w:r>
      <w:r>
        <w:rPr>
          <w:rStyle w:val="FootnoteAnchor"/>
          <w:rtl w:val="true"/>
        </w:rPr>
        <w:footnoteReference w:id="254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المعتبرة،و منها كتاب ظريف و الرضوي كما حكي </w:t>
      </w:r>
      <w:r>
        <w:rPr>
          <w:rStyle w:val="FootnoteAnchor"/>
          <w:rtl w:val="true"/>
        </w:rPr>
        <w:footnoteReference w:id="2548"/>
      </w:r>
      <w:r>
        <w:rPr>
          <w:rFonts w:ascii="Amiri" w:hAnsi="Amiri" w:eastAsia="Amiri" w:cs="Amiri"/>
          <w:color w:val="111111"/>
          <w:sz w:val="28"/>
          <w:sz w:val="28"/>
          <w:szCs w:val="28"/>
          <w:rtl w:val="true"/>
          <w:lang w:bidi="ar-SA"/>
        </w:rPr>
        <w:t>،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النافذة تكون في العضو ثلث الدية دية ذلك العضو</w:t>
      </w:r>
      <w:r>
        <w:rPr>
          <w:rFonts w:eastAsia="Amiri" w:cs="Amiri" w:ascii="Amiri" w:hAnsi="Amiri"/>
          <w:color w:val="111111"/>
          <w:sz w:val="28"/>
          <w:szCs w:val="28"/>
          <w:rtl w:val="true"/>
          <w:lang w:bidi="ar-SA"/>
        </w:rPr>
        <w:t xml:space="preserve">»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صلحت و انسدّت فخمس الدية مائتا دينار في المشهور بين الأصحاب على الظاهر،المصرّح به في المختلف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مستندهم غير واضح عدا ما قيل من كونه كتاب ظريف </w:t>
      </w:r>
      <w:r>
        <w:rPr>
          <w:rStyle w:val="FootnoteAnchor"/>
          <w:rtl w:val="true"/>
        </w:rPr>
        <w:footnoteReference w:id="2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غريب؛ فإنّ المروي فيه على ما يوجد في الكتب الثلاثة و المختلف و غيره </w:t>
      </w:r>
      <w:r>
        <w:rPr>
          <w:rStyle w:val="FootnoteAnchor"/>
          <w:rtl w:val="true"/>
        </w:rPr>
        <w:footnoteReference w:id="2552"/>
      </w:r>
      <w:r>
        <w:rPr>
          <w:rFonts w:ascii="Amiri" w:hAnsi="Amiri" w:eastAsia="Amiri" w:cs="Amiri"/>
          <w:color w:val="111111"/>
          <w:sz w:val="28"/>
          <w:sz w:val="28"/>
          <w:szCs w:val="28"/>
          <w:rtl w:val="true"/>
          <w:lang w:bidi="ar-SA"/>
        </w:rPr>
        <w:t xml:space="preserve">أنّ فيها خمس دية الروثة مائة دينار،و به أفتى الإسكافي و الحلّي في السرائر و عن الخلاف </w:t>
      </w:r>
      <w:r>
        <w:rPr>
          <w:rStyle w:val="FootnoteAnchor"/>
          <w:rtl w:val="true"/>
        </w:rPr>
        <w:footnoteReference w:id="2553"/>
      </w:r>
      <w:r>
        <w:rPr>
          <w:rFonts w:ascii="IRNazanin" w:hAnsi="IRNazanin" w:eastAsia="IRNazanin"/>
          <w:color w:val="111111"/>
          <w:sz w:val="28"/>
          <w:sz w:val="28"/>
          <w:szCs w:val="28"/>
          <w:rtl w:val="true"/>
          <w:lang w:bidi="fa-IR"/>
        </w:rPr>
        <w:t xml:space="preserve">،و هو الأصحّ؛ لعدم المعارض،مضافاً إلى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كانت النافذة في أحد المنخرين خاصّة إلى الحاجز بينهما فعشر الدية مائة دينار،إمّا مطلقاً كما هنا و في الشرائع و اللمعة و غيرها </w:t>
      </w:r>
      <w:r>
        <w:rPr>
          <w:rStyle w:val="FootnoteAnchor"/>
          <w:rtl w:val="true"/>
        </w:rPr>
        <w:footnoteReference w:id="2554"/>
      </w:r>
      <w:r>
        <w:rPr>
          <w:rFonts w:ascii="Amiri" w:hAnsi="Amiri" w:eastAsia="Amiri" w:cs="Amiri"/>
          <w:color w:val="111111"/>
          <w:sz w:val="28"/>
          <w:sz w:val="28"/>
          <w:szCs w:val="28"/>
          <w:rtl w:val="true"/>
          <w:lang w:bidi="ar-SA"/>
        </w:rPr>
        <w:t xml:space="preserve">،أو بشرط البرء و إلّا فسدس الدية،كما عليه الفاضل و عن جماعة كالشيخين و القاضي و الحلّي و الديلمي و الحلبي </w:t>
      </w:r>
      <w:r>
        <w:rPr>
          <w:rStyle w:val="FootnoteAnchor"/>
          <w:rtl w:val="true"/>
        </w:rPr>
        <w:footnoteReference w:id="2555"/>
      </w:r>
      <w:r>
        <w:rPr>
          <w:rFonts w:ascii="Amiri" w:hAnsi="Amiri" w:eastAsia="Amiri" w:cs="Amiri"/>
          <w:color w:val="111111"/>
          <w:sz w:val="28"/>
          <w:sz w:val="28"/>
          <w:szCs w:val="28"/>
          <w:rtl w:val="true"/>
          <w:lang w:bidi="ar-SA"/>
        </w:rPr>
        <w:t xml:space="preserve">،و غيرهم </w:t>
      </w:r>
      <w:r>
        <w:rPr>
          <w:rStyle w:val="FootnoteAnchor"/>
          <w:rtl w:val="true"/>
        </w:rPr>
        <w:footnoteReference w:id="2556"/>
      </w:r>
      <w:r>
        <w:rPr>
          <w:rFonts w:ascii="Amiri" w:hAnsi="Amiri" w:eastAsia="Amiri" w:cs="Amiri"/>
          <w:color w:val="111111"/>
          <w:sz w:val="28"/>
          <w:sz w:val="28"/>
          <w:szCs w:val="28"/>
          <w:rtl w:val="true"/>
          <w:lang w:bidi="ar-SA"/>
        </w:rPr>
        <w:t xml:space="preserve">، و في الغنية </w:t>
      </w:r>
      <w:r>
        <w:rPr>
          <w:rStyle w:val="FootnoteAnchor"/>
          <w:rtl w:val="true"/>
        </w:rPr>
        <w:footnoteReference w:id="2557"/>
      </w:r>
      <w:r>
        <w:rPr>
          <w:rFonts w:ascii="Amiri" w:hAnsi="Amiri" w:eastAsia="Amiri" w:cs="Amiri"/>
          <w:color w:val="111111"/>
          <w:sz w:val="28"/>
          <w:sz w:val="28"/>
          <w:szCs w:val="28"/>
          <w:rtl w:val="true"/>
          <w:lang w:bidi="ar-SA"/>
        </w:rPr>
        <w:t xml:space="preserve">،و الظاهر أنّه المشهور كما صرّح به في المختلف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حجّتهم على التقديرين غير واضحة عدا ما يحكى من الرضوي </w:t>
      </w:r>
      <w:r>
        <w:rPr>
          <w:rStyle w:val="FootnoteAnchor"/>
          <w:rtl w:val="true"/>
        </w:rPr>
        <w:footnoteReference w:id="2559"/>
      </w:r>
      <w:r>
        <w:rPr>
          <w:rFonts w:ascii="Amiri" w:hAnsi="Amiri" w:eastAsia="Amiri" w:cs="Amiri"/>
          <w:color w:val="111111"/>
          <w:sz w:val="28"/>
          <w:sz w:val="28"/>
          <w:szCs w:val="28"/>
          <w:rtl w:val="true"/>
          <w:lang w:bidi="ar-SA"/>
        </w:rPr>
        <w:t xml:space="preserve">، و فيه العشر بقول مطلق،و هو مع أنّه خلاف المشهور معارض بما في كتاب ظريف من أنّ فيها عشر دية الروثة خمسين ديناراً </w:t>
      </w:r>
      <w:r>
        <w:rPr>
          <w:rStyle w:val="FootnoteAnchor"/>
          <w:rtl w:val="true"/>
        </w:rPr>
        <w:footnoteReference w:id="2560"/>
      </w:r>
      <w:r>
        <w:rPr>
          <w:rFonts w:ascii="Amiri" w:hAnsi="Amiri" w:eastAsia="Amiri" w:cs="Amiri"/>
          <w:color w:val="111111"/>
          <w:sz w:val="28"/>
          <w:sz w:val="28"/>
          <w:szCs w:val="28"/>
          <w:rtl w:val="true"/>
          <w:lang w:bidi="ar-SA"/>
        </w:rPr>
        <w:t xml:space="preserve">،و عليه الإسكافي </w:t>
      </w:r>
      <w:r>
        <w:rPr>
          <w:rStyle w:val="FootnoteAnchor"/>
          <w:rtl w:val="true"/>
        </w:rPr>
        <w:footnoteReference w:id="25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ما في جعل المستند للقول بالعشر مطلقا كتاب ظريف، </w:t>
      </w:r>
      <w:bookmarkStart w:id="322" w:name="pg11409_91108"/>
    </w:p>
    <w:p>
      <w:pPr>
        <w:pStyle w:val="BookText"/>
        <w:rPr/>
      </w:pPr>
      <w:bookmarkEnd w:id="322"/>
      <w:r>
        <w:rPr>
          <w:rFonts w:ascii="Amiri" w:hAnsi="Amiri" w:eastAsia="Amiri" w:cs="Amiri"/>
          <w:color w:val="111111"/>
          <w:sz w:val="28"/>
          <w:sz w:val="28"/>
          <w:szCs w:val="28"/>
          <w:rtl w:val="true"/>
          <w:lang w:bidi="ar-SA"/>
        </w:rPr>
        <w:t>و كذا في نسبة القول بالتفصيل بين البرء فالعشر و عدمه فالسدس إلى العلّامة خاصّة،مع أنّه رأي جماعة،بل المشهور كما عرفته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102819_73709187"/>
      <w:bookmarkStart w:id="324" w:name="_Toc119"/>
      <w:bookmarkEnd w:id="323"/>
      <w:r>
        <w:rPr>
          <w:rtl w:val="true"/>
        </w:rPr>
        <w:t>الثانية في شقّ الشفتين</w:t>
      </w:r>
      <w:bookmarkEnd w:id="324"/>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 الشفتين معاً حتى تبدو الأسنان و لم تبرأ ثلث ديتهما سواء استوعبهما الشقّ أم لا،في ظاهر إطلاق النص و الفتوى و لو برئت الجرحة فخمس ديتهما،و لو كانت الجرحة في إحداهما خاصّة و لم تبرأ فثلث ديتها،و مع البرء فخمس ديتها بلا خلاف أجده إلّا من الإسكافي،فقال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العليا ثلث ديتها،و في السفلى نصف ديتها </w:t>
      </w:r>
      <w:r>
        <w:rPr>
          <w:rStyle w:val="FootnoteAnchor"/>
          <w:rtl w:val="true"/>
        </w:rPr>
        <w:footnoteReference w:id="2562"/>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شاذّ،بل على خلافه الإجماع في الغنية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يوافقه كتاب ظريف إلّا في السفلى إذا لم تبرأ،فقد أوجب في قطعها ثلثي الدية ستّمائة دينار و ستّة و ستّين ديناراً ثلثي دينار،و في شقّها إذا لم تبرأ ثلاثمائة دينار و ثلاثة و ثلاثين ديناراً و ثلث دينار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فجعله مستنداً لتمام ما في العبارة كما فعل ليس في محلّه ،بل هو أقرب بالدلالة على ما عليه الإسكافي في السفلى،لكنّه أطلق نصف الدية فيها من دون اشتراط للبرء بخلاف الرواية فقد اشترطته،فهي في الحقيقة ليست حجة على شيء من القولين</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102821_73709187"/>
      <w:bookmarkStart w:id="326" w:name="_Toc120"/>
      <w:bookmarkEnd w:id="325"/>
      <w:r>
        <w:rPr>
          <w:rtl w:val="true"/>
        </w:rPr>
        <w:t>الثالثة إذا نفذت نافذة في شيء من أطراف الرجل</w:t>
      </w:r>
      <w:bookmarkEnd w:id="32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نفذت نافذة في شيء من أطراف الرجل فديتها مائة دينار كما هنا و في الشرائع و الإرشاد و اللمعة </w:t>
      </w:r>
      <w:r>
        <w:rPr>
          <w:rStyle w:val="FootnoteAnchor"/>
          <w:rtl w:val="true"/>
        </w:rPr>
        <w:footnoteReference w:id="2565"/>
      </w:r>
      <w:r>
        <w:rPr>
          <w:rFonts w:ascii="Amiri" w:hAnsi="Amiri" w:eastAsia="Amiri" w:cs="Amiri"/>
          <w:color w:val="111111"/>
          <w:sz w:val="28"/>
          <w:sz w:val="28"/>
          <w:szCs w:val="28"/>
          <w:rtl w:val="true"/>
          <w:lang w:bidi="ar-SA"/>
        </w:rPr>
        <w:t xml:space="preserve">،و نسبه في شرحها </w:t>
      </w:r>
    </w:p>
    <w:p>
      <w:pPr>
        <w:pStyle w:val="BookText"/>
        <w:rPr/>
      </w:pPr>
      <w:r>
        <w:rPr>
          <w:rFonts w:ascii="Amiri" w:hAnsi="Amiri" w:eastAsia="Amiri" w:cs="Amiri"/>
          <w:color w:val="111111"/>
          <w:sz w:val="28"/>
          <w:sz w:val="28"/>
          <w:szCs w:val="28"/>
          <w:rtl w:val="true"/>
          <w:lang w:bidi="ar-SA"/>
        </w:rPr>
        <w:t xml:space="preserve">و المسالك إلى الشيخ و جماعة كما في الأوّل،و أتباعه كما في الثاني </w:t>
      </w:r>
      <w:r>
        <w:rPr>
          <w:rStyle w:val="FootnoteAnchor"/>
          <w:rtl w:val="true"/>
        </w:rPr>
        <w:footnoteReference w:id="2566"/>
      </w:r>
      <w:r>
        <w:rPr>
          <w:rFonts w:ascii="Amiri" w:hAnsi="Amiri" w:eastAsia="Amiri" w:cs="Amiri"/>
          <w:color w:val="111111"/>
          <w:sz w:val="28"/>
          <w:sz w:val="28"/>
          <w:szCs w:val="28"/>
          <w:rtl w:val="true"/>
          <w:lang w:bidi="ar-SA"/>
        </w:rPr>
        <w:t xml:space="preserve">، و في القواعد و التحرير </w:t>
      </w:r>
      <w:r>
        <w:rPr>
          <w:rStyle w:val="FootnoteAnchor"/>
          <w:rtl w:val="true"/>
        </w:rPr>
        <w:footnoteReference w:id="2567"/>
      </w:r>
      <w:r>
        <w:rPr>
          <w:rFonts w:ascii="Amiri" w:hAnsi="Amiri" w:eastAsia="Amiri" w:cs="Amiri"/>
          <w:color w:val="111111"/>
          <w:sz w:val="28"/>
          <w:sz w:val="28"/>
          <w:szCs w:val="28"/>
          <w:rtl w:val="true"/>
          <w:lang w:bidi="ar-SA"/>
        </w:rPr>
        <w:t>إلى القيل،مؤذناً بتوقّفه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لم نقف على مستنده،و هو مع ذلك يشكل بما لو كانت دية الطرف تقصر عن المائة كالأنملة؛ إذ يلزم زيادة دية النافذة فيها على ديتها،بل على دية أنملتين حيث يشتمل الإصبع على ثلاث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حسن،إلّا أنّ ما ذكره من عدم الوقوف على مستنده غريب؛ للتصريح به في كتاب ظريف </w:t>
      </w:r>
      <w:r>
        <w:rPr>
          <w:rStyle w:val="FootnoteAnchor"/>
          <w:rtl w:val="true"/>
        </w:rPr>
        <w:footnoteReference w:id="2569"/>
      </w:r>
      <w:r>
        <w:rPr>
          <w:rFonts w:ascii="Amiri" w:hAnsi="Amiri" w:eastAsia="Amiri" w:cs="Amiri"/>
          <w:color w:val="111111"/>
          <w:sz w:val="28"/>
          <w:sz w:val="28"/>
          <w:szCs w:val="28"/>
          <w:rtl w:val="true"/>
          <w:lang w:bidi="ar-SA"/>
        </w:rPr>
        <w:t>،و ما عرضه ابن فضّال على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في الصحيح و الموثق بالأخير،و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جراحة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أفتى في النافذة إذا نفذت من رمح أو خنجر في شيء من الرجل في أطرافه فديتها عشر دية الرجل مائة دينار</w:t>
      </w:r>
      <w:r>
        <w:rPr>
          <w:rFonts w:eastAsia="Amiri" w:cs="Amiri" w:ascii="Amiri" w:hAnsi="Amiri"/>
          <w:color w:val="111111"/>
          <w:sz w:val="28"/>
          <w:szCs w:val="28"/>
          <w:rtl w:val="true"/>
          <w:lang w:bidi="ar-SA"/>
        </w:rPr>
        <w:t xml:space="preserve">»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فالأجود الاقتصار في الاستشكال فيه بما ذكره في وجهه،و زيادة أنّ عمومه لا يلائم ما في كتاب ظريف أيضاً من قوله في نافذة الأنف ما مرّ، و في نافذة الكفّ إن لم تنسدّ فمائة دينار،و في نافذة الساعدين خمسين ديناراً،و في نافذة القدم لا تنسدّ خمس دية الرجل مائتا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نافذة الخدّ و يرى منها جوف الضم فديتها مائتا دينار،فإن دووي فبرئ و التأم و به </w:t>
      </w:r>
    </w:p>
    <w:p>
      <w:pPr>
        <w:pStyle w:val="BookText"/>
        <w:rPr/>
      </w:pPr>
      <w:r>
        <w:rPr>
          <w:rFonts w:ascii="Amiri" w:hAnsi="Amiri" w:eastAsia="Amiri" w:cs="Amiri"/>
          <w:color w:val="111111"/>
          <w:sz w:val="28"/>
          <w:sz w:val="28"/>
          <w:szCs w:val="28"/>
          <w:rtl w:val="true"/>
          <w:lang w:bidi="ar-SA"/>
        </w:rPr>
        <w:t xml:space="preserve">أثر بيّن و شين فاحش فديته خمسون ديناراً،فإن كانت نافذة في الخدّين كليهما فديتها مائة دينار،و ذلك نصف دية التي يرى منها الفم،و إن كانت رمية بنصل نشبت بالعظم حتى تنفذ إلى الحنك فديتها مائة و خمسون ديناراً جعل منها خمسون ديناراً لموضحتها </w:t>
      </w:r>
      <w:r>
        <w:rPr>
          <w:rStyle w:val="FootnoteAnchor"/>
          <w:rtl w:val="true"/>
        </w:rPr>
        <w:footnoteReference w:id="2571"/>
      </w:r>
      <w:r>
        <w:rPr>
          <w:rFonts w:ascii="Amiri" w:hAnsi="Amiri" w:eastAsia="Amiri" w:cs="Amiri"/>
          <w:color w:val="111111"/>
          <w:sz w:val="28"/>
          <w:sz w:val="28"/>
          <w:szCs w:val="28"/>
          <w:rtl w:val="true"/>
          <w:lang w:bidi="ar-SA"/>
        </w:rPr>
        <w:t>،و إن كانت ناقبة و لم تنفذ فديتها مائة دينار</w:t>
      </w:r>
      <w:r>
        <w:rPr>
          <w:rFonts w:eastAsia="Amiri" w:cs="Amiri" w:ascii="Amiri" w:hAnsi="Amiri"/>
          <w:color w:val="111111"/>
          <w:sz w:val="28"/>
          <w:szCs w:val="28"/>
          <w:rtl w:val="true"/>
          <w:lang w:bidi="ar-SA"/>
        </w:rPr>
        <w:t xml:space="preserve">»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يعارضه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النافذة تكون في العضو ثلث دية ذلك العضو</w:t>
      </w:r>
      <w:r>
        <w:rPr>
          <w:rFonts w:eastAsia="Amiri" w:cs="Amiri" w:ascii="Amiri" w:hAnsi="Amiri"/>
          <w:color w:val="111111"/>
          <w:sz w:val="28"/>
          <w:szCs w:val="28"/>
          <w:rtl w:val="true"/>
          <w:lang w:bidi="ar-SA"/>
        </w:rPr>
        <w:t xml:space="preserve">»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سنده ضعف،و رفع اليد عن النص الصحيح المعتضد بعمل هؤلاء الأعاظم الذين لم يُرَ لهم مخالف صريحاً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الذبّ عن وجوه الإشكال،فعمّا ذكره القائل بالتزامه، و الذبّ عنه بتخصيص العموم بالمائة بما فيه كمال الدية كما حكاه قولاً في الروضة و غيرها </w:t>
      </w:r>
      <w:r>
        <w:rPr>
          <w:rStyle w:val="FootnoteAnchor"/>
          <w:rtl w:val="true"/>
        </w:rPr>
        <w:footnoteReference w:id="2574"/>
      </w:r>
      <w:r>
        <w:rPr>
          <w:rFonts w:ascii="Amiri" w:hAnsi="Amiri" w:eastAsia="Amiri" w:cs="Amiri"/>
          <w:color w:val="111111"/>
          <w:sz w:val="28"/>
          <w:sz w:val="28"/>
          <w:szCs w:val="28"/>
          <w:rtl w:val="true"/>
          <w:lang w:bidi="ar-SA"/>
        </w:rPr>
        <w:t xml:space="preserve">،أو ما كان ديته زائدة على المائة كما احتمله بعض الأجلّة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 ذكرناه بتخصيصه أيضاً بغير ما تضمنه من النوافذ المزبورة؛ إذ التنافي بينهما و بينه ليس تنافي تضادٍّ،بل عموم و خصوص يجري فيه التخصيص المذكور،لكنّه يتوقّف على وجود قائل به،و لم أره،مع أنّ النص عام كعبائر الجماعة</w:t>
      </w:r>
      <w:r>
        <w:rPr>
          <w:rFonts w:eastAsia="Amiri" w:cs="Amiri" w:ascii="Amiri" w:hAnsi="Amiri"/>
          <w:color w:val="111111"/>
          <w:sz w:val="28"/>
          <w:szCs w:val="28"/>
          <w:rtl w:val="true"/>
          <w:lang w:bidi="ar-SA"/>
        </w:rPr>
        <w:t xml:space="preserve">. </w:t>
      </w:r>
      <w:bookmarkStart w:id="327" w:name="pg11409_91111"/>
    </w:p>
    <w:p>
      <w:pPr>
        <w:pStyle w:val="BookText"/>
        <w:rPr/>
      </w:pPr>
      <w:bookmarkEnd w:id="327"/>
      <w:r>
        <w:rPr>
          <w:rFonts w:ascii="Amiri" w:hAnsi="Amiri" w:eastAsia="Amiri" w:cs="Amiri"/>
          <w:color w:val="111111"/>
          <w:sz w:val="28"/>
          <w:sz w:val="28"/>
          <w:szCs w:val="28"/>
          <w:rtl w:val="true"/>
          <w:lang w:bidi="ar-SA"/>
        </w:rPr>
        <w:t>و تخصيصهم الحكم بالرجل يقتضي أنّ المرأة ليست كذلك،فيحتمل فيها الرجوع إلى الأصل من الأرش أو حكم الشجاج بالنسبة و ثبوت خمسين ديناراً على النصف كالدية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فتاوي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الأُنثى كالذّكر في ذلك،ففي نافذتها مائة دينار أيضاً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مناسب للأصل المقرّر من مساواتها للرجل في دية الأعضاء ما لم يبلغ الثلث أو يتجاوزه،و لكن التقييد بالرجل في النص و الفتوى لا يناسبه،فتأمّل </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102823_73709187"/>
      <w:bookmarkStart w:id="329" w:name="_Toc121"/>
      <w:bookmarkEnd w:id="328"/>
      <w:r>
        <w:rPr>
          <w:rtl w:val="true"/>
        </w:rPr>
        <w:t>الرابعة في احمرار الوجه بالجناية</w:t>
      </w:r>
      <w:bookmarkEnd w:id="329"/>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احمرار الوجه بالجناية من لطمة و شبهها دينار و نصف،و في اخضراره بها ثلاثة دنانير بلا خلاف أجده،بل عليه الإجماع عن الانتصار و الخلاف و في السرائر و الغنية و غيرها من كتب الجماعة </w:t>
      </w:r>
      <w:r>
        <w:rPr>
          <w:rStyle w:val="FootnoteAnchor"/>
          <w:rtl w:val="true"/>
        </w:rPr>
        <w:footnoteReference w:id="257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الموثقة كالصحيحة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اللطمة يسودّ أثرها في الوجه أنّ أرشها ستّة دنانير،فإن لم تسودّ و اخضرّت فإنّ أرشها ثلاثة دنانير،فإن احمرّت و لم تخضرّ </w:t>
      </w:r>
      <w:r>
        <w:rPr>
          <w:rStyle w:val="FootnoteAnchor"/>
          <w:rtl w:val="true"/>
        </w:rPr>
        <w:footnoteReference w:id="2578"/>
      </w:r>
      <w:r>
        <w:rPr>
          <w:rFonts w:ascii="Amiri" w:hAnsi="Amiri" w:eastAsia="Amiri" w:cs="Amiri"/>
          <w:color w:val="111111"/>
          <w:sz w:val="28"/>
          <w:sz w:val="28"/>
          <w:szCs w:val="28"/>
          <w:rtl w:val="true"/>
          <w:lang w:bidi="ar-SA"/>
        </w:rPr>
        <w:t>فإنّ أرشها دينار و نصف</w:t>
      </w:r>
      <w:r>
        <w:rPr>
          <w:rFonts w:eastAsia="Amiri" w:cs="Amiri" w:ascii="Amiri" w:hAnsi="Amiri"/>
          <w:color w:val="111111"/>
          <w:sz w:val="28"/>
          <w:szCs w:val="28"/>
          <w:rtl w:val="true"/>
          <w:lang w:bidi="ar-SA"/>
        </w:rPr>
        <w:t xml:space="preserve">»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دلالة على أنّ في اسوداده ستّة دنانير،كما عليه الأكثر و منهم الشيخ في الخلاف مدّعياً عليه الوفاق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قيل و القائل المفيد و جماعة و منهم السيّدان </w:t>
      </w:r>
      <w:r>
        <w:rPr>
          <w:rStyle w:val="FootnoteAnchor"/>
          <w:rtl w:val="true"/>
        </w:rPr>
        <w:footnoteReference w:id="2581"/>
      </w:r>
      <w:r>
        <w:rPr>
          <w:rFonts w:ascii="Amiri" w:hAnsi="Amiri" w:eastAsia="Amiri" w:cs="Amiri"/>
          <w:color w:val="111111"/>
          <w:sz w:val="28"/>
          <w:sz w:val="28"/>
          <w:szCs w:val="28"/>
          <w:rtl w:val="true"/>
          <w:lang w:bidi="ar-SA"/>
        </w:rPr>
        <w:t>مدّعيين عليه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ثلاثة دنانير كما في الاخضرار و هو الأوفق بالأصل،و لكنّ الأوّل أنسب بالاعتبار بعد النص المعتبر المعتضد بعمل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جماعة منّا من غير خلاف بينهم أجده،كما صرّح بعض الأجلّة </w:t>
      </w:r>
      <w:r>
        <w:rPr>
          <w:rStyle w:val="FootnoteAnchor"/>
          <w:rtl w:val="true"/>
        </w:rPr>
        <w:footnoteReference w:id="2582"/>
      </w:r>
      <w:r>
        <w:rPr>
          <w:rFonts w:ascii="Amiri" w:hAnsi="Amiri" w:eastAsia="Amiri" w:cs="Amiri"/>
          <w:color w:val="111111"/>
          <w:sz w:val="28"/>
          <w:sz w:val="28"/>
          <w:szCs w:val="28"/>
          <w:rtl w:val="true"/>
          <w:lang w:bidi="ar-SA"/>
        </w:rPr>
        <w:t xml:space="preserve">،و ادعى عليه في الروضة الشهرة </w:t>
      </w:r>
      <w:r>
        <w:rPr>
          <w:rStyle w:val="FootnoteAnchor"/>
          <w:rtl w:val="true"/>
        </w:rPr>
        <w:footnoteReference w:id="2583"/>
      </w:r>
      <w:r>
        <w:rPr>
          <w:rFonts w:ascii="Amiri" w:hAnsi="Amiri" w:eastAsia="Amiri" w:cs="Amiri"/>
          <w:color w:val="111111"/>
          <w:sz w:val="28"/>
          <w:sz w:val="28"/>
          <w:szCs w:val="28"/>
          <w:rtl w:val="true"/>
          <w:lang w:bidi="ar-SA"/>
        </w:rPr>
        <w:t xml:space="preserve">،و عن الانتصار و الخلاف و في الغنية </w:t>
      </w:r>
      <w:r>
        <w:rPr>
          <w:rStyle w:val="FootnoteAnchor"/>
          <w:rtl w:val="true"/>
        </w:rPr>
        <w:footnoteReference w:id="258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 هذه الجنايات الثلاث في البدن على النصف ممّا في كل منها في الوجه،ففي الاحمرار ثلاثة أرباع الدينار،و في الاخضرار دينار و نصف،و كذا في الاسوداد أو ثلاثة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الماتن هنا و في الشرائع </w:t>
      </w:r>
      <w:r>
        <w:rPr>
          <w:rStyle w:val="FootnoteAnchor"/>
          <w:rtl w:val="true"/>
        </w:rPr>
        <w:footnoteReference w:id="2585"/>
      </w:r>
      <w:r>
        <w:rPr>
          <w:rFonts w:ascii="Amiri" w:hAnsi="Amiri" w:eastAsia="Amiri" w:cs="Amiri"/>
          <w:color w:val="111111"/>
          <w:sz w:val="28"/>
          <w:sz w:val="28"/>
          <w:szCs w:val="28"/>
          <w:rtl w:val="true"/>
          <w:lang w:bidi="ar-SA"/>
        </w:rPr>
        <w:t xml:space="preserve">إليهم مؤذناً بالتردّد فيه؛ لعدم نصّ بذلك عنده عدا الرواية المتقدمة،و هي خالية عنه كما صرّح به شيخنا في الروضة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مناقشة؛ فإنّ الخلوّ إنّما هو في الكافي و التهذيب،و أمّا في الفقيه فمتضمّنة له،ففيه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البدن نصف ذلك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النصّ و الفتوى أنّ ذلك يثبت بوجود أثر اللطمة و نحوها في الوجه مثلاً و إن لم يستوعبه و لم تدم فيه</w:t>
      </w:r>
      <w:r>
        <w:rPr>
          <w:rFonts w:eastAsia="Amiri" w:cs="Amiri" w:ascii="Amiri" w:hAnsi="Amiri"/>
          <w:color w:val="111111"/>
          <w:sz w:val="28"/>
          <w:szCs w:val="28"/>
          <w:rtl w:val="true"/>
          <w:lang w:bidi="ar-SA"/>
        </w:rPr>
        <w:t xml:space="preserve">. </w:t>
      </w:r>
      <w:bookmarkStart w:id="330" w:name="pg11409_91113"/>
    </w:p>
    <w:p>
      <w:pPr>
        <w:pStyle w:val="BookText"/>
        <w:rPr/>
      </w:pPr>
      <w:bookmarkEnd w:id="330"/>
      <w:r>
        <w:rPr>
          <w:rFonts w:ascii="Amiri" w:hAnsi="Amiri" w:eastAsia="Amiri" w:cs="Amiri"/>
          <w:color w:val="111111"/>
          <w:sz w:val="28"/>
          <w:sz w:val="28"/>
          <w:szCs w:val="28"/>
          <w:rtl w:val="true"/>
          <w:lang w:bidi="ar-SA"/>
        </w:rPr>
        <w:t xml:space="preserve">و ربما حكي </w:t>
      </w:r>
      <w:r>
        <w:rPr>
          <w:rStyle w:val="FootnoteAnchor"/>
          <w:rtl w:val="true"/>
        </w:rPr>
        <w:footnoteReference w:id="2587"/>
      </w:r>
      <w:r>
        <w:rPr>
          <w:rFonts w:ascii="Amiri" w:hAnsi="Amiri" w:eastAsia="Amiri" w:cs="Amiri"/>
          <w:color w:val="111111"/>
          <w:sz w:val="28"/>
          <w:sz w:val="28"/>
          <w:szCs w:val="28"/>
          <w:rtl w:val="true"/>
          <w:lang w:bidi="ar-SA"/>
        </w:rPr>
        <w:t>قول باشتراط الدوام،و إلّا فالأرش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ضعيف،مع عدم ظهور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يخصّ ذلك بوجه الحرّ كما يظهر من الغنية </w:t>
      </w:r>
      <w:r>
        <w:rPr>
          <w:rStyle w:val="FootnoteAnchor"/>
          <w:rtl w:val="true"/>
        </w:rPr>
        <w:footnoteReference w:id="2588"/>
      </w:r>
      <w:r>
        <w:rPr>
          <w:rFonts w:ascii="Amiri" w:hAnsi="Amiri" w:eastAsia="Amiri" w:cs="Amiri"/>
          <w:color w:val="111111"/>
          <w:sz w:val="28"/>
          <w:sz w:val="28"/>
          <w:szCs w:val="28"/>
          <w:rtl w:val="true"/>
          <w:lang w:bidi="ar-SA"/>
        </w:rPr>
        <w:t>،أم يعمّه و وجه العبد مثلاً كما يقتضيه إطلاق النصّ و الفتوى؟ وجهان،و الأصل مع قوة احتمال اختصاصهما بحكم التبادر بالحرّ يرجّح الأوّل،فيرجع في العبد إلى الحكومة كما في كل لطمة أو وكزة لم تتضمّن التغييرات المزبورة،مع احتمال مراعاة النسبة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النص و الفتوى في المسألة الأُولى إنّما هو خصوص الوجه، و عن الخلاف و في السرائر </w:t>
      </w:r>
      <w:r>
        <w:rPr>
          <w:rStyle w:val="FootnoteAnchor"/>
          <w:rtl w:val="true"/>
        </w:rPr>
        <w:footnoteReference w:id="2589"/>
      </w:r>
      <w:r>
        <w:rPr>
          <w:rFonts w:ascii="Amiri" w:hAnsi="Amiri" w:eastAsia="Amiri" w:cs="Amiri"/>
          <w:color w:val="111111"/>
          <w:sz w:val="28"/>
          <w:sz w:val="28"/>
          <w:szCs w:val="28"/>
          <w:rtl w:val="true"/>
          <w:lang w:bidi="ar-SA"/>
        </w:rPr>
        <w:t>أن الرأس كالوجه،و لم أعرف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يستأنس له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 و الشجاج في الوجه و الرأس سواء في الدية؛ لأنّ الوجه من الرأس،و ليست الجراحات في الجسد كما هي في الرأس</w:t>
      </w:r>
      <w:r>
        <w:rPr>
          <w:rFonts w:eastAsia="Amiri" w:cs="Amiri" w:ascii="Amiri" w:hAnsi="Amiri"/>
          <w:color w:val="111111"/>
          <w:sz w:val="28"/>
          <w:szCs w:val="28"/>
          <w:rtl w:val="true"/>
          <w:lang w:bidi="ar-SA"/>
        </w:rPr>
        <w:t xml:space="preserve">» </w:t>
      </w:r>
      <w:r>
        <w:rPr>
          <w:rStyle w:val="FootnoteAnchor"/>
          <w:rtl w:val="true"/>
        </w:rPr>
        <w:footnoteReference w:id="259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102825_73709187"/>
      <w:bookmarkStart w:id="332" w:name="_Toc122"/>
      <w:bookmarkEnd w:id="331"/>
      <w:r>
        <w:rPr>
          <w:rtl w:val="true"/>
        </w:rPr>
        <w:t>الخامسة كل عضو له دية مقدّرة ففي شلله</w:t>
      </w:r>
      <w:bookmarkEnd w:id="33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عضو له دية مقدّرة ففي شلله أي جعله أشل ثلثا ديته صحيحاً و في قطعه بعد شلله ثلث ديته صحيحاً،بلا خلاف أجده في المقامين،بل على الأوّل الإجماع عن الخلاف و في الغنية </w:t>
      </w:r>
      <w:r>
        <w:rPr>
          <w:rStyle w:val="FootnoteAnchor"/>
          <w:rtl w:val="true"/>
        </w:rPr>
        <w:footnoteReference w:id="2591"/>
      </w:r>
      <w:r>
        <w:rPr>
          <w:rFonts w:ascii="Amiri" w:hAnsi="Amiri" w:eastAsia="Amiri" w:cs="Amiri"/>
          <w:color w:val="111111"/>
          <w:sz w:val="28"/>
          <w:sz w:val="28"/>
          <w:szCs w:val="28"/>
          <w:rtl w:val="true"/>
          <w:lang w:bidi="ar-SA"/>
        </w:rPr>
        <w:t xml:space="preserve">، و كذا على الثاني في ظاهر عبارة بعض الأجلّة </w:t>
      </w:r>
      <w:r>
        <w:rPr>
          <w:rStyle w:val="FootnoteAnchor"/>
          <w:rtl w:val="true"/>
        </w:rPr>
        <w:footnoteReference w:id="259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bookmarkStart w:id="333" w:name="pg11409_91114"/>
    </w:p>
    <w:p>
      <w:pPr>
        <w:pStyle w:val="BookText"/>
        <w:rPr/>
      </w:pPr>
      <w:bookmarkEnd w:id="333"/>
      <w:r>
        <w:rPr>
          <w:rFonts w:ascii="Amiri" w:hAnsi="Amiri" w:eastAsia="Amiri" w:cs="Amiri"/>
          <w:color w:val="111111"/>
          <w:sz w:val="28"/>
          <w:sz w:val="28"/>
          <w:szCs w:val="28"/>
          <w:rtl w:val="true"/>
          <w:lang w:bidi="ar-SA"/>
        </w:rPr>
        <w:t>مضافاً إلى النصوص الواردة بهما و لو في أطراف مخصوصة تقدّم إليها الإشارة،و هو كافٍ بعد ضمّ عدم القائل 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الخبر الوارد في الأصابع صحيحة و شلّاء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593"/>
      </w:r>
      <w:r>
        <w:rPr>
          <w:rFonts w:ascii="Amiri" w:hAnsi="Amiri" w:eastAsia="Amiri" w:cs="Amiri"/>
          <w:color w:val="111111"/>
          <w:sz w:val="28"/>
          <w:sz w:val="28"/>
          <w:szCs w:val="28"/>
          <w:rtl w:val="true"/>
          <w:lang w:bidi="ar-SA"/>
        </w:rPr>
        <w:t>و هو عام في الثاني بناءً على أنّ العبرة بعموم اللفظ لا خصوص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كتاب ظريف و ما عرضه يونس على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شلل اليدين ألف دينار،و الرجلين ألف دينار </w:t>
      </w:r>
      <w:r>
        <w:rPr>
          <w:rStyle w:val="FootnoteAnchor"/>
          <w:rtl w:val="true"/>
        </w:rPr>
        <w:footnoteReference w:id="2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شاذّ،كالقوي الوارد بالدية في ذكر العنّين </w:t>
      </w:r>
      <w:r>
        <w:rPr>
          <w:rStyle w:val="FootnoteAnchor"/>
          <w:rtl w:val="true"/>
        </w:rPr>
        <w:footnoteReference w:id="2595"/>
      </w:r>
      <w:r>
        <w:rPr>
          <w:rFonts w:ascii="Amiri" w:hAnsi="Amiri" w:eastAsia="Amiri" w:cs="Amiri"/>
          <w:color w:val="111111"/>
          <w:sz w:val="28"/>
          <w:sz w:val="28"/>
          <w:szCs w:val="28"/>
          <w:rtl w:val="true"/>
          <w:lang w:bidi="ar-SA"/>
        </w:rPr>
        <w:t xml:space="preserve">و إن حكي القول به عن الصدوق و الإسكافي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في الشذوذ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4" w:name="__RefHeading___Toc1102827_73709187"/>
      <w:bookmarkStart w:id="335" w:name="_Toc123"/>
      <w:bookmarkEnd w:id="334"/>
      <w:r>
        <w:rPr>
          <w:rtl w:val="true"/>
        </w:rPr>
        <w:t>السادسة دية الشجاج في الرأس و الوجه سواء</w:t>
      </w:r>
      <w:bookmarkEnd w:id="33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الشجاج في الرأس و الوجه سواء بلا خلاف؛ للإطلاقات إن قلنا بعدم اختصاصها بالرأس كما هو المشهور؛ و للمعتبرين، أحدهما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 في الوجه و الرأس سواء</w:t>
      </w:r>
      <w:r>
        <w:rPr>
          <w:rFonts w:eastAsia="Amiri" w:cs="Amiri" w:ascii="Amiri" w:hAnsi="Amiri"/>
          <w:color w:val="111111"/>
          <w:sz w:val="28"/>
          <w:szCs w:val="28"/>
          <w:rtl w:val="true"/>
          <w:lang w:bidi="ar-SA"/>
        </w:rPr>
        <w:t xml:space="preserve">»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 و الشجاج في الرأس و الوجه سواء في الدية؛ لأنّ الوجه من الرأس</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و هو صريح في العموم منطوقاً و مفهوماً،و به تجبر أخصّية مورد الأوّل،مضافاً إلى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السمحاق،و هي التي دون الموضحة خمسمائة درهم،و فيها إذا كانت في الوجه ضعف الدية على قدر الشين</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ففيه مع شذوذه ضعف بالإرسال،و عدم مقاومة لما مرّ من الأخبار المعتضدة أو </w:t>
      </w:r>
      <w:r>
        <w:rPr>
          <w:rStyle w:val="FootnoteAnchor"/>
          <w:rtl w:val="true"/>
        </w:rPr>
        <w:footnoteReference w:id="2601"/>
      </w:r>
      <w:r>
        <w:rPr>
          <w:rFonts w:ascii="Amiri" w:hAnsi="Amiri" w:eastAsia="Amiri" w:cs="Amiri"/>
          <w:color w:val="111111"/>
          <w:sz w:val="28"/>
          <w:sz w:val="28"/>
          <w:szCs w:val="28"/>
          <w:rtl w:val="true"/>
          <w:lang w:bidi="ar-SA"/>
        </w:rPr>
        <w:t>المنجبرة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شبيهها من الجراح في البدن بنسبة دية العضو الذي يتفق فيه الجراحة من دية الرأس و هي دية النفس،ففي حارصة اليد مثلاً نصف بعير أو خمسة دنانير،و في حارصة إحدى أنملتي الإبهام عشر بعير أو نصف دينار،بلا خلاف أجده،و لم أجد دليلاً على هذه الكلّيّة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الخبر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الجراحات في الجسد كما هي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الجروح في الأصابع إذا أوضح العظم نصف عشر دية الإصبع</w:t>
      </w:r>
      <w:r>
        <w:rPr>
          <w:rFonts w:eastAsia="Amiri" w:cs="Amiri" w:ascii="Amiri" w:hAnsi="Amiri"/>
          <w:color w:val="111111"/>
          <w:sz w:val="28"/>
          <w:szCs w:val="28"/>
          <w:rtl w:val="true"/>
          <w:lang w:bidi="ar-SA"/>
        </w:rPr>
        <w:t xml:space="preserve">»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 قصور سندهما،بل ضعف الأوّل لا يفيدان تمام المدّعى،إلّا أن يجبر جميع ذلك بالإجماع المركّب</w:t>
      </w:r>
      <w:r>
        <w:rPr>
          <w:rFonts w:eastAsia="Amiri" w:cs="Amiri" w:ascii="Amiri" w:hAnsi="Amiri"/>
          <w:color w:val="111111"/>
          <w:sz w:val="28"/>
          <w:szCs w:val="28"/>
          <w:rtl w:val="true"/>
          <w:lang w:bidi="ar-SA"/>
        </w:rPr>
        <w:t xml:space="preserve">. </w:t>
      </w:r>
      <w:bookmarkStart w:id="336" w:name="pg11409_91116"/>
    </w:p>
    <w:p>
      <w:pPr>
        <w:pStyle w:val="BookText"/>
        <w:rPr/>
      </w:pPr>
      <w:bookmarkEnd w:id="336"/>
      <w:r>
        <w:rPr>
          <w:rFonts w:ascii="Amiri" w:hAnsi="Amiri" w:eastAsia="Amiri" w:cs="Amiri"/>
          <w:color w:val="111111"/>
          <w:sz w:val="28"/>
          <w:sz w:val="28"/>
          <w:szCs w:val="28"/>
          <w:rtl w:val="true"/>
          <w:lang w:bidi="ar-SA"/>
        </w:rPr>
        <w:t>مضافاً إلى اعتبار سند الموثق،لكنّه روي في التهذيب كما مرّ،و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دية الإصبع</w:t>
      </w:r>
      <w:r>
        <w:rPr>
          <w:rFonts w:eastAsia="Amiri" w:cs="Amiri" w:ascii="Amiri" w:hAnsi="Amiri"/>
          <w:color w:val="111111"/>
          <w:sz w:val="28"/>
          <w:szCs w:val="28"/>
          <w:rtl w:val="true"/>
          <w:lang w:bidi="ar-SA"/>
        </w:rPr>
        <w:t xml:space="preserve">» </w:t>
      </w:r>
      <w:r>
        <w:rPr>
          <w:rStyle w:val="FootnoteAnchor"/>
          <w:rtl w:val="true"/>
        </w:rPr>
        <w:footnoteReference w:id="2603"/>
      </w:r>
      <w:r>
        <w:rPr>
          <w:rFonts w:ascii="Amiri" w:hAnsi="Amiri" w:eastAsia="Amiri" w:cs="Amiri"/>
          <w:color w:val="111111"/>
          <w:sz w:val="28"/>
          <w:sz w:val="28"/>
          <w:szCs w:val="28"/>
          <w:rtl w:val="true"/>
          <w:lang w:bidi="ar-SA"/>
        </w:rPr>
        <w:t>بإسقاط لفظ النصف،و عليه فيلحق بالشواذ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كتاب ظريف تضمّن تفاصيل ديات الجراح في البدن موافقاً للقوم في بعضها و مخالفاً لهم في آخر منها،و لذا لا يمكن الاستدلال به لهم هنا</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102829_73709187"/>
      <w:bookmarkStart w:id="338" w:name="_Toc124"/>
      <w:bookmarkEnd w:id="337"/>
      <w:r>
        <w:rPr>
          <w:rtl w:val="true"/>
        </w:rPr>
        <w:t>السابعة كلّ ما فيه من الرجل ديته</w:t>
      </w:r>
      <w:bookmarkEnd w:id="338"/>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فيه حال كونه من الرجل الحرّ ديته كاملة كالنفس و اليدين و الرجلين و العقل و نحو ذلك ففيه أي في ذلك الشيء إذا كان من المرأة ديتها 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إذا كان من الذمّي ديته ثمانمائة درهم و من الذمّية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إذا كان من العبد قيمته ما لم تتجاوز دية الحرّ فيردّ إليها،و من الأمة قيمتها ما لم تتجاوز دية الحرّة،بلا خلاف في شيء من ذلك،و قد تقدّم التحقيق فيها في الشرط الأوّل من شرائط القصاص،و في النظر الأوّل من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فيه حال كونه من الرجل الحرّ مقدّر مخصوص كإحدى اليدين و الرجلين و الأُذنين و نحو ذلك من الأطراف التي يجب في الجناية عليها نصف الدية أو ثلثاها أو ثلثها أو عشرها أو نحو ذلك من المقادير،و كالحارصة و الدامية و الموضحة و نحوها من الشجاج و الجراح التي يجب فيها المقدّر من دياتها السابقة مفصّلة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إذا كان من المرأة فيه ديته بنسبة ديتها فما فيه من </w:t>
      </w:r>
    </w:p>
    <w:p>
      <w:pPr>
        <w:pStyle w:val="BookText"/>
        <w:rPr/>
      </w:pPr>
      <w:r>
        <w:rPr>
          <w:rFonts w:ascii="Amiri" w:hAnsi="Amiri" w:eastAsia="Amiri" w:cs="Amiri"/>
          <w:color w:val="111111"/>
          <w:sz w:val="28"/>
          <w:sz w:val="28"/>
          <w:szCs w:val="28"/>
          <w:rtl w:val="true"/>
          <w:lang w:bidi="ar-SA"/>
        </w:rPr>
        <w:t>الرجل نصف ديته مثلاً ففيه من المرأة نصف ديتها،و ما كان فيه منه ثلثا ديته أو ثلثها أو عشرها أو نحو ذلك ففيه من المرأة مثل ذلك لكن بنسبة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الذمّي و الذمّية كذلك أي بنسبة ديتهما و من العبد و الأمة بنسبة قيمته ما بلا خلاف في شيء من ذلك أجده،بل عليه الإجماع في الغنية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به مع ذلك مضافاً إلى الاعتبار مستفيضة،منها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 xml:space="preserve">»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في رجل شجّ عبداً موضحة،قال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عشر قيمته</w:t>
      </w:r>
      <w:r>
        <w:rPr>
          <w:rFonts w:eastAsia="Amiri" w:cs="Amiri" w:ascii="Amiri" w:hAnsi="Amiri"/>
          <w:color w:val="111111"/>
          <w:sz w:val="28"/>
          <w:szCs w:val="28"/>
          <w:rtl w:val="true"/>
          <w:lang w:bidi="ar-SA"/>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مولى العبد قصاص جراحة عبده من قيمة ديته على حساب ذلك يصير أرش الجراحة،و إذا جرح الحرّ العبد فقيمة جراحته من حساب قيمته</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فقأ عين نصراني؟فقال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عين الذمّي أربعمائة درهم</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جراحات النساء على النصف من جراحات الرجال في </w:t>
      </w:r>
    </w:p>
    <w:p>
      <w:pPr>
        <w:pStyle w:val="BookText"/>
        <w:rPr/>
      </w:pP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و نحوه النصوص المستفيضة المتقدّمة في البحثين المتقدم إليهما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فيها الدلالة على أنّ الحرّة تساوي الحرّ في ديات الأطراف و الجراح حتى تبلغ الثلث،ثم ترجع إلى النصف و عليها عمل الأصحاب كافّة،و إن اختلفوا كاختلافها من وجه آخر،و </w:t>
      </w:r>
      <w:r>
        <w:rPr>
          <w:rStyle w:val="FootnoteAnchor"/>
          <w:rtl w:val="true"/>
        </w:rPr>
        <w:footnoteReference w:id="2610"/>
      </w:r>
      <w:r>
        <w:rPr>
          <w:rFonts w:ascii="Amiri" w:hAnsi="Amiri" w:eastAsia="Amiri" w:cs="Amiri"/>
          <w:color w:val="111111"/>
          <w:sz w:val="28"/>
          <w:sz w:val="28"/>
          <w:szCs w:val="28"/>
          <w:rtl w:val="true"/>
          <w:lang w:bidi="ar-SA"/>
        </w:rPr>
        <w:t>و ينافي ذلك عموم الصحيحة المزبورة،لكنّها قابلة للتخصيص بتلك المستفيضة بحملها على ما إذا زاد عن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و إن لم تف بتمام ما في العبارة من المطلوب لكن يتمّم بالإجماع المركّب و عدم قائل بالفرق بين مواردها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فيه مقدّر،عمّا لا تقدير فيه،فإنّ فيه الحكومة مطلقاً،بلا خلاف أجده،و يشهد له كثير من المعتبرة،منها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جروحاً دون الاصطلام </w:t>
      </w:r>
      <w:r>
        <w:rPr>
          <w:rStyle w:val="FootnoteAnchor"/>
          <w:rtl w:val="true"/>
        </w:rPr>
        <w:footnoteReference w:id="2611"/>
      </w:r>
      <w:r>
        <w:rPr>
          <w:rFonts w:ascii="Amiri" w:hAnsi="Amiri" w:eastAsia="Amiri" w:cs="Amiri"/>
          <w:color w:val="111111"/>
          <w:sz w:val="28"/>
          <w:sz w:val="28"/>
          <w:szCs w:val="28"/>
          <w:rtl w:val="true"/>
          <w:lang w:bidi="ar-SA"/>
        </w:rPr>
        <w:t>فيحكم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الجامعة؟قال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فيها كل حلال و حرام،وكل شيء يحتاج إليه الناس حتى الأرش في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فداك،إنّما أنا لك فاصنع ما شئت،فغمزني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 xml:space="preserve">»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 xml:space="preserve">. </w:t>
      </w:r>
      <w:bookmarkStart w:id="339" w:name="pg11409_91119"/>
    </w:p>
    <w:p>
      <w:pPr>
        <w:pStyle w:val="BookText"/>
        <w:rPr/>
      </w:pPr>
      <w:bookmarkEnd w:id="339"/>
      <w:r>
        <w:rPr>
          <w:rFonts w:ascii="Amiri" w:hAnsi="Amiri" w:eastAsia="Amiri" w:cs="Amiri"/>
          <w:color w:val="111111"/>
          <w:sz w:val="28"/>
          <w:sz w:val="28"/>
          <w:szCs w:val="28"/>
          <w:rtl w:val="true"/>
          <w:lang w:bidi="ar-SA"/>
        </w:rPr>
        <w:t>و الحكومة و الأرش في اصطلاح الفقهاء عبارة عن معنى واحد و هو تفاوت ما بين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معناه في نحو العبد واضح،لكن لا يتجاوز بقيمته </w:t>
      </w:r>
      <w:r>
        <w:rPr>
          <w:rStyle w:val="FootnoteAnchor"/>
          <w:rtl w:val="true"/>
        </w:rPr>
        <w:footnoteReference w:id="2614"/>
      </w:r>
      <w:r>
        <w:rPr>
          <w:rFonts w:ascii="Amiri" w:hAnsi="Amiri" w:eastAsia="Amiri" w:cs="Amiri"/>
          <w:color w:val="111111"/>
          <w:sz w:val="28"/>
          <w:sz w:val="28"/>
          <w:szCs w:val="28"/>
          <w:rtl w:val="true"/>
          <w:lang w:bidi="ar-SA"/>
        </w:rPr>
        <w:t xml:space="preserve">عن دية الحرّ كما مرّ غير مرّة،و ينقص من قيمته حال العيب أيضاً بتلك النسبة، فلو تجاوز دية الحرّ بقدر الربع مثلاً و ردّ إليها بإسقاطه فليسقط مثله من قيمته حال العيب أيضاً،و يراعى التفاوت بين القيمتين و يؤخذ،فتأمّل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الحرّ أن يقوّم سليماً من نقص تلك الجناية إن كان عبداً و يقوّم مجروحاً كذلك أي بفرض كونه عبداً و ينسب التفاوت بين قيمتي حال الصحة و العيب إلى القيمة الأُولى و يؤخذ من الدية بحسابه أي التفاوت من النصف و الثلث و العشر و نحو ذلك،فلو قوّم عبداً صحيحاً بعشرة و معيباً بتسعة وجب للجناية عشر دية الحرّ،و يجعل العبد أصلاً له في ذلك،كما أنّ الحرّ أصل له في المقدّر</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102831_73709187"/>
      <w:bookmarkStart w:id="341" w:name="_Toc125"/>
      <w:bookmarkEnd w:id="340"/>
      <w:r>
        <w:rPr>
          <w:rtl w:val="true"/>
        </w:rPr>
        <w:t>الثامنة من لا وليّ له فالإمام</w:t>
      </w:r>
      <w:r>
        <w:rPr>
          <w:rtl w:val="true"/>
        </w:rPr>
        <w:t>(</w:t>
      </w:r>
      <w:r>
        <w:rPr>
          <w:rtl w:val="true"/>
        </w:rPr>
        <w:t>عليه السّلام</w:t>
      </w:r>
      <w:r>
        <w:rPr>
          <w:rtl w:val="true"/>
        </w:rPr>
        <w:t>)</w:t>
      </w:r>
      <w:r>
        <w:rPr>
          <w:rtl w:val="true"/>
        </w:rPr>
        <w:t>وليّ دمه</w:t>
      </w:r>
      <w:bookmarkEnd w:id="341"/>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و لا وليّ </w:t>
      </w:r>
      <w:r>
        <w:rPr>
          <w:rStyle w:val="FootnoteAnchor"/>
          <w:rtl w:val="true"/>
        </w:rPr>
        <w:footnoteReference w:id="2615"/>
      </w: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دمه،و له المطالبة بالقود في العمد أو الدية في شبهه و الخطأ،بلا خلاف،فتوًى و روايةً و اعتباراً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له العفو عنهما؟ المروي في الصحيح لا </w:t>
      </w:r>
      <w:r>
        <w:rPr>
          <w:rStyle w:val="FootnoteAnchor"/>
          <w:rtl w:val="true"/>
        </w:rPr>
        <w:footnoteReference w:id="2616"/>
      </w:r>
      <w:r>
        <w:rPr>
          <w:rFonts w:ascii="Amiri" w:hAnsi="Amiri" w:eastAsia="Amiri" w:cs="Amiri"/>
          <w:color w:val="111111"/>
          <w:sz w:val="28"/>
          <w:sz w:val="28"/>
          <w:szCs w:val="28"/>
          <w:rtl w:val="true"/>
          <w:lang w:bidi="ar-SA"/>
        </w:rPr>
        <w:t xml:space="preserve">،و هو المشهور بين الأصحاب،بل كاد أن يكون إجماعاً كما في الإيضاح و المسالك و الروضة و شرح الشرائع للصيمري </w:t>
      </w:r>
      <w:r>
        <w:rPr>
          <w:rStyle w:val="FootnoteAnchor"/>
          <w:rtl w:val="true"/>
        </w:rPr>
        <w:footnoteReference w:id="2617"/>
      </w:r>
      <w:r>
        <w:rPr>
          <w:rFonts w:ascii="Amiri" w:hAnsi="Amiri" w:eastAsia="Amiri" w:cs="Amiri"/>
          <w:color w:val="111111"/>
          <w:sz w:val="28"/>
          <w:sz w:val="28"/>
          <w:szCs w:val="28"/>
          <w:rtl w:val="true"/>
          <w:lang w:bidi="ar-SA"/>
        </w:rPr>
        <w:t xml:space="preserve">،و هو كذلك؛ لعدم </w:t>
      </w:r>
    </w:p>
    <w:p>
      <w:pPr>
        <w:pStyle w:val="BookText"/>
        <w:rPr/>
      </w:pPr>
      <w:r>
        <w:rPr>
          <w:rFonts w:ascii="Amiri" w:hAnsi="Amiri" w:eastAsia="Amiri" w:cs="Amiri"/>
          <w:color w:val="111111"/>
          <w:sz w:val="28"/>
          <w:sz w:val="28"/>
          <w:szCs w:val="28"/>
          <w:rtl w:val="true"/>
          <w:lang w:bidi="ar-SA"/>
        </w:rPr>
        <w:t xml:space="preserve">مخالف فيه عدا الحلّي </w:t>
      </w:r>
      <w:r>
        <w:rPr>
          <w:rStyle w:val="FootnoteAnchor"/>
          <w:rtl w:val="true"/>
        </w:rPr>
        <w:footnoteReference w:id="2618"/>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مضى في كتاب الإرث في المسألة الثالثة من مسائل بحث مانعية القتل عن الإرث،فلا نعيده،مع أنّ البحث قليل الفائدة</w:t>
      </w:r>
      <w:r>
        <w:rPr>
          <w:rFonts w:eastAsia="Amiri" w:cs="Amiri" w:ascii="Amiri" w:hAnsi="Amiri"/>
          <w:color w:val="111111"/>
          <w:sz w:val="28"/>
          <w:szCs w:val="28"/>
          <w:rtl w:val="true"/>
          <w:lang w:bidi="ar-SA"/>
        </w:rPr>
        <w:t xml:space="preserve">. </w:t>
      </w:r>
      <w:bookmarkStart w:id="342" w:name="pg11409_91121"/>
    </w:p>
    <w:p>
      <w:pPr>
        <w:pStyle w:val="Heading3"/>
        <w:numPr>
          <w:ilvl w:val="2"/>
          <w:numId w:val="1"/>
        </w:numPr>
        <w:rPr/>
      </w:pPr>
      <w:bookmarkStart w:id="343" w:name="__RefHeading___Toc1102833_73709187"/>
      <w:bookmarkStart w:id="344" w:name="_Toc126"/>
      <w:bookmarkEnd w:id="342"/>
      <w:bookmarkEnd w:id="343"/>
      <w:r>
        <w:rPr>
          <w:rtl w:val="true"/>
        </w:rPr>
        <w:t>النظر الرابع في اللواحق و هي أربع</w:t>
      </w:r>
      <w:bookmarkEnd w:id="344"/>
    </w:p>
    <w:p>
      <w:pPr>
        <w:pStyle w:val="Heading4"/>
        <w:numPr>
          <w:ilvl w:val="3"/>
          <w:numId w:val="1"/>
        </w:numPr>
        <w:rPr/>
      </w:pPr>
      <w:bookmarkStart w:id="345" w:name="__RefHeading___Toc1102835_73709187"/>
      <w:bookmarkStart w:id="346" w:name="_Toc127"/>
      <w:bookmarkEnd w:id="345"/>
      <w:r>
        <w:rPr>
          <w:rtl w:val="true"/>
        </w:rPr>
        <w:t>الأولى دية الجنين الحرّ المسلم</w:t>
      </w:r>
      <w:bookmarkEnd w:id="346"/>
    </w:p>
    <w:p>
      <w:pPr>
        <w:pStyle w:val="BookText"/>
        <w:rPr/>
      </w:pPr>
      <w:r>
        <w:rPr>
          <w:rFonts w:ascii="Amiri" w:hAnsi="Amiri" w:eastAsia="Amiri" w:cs="Amiri"/>
          <w:color w:val="111111"/>
          <w:sz w:val="28"/>
          <w:sz w:val="28"/>
          <w:szCs w:val="28"/>
          <w:rtl w:val="true"/>
          <w:lang w:bidi="ar-SA"/>
        </w:rPr>
        <w:t>النظر الرابع في اللواحق و هي مسائل أربع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الجنين و هو الحمل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دية الجنين الحرّ المسلم تبعاً لإسلام أبويه أو أحدهما إذ اكتسى اللّحم و تمّت خلقته و لم تلجه الروح مائة دينار عشر الدية ذكراً كان الجنين أو أُنثى على الأشهر الأظهر،بل عليه عامة من تأخّر،و في الغنية و السرائر و عن صريح الانتصار و الخلاف و ظاهر المبسوط الإجماع عليه </w:t>
      </w:r>
      <w:r>
        <w:rPr>
          <w:rStyle w:val="FootnoteAnchor"/>
          <w:rtl w:val="true"/>
        </w:rPr>
        <w:footnoteReference w:id="261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 المستفيضة،منها زيادةً على ما يأتي إليه الإشارة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دية الجنين مائة دينار و جعل مني الرجل إلى أن يكون جنيناً خمسة أجزاء،فإذا كان جنيناً قبل أن تلجه الروح مائة دينار،و ذلك أنّ اللّه عزَّ و جلَّ خلق الإنسان من سلالة و هي النطفة فهذا جزء،ثم علقة فهذا جزءان،ثم مضغة فهو ثلاثة أجزاء، ثم عظم فهو أربعة أجزاء،ثم يكسى لحماً حينئذٍ تمّ جنيناً،فكملت له خمسة أجزاء مائة دينار،و المائة دينار خمسة أجزاء،فجعل للنّطفة خمس المائة عشرين ديناراً،و للعلقة خمسي الدية أربعين ديناراً،و للمضغة ثلاثة </w:t>
      </w:r>
    </w:p>
    <w:p>
      <w:pPr>
        <w:pStyle w:val="BookText"/>
        <w:rPr/>
      </w:pPr>
      <w:r>
        <w:rPr>
          <w:rFonts w:ascii="Amiri" w:hAnsi="Amiri" w:eastAsia="Amiri" w:cs="Amiri"/>
          <w:color w:val="111111"/>
          <w:sz w:val="28"/>
          <w:sz w:val="28"/>
          <w:szCs w:val="28"/>
          <w:rtl w:val="true"/>
          <w:lang w:bidi="ar-SA"/>
        </w:rPr>
        <w:t>أخماس المائة ستّين ديناراً،و للعظم أربعة أخماس الدية ثمانين ديناراً،فإذا أُنشئ فيه خلق آخر و هو الروح فهو حينئذٍ نفس ألف دينار كاملة إن كان ذكراً،و إن كان أُنثى فخمسمائة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أخبار كثيرة يأتي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الدية كاملة </w:t>
      </w:r>
      <w:r>
        <w:rPr>
          <w:rStyle w:val="FootnoteAnchor"/>
          <w:rtl w:val="true"/>
        </w:rPr>
        <w:footnoteReference w:id="2621"/>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عظماً شقّ له السمع و البصر و رتبت جوارحه،فإن كان كذلك فيه الدية كاملة</w:t>
      </w:r>
      <w:r>
        <w:rPr>
          <w:rFonts w:eastAsia="Amiri" w:cs="Amiri" w:ascii="Amiri" w:hAnsi="Amiri"/>
          <w:color w:val="111111"/>
          <w:sz w:val="28"/>
          <w:szCs w:val="28"/>
          <w:rtl w:val="true"/>
          <w:lang w:bidi="ar-SA"/>
        </w:rPr>
        <w:t xml:space="preserve">» </w:t>
      </w:r>
      <w:r>
        <w:rPr>
          <w:rStyle w:val="FootnoteAnchor"/>
          <w:rtl w:val="true"/>
        </w:rPr>
        <w:footnoteReference w:id="2622"/>
      </w:r>
      <w:r>
        <w:rPr>
          <w:rFonts w:ascii="IRNazanin" w:hAnsi="IRNazanin" w:eastAsia="IRNazanin"/>
          <w:color w:val="111111"/>
          <w:sz w:val="28"/>
          <w:sz w:val="28"/>
          <w:szCs w:val="28"/>
          <w:rtl w:val="true"/>
          <w:lang w:bidi="fa-IR"/>
        </w:rPr>
        <w:t xml:space="preserve">و نحوه آخر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غير صريح؛ للإطلاق المحتمل تقييده بصورة ولوج الروح جمعاً،و للأخبار المفصّلة،مع احتماله الحمل على دية الجنين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للإسكافي،فأطلق أنّ فيه غرّة عبد أو أمة </w:t>
      </w:r>
      <w:r>
        <w:rPr>
          <w:rStyle w:val="FootnoteAnchor"/>
          <w:rtl w:val="true"/>
        </w:rPr>
        <w:footnoteReference w:id="2624"/>
      </w:r>
      <w:r>
        <w:rPr>
          <w:rFonts w:ascii="Amiri" w:hAnsi="Amiri" w:eastAsia="Amiri" w:cs="Amiri"/>
          <w:color w:val="111111"/>
          <w:sz w:val="28"/>
          <w:sz w:val="28"/>
          <w:szCs w:val="28"/>
          <w:rtl w:val="true"/>
          <w:lang w:bidi="ar-SA"/>
        </w:rPr>
        <w:t>للنصوص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ستعرف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للمبسوط،ففرّق بين الذكر فما مرّ،و الأُنثى فنصفه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عدم وضوح مستنده شاذّ،و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منه أنّ على ما ذكره الاتفاق </w:t>
      </w:r>
      <w:r>
        <w:rPr>
          <w:rStyle w:val="FootnoteAnchor"/>
          <w:rtl w:val="true"/>
        </w:rPr>
        <w:footnoteReference w:id="2626"/>
      </w:r>
      <w:r>
        <w:rPr>
          <w:rFonts w:ascii="Amiri" w:hAnsi="Amiri" w:eastAsia="Amiri" w:cs="Amiri"/>
          <w:color w:val="111111"/>
          <w:sz w:val="28"/>
          <w:sz w:val="28"/>
          <w:szCs w:val="28"/>
          <w:rtl w:val="true"/>
          <w:lang w:bidi="ar-SA"/>
        </w:rPr>
        <w:t xml:space="preserve">،بل على خلافه في السرائر الإجماع </w:t>
      </w:r>
      <w:r>
        <w:rPr>
          <w:rStyle w:val="FootnoteAnchor"/>
          <w:rtl w:val="true"/>
        </w:rPr>
        <w:footnoteReference w:id="262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إطلاق الفتاوي و الروايات،بل ظواهر جملة منهما،و منها الصحيحة السابقة،حيث لم تفصّل بين ديته ذكراً أو أُنثى إلّا حال ولوج الروح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الصحيحة أو المرسلة القربية منها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الجنين 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للنطفة عشرون ديناراً،و للعلقة خمسان أربعون ديناراً، و للمضغة ثلاثة أخماس ستّون ديناراً،و للعظم أربعة أخماس ثمانون ديناراً، فإذا تمّ الجنين كان له مائة دينار،فإذا أُنشئ فيه الروح فديته ألف دينار أو عشرة آلاف درهم إن كان ذكراً،و إن كان أُنثى فخمسمائة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الحسن القريب من الصحيح،بل قيل صحيح </w:t>
      </w:r>
      <w:r>
        <w:rPr>
          <w:rStyle w:val="FootnoteAnchor"/>
          <w:rtl w:val="true"/>
        </w:rPr>
        <w:footnoteReference w:id="2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أربعون ديناراً،و في العلقة ستّون ديناراً،و في المضغة ثمانون ديناراً، فإذا اكتسى العظام لحماً ففيه مائة دينار،قال اللّه عزَّ و جلَّ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630"/>
      </w:r>
      <w:r>
        <w:rPr>
          <w:rFonts w:ascii="Amiri" w:hAnsi="Amiri" w:eastAsia="Amiri" w:cs="Amiri"/>
          <w:color w:val="111111"/>
          <w:sz w:val="28"/>
          <w:sz w:val="28"/>
          <w:szCs w:val="28"/>
          <w:rtl w:val="true"/>
          <w:lang w:bidi="ar-SA"/>
        </w:rPr>
        <w:t>فإن كان ذكراً ففيه الدية،و إن كان أُنثى ففيها ديتها</w:t>
      </w:r>
      <w:r>
        <w:rPr>
          <w:rFonts w:eastAsia="Amiri" w:cs="Amiri" w:ascii="Amiri" w:hAnsi="Amiri"/>
          <w:color w:val="111111"/>
          <w:sz w:val="28"/>
          <w:szCs w:val="28"/>
          <w:rtl w:val="true"/>
          <w:lang w:bidi="ar-SA"/>
        </w:rPr>
        <w:t xml:space="preserve">»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إن لم يصرّح بأنّ ذلك في ولوج الروح،إلّا أنّ في ذكر قوله سبحانه ثُمَّ أَنْشَأْناهُ خَلْقاً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الآية،إشارة إلى ذلك،فإنّ خَلْقاً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من الصحيحين السابقين هو الروح،و ظاهره و إن نافى الأخبار السابقة في ديات النطفة و العلقة و المضغة،إلّا أنّه محمول على </w:t>
      </w:r>
    </w:p>
    <w:p>
      <w:pPr>
        <w:pStyle w:val="BookText"/>
        <w:rPr/>
      </w:pPr>
      <w:r>
        <w:rPr>
          <w:rFonts w:ascii="Amiri" w:hAnsi="Amiri" w:eastAsia="Amiri" w:cs="Amiri"/>
          <w:color w:val="111111"/>
          <w:sz w:val="28"/>
          <w:sz w:val="28"/>
          <w:szCs w:val="28"/>
          <w:rtl w:val="true"/>
          <w:lang w:bidi="ar-SA"/>
        </w:rPr>
        <w:t>زيادة خلقه النطفة إلى أن تبلغ العلقة،و زيادة العلقة إلى تبلغ المضغة، و زيادة المضغة إلى أن تبلغ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الجنين ذمّيا أي متولّداً عن ذمّي ملحقاً به فعشر دية أبيه ثمانين درهماً،بلا خلاف أجده،بل عن الخلاف </w:t>
      </w:r>
      <w:r>
        <w:rPr>
          <w:rStyle w:val="FootnoteAnchor"/>
          <w:rtl w:val="true"/>
        </w:rPr>
        <w:footnoteReference w:id="2632"/>
      </w:r>
      <w:r>
        <w:rPr>
          <w:rFonts w:ascii="Amiri" w:hAnsi="Amiri" w:eastAsia="Amiri" w:cs="Amiri"/>
          <w:color w:val="111111"/>
          <w:sz w:val="28"/>
          <w:sz w:val="28"/>
          <w:szCs w:val="28"/>
          <w:rtl w:val="true"/>
          <w:lang w:bidi="ar-SA"/>
        </w:rPr>
        <w:t xml:space="preserve">و في ظاهر عبارة بعض الأجلّة </w:t>
      </w:r>
      <w:r>
        <w:rPr>
          <w:rStyle w:val="FootnoteAnchor"/>
          <w:rtl w:val="true"/>
        </w:rPr>
        <w:footnoteReference w:id="2633"/>
      </w:r>
      <w:r>
        <w:rPr>
          <w:rFonts w:ascii="Amiri" w:hAnsi="Amiri" w:eastAsia="Amiri" w:cs="Amiri"/>
          <w:color w:val="111111"/>
          <w:sz w:val="28"/>
          <w:sz w:val="28"/>
          <w:szCs w:val="28"/>
          <w:rtl w:val="true"/>
          <w:lang w:bidi="ar-SA"/>
        </w:rPr>
        <w:t xml:space="preserve">بل جماعة الإجماع عليه </w:t>
      </w:r>
      <w:r>
        <w:rPr>
          <w:rStyle w:val="FootnoteAnchor"/>
          <w:rtl w:val="true"/>
        </w:rPr>
        <w:footnoteReference w:id="2634"/>
      </w:r>
      <w:r>
        <w:rPr>
          <w:rFonts w:ascii="Amiri" w:hAnsi="Amiri" w:eastAsia="Amiri" w:cs="Amiri"/>
          <w:color w:val="111111"/>
          <w:sz w:val="28"/>
          <w:sz w:val="28"/>
          <w:szCs w:val="28"/>
          <w:rtl w:val="true"/>
          <w:lang w:bidi="ar-SA"/>
        </w:rPr>
        <w:t xml:space="preserve">،و هو الحجة،دون ما في التنقيح </w:t>
      </w:r>
      <w:r>
        <w:rPr>
          <w:rStyle w:val="FootnoteAnchor"/>
          <w:rtl w:val="true"/>
        </w:rPr>
        <w:footnoteReference w:id="2635"/>
      </w:r>
      <w:r>
        <w:rPr>
          <w:rFonts w:ascii="Amiri" w:hAnsi="Amiri" w:eastAsia="Amiri" w:cs="Amiri"/>
          <w:color w:val="111111"/>
          <w:sz w:val="28"/>
          <w:sz w:val="28"/>
          <w:szCs w:val="28"/>
          <w:rtl w:val="true"/>
          <w:lang w:bidi="ar-SA"/>
        </w:rPr>
        <w:t xml:space="preserve">من أنّ إلحاق الولد الحرّ بأبيه في الأحكام حقيقة غالبة،و لا ما ذكره جماعة </w:t>
      </w:r>
      <w:r>
        <w:rPr>
          <w:rStyle w:val="FootnoteAnchor"/>
          <w:rtl w:val="true"/>
        </w:rPr>
        <w:footnoteReference w:id="2636"/>
      </w:r>
      <w:r>
        <w:rPr>
          <w:rFonts w:ascii="Amiri" w:hAnsi="Amiri" w:eastAsia="Amiri" w:cs="Amiri"/>
          <w:color w:val="111111"/>
          <w:sz w:val="28"/>
          <w:sz w:val="28"/>
          <w:szCs w:val="28"/>
          <w:rtl w:val="true"/>
          <w:lang w:bidi="ar-SA"/>
        </w:rPr>
        <w:t>من مناسبة ذلك لمراعاة جنين الحرّ المسلم بدية أبيه؛ فإنّ جميع ذلك مناسبات يشكل التعويل عليها في إثبات الأحكام،سيّما مع معارضتها بمثلها،و هو أنّ أهل الذمّة مماليك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التصريح به في كثير من الأخبار،و من حكم المملوك أنّ دية جنينه تعتبر بعشر دية امّه كما يأتي،و عليه فيناسب أن تكون دية الجنين الذمّي عشر دية امّه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التصريح به أيضاً في روايتي مسمع </w:t>
      </w:r>
      <w:r>
        <w:rPr>
          <w:rStyle w:val="FootnoteAnchor"/>
          <w:rtl w:val="true"/>
        </w:rPr>
        <w:footnoteReference w:id="2637"/>
      </w:r>
      <w:r>
        <w:rPr>
          <w:rFonts w:ascii="Amiri" w:hAnsi="Amiri" w:eastAsia="Amiri" w:cs="Amiri"/>
          <w:color w:val="111111"/>
          <w:sz w:val="28"/>
          <w:sz w:val="28"/>
          <w:szCs w:val="28"/>
          <w:rtl w:val="true"/>
          <w:lang w:bidi="ar-SA"/>
        </w:rPr>
        <w:t>و السكوني عن جعفر،عن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جنين اليهودية و النصرانية و المجوسية عشر دية أُمّه </w:t>
      </w:r>
      <w:r>
        <w:rPr>
          <w:rFonts w:eastAsia="Amiri" w:cs="Amiri" w:ascii="Amiri" w:hAnsi="Amiri"/>
          <w:color w:val="111111"/>
          <w:sz w:val="28"/>
          <w:szCs w:val="28"/>
          <w:rtl w:val="true"/>
          <w:lang w:bidi="ar-SA"/>
        </w:rPr>
        <w:t xml:space="preserve">»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لكنّهما ضعيفتا السند،سيّما الاُولى،و المناسبة المؤيّدة لهما ليست بحجة كما مضى،و على تقدير حجيتها في نفسها فلا يعترض بها اتفاق الأصحاب الظاهر و المحكي على خلافها،و لولاه لكان المصير إليها قويّاً، سيّما مع اعتضادها بالروايتين،و قوّة سند الثانية منهما،و لكن لا محيص بعد ذلك عن اطراحهما،أو حملهما على ما يجتمعان مع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مملوكاً فعشر قيمة امّه المملوكة على الأظهر الأشهر،بل عليه عامّة من تأخر،و في السرائر و عن الخلاف الإجماع عليه </w:t>
      </w:r>
      <w:r>
        <w:rPr>
          <w:rStyle w:val="FootnoteAnchor"/>
          <w:rtl w:val="true"/>
        </w:rPr>
        <w:footnoteReference w:id="2639"/>
      </w:r>
      <w:r>
        <w:rPr>
          <w:rFonts w:ascii="Amiri" w:hAnsi="Amiri" w:eastAsia="Amiri" w:cs="Amiri"/>
          <w:color w:val="111111"/>
          <w:sz w:val="28"/>
          <w:sz w:val="28"/>
          <w:szCs w:val="28"/>
          <w:rtl w:val="true"/>
          <w:lang w:bidi="ar-SA"/>
        </w:rPr>
        <w:t>للقوي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جنين الأمة عشر ثمنها</w:t>
      </w:r>
      <w:r>
        <w:rPr>
          <w:rFonts w:eastAsia="Amiri" w:cs="Amiri" w:ascii="Amiri" w:hAnsi="Amiri"/>
          <w:color w:val="111111"/>
          <w:sz w:val="28"/>
          <w:szCs w:val="28"/>
          <w:rtl w:val="true"/>
          <w:lang w:bidi="ar-SA"/>
        </w:rPr>
        <w:t xml:space="preserve">»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للمبسوط،فعشر قيمة الأب إن كان ذكراً و عشر قيمة الاُمّ إن كان أُنثى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مع شذوذه لم أعرف له مستنداً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احترز بتقييد الاُمّ بالمملوكة عمّا لو كانت حرّة،فإنّ فيه عشر دية أبيه كما في القواعد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الأصل في الولد أن يتبع الأب،و حكم الجنين الحرّ ذلك، خرج ما إذا كانت أمة بالنصّ و الإجماع </w:t>
      </w:r>
      <w:r>
        <w:rPr>
          <w:rStyle w:val="FootnoteAnchor"/>
          <w:rtl w:val="true"/>
        </w:rPr>
        <w:footnoteReference w:id="2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لما مرّ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فيه أيضاً عشر قيمة الأُمّ على تقدير الرقّية </w:t>
      </w:r>
      <w:r>
        <w:rPr>
          <w:rStyle w:val="FootnoteAnchor"/>
          <w:rtl w:val="true"/>
        </w:rPr>
        <w:footnoteReference w:id="2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النص و الفتوى باعتبار قيمتها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 أيضاً؛ لاختصاص موردهما بجنين الأمة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في التحرير عشر دية أُمّه ما لم تزد على عشر قيمة أبيه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جمعاً بين عموم النص و الفتوى باعتبار قيمتها،و رقّ الجنين الموجب لعدم زيادة ديته على أبيه الرقيق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عموم النص ما مرّ،و وجه الأخير للعبد لم يظهر،فالمسألة محل نظر،و لكنّ الأخذ بالأقلّ أجدر؛ عملاً بالأصل؛ و أخذاً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كفّارة في؛ قتل الجنين في جميع أحواله؛ للأصل؛ و اختصاص ما دلّ على وجوبها بصورة القتل المشروط بحياة القتيل،و لا خلاف فيه هنا ظاهراً،بل عليه في </w:t>
      </w:r>
      <w:r>
        <w:rPr>
          <w:rStyle w:val="FootnoteAnchor"/>
          <w:rtl w:val="true"/>
        </w:rPr>
        <w:footnoteReference w:id="2648"/>
      </w:r>
      <w:r>
        <w:rPr>
          <w:rFonts w:ascii="IRNazanin" w:hAnsi="IRNazanin" w:eastAsia="IRNazanin"/>
          <w:color w:val="111111"/>
          <w:sz w:val="28"/>
          <w:sz w:val="28"/>
          <w:szCs w:val="28"/>
          <w:rtl w:val="true"/>
          <w:lang w:bidi="fa-IR"/>
        </w:rPr>
        <w:t xml:space="preserve">بعض العبارات إجماعنا </w:t>
      </w:r>
      <w:r>
        <w:rPr>
          <w:rStyle w:val="FootnoteAnchor"/>
          <w:rtl w:val="true"/>
        </w:rPr>
        <w:footnoteReference w:id="2649"/>
      </w:r>
      <w:r>
        <w:rPr>
          <w:rFonts w:ascii="Amiri" w:hAnsi="Amiri" w:eastAsia="Amiri" w:cs="Amiri"/>
          <w:color w:val="111111"/>
          <w:sz w:val="28"/>
          <w:sz w:val="28"/>
          <w:szCs w:val="28"/>
          <w:rtl w:val="true"/>
          <w:lang w:bidi="ar-SA"/>
        </w:rPr>
        <w:t>،و هو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جني عليه بعد أن ولجته الروح فالدية دية النفس كاملة للذّكر،و نصفها للأُنثى بلا خلاف أجده </w:t>
      </w:r>
      <w:r>
        <w:rPr>
          <w:rStyle w:val="FootnoteAnchor"/>
          <w:rtl w:val="true"/>
        </w:rPr>
        <w:footnoteReference w:id="2650"/>
      </w:r>
      <w:r>
        <w:rPr>
          <w:rFonts w:ascii="Amiri" w:hAnsi="Amiri" w:eastAsia="Amiri" w:cs="Amiri"/>
          <w:color w:val="111111"/>
          <w:sz w:val="28"/>
          <w:sz w:val="28"/>
          <w:szCs w:val="28"/>
          <w:rtl w:val="true"/>
          <w:lang w:bidi="ar-SA"/>
        </w:rPr>
        <w:t xml:space="preserve">،و النصوص به مع ذلك مستفيضة تقدّم إلى جملة منها الإشارة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النص و الفتوى يقتضي عدم الفرق بين موت الجنين في البطن أم خارجه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للغنية،فخصّ وجوب كمال الدية بالصورة الثانية،قال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مات الجنين في الجوف ففيه نصف الدية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أعرف مستنده سوى ما ادّعاه في ظاهر كلامه من إجماع الإمامية، و وهنه ظاهر؛ إذ لا موافق له أجده عدا الحلبي و العماني و الإسكافي </w:t>
      </w:r>
      <w:r>
        <w:rPr>
          <w:rStyle w:val="FootnoteAnchor"/>
          <w:rtl w:val="true"/>
        </w:rPr>
        <w:footnoteReference w:id="2653"/>
      </w:r>
      <w:r>
        <w:rPr>
          <w:rFonts w:ascii="Amiri" w:hAnsi="Amiri" w:eastAsia="Amiri" w:cs="Amiri"/>
          <w:color w:val="111111"/>
          <w:sz w:val="28"/>
          <w:sz w:val="28"/>
          <w:szCs w:val="28"/>
          <w:rtl w:val="true"/>
          <w:lang w:bidi="ar-SA"/>
        </w:rPr>
        <w:t>، لكنّهما ذكرا ذلك في الجنين المملوك خاصّة؛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جنين أمة لقوم في بطنها،فقال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مات في بطنها بعد ما ضربها فعليه نصف عشر قيمة امّه،و إن كان ضربها فألقته حيّاً فمات فإنّ عليه عشر قيمة امّة</w:t>
      </w:r>
      <w:r>
        <w:rPr>
          <w:rFonts w:eastAsia="Amiri" w:cs="Amiri" w:ascii="Amiri" w:hAnsi="Amiri"/>
          <w:color w:val="111111"/>
          <w:sz w:val="28"/>
          <w:szCs w:val="28"/>
          <w:rtl w:val="true"/>
          <w:lang w:bidi="ar-SA"/>
        </w:rPr>
        <w:t xml:space="preserve">»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ضعيفة السند قاصرة المتن عن إفادة ما ذكره ابن زهرة؛ لاختصاصها ككلام القديمين بالجنين المملوك خاصّة،و مع ذلك صريحة ككلامهما بإثبات العشر و نصفه في الصورتين مع ولوج الروح،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بلزوم دية النفس أو نصفها حينئذٍ لو مات خارجاً، و نصفهما </w:t>
      </w:r>
      <w:r>
        <w:rPr>
          <w:rStyle w:val="FootnoteAnchor"/>
          <w:rtl w:val="true"/>
        </w:rPr>
        <w:footnoteReference w:id="2655"/>
      </w:r>
      <w:r>
        <w:rPr>
          <w:rFonts w:ascii="Amiri" w:hAnsi="Amiri" w:eastAsia="Amiri" w:cs="Amiri"/>
          <w:color w:val="111111"/>
          <w:sz w:val="28"/>
          <w:sz w:val="28"/>
          <w:szCs w:val="28"/>
          <w:rtl w:val="true"/>
          <w:lang w:bidi="ar-SA"/>
        </w:rPr>
        <w:t>لو مات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عدم موافقته للقديمين أصلاً إلّا في أصل التفصيل بين الموت في البطن أو خارجه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يكتس اللّحم ففي ديته قولان،أحدهما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غرّة عبد أو أمة مطلقاً،ذهب إليه الشيخ في جملة من كتبه </w:t>
      </w:r>
      <w:r>
        <w:rPr>
          <w:rStyle w:val="FootnoteAnchor"/>
          <w:rtl w:val="true"/>
        </w:rPr>
        <w:footnoteReference w:id="2656"/>
      </w:r>
      <w:r>
        <w:rPr>
          <w:rFonts w:ascii="Amiri" w:hAnsi="Amiri" w:eastAsia="Amiri" w:cs="Amiri"/>
          <w:color w:val="111111"/>
          <w:sz w:val="28"/>
          <w:sz w:val="28"/>
          <w:szCs w:val="28"/>
          <w:rtl w:val="true"/>
          <w:lang w:bidi="ar-SA"/>
        </w:rPr>
        <w:t xml:space="preserve">وفاقاً للإسكافي </w:t>
      </w:r>
      <w:r>
        <w:rPr>
          <w:rStyle w:val="FootnoteAnchor"/>
          <w:rtl w:val="true"/>
        </w:rPr>
        <w:footnoteReference w:id="2657"/>
      </w:r>
      <w:r>
        <w:rPr>
          <w:rFonts w:ascii="Amiri" w:hAnsi="Amiri" w:eastAsia="Amiri" w:cs="Amiri"/>
          <w:color w:val="111111"/>
          <w:sz w:val="28"/>
          <w:sz w:val="28"/>
          <w:szCs w:val="28"/>
          <w:rtl w:val="true"/>
          <w:lang w:bidi="ar-SA"/>
        </w:rPr>
        <w:t xml:space="preserve">، لكنّه أطلق و لم يفصّل بين اكتسائه اللحم و عدمه كما مرّ،و الشيخ فصّل بين الصورتين و وافق الأصحاب في لزوم المائة في الأُولى،و وافقه في الثانية؛ </w:t>
      </w:r>
    </w:p>
    <w:p>
      <w:pPr>
        <w:pStyle w:val="BookText"/>
        <w:rPr/>
      </w:pPr>
      <w:r>
        <w:rPr>
          <w:rFonts w:ascii="Amiri" w:hAnsi="Amiri" w:eastAsia="Amiri" w:cs="Amiri"/>
          <w:color w:val="111111"/>
          <w:sz w:val="28"/>
          <w:sz w:val="28"/>
          <w:szCs w:val="28"/>
          <w:rtl w:val="true"/>
          <w:lang w:bidi="ar-SA"/>
        </w:rPr>
        <w:t>جمعاً بين النصوص المتقدّمة الدالّة على المائة و النصوص الدالّة على الغرّة بقول مطلق،كالصحيح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فاستعدت على أعرابي قد أفزعها فألقت جنيناً،فقال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يهلّ و لم يصح و مثله يطلّ،فقال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سجّاعة،عليك غرّة وصيف أو أمة</w:t>
      </w:r>
      <w:r>
        <w:rPr>
          <w:rFonts w:eastAsia="Amiri" w:cs="Amiri" w:ascii="Amiri" w:hAnsi="Amiri"/>
          <w:color w:val="111111"/>
          <w:sz w:val="28"/>
          <w:szCs w:val="28"/>
          <w:rtl w:val="true"/>
          <w:lang w:bidi="ar-SA"/>
        </w:rPr>
        <w:t xml:space="preserve">» </w:t>
      </w:r>
      <w:r>
        <w:rPr>
          <w:rStyle w:val="FootnoteAnchor"/>
          <w:rtl w:val="true"/>
        </w:rPr>
        <w:footnoteReference w:id="2658"/>
      </w:r>
      <w:r>
        <w:rPr>
          <w:rFonts w:ascii="Amiri" w:hAnsi="Amiri" w:eastAsia="Amiri" w:cs="Amiri"/>
          <w:color w:val="111111"/>
          <w:sz w:val="28"/>
          <w:sz w:val="28"/>
          <w:szCs w:val="28"/>
          <w:rtl w:val="true"/>
          <w:lang w:bidi="ar-SA"/>
        </w:rPr>
        <w:t xml:space="preserve">و نحوه الصحيح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القوي في قضاء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في مثل تلك القضية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امرأة خطأً و هي على رأس الولد تمخض؟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خمسة آلاف درهم،و عليه دية الذي في بطنها غرّة وصيف أو وصيفة</w:t>
      </w:r>
      <w:r>
        <w:rPr>
          <w:rFonts w:eastAsia="Amiri" w:cs="Amiri" w:ascii="Amiri" w:hAnsi="Amiri"/>
          <w:color w:val="111111"/>
          <w:sz w:val="28"/>
          <w:szCs w:val="28"/>
          <w:rtl w:val="true"/>
          <w:lang w:bidi="ar-SA"/>
        </w:rPr>
        <w:t xml:space="preserve">»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 رجل امرأة حبلى فألقت ما في بطنها ميتاً فإنّ عليه غرّة عبد أو أمة يدفعه إليها</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 الأوّلة على تامّ الخلقة كما هو صريحها،و الأخيرة على ناقصها كأن طرح علقةً أو مضغةً،و استشهد عليه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شربت دواءً و هي حامل لتطرح ولدها فألقت ولدها،قال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 عظم قد نبت عليه اللحم و شقّ له السمع و البصر فإنّ عليها ديته تسلّمها إلى أبيه،و إن كان </w:t>
      </w:r>
    </w:p>
    <w:p>
      <w:pPr>
        <w:pStyle w:val="BookText"/>
        <w:rPr/>
      </w:pPr>
      <w:r>
        <w:rPr>
          <w:rFonts w:ascii="Amiri" w:hAnsi="Amiri" w:eastAsia="Amiri" w:cs="Amiri"/>
          <w:color w:val="111111"/>
          <w:sz w:val="28"/>
          <w:sz w:val="28"/>
          <w:szCs w:val="28"/>
          <w:rtl w:val="true"/>
          <w:lang w:bidi="ar-SA"/>
        </w:rPr>
        <w:t>جنيناً علقة أو مضغة فإنّ عليها أربعين ديناراً أو غرّة تسلّمها إلى أبيه</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الجمع نظر؛ لأنّ فيه اطراحاً للأخبار الأوّلة في صورة عدم تمام الخلقة،لتصريحها بالتفصيل الذي عرفته و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إطلاق أخبار الغرّة،إلّا أن يجمع بينهما بحمل إطلاقها على تفصيل تلك بتقييده بغرّةٍ تساوي عشرين ديناراً في النطفة،و أربعين في العلقة،و هكذا،لكنّه لا يلائم ما اختاره من لزوم الغرّة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صريح الصحيحة الأخيرة؛ لنصها بلزوم الغرّة أو أربعين ديناراً في المضغة،مع أنّ مقتضى تلك النصوص لزوم ستّين ديناراً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المستفاد من المعتبرة تعيين قيمة الغرّة بخمسين ديناراً كما في الصحيح 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قد تكون بمائة دينار و تكون بعشرة،فقال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 xml:space="preserve">» </w:t>
      </w:r>
      <w:r>
        <w:rPr>
          <w:rStyle w:val="FootnoteAnchor"/>
          <w:rtl w:val="true"/>
        </w:rPr>
        <w:footnoteReference w:id="2664"/>
      </w:r>
      <w:r>
        <w:rPr>
          <w:rFonts w:ascii="Amiri" w:hAnsi="Amiri" w:eastAsia="Amiri" w:cs="Amiri"/>
          <w:color w:val="111111"/>
          <w:sz w:val="28"/>
          <w:sz w:val="28"/>
          <w:szCs w:val="28"/>
          <w:rtl w:val="true"/>
          <w:lang w:bidi="ar-SA"/>
        </w:rPr>
        <w:t xml:space="preserve">و عليه الإسكافي </w:t>
      </w:r>
      <w:r>
        <w:rPr>
          <w:rStyle w:val="FootnoteAnchor"/>
          <w:rtl w:val="true"/>
        </w:rPr>
        <w:footnoteReference w:id="2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بأربعين كما في ظاهر الصحيحة المتقدّمة،و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الغرّة تزيد و تنقص و لكن قيمتها أربعون ديناراً</w:t>
      </w:r>
      <w:r>
        <w:rPr>
          <w:rFonts w:eastAsia="Amiri" w:cs="Amiri" w:ascii="Amiri" w:hAnsi="Amiri"/>
          <w:color w:val="111111"/>
          <w:sz w:val="28"/>
          <w:szCs w:val="28"/>
          <w:rtl w:val="true"/>
          <w:lang w:bidi="ar-SA"/>
        </w:rPr>
        <w:t xml:space="preserve">» </w:t>
      </w:r>
      <w:r>
        <w:rPr>
          <w:rStyle w:val="FootnoteAnchor"/>
          <w:rtl w:val="true"/>
        </w:rPr>
        <w:footnoteReference w:id="266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جملة من أخبار الغرّة قضية في واقعة،فليس فيها حجة، و الباقية بعضها ضعيف،و الصحيح منها كما عداه لا يقاوم الأخبار السابقة من وجوه عديدة،أعظمها اشتهارها و مخالفتها للعامّة،دون هذه لموافقتها </w:t>
      </w:r>
    </w:p>
    <w:p>
      <w:pPr>
        <w:pStyle w:val="BookText"/>
        <w:rPr/>
      </w:pPr>
      <w:r>
        <w:rPr>
          <w:rFonts w:ascii="Amiri" w:hAnsi="Amiri" w:eastAsia="Amiri" w:cs="Amiri"/>
          <w:color w:val="111111"/>
          <w:sz w:val="28"/>
          <w:sz w:val="28"/>
          <w:szCs w:val="28"/>
          <w:rtl w:val="true"/>
          <w:lang w:bidi="ar-SA"/>
        </w:rPr>
        <w:t>لمذهب كثير منهم،كما صرّح به الشيخ،و احتمل لذلك حملها على التقية،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مذهب كثير من العامّة و قد روي ذلك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كون جملة من رواياتها عن السكوني الذي هو من قضاتهم،و مصير الإسكافي إليه أيضاً، و لذا اختار أكثر الأصحاب بل المشهور على الظاهر،المصرّح به في كثير من العبائر </w:t>
      </w:r>
      <w:r>
        <w:rPr>
          <w:rStyle w:val="FootnoteAnchor"/>
          <w:rtl w:val="true"/>
        </w:rPr>
        <w:footnoteReference w:id="2668"/>
      </w:r>
      <w:r>
        <w:rPr>
          <w:rFonts w:ascii="Amiri" w:hAnsi="Amiri" w:eastAsia="Amiri" w:cs="Amiri"/>
          <w:color w:val="111111"/>
          <w:sz w:val="28"/>
          <w:sz w:val="28"/>
          <w:szCs w:val="28"/>
          <w:rtl w:val="true"/>
          <w:lang w:bidi="ar-SA"/>
        </w:rPr>
        <w:t xml:space="preserve">القول الثاني و هو توزيع الدية أي المائة و تقسيمها على مراتب حالاته، ففيه و هو عظم ثمانون ديناراً و مضغة ستّون،و علقة أربعون،و نطفة بعد استقرارها في الرحم عشرون كما فصّلته تلك الأخبار السابقة و غيرها من المعتبرة،و ادّعي عليه الإجماع في الغنية </w:t>
      </w:r>
      <w:r>
        <w:rPr>
          <w:rStyle w:val="FootnoteAnchor"/>
          <w:rtl w:val="true"/>
        </w:rPr>
        <w:footnoteReference w:id="2669"/>
      </w:r>
      <w:r>
        <w:rPr>
          <w:rFonts w:ascii="Amiri" w:hAnsi="Amiri" w:eastAsia="Amiri" w:cs="Amiri"/>
          <w:color w:val="111111"/>
          <w:sz w:val="28"/>
          <w:sz w:val="28"/>
          <w:szCs w:val="28"/>
          <w:rtl w:val="true"/>
          <w:lang w:bidi="ar-SA"/>
        </w:rPr>
        <w:t>،و على هذا فلا حاجة بنا إلى تحقيق معنى الغرّة و ذكر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أكثر النصوص و الفتاوي على المختار بإثبات الديات المقدّرة في محالّها يقتضي ثبوت كلٍّ منها فيما يصدق عليه مبدأ كلٍّ منها، حتى أنّ في النطفة قبل تمام الأربعين يوماً من وضعها في الرحم و لو بيومٍ يكون فيها مقدّرها عشرون ديناراً،و هكذا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في النهاية </w:t>
      </w:r>
      <w:r>
        <w:rPr>
          <w:rStyle w:val="FootnoteAnchor"/>
          <w:rtl w:val="true"/>
        </w:rPr>
        <w:footnoteReference w:id="2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بينهما أي بين الحالتين،أي حالة وضعها في الرحم و حالة انتقالها إلى العلقة،و حالة و انتقالها إليها و انتقالها إلى المضغة،و هكذا بحسابه و هو مجمل،و فسّره الحلّي </w:t>
      </w:r>
      <w:r>
        <w:rPr>
          <w:rStyle w:val="FootnoteAnchor"/>
          <w:rtl w:val="true"/>
        </w:rPr>
        <w:footnoteReference w:id="2671"/>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النطفة تمكث عشرين يوماً ثم تصير علقة،و كذا ما بين العلقة و المضغة، فيكون لكلّ يوم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الماتن فقال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نطالبه بصحة ما ادّعاه الأوّل، ثم بالدلالة على أنّ تفسيره مراد،على أنّ المروي في المكث بين النطفة و العلقة أربعون يوماً،و كذا بين العلقة و المضغة،روى ذلك سعيد بن المسيب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،و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3"/>
      </w:r>
      <w:r>
        <w:rPr>
          <w:rFonts w:ascii="Amiri" w:hAnsi="Amiri" w:eastAsia="Amiri" w:cs="Amiri"/>
          <w:color w:val="111111"/>
          <w:sz w:val="28"/>
          <w:sz w:val="28"/>
          <w:szCs w:val="28"/>
          <w:rtl w:val="true"/>
          <w:lang w:bidi="ar-SA"/>
        </w:rPr>
        <w:t>،و أبو جرير القمي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4"/>
      </w:r>
      <w:r>
        <w:rPr>
          <w:rFonts w:ascii="Amiri" w:hAnsi="Amiri" w:eastAsia="Amiri" w:cs="Amiri"/>
          <w:color w:val="111111"/>
          <w:sz w:val="28"/>
          <w:sz w:val="28"/>
          <w:szCs w:val="28"/>
          <w:rtl w:val="true"/>
          <w:lang w:bidi="ar-SA"/>
        </w:rPr>
        <w:t>،و أمّا العشرون فلم نقف لها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المكث الذي ذكره من أين أنّ التفاوت في الدية مقسوم على الأيّام؟مع أنّه يحتمل أن تكون الإشارة بذلك إلى ما رواه يونس الشيباني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لكلّ قطرة أي من الدم تظهر على النطفة دينارين </w:t>
      </w:r>
      <w:r>
        <w:rPr>
          <w:rStyle w:val="FootnoteAnchor"/>
          <w:rtl w:val="true"/>
        </w:rPr>
        <w:footnoteReference w:id="2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قريباً منه ذكر الفاضل في التحرير </w:t>
      </w:r>
      <w:r>
        <w:rPr>
          <w:rStyle w:val="FootnoteAnchor"/>
          <w:rtl w:val="true"/>
        </w:rPr>
        <w:footnoteReference w:id="2677"/>
      </w:r>
      <w:r>
        <w:rPr>
          <w:rFonts w:ascii="Amiri" w:hAnsi="Amiri" w:eastAsia="Amiri" w:cs="Amiri"/>
          <w:color w:val="111111"/>
          <w:sz w:val="28"/>
          <w:sz w:val="28"/>
          <w:szCs w:val="28"/>
          <w:rtl w:val="true"/>
          <w:lang w:bidi="ar-SA"/>
        </w:rPr>
        <w:t xml:space="preserve">،و حكى عنه أيضاً في نكت النهاية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حسن،إلّا ما فهماه من الحلّي من كون مدّة المكث من حالة إلى أُخرى عشرين يوماً،و ذلك فإنّ الظاهر من كلامه خلافه،و اعتباره في المكث أربعين كما ذكروه،فإنّه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ما دام في البطن،و أقلّ ما يكون نطفة،و فيها بعد وضعها إلى عشرين يوماً عشرون ديناراً،ثم بعد العشرين يوماً لكل يوم دينار إلى أربعين يوماً و هي دية العلقة،فهذا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بينهما بحساب ذلك،ثم تصير مضغة و فيها ستّون ديناراً، و فيما بين ذلك بحسابه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بل صريح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قتلت المرأة فمات </w:t>
      </w:r>
      <w:r>
        <w:rPr>
          <w:rStyle w:val="FootnoteAnchor"/>
          <w:rtl w:val="true"/>
        </w:rPr>
        <w:footnoteReference w:id="2680"/>
      </w:r>
      <w:r>
        <w:rPr>
          <w:rFonts w:ascii="Amiri" w:hAnsi="Amiri" w:eastAsia="Amiri" w:cs="Amiri"/>
          <w:color w:val="111111"/>
          <w:sz w:val="28"/>
          <w:sz w:val="28"/>
          <w:szCs w:val="28"/>
          <w:rtl w:val="true"/>
          <w:lang w:bidi="ar-SA"/>
        </w:rPr>
        <w:t>معها الجنين فللأولياء دية المرأة كملاً خمسمائة دينار و نصف الديتين أي نصف دية ذكر و نصف دية أُنثى يصير مجموعهما سبعمائة و خمسين ديناراً يؤخذ على الجنين إن جهل حاله ذكورة و أُنوثة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علم حاله ذكراً كان أو أُنثى كانت الدية للجنين بحسابه ألف دينار على الأوّل،و نصفه على الثاني،بلا خلاف في الحكم الأخير نصّاً و فتوى،و على الأظهر في الأوّل أيضاً،و هو الأشهر،بل عليه عامّة من تأخر،و عن الخلاف الإجماع عليه </w:t>
      </w:r>
      <w:r>
        <w:rPr>
          <w:rStyle w:val="FootnoteAnchor"/>
          <w:rtl w:val="true"/>
        </w:rPr>
        <w:footnoteReference w:id="2681"/>
      </w:r>
      <w:r>
        <w:rPr>
          <w:rFonts w:ascii="Amiri" w:hAnsi="Amiri" w:eastAsia="Amiri" w:cs="Amiri"/>
          <w:color w:val="111111"/>
          <w:sz w:val="28"/>
          <w:sz w:val="28"/>
          <w:szCs w:val="28"/>
          <w:rtl w:val="true"/>
          <w:lang w:bidi="ar-SA"/>
        </w:rPr>
        <w:t>للمعتبرة،و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قتلت امرأة و هي حبلى فتم </w:t>
      </w:r>
      <w:r>
        <w:rPr>
          <w:rStyle w:val="FootnoteAnchor"/>
          <w:rtl w:val="true"/>
        </w:rPr>
        <w:footnoteReference w:id="2682"/>
      </w:r>
      <w:r>
        <w:rPr>
          <w:rFonts w:ascii="Amiri" w:hAnsi="Amiri" w:eastAsia="Amiri" w:cs="Amiri"/>
          <w:color w:val="111111"/>
          <w:sz w:val="28"/>
          <w:sz w:val="28"/>
          <w:szCs w:val="28"/>
          <w:rtl w:val="true"/>
          <w:lang w:bidi="ar-SA"/>
        </w:rPr>
        <w:t xml:space="preserve">فلم يسقط ولدها و لم يعلم أ ذكر هو أم أُنثى و لم يعلم أبعدها مات أو قبلها فديته نصفان،نصف </w:t>
      </w:r>
    </w:p>
    <w:p>
      <w:pPr>
        <w:pStyle w:val="BookText"/>
        <w:rPr/>
      </w:pPr>
      <w:r>
        <w:rPr>
          <w:rFonts w:ascii="Amiri" w:hAnsi="Amiri" w:eastAsia="Amiri" w:cs="Amiri"/>
          <w:color w:val="111111"/>
          <w:sz w:val="28"/>
          <w:sz w:val="28"/>
          <w:szCs w:val="28"/>
          <w:rtl w:val="true"/>
          <w:lang w:bidi="ar-SA"/>
        </w:rPr>
        <w:t xml:space="preserve">دية الذكر و نصف دية الأُنثى،و دية المرأة كاملة بعد ذلك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أُيّدت بالنصوص الحاكمة بمثل ذلك في ميراث الخنثى المشكل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الحلّي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الجهالة يستخرج ذكورة الجنين و أُنوثته بالقرعة؛ لأنّه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إن كان حسناً على أصله لكنّه غير مستحسن </w:t>
      </w:r>
      <w:r>
        <w:rPr>
          <w:rStyle w:val="FootnoteAnchor"/>
          <w:rtl w:val="true"/>
        </w:rPr>
        <w:footnoteReference w:id="2685"/>
      </w:r>
      <w:r>
        <w:rPr>
          <w:rFonts w:ascii="Amiri" w:hAnsi="Amiri" w:eastAsia="Amiri" w:cs="Amiri"/>
          <w:color w:val="111111"/>
          <w:sz w:val="28"/>
          <w:sz w:val="28"/>
          <w:szCs w:val="28"/>
          <w:rtl w:val="true"/>
          <w:lang w:bidi="ar-SA"/>
        </w:rPr>
        <w:t xml:space="preserve">على غيره لأنّه لا إشكال مع النقل الصحيح المشتهر </w:t>
      </w:r>
      <w:r>
        <w:rPr>
          <w:rStyle w:val="FootnoteAnchor"/>
          <w:rtl w:val="true"/>
        </w:rPr>
        <w:footnoteReference w:id="2686"/>
      </w:r>
      <w:r>
        <w:rPr>
          <w:rFonts w:ascii="Amiri" w:hAnsi="Amiri" w:eastAsia="Amiri" w:cs="Amiri"/>
          <w:color w:val="111111"/>
          <w:sz w:val="28"/>
          <w:sz w:val="28"/>
          <w:szCs w:val="28"/>
          <w:rtl w:val="true"/>
          <w:lang w:bidi="ar-SA"/>
        </w:rPr>
        <w:t>بين الأصحاب،بحيث لا يكاد يوجد مخالف فيه سواه،و هو شاذّ،بل على خلافه كما عرفت حكي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ألقته المرأة مباشرةً أو تسبيباً بأن شربت دواءً مثلاً فطرحته فعليها دية ما ألقته لورثته مطلقا و لا نصيب لها منها، بلا خلاف؛ للأُصول،مضافاً إلى النصوص،ففي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شربت ما أسقطت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ترث من ولدها من ديته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لا،لأنّها قتلته</w:t>
      </w:r>
      <w:r>
        <w:rPr>
          <w:rFonts w:eastAsia="Amiri" w:cs="Amiri" w:ascii="Amiri" w:hAnsi="Amiri"/>
          <w:color w:val="111111"/>
          <w:sz w:val="28"/>
          <w:szCs w:val="28"/>
          <w:rtl w:val="true"/>
          <w:lang w:bidi="ar-SA"/>
        </w:rPr>
        <w:t xml:space="preserve">»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الإلقاء بإفزاع مُفزعٍ فالدية عليه أي على ذلك المُفزِع،بلا خلاف أيضاً؛ للأُصول،و النصوص،و منها زيادةً على أحاديث الغرّة المتقدّمة </w:t>
      </w:r>
      <w:r>
        <w:rPr>
          <w:rStyle w:val="FootnoteAnchor"/>
          <w:rtl w:val="true"/>
        </w:rPr>
        <w:footnoteReference w:id="2688"/>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منيّ الرجل يفزع عن عرسه </w:t>
      </w:r>
    </w:p>
    <w:p>
      <w:pPr>
        <w:pStyle w:val="BookText"/>
        <w:rPr/>
      </w:pPr>
      <w:r>
        <w:rPr>
          <w:rFonts w:ascii="Amiri" w:hAnsi="Amiri" w:eastAsia="Amiri" w:cs="Amiri"/>
          <w:color w:val="111111"/>
          <w:sz w:val="28"/>
          <w:sz w:val="28"/>
          <w:szCs w:val="28"/>
          <w:rtl w:val="true"/>
          <w:lang w:bidi="ar-SA"/>
        </w:rPr>
        <w:t>فيعزل عنها الماء و لم يرد ذلك نصف خمس المائة عشرة دنانير،و إذا أفرغ فيها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يستحق دية الجنين وارثه المتقدّم بيانه في كتاب الإرث،و يظهر ممّا مرّ ثمّة دليل أصل الحكم في المسألة،مضافاً إلى الإجماع منّا عليه المحكي في ظاهر السرائر و عن صريح الخلاف </w:t>
      </w:r>
      <w:r>
        <w:rPr>
          <w:rStyle w:val="FootnoteAnchor"/>
          <w:rtl w:val="true"/>
        </w:rPr>
        <w:footnoteReference w:id="2690"/>
      </w:r>
      <w:r>
        <w:rPr>
          <w:rFonts w:ascii="Amiri" w:hAnsi="Amiri" w:eastAsia="Amiri" w:cs="Amiri"/>
          <w:color w:val="111111"/>
          <w:sz w:val="28"/>
          <w:sz w:val="28"/>
          <w:szCs w:val="28"/>
          <w:rtl w:val="true"/>
          <w:lang w:bidi="ar-SA"/>
        </w:rPr>
        <w:t>،و صريح النصوص المستفيضة منها زيادةً على ما مرّ في أحاديث الغرّة و الصحيحة المتقدّمة قريباً ما ورد في دية الميت،و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لورثته،و دية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لا للورثة</w:t>
      </w:r>
      <w:r>
        <w:rPr>
          <w:rFonts w:eastAsia="Amiri" w:cs="Amiri" w:ascii="Amiri" w:hAnsi="Amiri"/>
          <w:color w:val="111111"/>
          <w:sz w:val="28"/>
          <w:szCs w:val="28"/>
          <w:rtl w:val="true"/>
          <w:lang w:bidi="ar-SA"/>
        </w:rPr>
        <w:t xml:space="preserve">» </w:t>
      </w:r>
      <w:r>
        <w:rPr>
          <w:rStyle w:val="FootnoteAnchor"/>
          <w:rtl w:val="true"/>
        </w:rPr>
        <w:footnoteReference w:id="2691"/>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أعضائه و جراحاته يعتبر بنسبة ديته ففي قطع يده خمسون ديناراً،و في حارصته دينار،و هكذا،بلا خلاف؛ للصحيح</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في دية جراح الجنين من حساب المائة على ما يكون من جراح </w:t>
      </w:r>
      <w:bookmarkStart w:id="347" w:name="pg11409_91135"/>
    </w:p>
    <w:p>
      <w:pPr>
        <w:pStyle w:val="BookText"/>
        <w:rPr/>
      </w:pPr>
      <w:bookmarkEnd w:id="347"/>
      <w:r>
        <w:rPr>
          <w:rFonts w:ascii="Amiri" w:hAnsi="Amiri" w:eastAsia="Amiri" w:cs="Amiri"/>
          <w:color w:val="111111"/>
          <w:sz w:val="28"/>
          <w:sz w:val="28"/>
          <w:szCs w:val="28"/>
          <w:rtl w:val="true"/>
          <w:lang w:bidi="ar-SA"/>
        </w:rPr>
        <w:t>الذكر و الأُنثى الرجل و المرأة كاملة،و جعل له في قصاص جراحته و معقلته على قدر ديته و هي مائة دينار</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أفزع مجامعاً فعزل بذلك النطفة فعليه دية ضياع النطفة عشرة دنانير بلا خلاف أجده،بل عليه الإجماع عن الانتصار و الخلاف و في </w:t>
      </w:r>
      <w:r>
        <w:rPr>
          <w:rStyle w:val="FootnoteAnchor"/>
          <w:rtl w:val="true"/>
        </w:rPr>
        <w:footnoteReference w:id="2693"/>
      </w:r>
      <w:r>
        <w:rPr>
          <w:rFonts w:ascii="Amiri" w:hAnsi="Amiri" w:eastAsia="Amiri" w:cs="Amiri"/>
          <w:color w:val="111111"/>
          <w:sz w:val="28"/>
          <w:sz w:val="28"/>
          <w:szCs w:val="28"/>
          <w:rtl w:val="true"/>
          <w:lang w:bidi="ar-SA"/>
        </w:rPr>
        <w:t xml:space="preserve">الغنية </w:t>
      </w:r>
      <w:r>
        <w:rPr>
          <w:rStyle w:val="FootnoteAnchor"/>
          <w:rtl w:val="true"/>
        </w:rPr>
        <w:footnoteReference w:id="2694"/>
      </w:r>
      <w:r>
        <w:rPr>
          <w:rFonts w:ascii="Amiri" w:hAnsi="Amiri" w:eastAsia="Amiri" w:cs="Amiri"/>
          <w:color w:val="111111"/>
          <w:sz w:val="28"/>
          <w:sz w:val="28"/>
          <w:szCs w:val="28"/>
          <w:rtl w:val="true"/>
          <w:lang w:bidi="ar-SA"/>
        </w:rPr>
        <w:t>،و هو الحجة؛ مضافاً إلى الصحيحة المتقدمة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عزل عن زوجته الحرّة اختياراً بغير إذنها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أيضاً دية النطفة عشرة دنانير،و الأشبه الاستحباب لما مرّ في النكاح، و إن كان الاحتياط ممّا لا ينبغي تركه في المقام؛ لدعوى الشيخ في الخلاف و ابن زهرة على الوجوب الإجماع </w:t>
      </w:r>
      <w:r>
        <w:rPr>
          <w:rStyle w:val="FootnoteAnchor"/>
          <w:rtl w:val="true"/>
        </w:rPr>
        <w:footnoteReference w:id="2695"/>
      </w:r>
      <w:r>
        <w:rPr>
          <w:rFonts w:ascii="Amiri" w:hAnsi="Amiri" w:eastAsia="Amiri" w:cs="Amiri"/>
          <w:color w:val="111111"/>
          <w:sz w:val="28"/>
          <w:sz w:val="28"/>
          <w:szCs w:val="28"/>
          <w:rtl w:val="true"/>
          <w:lang w:bidi="ar-SA"/>
        </w:rPr>
        <w:t xml:space="preserve">،مع مصير كثير من الأصحاب إليه، و هو خيرة الفاضل في القواعد و المقداد في شرح الكتاب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102837_73709187"/>
      <w:bookmarkStart w:id="349" w:name="_Toc128"/>
      <w:bookmarkEnd w:id="348"/>
      <w:r>
        <w:rPr>
          <w:rtl w:val="true"/>
        </w:rPr>
        <w:t>الثانية في الجناية على الحيوان</w:t>
      </w:r>
      <w:bookmarkEnd w:id="349"/>
    </w:p>
    <w:p>
      <w:pPr>
        <w:pStyle w:val="Heading5"/>
        <w:numPr>
          <w:ilvl w:val="4"/>
          <w:numId w:val="1"/>
        </w:numPr>
        <w:rPr/>
      </w:pPr>
      <w:bookmarkStart w:id="350" w:name="__RefHeading___Toc1102839_73709187"/>
      <w:bookmarkStart w:id="351" w:name="_Toc129"/>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أحكام الجناية على الحيوان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من أتلف حيواناً مأكولاً لحمه شرعاً كالنعم من الإبل و البقر و الغنم بالذكاة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أتلف لزمه الأرش و هو تفاوت ما بين قيمته حيّاً و مذكى،بلا خلاف فيه في الجملة؛ دفعاً لضرر الجناية الغير المندفع حيث لا يعفو المالك عنها إلّا به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لمالكه دفعه إلى الجاني و المطالبة له بقيمته يوم إتلافه مخيّراً بينه و بين الأرش؟ </w:t>
      </w:r>
    </w:p>
    <w:p>
      <w:pPr>
        <w:pStyle w:val="BookText"/>
        <w:rPr/>
      </w:pPr>
      <w:r>
        <w:rPr>
          <w:rFonts w:ascii="Amiri" w:hAnsi="Amiri" w:eastAsia="Amiri" w:cs="Amiri"/>
          <w:color w:val="111111"/>
          <w:sz w:val="28"/>
          <w:sz w:val="28"/>
          <w:szCs w:val="28"/>
          <w:rtl w:val="true"/>
          <w:lang w:bidi="ar-SA"/>
        </w:rPr>
        <w:t xml:space="preserve">قال الشيخان و القاضي و الديلمي و ابن حمزة </w:t>
      </w:r>
      <w:r>
        <w:rPr>
          <w:rStyle w:val="FootnoteAnchor"/>
          <w:rtl w:val="true"/>
        </w:rPr>
        <w:footnoteReference w:id="2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ذلك كذلك،نظراً إلى كونه مفوِّتاً لمعظم منافعه فصار كالتالف،و ضعفه ظاهر؛ لأنّ فوات معظمها لا يقتضي دفع ماليته رأساً حتى يلزم بالقيمة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الأشبه الأشهر،بل لعلّه عليه عامّة من تأخّر وفاقاً للمبسوط و الحلّي </w:t>
      </w:r>
      <w:r>
        <w:rPr>
          <w:rStyle w:val="FootnoteAnchor"/>
          <w:rtl w:val="true"/>
        </w:rPr>
        <w:footnoteReference w:id="2698"/>
      </w:r>
      <w:r>
        <w:rPr>
          <w:rFonts w:ascii="Amiri" w:hAnsi="Amiri" w:eastAsia="Amiri" w:cs="Amiri"/>
          <w:color w:val="111111"/>
          <w:sz w:val="28"/>
          <w:sz w:val="28"/>
          <w:szCs w:val="28"/>
          <w:rtl w:val="true"/>
          <w:lang w:bidi="ar-SA"/>
        </w:rPr>
        <w:t>أنّه لا يجوز له ذلك لأنّه إتلاف لبعض منافعه لا جميعها فيضمن عوض التالف خاصّة؛ لأصالة براءة ذمّة الجاني عمّا زاد عنه؛ و لأنّه باقٍ على ملك مالكه فلا ينتقل عنه إلّا بالتراضي من الجانبين، و لا كلام في الجواز معه،كما لا كلام في جوازه لو فرض عدم القيمة له أصلاً،كذبحه في برية لا يرغب أحد في شرائه،فيلزمه القيمة؛ لأنّها حينئذٍ مقدار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أتلفه لا بالذكاة كأن خنقه أو قتله بما لا يجوز الذكاة به لزمته قيمته يوم إتلافه بلا خلاف،بل عليه في ظاهر الغنية و صريح الإيضاح الإجماع </w:t>
      </w:r>
      <w:r>
        <w:rPr>
          <w:rStyle w:val="FootnoteAnchor"/>
          <w:rtl w:val="true"/>
        </w:rPr>
        <w:footnoteReference w:id="2699"/>
      </w:r>
      <w:r>
        <w:rPr>
          <w:rFonts w:ascii="Amiri" w:hAnsi="Amiri" w:eastAsia="Amiri" w:cs="Amiri"/>
          <w:color w:val="111111"/>
          <w:sz w:val="28"/>
          <w:sz w:val="28"/>
          <w:szCs w:val="28"/>
          <w:rtl w:val="true"/>
          <w:lang w:bidi="ar-SA"/>
        </w:rPr>
        <w:t>للضرر الغير المندفع مع عدم العفو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يوضع منا ما له قيمة من الميتة كالشعر،و الصوف،و الوبر،و الريش، و نحو ذلك،كما صرّح به جماعة </w:t>
      </w:r>
      <w:r>
        <w:rPr>
          <w:rStyle w:val="FootnoteAnchor"/>
          <w:rtl w:val="true"/>
        </w:rPr>
        <w:footnoteReference w:id="2700"/>
      </w:r>
      <w:r>
        <w:rPr>
          <w:rFonts w:ascii="Amiri" w:hAnsi="Amiri" w:eastAsia="Amiri" w:cs="Amiri"/>
          <w:color w:val="111111"/>
          <w:sz w:val="28"/>
          <w:sz w:val="28"/>
          <w:szCs w:val="28"/>
          <w:rtl w:val="true"/>
          <w:lang w:bidi="ar-SA"/>
        </w:rPr>
        <w:t>من غير خلاف بينهم أجده،و وجهه واضح لمن تدبّره،و عليه ينزل إطلاق العبارة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قطع بعض جوارحه أو كسر شيئاً من عظامه أو جرحه </w:t>
      </w:r>
    </w:p>
    <w:p>
      <w:pPr>
        <w:pStyle w:val="BookText"/>
        <w:rPr/>
      </w:pPr>
      <w:r>
        <w:rPr>
          <w:rFonts w:ascii="Amiri" w:hAnsi="Amiri" w:eastAsia="Amiri" w:cs="Amiri"/>
          <w:color w:val="111111"/>
          <w:sz w:val="28"/>
          <w:sz w:val="28"/>
          <w:szCs w:val="28"/>
          <w:rtl w:val="true"/>
          <w:lang w:bidi="ar-SA"/>
        </w:rPr>
        <w:t xml:space="preserve">فللمالك الأرش إن كانت حياته مستقرّة،و إلّا فالقيمة،وفاقاً لجماعة </w:t>
      </w:r>
      <w:r>
        <w:rPr>
          <w:rStyle w:val="FootnoteAnchor"/>
          <w:rtl w:val="true"/>
        </w:rPr>
        <w:footnoteReference w:id="2701"/>
      </w:r>
      <w:r>
        <w:rPr>
          <w:rFonts w:ascii="Amiri" w:hAnsi="Amiri" w:eastAsia="Amiri" w:cs="Amiri"/>
          <w:color w:val="111111"/>
          <w:sz w:val="28"/>
          <w:sz w:val="28"/>
          <w:szCs w:val="28"/>
          <w:rtl w:val="true"/>
          <w:lang w:bidi="ar-SA"/>
        </w:rPr>
        <w:t>للأُصل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المستفيضة بربع ثمن الدابّة لو فقأ عينها،و منها الصحيحان </w:t>
      </w:r>
      <w:r>
        <w:rPr>
          <w:rStyle w:val="FootnoteAnchor"/>
          <w:rtl w:val="true"/>
        </w:rPr>
        <w:footnoteReference w:id="2702"/>
      </w:r>
      <w:r>
        <w:rPr>
          <w:rFonts w:ascii="Amiri" w:hAnsi="Amiri" w:eastAsia="Amiri" w:cs="Amiri"/>
          <w:color w:val="111111"/>
          <w:sz w:val="28"/>
          <w:sz w:val="28"/>
          <w:szCs w:val="28"/>
          <w:rtl w:val="true"/>
          <w:lang w:bidi="ar-SA"/>
        </w:rPr>
        <w:t xml:space="preserve">و غيرهما </w:t>
      </w:r>
      <w:r>
        <w:rPr>
          <w:rStyle w:val="FootnoteAnchor"/>
          <w:rtl w:val="true"/>
        </w:rPr>
        <w:footnoteReference w:id="2703"/>
      </w:r>
      <w:r>
        <w:rPr>
          <w:rFonts w:ascii="Amiri" w:hAnsi="Amiri" w:eastAsia="Amiri" w:cs="Amiri"/>
          <w:color w:val="111111"/>
          <w:sz w:val="28"/>
          <w:sz w:val="28"/>
          <w:szCs w:val="28"/>
          <w:rtl w:val="true"/>
          <w:lang w:bidi="ar-SA"/>
        </w:rPr>
        <w:t xml:space="preserve">،لكن ظاهرها تعيّن الربع كما عليه الماتن و يحكى عن الشيخ و جماعة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به،إلّا أن تحمل الروايات و كلماتهم على صورة اتفاق كون الربع أرشاً و توافقهما مقداراً،لا تعيّن الربع مطلقا حتى لو زاد عن الأرش أو نقص عنه،لكنّه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لا يؤكل لحمه شرعاً و يقع عليه الذكاة كالأسد و النمر و الفهد و نحو ذلك فأتلفه بها ضمن أرشه كالمأكول،و فيه القول بتخيّر المالك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الأرش في قطع أعضائه و جراحاته و كسر عظامه مع استقرار حياته و إلّا فقيمته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أتلفه لا بالذكاة ضمن قيمته حيّاً و يوضع منها ما مضى، و لا خلاف في شيء من ذلك أجده،و يدلُّ عليه بعده ما مرّ من الأدلّة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ممّا لا يقع عليه الذكاة كالكلب و الخنزير ففي كلب الصيد </w:t>
      </w:r>
    </w:p>
    <w:p>
      <w:pPr>
        <w:pStyle w:val="BookText"/>
        <w:rPr/>
      </w:pPr>
      <w:r>
        <w:rPr>
          <w:rFonts w:ascii="Amiri" w:hAnsi="Amiri" w:eastAsia="Amiri" w:cs="Amiri"/>
          <w:color w:val="111111"/>
          <w:sz w:val="28"/>
          <w:sz w:val="28"/>
          <w:szCs w:val="28"/>
          <w:rtl w:val="true"/>
          <w:lang w:bidi="ar-SA"/>
        </w:rPr>
        <w:t xml:space="preserve">مطلقا أربعون درهماً على الأشهر الأقوى؛ للنصوص المستفيضة،ففي الخبرين،المروي أحدهما في الفقيه مرسلاً </w:t>
      </w:r>
      <w:r>
        <w:rPr>
          <w:rStyle w:val="FootnoteAnchor"/>
          <w:rtl w:val="true"/>
        </w:rPr>
        <w:footnoteReference w:id="2705"/>
      </w:r>
      <w:r>
        <w:rPr>
          <w:rFonts w:ascii="Amiri" w:hAnsi="Amiri" w:eastAsia="Amiri" w:cs="Amiri"/>
          <w:color w:val="111111"/>
          <w:sz w:val="28"/>
          <w:sz w:val="28"/>
          <w:szCs w:val="28"/>
          <w:rtl w:val="true"/>
          <w:lang w:bidi="ar-SA"/>
        </w:rPr>
        <w:t>،و ثانيهما عن الخصال مسنداً بطريق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 xml:space="preserve">»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آخرين،أحدهما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 xml:space="preserve">» </w:t>
      </w:r>
      <w:r>
        <w:rPr>
          <w:rStyle w:val="FootnoteAnchor"/>
          <w:rtl w:val="true"/>
        </w:rPr>
        <w:footnoteReference w:id="2707"/>
      </w:r>
      <w:r>
        <w:rPr>
          <w:rFonts w:ascii="Amiri" w:hAnsi="Amiri" w:eastAsia="Amiri" w:cs="Amiri"/>
          <w:color w:val="111111"/>
          <w:sz w:val="28"/>
          <w:sz w:val="28"/>
          <w:szCs w:val="28"/>
          <w:rtl w:val="true"/>
          <w:lang w:bidi="ar-SA"/>
        </w:rPr>
        <w:t xml:space="preserve">و بإطلاقهما أفتى الشيخ في النهاية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يحتملان ككلامه التقييد بالمعلّم منه للصيد،كما صرّح به المفيد و غيره </w:t>
      </w:r>
      <w:r>
        <w:rPr>
          <w:rStyle w:val="FootnoteAnchor"/>
          <w:rtl w:val="true"/>
        </w:rPr>
        <w:footnoteReference w:id="2709"/>
      </w:r>
      <w:r>
        <w:rPr>
          <w:rFonts w:ascii="Amiri" w:hAnsi="Amiri" w:eastAsia="Amiri" w:cs="Amiri"/>
          <w:color w:val="111111"/>
          <w:sz w:val="28"/>
          <w:sz w:val="28"/>
          <w:szCs w:val="28"/>
          <w:rtl w:val="true"/>
          <w:lang w:bidi="ar-SA"/>
        </w:rPr>
        <w:t>،و نزّل عليه عبارته في السرائر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أطلق ذلك؛ لأنّ العادة و العرف أنّ الكلب السلوقي الغالب عليه أنّه يصطاد،و السلوقي منسوب إلى سلوق قرية باليمن </w:t>
      </w:r>
      <w:r>
        <w:rPr>
          <w:rStyle w:val="FootnoteAnchor"/>
          <w:rtl w:val="true"/>
        </w:rPr>
        <w:footnoteReference w:id="2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الظاهر من الأصحاب،حيث لم ينقلوا الخلاف عنه في ذلك، بل أنّما نقلوا الخلاف عنه و عن المفيد و القاضي و ابن حمزة من حيث التقييد بالسلوقي خاصّة </w:t>
      </w:r>
      <w:r>
        <w:rPr>
          <w:rStyle w:val="FootnoteAnchor"/>
          <w:rtl w:val="true"/>
        </w:rPr>
        <w:footnoteReference w:id="2711"/>
      </w:r>
      <w:r>
        <w:rPr>
          <w:rFonts w:ascii="Amiri" w:hAnsi="Amiri" w:eastAsia="Amiri" w:cs="Amiri"/>
          <w:color w:val="111111"/>
          <w:sz w:val="28"/>
          <w:sz w:val="28"/>
          <w:szCs w:val="28"/>
          <w:rtl w:val="true"/>
          <w:lang w:bidi="ar-SA"/>
        </w:rPr>
        <w:t>،قال الماتن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خصّه بالسلوقي وقوفاً على صورة الرواية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عبارته هذه إشعار بما مرّ من فهمه من الرواية و كلام الشيخ </w:t>
      </w:r>
    </w:p>
    <w:p>
      <w:pPr>
        <w:pStyle w:val="BookText"/>
        <w:rPr/>
      </w:pPr>
      <w:r>
        <w:rPr>
          <w:rFonts w:ascii="Amiri" w:hAnsi="Amiri" w:eastAsia="Amiri" w:cs="Amiri"/>
          <w:color w:val="111111"/>
          <w:sz w:val="28"/>
          <w:sz w:val="28"/>
          <w:szCs w:val="28"/>
          <w:rtl w:val="true"/>
          <w:lang w:bidi="ar-SA"/>
        </w:rPr>
        <w:t>و غيره كلب الصيد لا مطلق السلوقي،و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على الخبرين الأوّلين،و إلّا فصورتهما مطلق كلب الصيد من دون تقييد فيهما بالسلوقي، بل إنّما هو في الخبرين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قتل كلب الصيد،قال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 كذلك البازي و كذلك كلب الغنم و كذلك كلب الحائط </w:t>
      </w:r>
      <w:r>
        <w:rPr>
          <w:rFonts w:eastAsia="Amiri" w:cs="Amiri" w:ascii="Amiri" w:hAnsi="Amiri"/>
          <w:color w:val="111111"/>
          <w:sz w:val="28"/>
          <w:szCs w:val="28"/>
          <w:rtl w:val="true"/>
          <w:lang w:bidi="ar-SA"/>
        </w:rPr>
        <w:t xml:space="preserve">»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أفتى بها الإسكافي،إلّا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يتجاوز بالقيمة أربعين درهماً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جمع به بين الأخبار،و استحسنه في المختلف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لقصور سند الرواية،و إن وافقت الأصل العام بلزوم القيمة فيما لم يرد به تقدير في الشريعة؛ لتوقّف ذلك على ردّ الروايات الأوّلة التي هي مع استفاضتها و اشتهارها جملة منها معتبرة،و هو ضعيف في الغاية،سيّما مع رفع اليد عن الأصل بها في الجملة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 ذلك يتعيّن القول الأوّل مع كونه كما عرفت أشهر بل لعلّه عليه عامّة من تأخّر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كلب الغنم كبش كما هنا و في الشرائع و التحرير و القواعد و اللمعتين و المسالك </w:t>
      </w:r>
      <w:r>
        <w:rPr>
          <w:rStyle w:val="FootnoteAnchor"/>
          <w:rtl w:val="true"/>
        </w:rPr>
        <w:footnoteReference w:id="2716"/>
      </w:r>
      <w:r>
        <w:rPr>
          <w:rFonts w:ascii="Amiri" w:hAnsi="Amiri" w:eastAsia="Amiri" w:cs="Amiri"/>
          <w:color w:val="111111"/>
          <w:sz w:val="28"/>
          <w:sz w:val="28"/>
          <w:szCs w:val="28"/>
          <w:rtl w:val="true"/>
          <w:lang w:bidi="ar-SA"/>
        </w:rPr>
        <w:t xml:space="preserve">،و عزي فيه إلى الأكثر؛ للخبر </w:t>
      </w:r>
      <w:r>
        <w:rPr>
          <w:rStyle w:val="FootnoteAnchor"/>
          <w:rtl w:val="true"/>
        </w:rPr>
        <w:footnoteReference w:id="2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سنده </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و القائل الصدوق و الشيخان و الديلمي و القاضي و الحلّي </w:t>
      </w:r>
      <w:r>
        <w:rPr>
          <w:rStyle w:val="FootnoteAnchor"/>
          <w:rtl w:val="true"/>
        </w:rPr>
        <w:footnoteReference w:id="2718"/>
      </w:r>
      <w:r>
        <w:rPr>
          <w:rFonts w:ascii="Amiri" w:hAnsi="Amiri" w:eastAsia="Amiri" w:cs="Amiri"/>
          <w:color w:val="111111"/>
          <w:sz w:val="28"/>
          <w:sz w:val="28"/>
          <w:szCs w:val="28"/>
          <w:rtl w:val="true"/>
          <w:lang w:bidi="ar-SA"/>
        </w:rPr>
        <w:t xml:space="preserve">،و الظاهر أنّه المشهور،كما صرّح به في الشرائع و التحرير </w:t>
      </w:r>
      <w:r>
        <w:rPr>
          <w:rStyle w:val="FootnoteAnchor"/>
          <w:rtl w:val="true"/>
        </w:rPr>
        <w:footnoteReference w:id="2719"/>
      </w:r>
      <w:r>
        <w:rPr>
          <w:rFonts w:ascii="Amiri" w:hAnsi="Amiri" w:eastAsia="Amiri" w:cs="Amiri"/>
          <w:color w:val="111111"/>
          <w:sz w:val="28"/>
          <w:sz w:val="28"/>
          <w:szCs w:val="28"/>
          <w:rtl w:val="true"/>
          <w:lang w:bidi="ar-SA"/>
        </w:rPr>
        <w:t xml:space="preserve">و غيرهما </w:t>
      </w:r>
      <w:r>
        <w:rPr>
          <w:rStyle w:val="FootnoteAnchor"/>
          <w:rtl w:val="true"/>
        </w:rPr>
        <w:footnoteReference w:id="2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عشرون درهماً و هو أقوى؛ للمرسل </w:t>
      </w:r>
      <w:r>
        <w:rPr>
          <w:rStyle w:val="FootnoteAnchor"/>
          <w:rtl w:val="true"/>
        </w:rPr>
        <w:footnoteReference w:id="2721"/>
      </w:r>
      <w:r>
        <w:rPr>
          <w:rFonts w:ascii="Amiri" w:hAnsi="Amiri" w:eastAsia="Amiri" w:cs="Amiri"/>
          <w:color w:val="111111"/>
          <w:sz w:val="28"/>
          <w:sz w:val="28"/>
          <w:szCs w:val="28"/>
          <w:rtl w:val="true"/>
          <w:lang w:bidi="ar-SA"/>
        </w:rPr>
        <w:t>المنجبر ضعفه بالشهرة الظاهرة و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للفاضل هنا قولان آخران،أحدهما لزوم القيمة،اختاره في المختلف </w:t>
      </w:r>
      <w:r>
        <w:rPr>
          <w:rStyle w:val="FootnoteAnchor"/>
          <w:rtl w:val="true"/>
        </w:rPr>
        <w:footnoteReference w:id="2722"/>
      </w:r>
      <w:r>
        <w:rPr>
          <w:rFonts w:ascii="Amiri" w:hAnsi="Amiri" w:eastAsia="Amiri" w:cs="Amiri"/>
          <w:color w:val="111111"/>
          <w:sz w:val="28"/>
          <w:sz w:val="28"/>
          <w:szCs w:val="28"/>
          <w:rtl w:val="true"/>
          <w:lang w:bidi="ar-SA"/>
        </w:rPr>
        <w:t>للأصل العام بناءً على ضعف الخبرين؛ و للقويّة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الرواية المنجبرة المترجّحة بذلك على الأصل و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التخيير بين الخبرين الأوّلين،اختاره في الإرشاد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له سوى الجمع بينهما،و هو في الحقيقة اطراح لهما بعد عدم شاهد عليه أصلاً،مع رجحان ما اخترناه منهما بما مضى</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قيل أي بالعشرين درهماً في كلب الحائط أي البستان، و يحتمل الشمول للدار و لا أعرف الوجه فيه،و به اعترف جماعة </w:t>
      </w:r>
      <w:r>
        <w:rPr>
          <w:rStyle w:val="FootnoteAnchor"/>
          <w:rtl w:val="true"/>
        </w:rPr>
        <w:footnoteReference w:id="2724"/>
      </w:r>
      <w:r>
        <w:rPr>
          <w:rFonts w:ascii="Amiri" w:hAnsi="Amiri" w:eastAsia="Amiri" w:cs="Amiri"/>
          <w:color w:val="111111"/>
          <w:sz w:val="28"/>
          <w:sz w:val="28"/>
          <w:szCs w:val="28"/>
          <w:rtl w:val="true"/>
          <w:lang w:bidi="ar-SA"/>
        </w:rPr>
        <w:t xml:space="preserve">، لكنّه مشهور شهرة عظيمة على الظاهر،المصرّح به في كلام جماعة </w:t>
      </w:r>
      <w:r>
        <w:rPr>
          <w:rStyle w:val="FootnoteAnchor"/>
          <w:rtl w:val="true"/>
        </w:rPr>
        <w:footnoteReference w:id="2725"/>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 xml:space="preserve">بلغت الإجماع،و إلّا فالقول بالقيمة في غاية القوّة؛ للأصل العام المؤيّد بالقوية المتقدّمة،و مال إليه من المتأخّرين جماعة </w:t>
      </w:r>
      <w:r>
        <w:rPr>
          <w:rStyle w:val="FootnoteAnchor"/>
          <w:rtl w:val="true"/>
        </w:rPr>
        <w:footnoteReference w:id="2726"/>
      </w:r>
      <w:r>
        <w:rPr>
          <w:rFonts w:ascii="Amiri" w:hAnsi="Amiri" w:eastAsia="Amiri" w:cs="Amiri"/>
          <w:color w:val="111111"/>
          <w:sz w:val="28"/>
          <w:sz w:val="28"/>
          <w:szCs w:val="28"/>
          <w:rtl w:val="true"/>
          <w:lang w:bidi="ar-SA"/>
        </w:rPr>
        <w:t xml:space="preserve">،بل صرّح به شيخنا في الروضة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للصدوق </w:t>
      </w:r>
      <w:r>
        <w:rPr>
          <w:rStyle w:val="FootnoteAnchor"/>
          <w:rtl w:val="true"/>
        </w:rPr>
        <w:footnoteReference w:id="2728"/>
      </w:r>
      <w:r>
        <w:rPr>
          <w:rFonts w:ascii="Amiri" w:hAnsi="Amiri" w:eastAsia="Amiri" w:cs="Amiri"/>
          <w:color w:val="111111"/>
          <w:sz w:val="28"/>
          <w:sz w:val="28"/>
          <w:szCs w:val="28"/>
          <w:rtl w:val="true"/>
          <w:lang w:bidi="ar-SA"/>
        </w:rPr>
        <w:t>قول آخر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فيه زنبيلاً من تراب؛ 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الكلب الذي ليس للصيد و لا للماشية زنبيل من تراب، على القاتل أن يعطي و على صاحبه أن يقبل</w:t>
      </w:r>
      <w:r>
        <w:rPr>
          <w:rFonts w:eastAsia="Amiri" w:cs="Amiri" w:ascii="Amiri" w:hAnsi="Amiri"/>
          <w:color w:val="111111"/>
          <w:sz w:val="28"/>
          <w:szCs w:val="28"/>
          <w:rtl w:val="true"/>
          <w:lang w:bidi="ar-SA"/>
        </w:rPr>
        <w:t xml:space="preserve">»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يحكى عن الإسكافي من أنّ دية الكلب الأهلي زنبيل من تراب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كلب الزرع قفيز من برّ في المشهور على الظاهر،المصرّح به في بعض العبائر </w:t>
      </w:r>
      <w:r>
        <w:rPr>
          <w:rStyle w:val="FootnoteAnchor"/>
          <w:rtl w:val="true"/>
        </w:rPr>
        <w:footnoteReference w:id="2731"/>
      </w:r>
      <w:r>
        <w:rPr>
          <w:rFonts w:ascii="Amiri" w:hAnsi="Amiri" w:eastAsia="Amiri" w:cs="Amiri"/>
          <w:color w:val="111111"/>
          <w:sz w:val="28"/>
          <w:sz w:val="28"/>
          <w:szCs w:val="28"/>
          <w:rtl w:val="true"/>
          <w:lang w:bidi="ar-SA"/>
        </w:rPr>
        <w:t>،بل في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نعرف قائلاً بغير ما ذكر المصنّف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حكي عن الصدوق ما مرّ </w:t>
      </w:r>
      <w:r>
        <w:rPr>
          <w:rStyle w:val="FootnoteAnchor"/>
          <w:rtl w:val="true"/>
        </w:rPr>
        <w:footnoteReference w:id="2733"/>
      </w:r>
      <w:r>
        <w:rPr>
          <w:rFonts w:ascii="Amiri" w:hAnsi="Amiri" w:eastAsia="Amiri" w:cs="Amiri"/>
          <w:color w:val="111111"/>
          <w:sz w:val="28"/>
          <w:sz w:val="28"/>
          <w:szCs w:val="28"/>
          <w:rtl w:val="true"/>
          <w:lang w:bidi="ar-SA"/>
        </w:rPr>
        <w:t xml:space="preserve">،و هو يعطي الخلاف فيه، كالمرسل،و يوافقهم </w:t>
      </w:r>
      <w:r>
        <w:rPr>
          <w:rStyle w:val="FootnoteAnchor"/>
          <w:rtl w:val="true"/>
        </w:rPr>
        <w:footnoteReference w:id="2734"/>
      </w:r>
      <w:r>
        <w:rPr>
          <w:rFonts w:ascii="Amiri" w:hAnsi="Amiri" w:eastAsia="Amiri" w:cs="Amiri"/>
          <w:color w:val="111111"/>
          <w:sz w:val="28"/>
          <w:sz w:val="28"/>
          <w:szCs w:val="28"/>
          <w:rtl w:val="true"/>
          <w:lang w:bidi="ar-SA"/>
        </w:rPr>
        <w:t xml:space="preserve">ما يحكى عن المفيد </w:t>
      </w:r>
      <w:r>
        <w:rPr>
          <w:rStyle w:val="FootnoteAnchor"/>
          <w:rtl w:val="true"/>
        </w:rPr>
        <w:footnoteReference w:id="2735"/>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كلب الزرع جريب من برّ</w:t>
      </w:r>
      <w:r>
        <w:rPr>
          <w:rFonts w:eastAsia="Amiri" w:cs="Amiri" w:ascii="Amiri" w:hAnsi="Amiri"/>
          <w:color w:val="111111"/>
          <w:sz w:val="28"/>
          <w:szCs w:val="28"/>
          <w:rtl w:val="true"/>
          <w:lang w:bidi="ar-SA"/>
        </w:rPr>
        <w:t xml:space="preserve">»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استدل به للأكثر </w:t>
      </w:r>
      <w:r>
        <w:rPr>
          <w:rStyle w:val="FootnoteAnchor"/>
          <w:rtl w:val="true"/>
        </w:rPr>
        <w:footnoteReference w:id="2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لعدم معلومية توافق مقدار الجريب مع القفيز،بل عن الأزهري أنّه أربعة أقفزة </w:t>
      </w:r>
      <w:r>
        <w:rPr>
          <w:rStyle w:val="FootnoteAnchor"/>
          <w:rtl w:val="true"/>
        </w:rPr>
        <w:footnoteReference w:id="2738"/>
      </w:r>
      <w:r>
        <w:rPr>
          <w:rFonts w:ascii="Amiri" w:hAnsi="Amiri" w:eastAsia="Amiri" w:cs="Amiri"/>
          <w:color w:val="111111"/>
          <w:sz w:val="28"/>
          <w:sz w:val="28"/>
          <w:szCs w:val="28"/>
          <w:rtl w:val="true"/>
          <w:lang w:bidi="ar-SA"/>
        </w:rPr>
        <w:t xml:space="preserve">،و يستفاد من مجمع البحرين أنّه عشرة أقفزة </w:t>
      </w:r>
      <w:r>
        <w:rPr>
          <w:rStyle w:val="FootnoteAnchor"/>
          <w:rtl w:val="true"/>
        </w:rPr>
        <w:footnoteReference w:id="2739"/>
      </w:r>
      <w:r>
        <w:rPr>
          <w:rFonts w:ascii="Amiri" w:hAnsi="Amiri" w:eastAsia="Amiri" w:cs="Amiri"/>
          <w:color w:val="111111"/>
          <w:sz w:val="28"/>
          <w:sz w:val="28"/>
          <w:szCs w:val="28"/>
          <w:rtl w:val="true"/>
          <w:lang w:bidi="ar-SA"/>
        </w:rPr>
        <w:t>،و القفيز ثمانية مكاكيك،و المَكّوك ثلاث كيلجات،و الكيلجة مَنا و سبعة أثمان مَنا،و المَنا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رطلان،كما عن الصحاح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يضمن المسلم ما عدا ذلك من الكلاب،بل مطلق ما لا يملكه المسلم،على الأظهر الأشهر،بل </w:t>
      </w:r>
      <w:r>
        <w:rPr>
          <w:rStyle w:val="FootnoteAnchor"/>
          <w:rtl w:val="true"/>
        </w:rPr>
        <w:footnoteReference w:id="2741"/>
      </w:r>
      <w:r>
        <w:rPr>
          <w:rFonts w:ascii="Amiri" w:hAnsi="Amiri" w:eastAsia="Amiri" w:cs="Amiri"/>
          <w:color w:val="111111"/>
          <w:sz w:val="28"/>
          <w:sz w:val="28"/>
          <w:szCs w:val="28"/>
          <w:rtl w:val="true"/>
          <w:lang w:bidi="ar-SA"/>
        </w:rPr>
        <w:t>عليه عامّة من تأخّر؛ للأصل، مع عدم الملكية الموجب لعدم صدق الضرر الذي هو الأصل في إيجاب الضمان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وجوب قفيز أو زنبيل من تراب في بعض الكلاب من النص و الفتوى لعلّه محمول على إرادة الكناية عن عدم الدية لا وجوبه البتّة،و إلّا لكان لزوم دفعه و قبوله خالياً عن الفائدة،مضافاً إلى ندرة الفتوى،و قصور سند الرواية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يملكه الذمّي كالخنزير فالمتلف له يضمن قيمته عند مستحلّيه إذا استجمع شرائط الذمّة،بلا خلاف أجده؛ لأنّه إذا فعل ذلك </w:t>
      </w:r>
      <w:bookmarkStart w:id="352" w:name="pg11409_91143"/>
    </w:p>
    <w:p>
      <w:pPr>
        <w:pStyle w:val="BookText"/>
        <w:rPr/>
      </w:pPr>
      <w:bookmarkEnd w:id="352"/>
      <w:r>
        <w:rPr>
          <w:rFonts w:ascii="Amiri" w:hAnsi="Amiri" w:eastAsia="Amiri" w:cs="Amiri"/>
          <w:color w:val="111111"/>
          <w:sz w:val="28"/>
          <w:sz w:val="28"/>
          <w:szCs w:val="28"/>
          <w:rtl w:val="true"/>
          <w:lang w:bidi="ar-SA"/>
        </w:rPr>
        <w:t>حقن دمه و ماله؛ و للنصوص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رجلاً أصاب خنزيراً لنصراني قيمته</w:t>
      </w:r>
      <w:r>
        <w:rPr>
          <w:rFonts w:eastAsia="Amiri" w:cs="Amiri" w:ascii="Amiri" w:hAnsi="Amiri"/>
          <w:color w:val="111111"/>
          <w:sz w:val="28"/>
          <w:szCs w:val="28"/>
          <w:rtl w:val="true"/>
          <w:lang w:bidi="ar-SA"/>
        </w:rPr>
        <w:t xml:space="preserve">»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الجناية على ما يملكه بين وقوعها على نفسه أو أطرافه لإطلاق الدليل،إلّا أنّ في الأخير يلزم الأرش،و يشترط في ضمانه استتار الذمّي به و إلّا الحق بالحربي،فلا حرمة لنفسه فضلاً عن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353" w:name="__RefHeading___Toc1102841_73709187"/>
      <w:bookmarkStart w:id="354" w:name="_Toc130"/>
      <w:bookmarkEnd w:id="353"/>
      <w:r>
        <w:rPr>
          <w:rtl w:val="true"/>
        </w:rPr>
        <w:t>مسائل</w:t>
      </w:r>
      <w:bookmarkEnd w:id="354"/>
    </w:p>
    <w:p>
      <w:pPr>
        <w:pStyle w:val="Heading6"/>
        <w:numPr>
          <w:ilvl w:val="5"/>
          <w:numId w:val="1"/>
        </w:numPr>
        <w:rPr/>
      </w:pPr>
      <w:bookmarkStart w:id="355" w:name="__RefHeading___Toc1102843_73709187"/>
      <w:bookmarkStart w:id="356" w:name="_Toc131"/>
      <w:bookmarkEnd w:id="355"/>
      <w:r>
        <w:rPr>
          <w:rtl w:val="true"/>
        </w:rPr>
        <w:t>الأولى قضى علي</w:t>
      </w:r>
      <w:r>
        <w:rPr>
          <w:rtl w:val="true"/>
        </w:rPr>
        <w:t>(</w:t>
      </w:r>
      <w:r>
        <w:rPr>
          <w:rtl w:val="true"/>
        </w:rPr>
        <w:t>عليه السّلام</w:t>
      </w:r>
      <w:r>
        <w:rPr>
          <w:rtl w:val="true"/>
        </w:rPr>
        <w:t>)</w:t>
      </w:r>
      <w:r>
        <w:rPr>
          <w:rtl w:val="true"/>
        </w:rPr>
        <w:t>في بعير بين أربعة عقله أحدهم</w:t>
      </w:r>
      <w:bookmarkEnd w:id="356"/>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2743"/>
      </w:r>
      <w:r>
        <w:rPr>
          <w:rFonts w:ascii="Amiri" w:hAnsi="Amiri" w:eastAsia="Amiri" w:cs="Amiri"/>
          <w:color w:val="111111"/>
          <w:sz w:val="28"/>
          <w:sz w:val="28"/>
          <w:szCs w:val="28"/>
          <w:rtl w:val="true"/>
          <w:lang w:bidi="ar-SA"/>
        </w:rPr>
        <w:t>بل روي في 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بعير بين أربعة عقله أحدهم فعبث في عقاله فوقع في بئر فانكسر فقال أصحابه للذي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اغرم لنا بعيرنا أنّ على الشركاء غرامة حصّته أي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أوثق حظّه فذهب حظّهم بحظه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مفهوم هذا التعليل غير ما أشار إليه الماتن و غيره </w:t>
      </w:r>
      <w:r>
        <w:rPr>
          <w:rStyle w:val="FootnoteAnchor"/>
          <w:rtl w:val="true"/>
        </w:rPr>
        <w:footnoteReference w:id="2745"/>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Style w:val="FootnoteAnchor"/>
          <w:rtl w:val="true"/>
        </w:rPr>
        <w:footnoteReference w:id="2746"/>
      </w:r>
      <w:r>
        <w:rPr>
          <w:rFonts w:ascii="Amiri" w:hAnsi="Amiri" w:eastAsia="Amiri" w:cs="Amiri"/>
          <w:color w:val="111111"/>
          <w:sz w:val="28"/>
          <w:sz w:val="28"/>
          <w:szCs w:val="28"/>
          <w:rtl w:val="true"/>
          <w:lang w:bidi="ar-SA"/>
        </w:rPr>
        <w:t xml:space="preserve">لأنّه حفظه و ضيّعه الباقون و كيف كان هو مشكل على إطلاقه،و إن حكي القول به في التنقيح عن الشيخ و القاضي </w:t>
      </w:r>
      <w:r>
        <w:rPr>
          <w:rStyle w:val="FootnoteAnchor"/>
          <w:rtl w:val="true"/>
        </w:rPr>
        <w:footnoteReference w:id="2747"/>
      </w:r>
      <w:r>
        <w:rPr>
          <w:rFonts w:ascii="Amiri" w:hAnsi="Amiri" w:eastAsia="Amiri" w:cs="Amiri"/>
          <w:color w:val="111111"/>
          <w:sz w:val="28"/>
          <w:sz w:val="28"/>
          <w:szCs w:val="28"/>
          <w:rtl w:val="true"/>
          <w:lang w:bidi="ar-SA"/>
        </w:rPr>
        <w:t xml:space="preserve">،و ذلك فإنّ مجرّد وقوعه أعمّ من تفريطهم فيه،بل </w:t>
      </w:r>
      <w:bookmarkStart w:id="357" w:name="pg11409_91144"/>
    </w:p>
    <w:p>
      <w:pPr>
        <w:pStyle w:val="BookText"/>
        <w:rPr/>
      </w:pPr>
      <w:bookmarkEnd w:id="357"/>
      <w:r>
        <w:rPr>
          <w:rFonts w:ascii="Amiri" w:hAnsi="Amiri" w:eastAsia="Amiri" w:cs="Amiri"/>
          <w:color w:val="111111"/>
          <w:sz w:val="28"/>
          <w:sz w:val="28"/>
          <w:szCs w:val="28"/>
          <w:rtl w:val="true"/>
          <w:lang w:bidi="ar-SA"/>
        </w:rPr>
        <w:t xml:space="preserve">من تفريط العاقل،و من ثمّ أوردها أكثر الأصحاب بلفظ الرواية،مشعرين بالتوقّف فيها أو ردّها،كما هو ظاهر الماتن هنا و حكي عنه في النكت </w:t>
      </w:r>
      <w:r>
        <w:rPr>
          <w:rStyle w:val="FootnoteAnchor"/>
          <w:rtl w:val="true"/>
        </w:rPr>
        <w:footnoteReference w:id="2748"/>
      </w:r>
      <w:r>
        <w:rPr>
          <w:rFonts w:ascii="Amiri" w:hAnsi="Amiri" w:eastAsia="Amiri" w:cs="Amiri"/>
          <w:color w:val="111111"/>
          <w:sz w:val="28"/>
          <w:sz w:val="28"/>
          <w:szCs w:val="28"/>
          <w:rtl w:val="true"/>
          <w:lang w:bidi="ar-SA"/>
        </w:rPr>
        <w:t>أيضاً،حيث أجاب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في واقعة فلا يتعدّى بها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ما لو عقله و سلّمه إليهم ففرّطوا،أو نحو ذلك من الوجوه المقتضية للضمان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ينافي سياق الرواية،سيّما تعليلها الوارد فيها،و لعلّه لذا لم يجسر الأصحاب على ردّها صريحاً عدا شيخنا في المسالك و الروضة،فقال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ضمان المفرِّط منهم دون غيره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1102845_73709187"/>
      <w:bookmarkStart w:id="359" w:name="_Toc132"/>
      <w:bookmarkEnd w:id="358"/>
      <w:r>
        <w:rPr>
          <w:rtl w:val="true"/>
        </w:rPr>
        <w:t>الثانية في جنين البهيمة عشر قيمتها</w:t>
      </w:r>
      <w:bookmarkEnd w:id="359"/>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جنين البهيمة عشر قيمتها كما هنا و في السرائر مدّعياً عليه إجماع أصحابنا و تواتر أخبارنا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على شيء منهما،إلّا على عبارة الماتن 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جنين البهيمة إذا ضربت فأزلقت عشر ثمنها</w:t>
      </w:r>
      <w:r>
        <w:rPr>
          <w:rFonts w:eastAsia="Amiri" w:cs="Amiri" w:ascii="Amiri" w:hAnsi="Amiri"/>
          <w:color w:val="111111"/>
          <w:sz w:val="28"/>
          <w:szCs w:val="28"/>
          <w:rtl w:val="true"/>
          <w:lang w:bidi="ar-SA"/>
        </w:rPr>
        <w:t xml:space="preserve">» </w:t>
      </w:r>
      <w:r>
        <w:rPr>
          <w:rStyle w:val="FootnoteAnchor"/>
          <w:rtl w:val="true"/>
        </w:rPr>
        <w:footnoteReference w:id="2751"/>
      </w:r>
      <w:r>
        <w:rPr>
          <w:rFonts w:ascii="Amiri" w:hAnsi="Amiri" w:eastAsia="Amiri" w:cs="Amiri"/>
          <w:color w:val="111111"/>
          <w:sz w:val="28"/>
          <w:sz w:val="28"/>
          <w:szCs w:val="28"/>
          <w:rtl w:val="true"/>
          <w:lang w:bidi="ar-SA"/>
        </w:rPr>
        <w:t>و هو قاصر السند،يشكل الخروج به عن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اختار الفاضل في التحرير أرش ما نقص من أُمّها،قال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حاملاً و حائلاً و يلزم الجاني بالتفاوت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لولا دعوى الإجماع و تواتر الأخبار و قوّة سند الرواية،مع اعتضادها بما ورد من نظيره في دية جنين الأمة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 xml:space="preserve">. </w:t>
      </w:r>
      <w:bookmarkStart w:id="360" w:name="pg11409_91145"/>
    </w:p>
    <w:p>
      <w:pPr>
        <w:pStyle w:val="BookText"/>
        <w:rPr/>
      </w:pPr>
      <w:bookmarkEnd w:id="360"/>
      <w:r>
        <w:rPr>
          <w:rFonts w:ascii="Amiri" w:hAnsi="Amiri" w:eastAsia="Amiri" w:cs="Amiri"/>
          <w:color w:val="111111"/>
          <w:sz w:val="28"/>
          <w:sz w:val="28"/>
          <w:szCs w:val="28"/>
          <w:rtl w:val="true"/>
          <w:lang w:bidi="ar-SA"/>
        </w:rPr>
        <w:t xml:space="preserve">و في عين الدابة ربع قيمتها وفاقاً للمحكي عن الشيخ و جماعة </w:t>
      </w:r>
      <w:r>
        <w:rPr>
          <w:rStyle w:val="FootnoteAnchor"/>
          <w:rtl w:val="true"/>
        </w:rPr>
        <w:footnoteReference w:id="2754"/>
      </w:r>
      <w:r>
        <w:rPr>
          <w:rFonts w:ascii="Amiri" w:hAnsi="Amiri" w:eastAsia="Amiri" w:cs="Amiri"/>
          <w:color w:val="111111"/>
          <w:sz w:val="28"/>
          <w:sz w:val="28"/>
          <w:szCs w:val="28"/>
          <w:rtl w:val="true"/>
          <w:lang w:bidi="ar-SA"/>
        </w:rPr>
        <w:t xml:space="preserve">للمستفيضة المتقدمة في مسألة لزوم الأرش بالجناية على أطراف الحيوان، مع تأمّل ما فيها تقدّم إليه الإشارة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في المبسوط و الخلاف </w:t>
      </w:r>
      <w:r>
        <w:rPr>
          <w:rStyle w:val="FootnoteAnchor"/>
          <w:rtl w:val="true"/>
        </w:rPr>
        <w:footnoteReference w:id="2756"/>
      </w:r>
      <w:r>
        <w:rPr>
          <w:rFonts w:ascii="Amiri" w:hAnsi="Amiri" w:eastAsia="Amiri" w:cs="Amiri"/>
          <w:color w:val="111111"/>
          <w:sz w:val="28"/>
          <w:sz w:val="28"/>
          <w:szCs w:val="28"/>
          <w:rtl w:val="true"/>
          <w:lang w:bidi="ar-SA"/>
        </w:rPr>
        <w:t>أنّه حكى عن الأصحاب أنّ في عين الدابّة نصف قيمتها،و في العينين كمال قيمتها،و كذا كل ما في البدن منه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مستنده عدا القياس على الإنسان،و هو ضعيف</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102847_73709187"/>
      <w:bookmarkStart w:id="362" w:name="_Toc133"/>
      <w:bookmarkEnd w:id="361"/>
      <w:r>
        <w:rPr>
          <w:rtl w:val="true"/>
        </w:rPr>
        <w:t>الثالثة روى السكوني لا يضمّن ما أفسدته البهائم نهاراً</w:t>
      </w:r>
      <w:bookmarkEnd w:id="362"/>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التهذيب في آخر باب الجناية على الحيوان في الصحيح عن عبد اللّه بن المغيرة،عن السكوني،عن جعفر، 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ما أفسدته البهائم نهاراً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صاحب الزرع حفظه و كان يضمّن ما أفسدت ليلاً </w:t>
      </w:r>
      <w:r>
        <w:rPr>
          <w:rFonts w:eastAsia="Amiri" w:cs="Amiri" w:ascii="Amiri" w:hAnsi="Amiri"/>
          <w:color w:val="111111"/>
          <w:sz w:val="28"/>
          <w:szCs w:val="28"/>
          <w:rtl w:val="true"/>
          <w:lang w:bidi="ar-SA"/>
        </w:rPr>
        <w:t xml:space="preserve">»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مشهورة بين قدماء الأصحاب حتى لا يكاد يعرف بينهم خلاف،حتى أنّ ابن زهرة ادّعى عليها إجماع الإمامية </w:t>
      </w:r>
      <w:r>
        <w:rPr>
          <w:rStyle w:val="FootnoteAnchor"/>
          <w:rtl w:val="true"/>
        </w:rPr>
        <w:footnoteReference w:id="2758"/>
      </w:r>
      <w:r>
        <w:rPr>
          <w:rFonts w:ascii="Amiri" w:hAnsi="Amiri" w:eastAsia="Amiri" w:cs="Amiri"/>
          <w:color w:val="111111"/>
          <w:sz w:val="28"/>
          <w:sz w:val="28"/>
          <w:szCs w:val="28"/>
          <w:rtl w:val="true"/>
          <w:lang w:bidi="ar-SA"/>
        </w:rPr>
        <w:t xml:space="preserve">، و ادّعى جملة من الأصحاب الشهرة هنا،و منهم الشهيد في نكت الإرشاد </w:t>
      </w:r>
      <w:r>
        <w:rPr>
          <w:rStyle w:val="FootnoteAnchor"/>
          <w:rtl w:val="true"/>
        </w:rPr>
        <w:footnoteReference w:id="2759"/>
      </w:r>
      <w:r>
        <w:rPr>
          <w:rFonts w:ascii="IRNazanin" w:hAnsi="IRNazanin" w:eastAsia="IRNazanin"/>
          <w:color w:val="111111"/>
          <w:sz w:val="28"/>
          <w:sz w:val="28"/>
          <w:szCs w:val="28"/>
          <w:rtl w:val="true"/>
          <w:lang w:bidi="fa-IR"/>
        </w:rPr>
        <w:t>،بل زاد فادّعى إجماع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أنّ ظاهر المتأخّرين وفاقاً منهم للحلّي </w:t>
      </w:r>
      <w:r>
        <w:rPr>
          <w:rStyle w:val="FootnoteAnchor"/>
          <w:rtl w:val="true"/>
        </w:rPr>
        <w:footnoteReference w:id="2760"/>
      </w:r>
      <w:r>
        <w:rPr>
          <w:rFonts w:ascii="Amiri" w:hAnsi="Amiri" w:eastAsia="Amiri" w:cs="Amiri"/>
          <w:color w:val="111111"/>
          <w:sz w:val="28"/>
          <w:sz w:val="28"/>
          <w:szCs w:val="28"/>
          <w:rtl w:val="true"/>
          <w:lang w:bidi="ar-SA"/>
        </w:rPr>
        <w:t>الإطباق على خلافه، فقالوا بعد نقلها،و الاعتراف بشهرتها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السكوني ضعفاً، و الأولى اعتبار التفريط من صاحب الدابة في ضمانه ما أفسدته ليلاً كان الإفساد أو نهاراً فلو لم يفرّط في حفظها بأن آواها إلى مبيتها و أُغلق عليها الباب مثلاً فوقع الحائط أو نقب اللّصّ نقباً فخرجت و لم يعلم به و أفسدت فلا ضمان عليه؛ لأنّه غير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للأُصول،إلّا أنّ في العدول عن الرواية المشهورة المدّعى عليها إجماع العصابة إشكالاً،بل اللازم المصير إليها؛ لانجبار ضعفها لو كان بالشهرة،مع قوّة راويها كما عرفته غير مرّة،سيّما و أن روى عنه عبد اللّه بن مغيرة المدّعى على تصحيح ما يصح عنه إجماع العصابة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المستند غير منحصر فيها،بل النصوص بمعناها بعد حكاية الإجماع المتقدمة مستفيضة مرويّة جملة منها في التهذيب في باب الزيادات من كتاب التجارة </w:t>
      </w:r>
      <w:r>
        <w:rPr>
          <w:rStyle w:val="FootnoteAnchor"/>
          <w:rtl w:val="true"/>
        </w:rPr>
        <w:footnoteReference w:id="2762"/>
      </w:r>
      <w:r>
        <w:rPr>
          <w:rFonts w:ascii="Amiri" w:hAnsi="Amiri" w:eastAsia="Amiri" w:cs="Amiri"/>
          <w:color w:val="111111"/>
          <w:sz w:val="28"/>
          <w:sz w:val="28"/>
          <w:szCs w:val="28"/>
          <w:rtl w:val="true"/>
          <w:lang w:bidi="ar-SA"/>
        </w:rPr>
        <w:t xml:space="preserve">،و كذا في الكافي في أواخر ذلك الكتاب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البقر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تكون بالمرعى فتفسد شيئاً،هل عليها ضمان؟فقال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أفسدت نهاراً فليس عليها ضمان،من أجل أنّ أصحابه يحفظونه،و إن أفسدت ليلاً فإنّ عليها ضمان</w:t>
      </w:r>
      <w:r>
        <w:rPr>
          <w:rFonts w:eastAsia="Amiri" w:cs="Amiri" w:ascii="Amiri" w:hAnsi="Amiri"/>
          <w:color w:val="111111"/>
          <w:sz w:val="28"/>
          <w:szCs w:val="28"/>
          <w:rtl w:val="true"/>
          <w:lang w:bidi="ar-SA"/>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داوُدَ وَ سُلَيْمانَ إِذْ يَحْكُمانِ فِي الْحَرْثِ إِذْ نَفَشَتْ فِيهِ غَنَمُ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النفش إلّا باللّيل،إنّ على صاحب الحرث أن يحفظ الحرث بالنهار،و ليس على صاحب الماشية حفظها بالنهار،و إنّما رعيها بالنهار و أرزاقها،فما أفسدت فليس عليها، و على أصحاب الماشية حفظ الماشية باللّيل عن حرث الناس،فما أفسدت بالليل فقد ضمنوا و هو 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66"/>
      </w: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جملة من النصوص أنّ ذلك ممّا قضى به سليمان على نبينا و آله و عليه السلام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سياقها كما ترى صريح في أنّه ليس على صاحب الدابّة ضمان ما أفسدته نهاراً و لو قصر المالك في حفظها؛ لتعليلها بأنّه ليس عليه في النهار حفظها؛ لأنّ فيه رعيها و أرزاقها،و ظاهر استناد الأصحاب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الأفاضل </w:t>
      </w:r>
      <w:r>
        <w:rPr>
          <w:rStyle w:val="FootnoteAnchor"/>
          <w:rtl w:val="true"/>
        </w:rPr>
        <w:footnoteReference w:id="2769"/>
      </w:r>
      <w:r>
        <w:rPr>
          <w:rFonts w:ascii="Amiri" w:hAnsi="Amiri" w:eastAsia="Amiri" w:cs="Amiri"/>
          <w:color w:val="111111"/>
          <w:sz w:val="28"/>
          <w:sz w:val="28"/>
          <w:szCs w:val="28"/>
          <w:rtl w:val="true"/>
          <w:lang w:bidi="ar-SA"/>
        </w:rPr>
        <w:t xml:space="preserve">وفاقاً للشهيد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النزاع بين القوم لفظيّاً،و أنّ القدماء إنّما ذكروا الليل و النهار تبعاً للرواية،و تمثيلاً للتفريط و عدمه؛ لكون الغالب حفظ الماشية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اعترضه شيخنا في المسالك و الفاضل المقداد و المولى الأردبيلي </w:t>
      </w:r>
      <w:r>
        <w:rPr>
          <w:rStyle w:val="FootnoteAnchor"/>
          <w:rtl w:val="true"/>
        </w:rPr>
        <w:footnoteReference w:id="2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جيّد،و لكن خلاف ظاهر </w:t>
      </w:r>
      <w:bookmarkStart w:id="363" w:name="pg11409_91148"/>
    </w:p>
    <w:p>
      <w:pPr>
        <w:pStyle w:val="BookText"/>
        <w:rPr/>
      </w:pPr>
      <w:bookmarkEnd w:id="363"/>
      <w:r>
        <w:rPr>
          <w:rFonts w:ascii="Amiri" w:hAnsi="Amiri" w:eastAsia="Amiri" w:cs="Amiri"/>
          <w:color w:val="111111"/>
          <w:sz w:val="28"/>
          <w:sz w:val="28"/>
          <w:szCs w:val="28"/>
          <w:rtl w:val="true"/>
          <w:lang w:bidi="ar-SA"/>
        </w:rPr>
        <w:t xml:space="preserve">عباراتهم؛ إذ لا يجب الجمع بين أقوالهم كالروايات و الآيات و الأدلّة،و أيضاً إنّ عادة بعضهم مثل الشيخ عدم الخروج عن لفظ الرواية و لا ينظر الوجه و العلّة،فتأمّل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أخبار المسألة أيضاً النبوي المروي في كلام جماعة،و منهم ابن زهرة </w:t>
      </w:r>
      <w:r>
        <w:rPr>
          <w:rStyle w:val="FootnoteAnchor"/>
          <w:rtl w:val="true"/>
        </w:rPr>
        <w:footnoteReference w:id="2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ناقة براء بن عازب دخلت حائطاً فأفسدته فقضى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على أهل الأموال حفظها نهاراً،و على أهل المواشي حفظها ليلاً،و أنّ على أهلها الضمان في الليل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ورد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جُبار</w:t>
      </w:r>
      <w:r>
        <w:rPr>
          <w:rFonts w:eastAsia="Amiri" w:cs="Amiri" w:ascii="Amiri" w:hAnsi="Amiri"/>
          <w:color w:val="111111"/>
          <w:sz w:val="28"/>
          <w:szCs w:val="28"/>
          <w:rtl w:val="true"/>
          <w:lang w:bidi="ar-SA"/>
        </w:rPr>
        <w:t xml:space="preserve">» </w:t>
      </w:r>
      <w:r>
        <w:rPr>
          <w:rStyle w:val="FootnoteAnchor"/>
          <w:rtl w:val="true"/>
        </w:rPr>
        <w:footnoteReference w:id="2774"/>
      </w:r>
      <w:r>
        <w:rPr>
          <w:rFonts w:ascii="Amiri" w:hAnsi="Amiri" w:eastAsia="Amiri" w:cs="Amiri"/>
          <w:color w:val="111111"/>
          <w:sz w:val="28"/>
          <w:sz w:val="28"/>
          <w:szCs w:val="28"/>
          <w:rtl w:val="true"/>
          <w:lang w:bidi="ar-SA"/>
        </w:rPr>
        <w:t>بناءً على أنّ غالب جنايتها وقوعها في النهار</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102849_73709187"/>
      <w:bookmarkStart w:id="365" w:name="_Toc134"/>
      <w:bookmarkEnd w:id="364"/>
      <w:r>
        <w:rPr>
          <w:rtl w:val="true"/>
        </w:rPr>
        <w:t>الثالثة في كفّارة القتل</w:t>
      </w:r>
      <w:bookmarkEnd w:id="365"/>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2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كفّارة القتل و قد مرّ في كتابها أنّه تجب كفّارة الجمع بين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العتق،و صيام شهرين متتابعين،و إطعام ستّين مسكيناً بقتل العمد،و تجب المرتّبة بقتل الخطإ و في معناه شبيه العمد،كما صرّح به في التحرير و القواعد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الفاضلان هنا و في الشرائع و التحرير و القواعد و الشهيدان في اللمعتين و المسالك </w:t>
      </w:r>
      <w:r>
        <w:rPr>
          <w:rStyle w:val="FootnoteAnchor"/>
          <w:rtl w:val="true"/>
        </w:rPr>
        <w:footnoteReference w:id="2777"/>
      </w:r>
      <w:r>
        <w:rPr>
          <w:rFonts w:ascii="Amiri" w:hAnsi="Amiri" w:eastAsia="Amiri" w:cs="Amiri"/>
          <w:color w:val="111111"/>
          <w:sz w:val="28"/>
          <w:sz w:val="28"/>
          <w:szCs w:val="28"/>
          <w:rtl w:val="true"/>
          <w:lang w:bidi="ar-SA"/>
        </w:rPr>
        <w:t xml:space="preserve">و غيرهم </w:t>
      </w:r>
      <w:r>
        <w:rPr>
          <w:rStyle w:val="FootnoteAnchor"/>
          <w:rtl w:val="true"/>
        </w:rPr>
        <w:footnoteReference w:id="2778"/>
      </w:r>
      <w:r>
        <w:rPr>
          <w:rFonts w:ascii="Amiri" w:hAnsi="Amiri" w:eastAsia="Amiri" w:cs="Amiri"/>
          <w:color w:val="111111"/>
          <w:sz w:val="28"/>
          <w:sz w:val="28"/>
          <w:szCs w:val="28"/>
          <w:rtl w:val="true"/>
          <w:lang w:bidi="ar-SA"/>
        </w:rPr>
        <w:t xml:space="preserve">أنّها إنّما تجب الكفّارة مطلقا كما يقتضيه </w:t>
      </w:r>
    </w:p>
    <w:p>
      <w:pPr>
        <w:pStyle w:val="BookText"/>
        <w:rPr/>
      </w:pPr>
      <w:r>
        <w:rPr>
          <w:rFonts w:ascii="Amiri" w:hAnsi="Amiri" w:eastAsia="Amiri" w:cs="Amiri"/>
          <w:color w:val="111111"/>
          <w:sz w:val="28"/>
          <w:sz w:val="28"/>
          <w:szCs w:val="28"/>
          <w:rtl w:val="true"/>
          <w:lang w:bidi="ar-SA"/>
        </w:rPr>
        <w:t>إطلاق العبارة و نحوها و صريح بعضهم،أو في الخطأ خاصّة كما هو ظاهر التحرير مع المباشرة للقتل خاصّة دون التسبيب له فلو طرح حجراً في ملك غيره أو سابلة فهلك بها عاثر ضمن الدية و لا كفّارة مطلقاً،كان التسبيب عمداً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لهم على ذلك دليلاً صالحاً عدا ما قيل من الأصل،و عدم تبادره إلى الفهم من القتل الوارد في النصوص </w:t>
      </w:r>
      <w:r>
        <w:rPr>
          <w:rStyle w:val="FootnoteAnchor"/>
          <w:rtl w:val="true"/>
        </w:rPr>
        <w:footnoteReference w:id="2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لمنع التبادر بعد الاتفاق على شموله له بالإضافة إلى الدية،إلّا أن يمنع الاتفاق على الشمول له لفظاً،بل يجعل مورده ثبوت أصل الدية لا دخوله تحت إطلاق لفظ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فالعمدة هو عدم الخلاف في الحكم،بل ربما أشعر عبارة المسالك و غيره بالإجماع عليه،حيث نسبه في الأوّل إلى الأصحاب </w:t>
      </w:r>
      <w:r>
        <w:rPr>
          <w:rStyle w:val="FootnoteAnchor"/>
          <w:rtl w:val="true"/>
        </w:rPr>
        <w:footnoteReference w:id="2780"/>
      </w:r>
      <w:r>
        <w:rPr>
          <w:rFonts w:ascii="Amiri" w:hAnsi="Amiri" w:eastAsia="Amiri" w:cs="Amiri"/>
          <w:color w:val="111111"/>
          <w:sz w:val="28"/>
          <w:sz w:val="28"/>
          <w:szCs w:val="28"/>
          <w:rtl w:val="true"/>
          <w:lang w:bidi="ar-SA"/>
        </w:rPr>
        <w:t>من غير ذكر خلاف و لا دليل عليه،بل اقتصر منه على النسبة مشعراً بأنّ ذلك هو الحجة في المسألة،و في الثاني لم ينقل الخلاف فيه منّا،بل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كاف في الحجة،سيما بعد التأيّد بالأصل،و احتمال عدم ظهور المخصّص كما عرفته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تجب الكفّارة بقتل المسلم،ذكراً كان أو أُنثى،صبيّاً أو مجنوناً،حراً أو عبداً مطلقا و لو كان ملكاً للقاتل على الأظهر الأشهر، بل لا خلاف فيه يظهر،إلّا ما يحكى عن كفّارات النهاية و القاضي </w:t>
      </w:r>
      <w:r>
        <w:rPr>
          <w:rStyle w:val="FootnoteAnchor"/>
          <w:rtl w:val="true"/>
        </w:rPr>
        <w:footnoteReference w:id="2782"/>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مملوكه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يعتق رقبة،و يصوم شهرين متتابعين،و يطعم ستّين مسكيناً،ثم تكون التوبة بعد ذلك</w:t>
      </w:r>
      <w:r>
        <w:rPr>
          <w:rFonts w:eastAsia="Amiri" w:cs="Amiri" w:ascii="Amiri" w:hAnsi="Amiri"/>
          <w:color w:val="111111"/>
          <w:sz w:val="28"/>
          <w:szCs w:val="28"/>
          <w:rtl w:val="true"/>
          <w:lang w:bidi="ar-SA"/>
        </w:rPr>
        <w:t xml:space="preserve">» </w:t>
      </w:r>
      <w:r>
        <w:rPr>
          <w:rStyle w:val="FootnoteAnchor"/>
          <w:rtl w:val="true"/>
        </w:rPr>
        <w:footnoteReference w:id="2783"/>
      </w:r>
      <w:r>
        <w:rPr>
          <w:rFonts w:ascii="Amiri" w:hAnsi="Amiri" w:eastAsia="Amiri" w:cs="Amiri"/>
          <w:color w:val="111111"/>
          <w:sz w:val="28"/>
          <w:sz w:val="28"/>
          <w:szCs w:val="28"/>
          <w:rtl w:val="true"/>
          <w:lang w:bidi="ar-SA"/>
        </w:rPr>
        <w:t>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لظهور السياق في رجوع الفضل إلى الترتيب بين الكفّارة و التوبة بتقديم الاُولى على الثانية،لا إلى أصل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إشعاره أو دلالته فلا يعترض به إطلاقات الكتاب و السنّة، و خصوص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عبده متعمّداً فعليه أن يعتق رقبة،و أن يطعم ستّين مسكيناً،و أن يصوم شهرين</w:t>
      </w:r>
      <w:r>
        <w:rPr>
          <w:rFonts w:eastAsia="Amiri" w:cs="Amiri" w:ascii="Amiri" w:hAnsi="Amiri"/>
          <w:color w:val="111111"/>
          <w:sz w:val="28"/>
          <w:szCs w:val="28"/>
          <w:rtl w:val="true"/>
          <w:lang w:bidi="ar-SA"/>
        </w:rPr>
        <w:t xml:space="preserve">» </w:t>
      </w:r>
      <w:r>
        <w:rPr>
          <w:rStyle w:val="FootnoteAnchor"/>
          <w:rtl w:val="true"/>
        </w:rPr>
        <w:footnoteReference w:id="2785"/>
      </w: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مملوكاً له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و يصوم شهرين متتابعين</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تجب بقتل الجنين الآدمي المؤمن إن ولجته الروح مطلقا و لا تجب قبل ذلك كما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خالف الفاضل في التحرير </w:t>
      </w:r>
      <w:r>
        <w:rPr>
          <w:rStyle w:val="FootnoteAnchor"/>
          <w:rtl w:val="true"/>
        </w:rPr>
        <w:footnoteReference w:id="2789"/>
      </w:r>
      <w:r>
        <w:rPr>
          <w:rFonts w:ascii="Amiri" w:hAnsi="Amiri" w:eastAsia="Amiri" w:cs="Amiri"/>
          <w:color w:val="111111"/>
          <w:sz w:val="28"/>
          <w:sz w:val="28"/>
          <w:szCs w:val="28"/>
          <w:rtl w:val="true"/>
          <w:lang w:bidi="ar-SA"/>
        </w:rPr>
        <w:t xml:space="preserve">هنا،فأوجب الكفّارة فيه مطلقاً، و لو لم يلجه الروح،مع أنّه في بحث ديته صرّح بما هنا،و هو الأقوى؛ للأصل،بل قد عرفت أنّ عليه في بعض العبارات إجماعنا </w:t>
      </w:r>
      <w:r>
        <w:rPr>
          <w:rStyle w:val="FootnoteAnchor"/>
          <w:rtl w:val="true"/>
        </w:rPr>
        <w:footnoteReference w:id="2790"/>
      </w:r>
      <w:r>
        <w:rPr>
          <w:rFonts w:ascii="Amiri" w:hAnsi="Amiri" w:eastAsia="Amiri" w:cs="Amiri"/>
          <w:color w:val="111111"/>
          <w:sz w:val="28"/>
          <w:sz w:val="28"/>
          <w:szCs w:val="28"/>
          <w:rtl w:val="true"/>
          <w:lang w:bidi="ar-SA"/>
        </w:rPr>
        <w:t xml:space="preserve">،مع أنّي لم أجد له موافقاً إلّا الشافعي فيما حكي عنه </w:t>
      </w:r>
      <w:r>
        <w:rPr>
          <w:rStyle w:val="FootnoteAnchor"/>
          <w:rtl w:val="true"/>
        </w:rPr>
        <w:footnoteReference w:id="2791"/>
      </w:r>
      <w:r>
        <w:rPr>
          <w:rFonts w:ascii="Amiri" w:hAnsi="Amiri" w:eastAsia="Amiri" w:cs="Amiri"/>
          <w:color w:val="111111"/>
          <w:sz w:val="28"/>
          <w:sz w:val="28"/>
          <w:szCs w:val="28"/>
          <w:rtl w:val="true"/>
          <w:lang w:bidi="ar-SA"/>
        </w:rPr>
        <w:t>،و مع ذلك فلم أعرف له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بقتل الكافر ذمّيّاً كان أو حربيّا أو معاهداً بلا خلاف أجده،بل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عندنا،خلافاً للعامّة،لتوهّمهم ذلك من الآية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قتل المسلم مثله في دار الحرب عالماً عامداً لا لضرورة التترّس و نحوه فعليه القود و الكفّارة بلا خلاف أجده،بل بإجماعنا كما يشعر به عبارة بعض الأجلّة </w:t>
      </w:r>
      <w:r>
        <w:rPr>
          <w:rStyle w:val="FootnoteAnchor"/>
          <w:rtl w:val="true"/>
        </w:rPr>
        <w:footnoteReference w:id="2793"/>
      </w:r>
      <w:r>
        <w:rPr>
          <w:rFonts w:ascii="Amiri" w:hAnsi="Amiri" w:eastAsia="Amiri" w:cs="Amiri"/>
          <w:color w:val="111111"/>
          <w:sz w:val="28"/>
          <w:sz w:val="28"/>
          <w:szCs w:val="28"/>
          <w:rtl w:val="true"/>
          <w:lang w:bidi="ar-SA"/>
        </w:rPr>
        <w:t>،و هو الحجة؛ مضافاً إلى إطلاقات الكتاب و السنّة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ظنّه حربيّا </w:t>
      </w:r>
      <w:r>
        <w:rPr>
          <w:rStyle w:val="FootnoteAnchor"/>
          <w:rtl w:val="true"/>
        </w:rPr>
        <w:footnoteReference w:id="2794"/>
      </w:r>
      <w:r>
        <w:rPr>
          <w:rFonts w:ascii="Amiri" w:hAnsi="Amiri" w:eastAsia="Amiri" w:cs="Amiri"/>
          <w:color w:val="111111"/>
          <w:sz w:val="28"/>
          <w:sz w:val="28"/>
          <w:szCs w:val="28"/>
          <w:rtl w:val="true"/>
          <w:lang w:bidi="ar-SA"/>
        </w:rPr>
        <w:t xml:space="preserve">فقتله فلا دية له و عليه الكفّارة بلا خلاف في لزومها،و وفاقاً للأكثر في عدم الدية،بل في ظاهر المسالك و غيره و عن ظاهر المبسوط الاتفاق عليه </w:t>
      </w:r>
      <w:r>
        <w:rPr>
          <w:rStyle w:val="FootnoteAnchor"/>
          <w:rtl w:val="true"/>
        </w:rPr>
        <w:footnoteReference w:id="2795"/>
      </w:r>
      <w:r>
        <w:rPr>
          <w:rFonts w:ascii="Amiri" w:hAnsi="Amiri" w:eastAsia="Amiri" w:cs="Amiri"/>
          <w:color w:val="111111"/>
          <w:sz w:val="28"/>
          <w:sz w:val="28"/>
          <w:szCs w:val="28"/>
          <w:rtl w:val="true"/>
          <w:lang w:bidi="ar-SA"/>
        </w:rPr>
        <w:t xml:space="preserve">لقوله سبحانه وَ مَنْ قَتَلَ مُؤْمِناً خَطَأً فَتَحْرِيرُ رَقَبَةٍ مُؤْمِنَةٍ وَ دِيَةٌ مُسَلَّمَةٌ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بعد </w:t>
      </w:r>
    </w:p>
    <w:p>
      <w:pPr>
        <w:pStyle w:val="BookText"/>
        <w:rPr/>
      </w:pPr>
      <w:r>
        <w:rPr>
          <w:rFonts w:ascii="Amiri" w:hAnsi="Amiri" w:eastAsia="Amiri" w:cs="Amiri"/>
          <w:color w:val="111111"/>
          <w:sz w:val="28"/>
          <w:sz w:val="28"/>
          <w:szCs w:val="28"/>
          <w:rtl w:val="true"/>
          <w:lang w:bidi="ar-SA"/>
        </w:rPr>
        <w:t xml:space="preserve">ذلك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المقتول خطأً مِنْ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قوم؛ لأنّ حروف الصفات بعضها يقوم مقام بعض عَدُوٍّ لَكُمْ وَ هُوَ مُؤْمِنٌ فَتَحْرِيرُ رَقَبَةٍ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بعد ذلك وَ إِنْ كانَ مِنْ قَوْمٍ بَيْنَكُمْ وَ بَيْنَهُمْ مِيثاقٌ فَدِيَةٌ مُسَلَّمَةٌ إِلى أَهْلِهِ وَ تَحْرِيرُ رَقَبَةٍ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796"/>
      </w:r>
      <w:r>
        <w:rPr>
          <w:rFonts w:ascii="Amiri" w:hAnsi="Amiri" w:eastAsia="Amiri" w:cs="Amiri"/>
          <w:color w:val="111111"/>
          <w:sz w:val="28"/>
          <w:sz w:val="28"/>
          <w:szCs w:val="28"/>
          <w:rtl w:val="true"/>
          <w:lang w:bidi="ar-SA"/>
        </w:rPr>
        <w:t>لفهمنا من الثاني أنّ المؤمن يكون في دار الحرب فيظنّ كافراً فيُقتل لا دية له،و إلّا لم يظهر وجه للتفصيل و إهمال الدية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للحلّي،فأوجب الدية لئلّا يطلّ دم امرئ مسلم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مائة من الإبل</w:t>
      </w:r>
      <w:r>
        <w:rPr>
          <w:rFonts w:eastAsia="Amiri" w:cs="Amiri" w:ascii="Amiri" w:hAnsi="Amiri"/>
          <w:color w:val="111111"/>
          <w:sz w:val="28"/>
          <w:szCs w:val="28"/>
          <w:rtl w:val="true"/>
          <w:lang w:bidi="ar-SA"/>
        </w:rPr>
        <w:t xml:space="preserve">» </w:t>
      </w:r>
      <w:r>
        <w:rPr>
          <w:rStyle w:val="FootnoteAnchor"/>
          <w:rtl w:val="true"/>
        </w:rPr>
        <w:footnoteReference w:id="2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الدية و إن لم تذكر في الآية،فقد علمناها بدليل آخر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فإجماع أصحابنا منعقد على ذلك،و لم يخالف أحد منهم في ذلك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نادر،و لذا لم ينقل الخلاف عنه هنا إلّا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وهن إجماعه لعدم الوقوف على موافق له ظاهر،مع معارضته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من الإطلاقات غير معلوم الشمول لنحو الفرض؛ لعدم التبادر،و على تقديره فهي مقيّدة بالآية الشريفة النافية بظاهرها من حيث السياق للدية،فتكون بالإضافة إلى الإطلاقات أخصّ فلتكن عليها مقدّمة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وجه دلالة الآية ليس أنّه لم يذكر فيها الدية كما زعمه و قدّم لذا عليها الإطلاقات المزبورة،بل إنّما هو ظهور سياقها في نفيها، </w:t>
      </w:r>
      <w:bookmarkStart w:id="366" w:name="pg11409_91153"/>
    </w:p>
    <w:p>
      <w:pPr>
        <w:pStyle w:val="BookText"/>
        <w:rPr/>
      </w:pPr>
      <w:bookmarkEnd w:id="366"/>
      <w:r>
        <w:rPr>
          <w:rFonts w:ascii="Amiri" w:hAnsi="Amiri" w:eastAsia="Amiri" w:cs="Amiri"/>
          <w:color w:val="111111"/>
          <w:sz w:val="28"/>
          <w:sz w:val="28"/>
          <w:szCs w:val="28"/>
          <w:rtl w:val="true"/>
          <w:lang w:bidi="ar-SA"/>
        </w:rPr>
        <w:t>فينعكس الأمر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الآية و العبارة يقتضي عدم الفرق في الحكم بين ظهور كون المقتول أسيراً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المبسوط و الخلاف و الفاضل في التحرير و القواعد و الصيمري في شرح الشرائع </w:t>
      </w:r>
      <w:r>
        <w:rPr>
          <w:rStyle w:val="FootnoteAnchor"/>
          <w:rtl w:val="true"/>
        </w:rPr>
        <w:footnoteReference w:id="2800"/>
      </w:r>
      <w:r>
        <w:rPr>
          <w:rFonts w:ascii="Amiri" w:hAnsi="Amiri" w:eastAsia="Amiri" w:cs="Amiri"/>
          <w:color w:val="111111"/>
          <w:sz w:val="28"/>
          <w:sz w:val="28"/>
          <w:szCs w:val="28"/>
          <w:rtl w:val="true"/>
          <w:lang w:bidi="ar-SA"/>
        </w:rPr>
        <w:t>،فقيّدوه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فيه الماتن في الشرائع </w:t>
      </w:r>
      <w:r>
        <w:rPr>
          <w:rStyle w:val="FootnoteAnchor"/>
          <w:rtl w:val="true"/>
        </w:rPr>
        <w:footnoteReference w:id="2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ذلك،و من إطلاق ما دلّ على لزوم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قد عرفته،فإذاً الأولى الأخذ بإطلاق الآية،مضافاً إلى أصالة البراءة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102851_73709187"/>
      <w:bookmarkStart w:id="368" w:name="_Toc135"/>
      <w:bookmarkEnd w:id="367"/>
      <w:r>
        <w:rPr>
          <w:rtl w:val="true"/>
        </w:rPr>
        <w:t>الرابعة في العاقلة</w:t>
      </w:r>
      <w:bookmarkEnd w:id="368"/>
    </w:p>
    <w:p>
      <w:pPr>
        <w:pStyle w:val="Heading5"/>
        <w:numPr>
          <w:ilvl w:val="4"/>
          <w:numId w:val="1"/>
        </w:numPr>
        <w:rPr/>
      </w:pPr>
      <w:bookmarkStart w:id="369" w:name="__RefHeading___Toc1102853_73709187"/>
      <w:bookmarkStart w:id="370" w:name="_Toc136"/>
      <w:bookmarkEnd w:id="369"/>
      <w:r>
        <w:rPr>
          <w:rtl w:val="true"/>
        </w:rPr>
        <w:t>الأمر الأول المحل</w:t>
      </w:r>
      <w:bookmarkEnd w:id="37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العاقلة التي تحمل دية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هنا يقع في أُمور ثلاثة المحل،و كيفية التقسيط أي توزيع الدية و تقسيمها عليهم و اللواحق أمّا المحلّ ف هو العصبة،و المعتق،و ضامن الجريرة،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مرتّبين كترتيبهم في الإرث على تفصيل يأتي إليه الإشارة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ضابط العصبة كل من يتقرب إلى الميت بالأبوين أو بالأب خاصّة و إن لم يكونوا وارثين في الحال كالإخوة و أولادهم و إن نزلوا و العمومة و أولادهم كذلك و الأجداد و إن علوا وفاقاً للمقنعة و المبسوط و الخلاف و المهذّب و الفاضلين هنا و في الشرائع و الإرشاد </w:t>
      </w:r>
    </w:p>
    <w:p>
      <w:pPr>
        <w:pStyle w:val="BookText"/>
        <w:rPr/>
      </w:pPr>
      <w:r>
        <w:rPr>
          <w:rFonts w:ascii="Amiri" w:hAnsi="Amiri" w:eastAsia="Amiri" w:cs="Amiri"/>
          <w:color w:val="111111"/>
          <w:sz w:val="28"/>
          <w:sz w:val="28"/>
          <w:szCs w:val="28"/>
          <w:rtl w:val="true"/>
          <w:lang w:bidi="ar-SA"/>
        </w:rPr>
        <w:t xml:space="preserve">و التحرير و القواعد و المختلف و الشهيد في اللمعة </w:t>
      </w:r>
      <w:r>
        <w:rPr>
          <w:rStyle w:val="FootnoteAnchor"/>
          <w:rtl w:val="true"/>
        </w:rPr>
        <w:footnoteReference w:id="2802"/>
      </w:r>
      <w:r>
        <w:rPr>
          <w:rFonts w:ascii="Amiri" w:hAnsi="Amiri" w:eastAsia="Amiri" w:cs="Amiri"/>
          <w:color w:val="111111"/>
          <w:sz w:val="28"/>
          <w:sz w:val="28"/>
          <w:szCs w:val="28"/>
          <w:rtl w:val="true"/>
          <w:lang w:bidi="ar-SA"/>
        </w:rPr>
        <w:t xml:space="preserve">،و غيرهم </w:t>
      </w:r>
      <w:r>
        <w:rPr>
          <w:rStyle w:val="FootnoteAnchor"/>
          <w:rtl w:val="true"/>
        </w:rPr>
        <w:footnoteReference w:id="2803"/>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على الظاهر،المصرّح به في المختلف و الروضة و المسالك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السرائر أنّهم العصبات من الرجال،سواء كان وارثاً أو غير وارث،الأقرب فالأقرب،و يدخل فيها الولد و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أصحابنا منعقد على أنّ العاقلة جماعة الورّاث من الرجال دون من يتقرب بالأُمّ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كما ترى دعوى الإجماع عليه،و إن زعم مخالفة قوله لقولهم فعدّ قولاً آخر </w:t>
      </w:r>
      <w:r>
        <w:rPr>
          <w:rStyle w:val="FootnoteAnchor"/>
          <w:rtl w:val="true"/>
        </w:rPr>
        <w:footnoteReference w:id="2806"/>
      </w:r>
      <w:r>
        <w:rPr>
          <w:rFonts w:ascii="Amiri" w:hAnsi="Amiri" w:eastAsia="Amiri" w:cs="Amiri"/>
          <w:color w:val="111111"/>
          <w:sz w:val="28"/>
          <w:sz w:val="28"/>
          <w:szCs w:val="28"/>
          <w:rtl w:val="true"/>
          <w:lang w:bidi="ar-SA"/>
        </w:rPr>
        <w:t>،و لم أفهم الوجه فيه،إلّا من حيث إطلاقه الرجال في صدر العبارة بحيث يتوهّم منه الشمول لمثل الإخوة من الاُمّ و الأخوال، لكن تصريحه أخيراً باستثناء من يقترب منهم بالأُمّ يدفع ذلك،و يوجب اتحاد قوله مع قولهم،و لذا لم يجعله كثير مخالفاً لهم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عبارته صريحة في دعوى الإجماع،و هو الحجة المعتضدة بالشهرة المحققة و المحكية،المحتملة كونها إجماعاً،كما ربما يستفاد من المختلف </w:t>
      </w:r>
      <w:r>
        <w:rPr>
          <w:rStyle w:val="FootnoteAnchor"/>
          <w:rtl w:val="true"/>
        </w:rPr>
        <w:footnoteReference w:id="2807"/>
      </w:r>
      <w:r>
        <w:rPr>
          <w:rFonts w:ascii="Amiri" w:hAnsi="Amiri" w:eastAsia="Amiri" w:cs="Amiri"/>
          <w:color w:val="111111"/>
          <w:sz w:val="28"/>
          <w:sz w:val="28"/>
          <w:szCs w:val="28"/>
          <w:rtl w:val="true"/>
          <w:lang w:bidi="ar-SA"/>
        </w:rPr>
        <w:t>حيث استند بها لهذا القول،و الحال أنّ الشهرة بالمعنى المصطلح ليست عنده بحجة ما لم تبلغ درجة الإجماع،فاستناده بها لعلّه كاشف عن بلوغها تلك الدرجة،هذا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قيل من أنّ ما ذكروه هو المعروف من معناها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يوافقه ما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الرجل بنوه و قرابته لأبيه،قال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الجمع العصائب </w:t>
      </w:r>
      <w:r>
        <w:rPr>
          <w:rStyle w:val="FootnoteAnchor"/>
          <w:rtl w:val="true"/>
        </w:rPr>
        <w:footnoteReference w:id="2809"/>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سمّوا عَصَبة لأنّهم عصبوا به أي أحاطوا به،فالأب طرف،و الابن طرف،و الأخ جانب،و العمّ جانب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في النهاية و الغنية و الإصباح فيما حكي </w:t>
      </w:r>
      <w:r>
        <w:rPr>
          <w:rStyle w:val="FootnoteAnchor"/>
          <w:rtl w:val="true"/>
        </w:rPr>
        <w:footnoteReference w:id="2811"/>
      </w:r>
      <w:r>
        <w:rPr>
          <w:rFonts w:ascii="Amiri" w:hAnsi="Amiri" w:eastAsia="Amiri" w:cs="Amiri"/>
          <w:color w:val="111111"/>
          <w:sz w:val="28"/>
          <w:sz w:val="28"/>
          <w:szCs w:val="28"/>
          <w:rtl w:val="true"/>
          <w:lang w:bidi="ar-SA"/>
        </w:rPr>
        <w:t>أنّهم هم الذين يرثون القاتل ديته لو قتل و لا يلزم من لا يرث ديته شيئاً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جماعة،و منهم الماتن في الشرائع،فقال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الإطلاق و هم؛ فإنّ الدية يرثها الذكور و الإناث،و الزوج و الزوجة،و من يتقرّب بالأُمّ على أحد القولين،و يختص بها الأقرب فالأقرب كما تورث الأموال،و ليس كذلك العقل،فإنّه يختصّ الذكور من العَصَبة دون من يقترب بالأُمّ،و دون الزوج و الزوجة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حسن،إلّا أنّ بعض الأفاضل وجّه كلامهم بما يرجع به إلى ما عليه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النهاية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دية الخطأ فإنّها تلزم العاقلة الذين يرثون دية القاتل أن لو قتل،و لا يلزم من لا يرث من ديته شيئاً على حال،و هي توهِم العموم،و ليست صريحة فيه،فإنّ الوصف يجوز أن يكون للتعليل دون التفسير،و لذا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الإطلاق و هم، </w:t>
      </w:r>
    </w:p>
    <w:p>
      <w:pPr>
        <w:pStyle w:val="BookText"/>
        <w:rPr/>
      </w:pPr>
      <w:r>
        <w:rPr>
          <w:rFonts w:ascii="Amiri" w:hAnsi="Amiri" w:eastAsia="Amiri" w:cs="Amiri"/>
          <w:color w:val="111111"/>
          <w:sz w:val="28"/>
          <w:sz w:val="28"/>
          <w:szCs w:val="28"/>
          <w:rtl w:val="true"/>
          <w:lang w:bidi="ar-SA"/>
        </w:rPr>
        <w:t>فيكون كقول المفيد،و لا يؤخذ لإخوته من امّه شيء،و لا من أخواله؛ لأنّه لو قتل و أُخذت ديته ما استحق إخوته لأُمّه و أخواله منها شيئاً،فلذلك لم يكن عليهم منها شيء،ثم ليس في عبارة النهاية تفسير العصبة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الغنية و الإصباح،كذا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عاقلة الحرّ المسلم عَصَبته الذين يرثون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أيضاً التعليل،و الاتّكال في معنى العصبة على وضوحه،و أنّ المفهوم منهم المتقربون بالأب من الرجال،أو التوضيح أو التنصيص على الاختصاص بالمتقرّبين بالأب </w:t>
      </w:r>
      <w:r>
        <w:rPr>
          <w:rStyle w:val="FootnoteAnchor"/>
          <w:rtl w:val="true"/>
        </w:rPr>
        <w:footnoteReference w:id="2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فهم الحلّي </w:t>
      </w:r>
      <w:r>
        <w:rPr>
          <w:rStyle w:val="FootnoteAnchor"/>
          <w:rtl w:val="true"/>
        </w:rPr>
        <w:footnoteReference w:id="2814"/>
      </w:r>
      <w:r>
        <w:rPr>
          <w:rFonts w:ascii="Amiri" w:hAnsi="Amiri" w:eastAsia="Amiri" w:cs="Amiri"/>
          <w:color w:val="111111"/>
          <w:sz w:val="28"/>
          <w:sz w:val="28"/>
          <w:szCs w:val="28"/>
          <w:rtl w:val="true"/>
          <w:lang w:bidi="ar-SA"/>
        </w:rPr>
        <w:t xml:space="preserve">من النهاية ما يوافقه،و لذا لم يعترضه،بل اعتضد به،فتأمّل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الأوّل أظهر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الأصحاب من خصّ به الأقرب </w:t>
      </w:r>
      <w:r>
        <w:rPr>
          <w:rStyle w:val="FootnoteAnchor"/>
          <w:rtl w:val="true"/>
        </w:rPr>
        <w:footnoteReference w:id="2815"/>
      </w:r>
      <w:r>
        <w:rPr>
          <w:rFonts w:ascii="Amiri" w:hAnsi="Amiri" w:eastAsia="Amiri" w:cs="Amiri"/>
          <w:color w:val="111111"/>
          <w:sz w:val="28"/>
          <w:sz w:val="28"/>
          <w:szCs w:val="28"/>
          <w:rtl w:val="true"/>
          <w:lang w:bidi="ar-SA"/>
        </w:rPr>
        <w:t xml:space="preserve">ممّن يرث بالتسمية، و مع عدمه يشترك في العقل بين من يتقرّب بالأُمّ مع من يتقرّب بالأب و الأُمّ أو بالأب أثلاثاً كالإرث،و قد يستدل له بالنصوص الواردة فيمن هرب و لم يظفر به حتى مات أنّه يؤخذ من تركته،فإن لم يكن فمن الأقرب فالأقرب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قتل رجلاً خطأ فمات قبل أن يخرج إلى أولياء المقتول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الدية على ورثته،فإن لم يكن له عاقلة فعلى </w:t>
      </w:r>
    </w:p>
    <w:p>
      <w:pPr>
        <w:pStyle w:val="BookText"/>
        <w:rPr/>
      </w:pPr>
      <w:r>
        <w:rPr>
          <w:rFonts w:ascii="Amiri" w:hAnsi="Amiri" w:eastAsia="Amiri" w:cs="Amiri"/>
          <w:color w:val="111111"/>
          <w:sz w:val="28"/>
          <w:sz w:val="28"/>
          <w:szCs w:val="28"/>
          <w:rtl w:val="true"/>
          <w:lang w:bidi="ar-SA"/>
        </w:rPr>
        <w:t xml:space="preserve">الوالي من بيت المال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لضعف المرسل كبعض تلك النصوص،مع خروجها على تقدير القول بها في تلك المسألة عن مفروض المسألة؛ لكونه دية الخطأ لا العمد كما هو موردها،و أحدهما غير الآخر،هذا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الجميع عن المكافأة لما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جماعة </w:t>
      </w:r>
      <w:r>
        <w:rPr>
          <w:rStyle w:val="FootnoteAnchor"/>
          <w:rtl w:val="true"/>
        </w:rPr>
        <w:footnoteReference w:id="2818"/>
      </w:r>
      <w:r>
        <w:rPr>
          <w:rFonts w:ascii="Amiri" w:hAnsi="Amiri" w:eastAsia="Amiri" w:cs="Amiri"/>
          <w:color w:val="111111"/>
          <w:sz w:val="28"/>
          <w:sz w:val="28"/>
          <w:szCs w:val="28"/>
          <w:rtl w:val="true"/>
          <w:lang w:bidi="ar-SA"/>
        </w:rPr>
        <w:t>من الأصحاب هذا القول إلى الإسكافي،قالوا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استناد إلى رواية سلمة بن كهيل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أهل الموصل قد قتل رجلاً خطأ،فكتب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عامله بها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عن قرابته من المسلمين فإن كان من أهل الموصل ممّن ولد بها و أصبت له قرابة من المسلمين فادعهم إليك،ثمّ انظر،فإن كان هناك رجل يرثه له سهم في الكتاب لا يحجبه أحد من قرابته فألزمه الدية و خذها منه في ثلاث سنين،و إن لم يكن له من قرابته أحد له سهم في الكتاب و كانوا قرابته سواء في النسب ففضّ الدية على قرابته من قبل أبيه،و على قرابته من قبل امّه من الرجال الذكور المسلمين،ثم اجعل على قرابته من قبل أبيه ثلثي الدية و اجعل على قرابته من قبل امّه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سلمة الراوي فيه ضعف لكونه بترياً مذموماً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محصّل </w:t>
      </w:r>
    </w:p>
    <w:p>
      <w:pPr>
        <w:pStyle w:val="BookText"/>
        <w:rPr/>
      </w:pPr>
      <w:r>
        <w:rPr>
          <w:rFonts w:ascii="Amiri" w:hAnsi="Amiri" w:eastAsia="Amiri" w:cs="Amiri"/>
          <w:color w:val="111111"/>
          <w:sz w:val="28"/>
          <w:sz w:val="28"/>
          <w:szCs w:val="28"/>
          <w:rtl w:val="true"/>
          <w:lang w:bidi="ar-SA"/>
        </w:rPr>
        <w:t>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ناقشهم في النسبة بعض الفضلاء،فقال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الإسكافي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العاقلة هم المستحقون لميراث القاتل من الرجال العقلاء،سواء كانوا من قبل أبيه أو امّه،فإن تساوت القرابتان كالإخوة للأب و الإخوة للاُمّ كان على الإخوة للأب الثلثان،و على الإخوة للاُمّ الثلث،سواء كان المستحق للميراث واحداً أو جماعة،و لا يلزم ولد الأب شيء إلّا بعد عدم الولد و الأب،و لا يلزم ولد الجدّ شيء إلّا بعد عدم الولد للأبوين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نصّاً في استحقاق الإرث بالتسمية،و لا في شمول العقل كلّ من يرث بالتسمية،بل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 قبل أبيه أو امّه،اختصاصه بالأجداد و بالإخوة و الأعمام و الأخوال و أولادهم،ثم ليس فيها اشتراط التشريك بين المتقرب بالأب و المتقرب بالأُمّ بعدم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ظاهر المختلف أنّه نزّلها على مضمون خبر سلمة بن كهيل </w:t>
      </w:r>
      <w:r>
        <w:rPr>
          <w:rStyle w:val="FootnoteAnchor"/>
          <w:rtl w:val="true"/>
        </w:rPr>
        <w:footnoteReference w:id="2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الرواية لا دلالة لها على القول المحكي في العبارة بإطلاقه؛ لشموله المتقرب بالأُمّ و المتقرب بالأب الذكور و الإناث،و كذا الأقرب ممّن يرث بالتسمية يشمل نحو الاُمّ و البنت و الأُخت،مع أنّ الرواية مصرّحة بالتقييد بالرجال،فالاستدلال بها لذلك كما في العبارة و غيرها لا يخلو عن إشكال،و لذا عدلت عنه إلى الاستدلال بتلك النصوص المزبورة و إن كانت قريبة منها في وجه الضعف و الإشكال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ينزّل إطلاق القول على الرواية بتقييده بما فيها من إرادة </w:t>
      </w:r>
    </w:p>
    <w:p>
      <w:pPr>
        <w:pStyle w:val="BookText"/>
        <w:rPr/>
      </w:pPr>
      <w:r>
        <w:rPr>
          <w:rFonts w:ascii="Amiri" w:hAnsi="Amiri" w:eastAsia="Amiri" w:cs="Amiri"/>
          <w:color w:val="111111"/>
          <w:sz w:val="28"/>
          <w:sz w:val="28"/>
          <w:szCs w:val="28"/>
          <w:rtl w:val="true"/>
          <w:lang w:bidi="ar-SA"/>
        </w:rPr>
        <w:t xml:space="preserve">الرجال خاصّة،كما وجّه به كلام النهاية </w:t>
      </w:r>
      <w:r>
        <w:rPr>
          <w:rStyle w:val="FootnoteAnchor"/>
          <w:rtl w:val="true"/>
        </w:rPr>
        <w:footnoteReference w:id="2821"/>
      </w:r>
      <w:r>
        <w:rPr>
          <w:rFonts w:ascii="Amiri" w:hAnsi="Amiri" w:eastAsia="Amiri" w:cs="Amiri"/>
          <w:color w:val="111111"/>
          <w:sz w:val="28"/>
          <w:sz w:val="28"/>
          <w:szCs w:val="28"/>
          <w:rtl w:val="true"/>
          <w:lang w:bidi="ar-SA"/>
        </w:rPr>
        <w:t xml:space="preserve">،و يجعل الاستدلال بها له على ذلك قرينة،فافهم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الآباء و الأولاد في العقل على الأشبه وفاقاً للمفيد و الإسكافي و الشيخ في النهاية و الحائريات و السرائر و الجامع و أبي العباس كما حكي </w:t>
      </w:r>
      <w:r>
        <w:rPr>
          <w:rStyle w:val="FootnoteAnchor"/>
          <w:rtl w:val="true"/>
        </w:rPr>
        <w:footnoteReference w:id="2822"/>
      </w:r>
      <w:r>
        <w:rPr>
          <w:rFonts w:ascii="Amiri" w:hAnsi="Amiri" w:eastAsia="Amiri" w:cs="Amiri"/>
          <w:color w:val="111111"/>
          <w:sz w:val="28"/>
          <w:sz w:val="28"/>
          <w:szCs w:val="28"/>
          <w:rtl w:val="true"/>
          <w:lang w:bidi="ar-SA"/>
        </w:rPr>
        <w:t xml:space="preserve">،و هو خيرة الفاضلين هنا و في الشرائع و التحرير و القواعد و الصيمري و الشهيد في اللمعة </w:t>
      </w:r>
      <w:r>
        <w:rPr>
          <w:rStyle w:val="FootnoteAnchor"/>
          <w:rtl w:val="true"/>
        </w:rPr>
        <w:footnoteReference w:id="2823"/>
      </w:r>
      <w:r>
        <w:rPr>
          <w:rFonts w:ascii="Amiri" w:hAnsi="Amiri" w:eastAsia="Amiri" w:cs="Amiri"/>
          <w:color w:val="111111"/>
          <w:sz w:val="28"/>
          <w:sz w:val="28"/>
          <w:szCs w:val="28"/>
          <w:rtl w:val="true"/>
          <w:lang w:bidi="ar-SA"/>
        </w:rPr>
        <w:t xml:space="preserve">،و هو ظاهر التنقيح </w:t>
      </w:r>
      <w:r>
        <w:rPr>
          <w:rStyle w:val="FootnoteAnchor"/>
          <w:rtl w:val="true"/>
        </w:rPr>
        <w:footnoteReference w:id="2824"/>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على الظاهر،المصرّح به في الإيضاح </w:t>
      </w:r>
      <w:r>
        <w:rPr>
          <w:rStyle w:val="FootnoteAnchor"/>
          <w:rtl w:val="true"/>
        </w:rPr>
        <w:footnoteReference w:id="2825"/>
      </w:r>
      <w:r>
        <w:rPr>
          <w:rFonts w:ascii="Amiri" w:hAnsi="Amiri" w:eastAsia="Amiri" w:cs="Amiri"/>
          <w:color w:val="111111"/>
          <w:sz w:val="28"/>
          <w:sz w:val="28"/>
          <w:szCs w:val="28"/>
          <w:rtl w:val="true"/>
          <w:lang w:bidi="ar-SA"/>
        </w:rPr>
        <w:t xml:space="preserve">،بل ادّعى الحلّي عليه الإجماع </w:t>
      </w:r>
      <w:r>
        <w:rPr>
          <w:rStyle w:val="FootnoteAnchor"/>
          <w:rtl w:val="true"/>
        </w:rPr>
        <w:footnoteReference w:id="282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دخولهم في مفهوم العَصَبة لغةً كما يستفاد من كلام الجوهري المتقدّم </w:t>
      </w:r>
      <w:r>
        <w:rPr>
          <w:rStyle w:val="FootnoteAnchor"/>
          <w:rtl w:val="true"/>
        </w:rPr>
        <w:footnoteReference w:id="2827"/>
      </w:r>
      <w:r>
        <w:rPr>
          <w:rFonts w:ascii="Amiri" w:hAnsi="Amiri" w:eastAsia="Amiri" w:cs="Amiri"/>
          <w:color w:val="111111"/>
          <w:sz w:val="28"/>
          <w:sz w:val="28"/>
          <w:szCs w:val="28"/>
          <w:rtl w:val="true"/>
          <w:lang w:bidi="ar-SA"/>
        </w:rPr>
        <w:t>و كثير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الخلاف و المبسوط و المهذّب و الوسيلة </w:t>
      </w:r>
      <w:r>
        <w:rPr>
          <w:rStyle w:val="FootnoteAnchor"/>
          <w:rtl w:val="true"/>
        </w:rPr>
        <w:footnoteReference w:id="2828"/>
      </w:r>
      <w:r>
        <w:rPr>
          <w:rFonts w:ascii="Amiri" w:hAnsi="Amiri" w:eastAsia="Amiri" w:cs="Amiri"/>
          <w:color w:val="111111"/>
          <w:sz w:val="28"/>
          <w:sz w:val="28"/>
          <w:szCs w:val="28"/>
          <w:rtl w:val="true"/>
          <w:lang w:bidi="ar-SA"/>
        </w:rPr>
        <w:t>، فلا يدخلون؛ لأصالة البراءة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الخروج عنها بما عرفته،مع ضعف التمسك بها هنا بناءً على </w:t>
      </w:r>
    </w:p>
    <w:p>
      <w:pPr>
        <w:pStyle w:val="BookText"/>
        <w:rPr/>
      </w:pPr>
      <w:r>
        <w:rPr>
          <w:rFonts w:ascii="Amiri" w:hAnsi="Amiri" w:eastAsia="Amiri" w:cs="Amiri"/>
          <w:color w:val="111111"/>
          <w:sz w:val="28"/>
          <w:sz w:val="28"/>
          <w:szCs w:val="28"/>
          <w:rtl w:val="true"/>
          <w:lang w:bidi="ar-SA"/>
        </w:rPr>
        <w:t>إيجابه اشتغال ذمّة أُخرى مع أنّ الأصل براءتها أيضاً،و مرجعه إلى معارضتها بالمثل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وهن ظاهر،كدعوى شيخنا في المسالك و الروضة </w:t>
      </w:r>
      <w:r>
        <w:rPr>
          <w:rStyle w:val="FootnoteAnchor"/>
          <w:rtl w:val="true"/>
        </w:rPr>
        <w:footnoteReference w:id="2829"/>
      </w:r>
      <w:r>
        <w:rPr>
          <w:rFonts w:ascii="Amiri" w:hAnsi="Amiri" w:eastAsia="Amiri" w:cs="Amiri"/>
          <w:color w:val="111111"/>
          <w:sz w:val="28"/>
          <w:sz w:val="28"/>
          <w:szCs w:val="28"/>
          <w:rtl w:val="true"/>
          <w:lang w:bidi="ar-SA"/>
        </w:rPr>
        <w:t>عليه الشهرة،مع معارضتهما بالمثل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لخروجهم عن مفهوم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ظاهر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لنصوص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امرأة أعتقت رجلاً،و اشترطت ولاءه،و لها ابن،فألحق ولاءه بعَصَبتها الذين يعقلون عنها دون ولدها</w:t>
      </w:r>
      <w:r>
        <w:rPr>
          <w:rFonts w:eastAsia="Amiri" w:cs="Amiri" w:ascii="Amiri" w:hAnsi="Amiri"/>
          <w:color w:val="111111"/>
          <w:sz w:val="28"/>
          <w:szCs w:val="28"/>
          <w:rtl w:val="true"/>
          <w:lang w:bidi="ar-SA"/>
        </w:rPr>
        <w:t xml:space="preserve">»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الدلالة؛ لاحتمال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العَصَبة،و الأصل في الاستثناء الاتصال،و عليه فتكون الرواية واضحة الدلالة على المختار،مع استفادته أيضاً من رواية سلمة بن كهيل المتقدّمة، لكن ضعف سندها كما عرفته،مع اشتمالها على أحكام غريبة لم يقل بجملة منها أحد من الطائفة ربما أوجب الوهن في الاستدلال بها و جعلها حجّة،و إن أمكن الذبّ عنه بجبره بالشهرة و حكاية الإجماع المتقدمة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يشركهم أي العاقلة في العقل القاتل بلا خلاف أجده،بل عليه الإجماع في ظاهر عبارة بعض الأجلّة،قال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الحجة عليه بعده أصالة البراءة،مع ظهور النص و الفتوى باختصاص الدية بالعاقلة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تعقل المرأة،و لا الصبي،و لا المجنون،و إن ورثوا من الدية بلا خلاف على الظاهر،المحكي عن المبسوط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لخروجهم عن مفهوم العصبة عرفاً،و أصل البراءة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أصل البراءة ما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الخروج فهي حسنة بالإضافة إلى المرأة،أمّا الصبي و المجنون فدعوى خروجهما عن مفهومها لعلّها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على تقدير صحته يخرج عنه بالإطلاقات،إلّا أن يذبّ عنها بعدم معلومية شمولها لهما؛ لعدم تباردهما منها جدّاً و لو كانا داخلين تحت مفهوم العصبة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تحمّل العاقلة دية الموضحة و ما فوق الموضحة كالهاشمة و المنقّلة و نحوهما اتفاقاً منّا على الظاهر،المصرّح به في كلام جماعة </w:t>
      </w:r>
      <w:r>
        <w:rPr>
          <w:rStyle w:val="FootnoteAnchor"/>
          <w:rtl w:val="true"/>
        </w:rPr>
        <w:footnoteReference w:id="2834"/>
      </w:r>
      <w:r>
        <w:rPr>
          <w:rFonts w:ascii="Amiri" w:hAnsi="Amiri" w:eastAsia="Amiri" w:cs="Amiri"/>
          <w:color w:val="111111"/>
          <w:sz w:val="28"/>
          <w:sz w:val="28"/>
          <w:szCs w:val="28"/>
          <w:rtl w:val="true"/>
          <w:lang w:bidi="ar-SA"/>
        </w:rPr>
        <w:t>حدّ الاستفاضة،و فيه الحجة؛ مضافاً إلى الإطلاقات،و خصوص الموثقة الآتية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تحمّلها ما دون الموضحة من الحارصة و الدامية و نحوهما قولان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نعم،ذهب إليه الشيخ في المبسوط و الخلاف و الحلّي في السرائر </w:t>
      </w:r>
      <w:r>
        <w:rPr>
          <w:rStyle w:val="FootnoteAnchor"/>
          <w:rtl w:val="true"/>
        </w:rPr>
        <w:footnoteReference w:id="2835"/>
      </w:r>
      <w:r>
        <w:rPr>
          <w:rFonts w:ascii="Amiri" w:hAnsi="Amiri" w:eastAsia="Amiri" w:cs="Amiri"/>
          <w:color w:val="111111"/>
          <w:sz w:val="28"/>
          <w:sz w:val="28"/>
          <w:szCs w:val="28"/>
          <w:rtl w:val="true"/>
          <w:lang w:bidi="ar-SA"/>
        </w:rPr>
        <w:t>مدّعياً عليه الإجماع؛ للإطلاقات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في الموثق </w:t>
      </w:r>
      <w:r>
        <w:rPr>
          <w:rStyle w:val="FootnoteAnchor"/>
          <w:rtl w:val="true"/>
        </w:rPr>
        <w:footnoteReference w:id="2836"/>
      </w:r>
      <w:r>
        <w:rPr>
          <w:rFonts w:ascii="Amiri" w:hAnsi="Amiri" w:eastAsia="Amiri" w:cs="Amiri"/>
          <w:color w:val="111111"/>
          <w:sz w:val="28"/>
          <w:sz w:val="28"/>
          <w:szCs w:val="28"/>
          <w:rtl w:val="true"/>
          <w:lang w:bidi="ar-SA"/>
        </w:rPr>
        <w:t xml:space="preserve">أنّها لا تحمله و هو خيرة الشيخ في النهاية و الحلبي و القاضي في أحد قوليه و الغنية و الإصباح و الوسيلة كما حكي </w:t>
      </w:r>
      <w:r>
        <w:rPr>
          <w:rStyle w:val="FootnoteAnchor"/>
          <w:rtl w:val="true"/>
        </w:rPr>
        <w:footnoteReference w:id="2837"/>
      </w:r>
      <w:r>
        <w:rPr>
          <w:rFonts w:ascii="Amiri" w:hAnsi="Amiri" w:eastAsia="Amiri" w:cs="Amiri"/>
          <w:color w:val="111111"/>
          <w:sz w:val="28"/>
          <w:sz w:val="28"/>
          <w:szCs w:val="28"/>
          <w:rtl w:val="true"/>
          <w:lang w:bidi="ar-SA"/>
        </w:rPr>
        <w:t xml:space="preserve">،و إليه ذهب الفاضل في المختلف و ولده في الإيضاح و الفاضل المقداد و الصيمري </w:t>
      </w:r>
      <w:r>
        <w:rPr>
          <w:rStyle w:val="FootnoteAnchor"/>
          <w:rtl w:val="true"/>
        </w:rPr>
        <w:footnoteReference w:id="2838"/>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2839"/>
      </w:r>
      <w:r>
        <w:rPr>
          <w:rFonts w:ascii="Amiri" w:hAnsi="Amiri" w:eastAsia="Amiri" w:cs="Amiri"/>
          <w:color w:val="111111"/>
          <w:sz w:val="28"/>
          <w:sz w:val="28"/>
          <w:szCs w:val="28"/>
          <w:rtl w:val="true"/>
          <w:lang w:bidi="ar-SA"/>
        </w:rPr>
        <w:t xml:space="preserve">،و الظاهر أنّه المشهور كما صرّح به في التحرير و الروضة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الأقوى؛ لاعتبار سند الرواية بالموثقية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الاعتضاد أو الانجبار بالشهرة الظاهرة و المحكية، و بالاعتبار؛ للزوم الضرر الكثير بالتحمّل،بناءً على غلبة وقوع التنازع و حصول الجنايات الكثيرة من الناس،فلو وجب كلّ جرح قلّ أو كثر على العاقلة لزم حصول المشقّة لهم،و تساهل الناس في الجنايات؛ لانتفاء الضمان عنهم،فتأمّل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يذبّ عن الإجماع المنقول،مع وهنه بمصير الأكثر على خلافه،و يتعيّن الخروج به عن الإطلاقات،مع إمكان التأمّل في شمولها لمحل البحث؛ لاحتمال اختصاصها بحكم التبادر بدية النفس</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الاتفاق على التحمّل في نحو الموضحة؛ لاحتمال كون </w:t>
      </w:r>
    </w:p>
    <w:p>
      <w:pPr>
        <w:pStyle w:val="BookText"/>
        <w:rPr/>
      </w:pPr>
      <w:r>
        <w:rPr>
          <w:rFonts w:ascii="Amiri" w:hAnsi="Amiri" w:eastAsia="Amiri" w:cs="Amiri"/>
          <w:color w:val="111111"/>
          <w:sz w:val="28"/>
          <w:sz w:val="28"/>
          <w:szCs w:val="28"/>
          <w:rtl w:val="true"/>
          <w:lang w:bidi="ar-SA"/>
        </w:rPr>
        <w:t xml:space="preserve">ذلك بمجرّد الاتفاق،لا للإطلاق،و حينئذٍ يجب الرجوع إلى حكم القاعدة من كون الأصل في الجناية تعلّق ديتها برقبة الجاني،لا غيرها؛ إذ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841"/>
      </w:r>
      <w:r>
        <w:rPr>
          <w:rFonts w:ascii="Amiri" w:hAnsi="Amiri" w:eastAsia="Amiri" w:cs="Amiri"/>
          <w:color w:val="111111"/>
          <w:sz w:val="28"/>
          <w:sz w:val="28"/>
          <w:szCs w:val="28"/>
          <w:rtl w:val="true"/>
          <w:lang w:bidi="ar-SA"/>
        </w:rPr>
        <w:t>خرجنا عنها فيما عدا موضع الخلاف بالوفاق، و يبقى ما عداه داخلاً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من قول الماتن هنا و الفاضل في القواعد </w:t>
      </w:r>
      <w:r>
        <w:rPr>
          <w:rStyle w:val="FootnoteAnchor"/>
          <w:rtl w:val="true"/>
        </w:rPr>
        <w:footnoteReference w:id="2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الرواية ضعفاً ميلهما إلى القول الأوّل،أو توقّفهما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ضعيف،كدعوى ضعف الرواية؛ لأنّها من الموثّق لا الضعيف بمعنى المصطلح ،لكنّ الأمر في هذا سهل،سيّما على طريقة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للجاني عاقلة من قومه ضمن المعتق جنايته إن كان،و إلّا فعصباته،ثمّ معتق المعتق،ثمّ عصباته،ثم معتق أبي المعتق،ثم عصباته،كترتيب الميراث،و مع عدمهم أجمع فعلى ضامن جريرته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ضامن جريرة له أيضاً ضمن الإمام جنايته بلا خلاف في شيء من ذلك أجده في الجملة،و لكن استفادتها كما هي من النصوص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مستفيضة بضمان ضامن الجريرة العقل و كذا الإمام مع فقده،ففي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لجأ إلى قوم فأقرّوا بولايته كان لهم ميراثه، و عليهم معقلته</w:t>
      </w:r>
      <w:r>
        <w:rPr>
          <w:rFonts w:eastAsia="Amiri" w:cs="Amiri" w:ascii="Amiri" w:hAnsi="Amiri"/>
          <w:color w:val="111111"/>
          <w:sz w:val="28"/>
          <w:szCs w:val="28"/>
          <w:rtl w:val="true"/>
          <w:lang w:bidi="ar-SA"/>
        </w:rPr>
        <w:t xml:space="preserve">»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بمعناه الصحاح المستفيضة و غيرها من المعتبرة المروية في باب </w:t>
      </w:r>
    </w:p>
    <w:p>
      <w:pPr>
        <w:pStyle w:val="BookText"/>
        <w:rPr/>
      </w:pPr>
      <w:r>
        <w:rPr>
          <w:rFonts w:ascii="Amiri" w:hAnsi="Amiri" w:eastAsia="Amiri" w:cs="Amiri"/>
          <w:color w:val="111111"/>
          <w:sz w:val="28"/>
          <w:sz w:val="28"/>
          <w:szCs w:val="28"/>
          <w:rtl w:val="true"/>
          <w:lang w:bidi="ar-SA"/>
        </w:rPr>
        <w:t>ميراث ضامن الجريرة،و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الرجل الرجل فله ميراثه،و عليه معقلته</w:t>
      </w:r>
      <w:r>
        <w:rPr>
          <w:rFonts w:eastAsia="Amiri" w:cs="Amiri" w:ascii="Amiri" w:hAnsi="Amiri"/>
          <w:color w:val="111111"/>
          <w:sz w:val="28"/>
          <w:szCs w:val="28"/>
          <w:rtl w:val="true"/>
          <w:lang w:bidi="ar-SA"/>
        </w:rPr>
        <w:t xml:space="preserve">»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إشعار بتلازم الإرث و ضمان العقل،و قد تقدّم في المواريث ثبوت إرث المعتق و ضامن الجريرة و الإمام مترتّبين،فيعقلون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وارث من قرابته،و لا مولى عتاقه قد ضمن جريرته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2845"/>
      </w:r>
      <w:r>
        <w:rPr>
          <w:rFonts w:ascii="Amiri" w:hAnsi="Amiri" w:eastAsia="Amiri" w:cs="Amiri"/>
          <w:color w:val="111111"/>
          <w:sz w:val="28"/>
          <w:sz w:val="28"/>
          <w:szCs w:val="28"/>
          <w:rtl w:val="true"/>
          <w:lang w:bidi="ar-SA"/>
        </w:rPr>
        <w:t>و هو كالنص في ضمان المعتق الجريرة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 التي لا ولاء لأحد عليها إلّا اللّه تعالى،فما كان ولاؤه للّه سبحانه فهو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ولاءه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جنايته على الإمام،و ميراثه له</w:t>
      </w:r>
      <w:r>
        <w:rPr>
          <w:rFonts w:eastAsia="Amiri" w:cs="Amiri" w:ascii="Amiri" w:hAnsi="Amiri"/>
          <w:color w:val="111111"/>
          <w:sz w:val="28"/>
          <w:szCs w:val="28"/>
          <w:rtl w:val="true"/>
          <w:lang w:bidi="ar-SA"/>
        </w:rPr>
        <w:t xml:space="preserve">» </w:t>
      </w:r>
      <w:r>
        <w:rPr>
          <w:rStyle w:val="FootnoteAnchor"/>
          <w:rtl w:val="true"/>
        </w:rPr>
        <w:footnoteReference w:id="2846"/>
      </w:r>
      <w:r>
        <w:rPr>
          <w:rFonts w:ascii="Amiri" w:hAnsi="Amiri" w:eastAsia="Amiri" w:cs="Amiri"/>
          <w:color w:val="111111"/>
          <w:sz w:val="28"/>
          <w:sz w:val="28"/>
          <w:szCs w:val="28"/>
          <w:rtl w:val="true"/>
          <w:lang w:bidi="ar-SA"/>
        </w:rPr>
        <w:t>إلى غير ذلك من النصوص الدالّة على أنّ ميراث من لا وارث 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معقلته عليه </w:t>
      </w:r>
      <w:r>
        <w:rPr>
          <w:rStyle w:val="FootnoteAnchor"/>
          <w:rtl w:val="true"/>
        </w:rPr>
        <w:footnoteReference w:id="284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قتل رجلاً خطأً فمات قبل أن يخرج إلى أولياء المقتول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الدية على ورثته،فإن لم يكن له عاقلة فعلى الوالي من بيت المال</w:t>
      </w:r>
      <w:r>
        <w:rPr>
          <w:rFonts w:eastAsia="Amiri" w:cs="Amiri" w:ascii="Amiri" w:hAnsi="Amiri"/>
          <w:color w:val="111111"/>
          <w:sz w:val="28"/>
          <w:szCs w:val="28"/>
          <w:rtl w:val="true"/>
          <w:lang w:bidi="ar-SA"/>
        </w:rPr>
        <w:t xml:space="preserve">»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في ضمان الأشخاص الثلاثة الدية حيث يستحقون </w:t>
      </w:r>
    </w:p>
    <w:p>
      <w:pPr>
        <w:pStyle w:val="BookText"/>
        <w:rPr/>
      </w:pPr>
      <w:r>
        <w:rPr>
          <w:rFonts w:ascii="Amiri" w:hAnsi="Amiri" w:eastAsia="Amiri" w:cs="Amiri"/>
          <w:color w:val="111111"/>
          <w:sz w:val="28"/>
          <w:sz w:val="28"/>
          <w:szCs w:val="28"/>
          <w:rtl w:val="true"/>
          <w:lang w:bidi="ar-SA"/>
        </w:rPr>
        <w:t>الإرث،و هو و إن شمل العاقلة الأُنثى من القرابة مثلاً،لكنّه مقيّد بغيرها من الذكران؛ لما مضى،فيبقى الباقي تحته مندرجاً،و العام المخصّص حجة في الباقي،كما حقّق في محلّه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إشعار بلزوم الدية في مال الجاني أوّلاً،و مع عدمه فعلى عاقلته، و به صرّح جماعة </w:t>
      </w:r>
      <w:r>
        <w:rPr>
          <w:rStyle w:val="FootnoteAnchor"/>
          <w:rtl w:val="true"/>
        </w:rPr>
        <w:footnoteReference w:id="2849"/>
      </w:r>
      <w:r>
        <w:rPr>
          <w:rFonts w:ascii="Amiri" w:hAnsi="Amiri" w:eastAsia="Amiri" w:cs="Amiri"/>
          <w:color w:val="111111"/>
          <w:sz w:val="28"/>
          <w:sz w:val="28"/>
          <w:szCs w:val="28"/>
          <w:rtl w:val="true"/>
          <w:lang w:bidi="ar-SA"/>
        </w:rPr>
        <w:t>،لكن بالنسبة إلى ضمان الإمام خاصّة،فقالوا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ضمانه مؤخّر عن ضمان الجاني،و منهم ابن زهرة مدّعياً عليه إجماع الإمامية </w:t>
      </w:r>
      <w:r>
        <w:rPr>
          <w:rStyle w:val="FootnoteAnchor"/>
          <w:rtl w:val="true"/>
        </w:rPr>
        <w:footnoteReference w:id="285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المرسلة،و القاعدة المتقدّم إليها قريباً الإشارة،و به صرّح جملة من النصوص في جناية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خطأ و يلزم عاقلته يؤخذون بها في ثلاث سنين في كلّ سنة نجماً،فإن لم يكن للأعمى عاقلة لزمته دية ما جنى في ماله تؤخذ بها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 الأعمى مثل الخطأ فيه الدية في ماله،فإن لم يكن له مال فإنّ دية ذلك على الإمام</w:t>
      </w:r>
      <w:r>
        <w:rPr>
          <w:rFonts w:eastAsia="Amiri" w:cs="Amiri" w:ascii="Amiri" w:hAnsi="Amiri"/>
          <w:color w:val="111111"/>
          <w:sz w:val="28"/>
          <w:szCs w:val="28"/>
          <w:rtl w:val="true"/>
          <w:lang w:bidi="ar-SA"/>
        </w:rPr>
        <w:t xml:space="preserve">»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لآخرين،فقالوا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الإمام مقدّم على ضمان الجاني، و منهم الحلّي مدّعياً عليه أيضاً الإجماع </w:t>
      </w:r>
      <w:r>
        <w:rPr>
          <w:rStyle w:val="FootnoteAnchor"/>
          <w:rtl w:val="true"/>
        </w:rPr>
        <w:footnoteReference w:id="285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إطلاق الأدلّة بكون الإمام ضامن جريرة مع فقد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تقييده بما مرّ،إلّا أن يجاب عنه بضعف المرسل منه سنداً و متناً؛ لاشتماله زيادةً على ما تقدّم على تقديم ضمانه على ضمان مطلق العاقلة حتى غير الإمام،و ظاهر الأصحاب كالروايتين الواردتين في الأعمى اللتين هما أحد تلك الأدلّة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الإجماع المنقول معارض بالمثل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روايتا الأعمى بعد الإغماض عن احتياج إطلاقهما إلى تقييد ما تضمّنتا كون جنايته خطأ مطلقاً،و لم يرتضه المتأخّرون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يخرج عنه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كغيرها و صريح جماعة </w:t>
      </w:r>
      <w:r>
        <w:rPr>
          <w:rStyle w:val="FootnoteAnchor"/>
          <w:rtl w:val="true"/>
        </w:rPr>
        <w:footnoteReference w:id="2854"/>
      </w:r>
      <w:r>
        <w:rPr>
          <w:rFonts w:ascii="Amiri" w:hAnsi="Amiri" w:eastAsia="Amiri" w:cs="Amiri"/>
          <w:color w:val="111111"/>
          <w:sz w:val="28"/>
          <w:sz w:val="28"/>
          <w:szCs w:val="28"/>
          <w:rtl w:val="true"/>
          <w:lang w:bidi="ar-SA"/>
        </w:rPr>
        <w:t>كون الدية على الإمام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لآخرين </w:t>
      </w:r>
      <w:r>
        <w:rPr>
          <w:rStyle w:val="FootnoteAnchor"/>
          <w:rtl w:val="true"/>
        </w:rPr>
        <w:footnoteReference w:id="2855"/>
      </w:r>
      <w:r>
        <w:rPr>
          <w:rFonts w:ascii="Amiri" w:hAnsi="Amiri" w:eastAsia="Amiri" w:cs="Amiri"/>
          <w:color w:val="111111"/>
          <w:sz w:val="28"/>
          <w:sz w:val="28"/>
          <w:szCs w:val="28"/>
          <w:rtl w:val="true"/>
          <w:lang w:bidi="ar-SA"/>
        </w:rPr>
        <w:t>،ففي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الاختلاف اختلاف النصوص،ففي جملة منها على الإمام، و في اخرى على بيت المال،و المسألة كسابقتها محل إشكال،و للتوقف فيهما مجال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جناية الذمّي في ماله مطلقا و إن كانت خطأً،فإن لم يكن له مال فعاقلته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إليه جزيته كما يؤدّي المملوك إلى مولاه ضريبته </w:t>
      </w:r>
      <w:r>
        <w:rPr>
          <w:rStyle w:val="FootnoteAnchor"/>
          <w:rtl w:val="true"/>
        </w:rPr>
        <w:footnoteReference w:id="2856"/>
      </w:r>
      <w:r>
        <w:rPr>
          <w:rFonts w:ascii="Amiri" w:hAnsi="Amiri" w:eastAsia="Amiri" w:cs="Amiri"/>
          <w:color w:val="111111"/>
          <w:sz w:val="28"/>
          <w:sz w:val="28"/>
          <w:szCs w:val="28"/>
          <w:rtl w:val="true"/>
          <w:lang w:bidi="ar-SA"/>
        </w:rPr>
        <w:t>فكان بمنزلته و إن خالفه في كون مولى العبد لا يعقل جنايته؛ لأنّه ليس مملوكاً محضاً</w:t>
      </w:r>
      <w:r>
        <w:rPr>
          <w:rFonts w:eastAsia="Amiri" w:cs="Amiri" w:ascii="Amiri" w:hAnsi="Amiri"/>
          <w:color w:val="111111"/>
          <w:sz w:val="28"/>
          <w:szCs w:val="28"/>
          <w:rtl w:val="true"/>
          <w:lang w:bidi="ar-SA"/>
        </w:rPr>
        <w:t xml:space="preserve">. </w:t>
      </w:r>
      <w:bookmarkStart w:id="371" w:name="pg11409_91167"/>
    </w:p>
    <w:p>
      <w:pPr>
        <w:pStyle w:val="BookText"/>
        <w:rPr/>
      </w:pPr>
      <w:bookmarkEnd w:id="371"/>
      <w:r>
        <w:rPr>
          <w:rFonts w:ascii="Amiri" w:hAnsi="Amiri" w:eastAsia="Amiri" w:cs="Amiri"/>
          <w:color w:val="111111"/>
          <w:sz w:val="28"/>
          <w:sz w:val="28"/>
          <w:szCs w:val="28"/>
          <w:rtl w:val="true"/>
          <w:lang w:bidi="ar-SA"/>
        </w:rPr>
        <w:t>و الأولى الاستدلال عليه بعد الإجماع الظاهر المستظهر من بعض العبائر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أهل الذمة معاقلة،فما يكون من قتل أو جراحة إنّما تؤخذ ذلك من أموالهم،فإن لم يكن له مال رجعت إلى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مماليك الإمام،فمن أسلم منهم فهو حرّ</w:t>
      </w:r>
      <w:r>
        <w:rPr>
          <w:rFonts w:eastAsia="Amiri" w:cs="Amiri" w:ascii="Amiri" w:hAnsi="Amiri"/>
          <w:color w:val="111111"/>
          <w:sz w:val="28"/>
          <w:szCs w:val="28"/>
          <w:rtl w:val="true"/>
          <w:lang w:bidi="ar-SA"/>
        </w:rPr>
        <w:t xml:space="preserve">»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102855_73709187"/>
      <w:bookmarkStart w:id="373" w:name="_Toc137"/>
      <w:bookmarkEnd w:id="372"/>
      <w:r>
        <w:rPr>
          <w:rtl w:val="true"/>
        </w:rPr>
        <w:t>الأمر الثاني في كيفية التقسيط</w:t>
      </w:r>
      <w:bookmarkEnd w:id="373"/>
    </w:p>
    <w:p>
      <w:pPr>
        <w:pStyle w:val="BookText"/>
        <w:rPr/>
      </w:pPr>
      <w:r>
        <w:rPr>
          <w:rFonts w:ascii="Amiri" w:hAnsi="Amiri" w:eastAsia="Amiri" w:cs="Amiri"/>
          <w:color w:val="111111"/>
          <w:sz w:val="28"/>
          <w:sz w:val="28"/>
          <w:szCs w:val="28"/>
          <w:rtl w:val="true"/>
          <w:lang w:bidi="ar-SA"/>
        </w:rPr>
        <w:t>و أمّا كيفية التقسيط فقد تردّد فيه الشيخ فقال في موضع من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الغني عشرة قراريط نصف دينار،و على الفقير خمسة قراريط ربعه </w:t>
      </w:r>
      <w:r>
        <w:rPr>
          <w:rStyle w:val="FootnoteAnchor"/>
          <w:rtl w:val="true"/>
        </w:rPr>
        <w:footnoteReference w:id="2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القاضي في المهذّب و الفاضل في الإرشاد و القواعد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اختلف عباراتهم،فالفاضل أطلق كما ذكرنا،و لم يبيّن أنّ المقدارين أكثر ما يلزمهما،أو أنّهما لازمان عليهما لا أقلّ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فسّره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بالثاني،قال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على لزومهما،و لا أكثر؛ للأصل،مع عدم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لضعف الأصل بما مرّ مراراً من معارضته بالمثل؛ لأنّ دفع الأكثر من النصف عن الغني،و من الربع عن الفقير بالأصل،يوجب اشتغال ذمّة آخر به،و هو أيضاً مدفوع بالأصل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الدليل عليه ممنوع،كيف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 و الفتوى بلزوم الدية </w:t>
      </w:r>
    </w:p>
    <w:p>
      <w:pPr>
        <w:pStyle w:val="BookText"/>
        <w:rPr/>
      </w:pPr>
      <w:r>
        <w:rPr>
          <w:rFonts w:ascii="Amiri" w:hAnsi="Amiri" w:eastAsia="Amiri" w:cs="Amiri"/>
          <w:color w:val="111111"/>
          <w:sz w:val="28"/>
          <w:sz w:val="28"/>
          <w:szCs w:val="28"/>
          <w:rtl w:val="true"/>
          <w:lang w:bidi="ar-SA"/>
        </w:rPr>
        <w:t>على العاقلة مطلقان يشملانه،حتى لو كان العاقلة من ذوي القرابة واحداً تعيّن عليه الدية بتمامها مع قدرته عليها كذلك،و مع العدم تعيّن عليه ما قدر،و يكون الزائد على مقدوره واجباً على من بعده من مراتب العاقلة و درجاتها؛ لأنّ عجزه عنه يصيّره كالعدم إجماعاً،فيكون الجاني بالنسبة إلى هذه الزيادة كمن لا عاقلة له من القرابة،و هكذا الكلام بالنسبة إلى المرتبة الثانية من العاقلة يجب عليها المقدور من الزيادة،و ما لا يقدر عليه منها يجب على من بعده من العاقلة،و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 الوجه وقوفه أي التقسيط على رأي الإمام أو من نصبه للحكومة و لو عموماً،فيدخل فيه المجتهد الجامع لشرائط الفتوى بحسب ما يراه من أحوال العاقلة في الغنى و الحاجة،فيدفع الدية عن الفقير الذي لا قدرة له بالكليّة و يوجبها على الغني و الفقير المتوسط بحسب مقدورهما و ما يقتضيه المصلحة،بحيث لا يستلزم إضراراً و لا إجحافاً بهما بالكلية،و إن زادت الدية عنهما بعد ذلك فضّها على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هذا في موضع آخر من المبسوط و الخلاف </w:t>
      </w:r>
      <w:r>
        <w:rPr>
          <w:rStyle w:val="FootnoteAnchor"/>
          <w:rtl w:val="true"/>
        </w:rPr>
        <w:footnoteReference w:id="2860"/>
      </w:r>
      <w:r>
        <w:rPr>
          <w:rFonts w:ascii="Amiri" w:hAnsi="Amiri" w:eastAsia="Amiri" w:cs="Amiri"/>
          <w:color w:val="111111"/>
          <w:sz w:val="28"/>
          <w:sz w:val="28"/>
          <w:szCs w:val="28"/>
          <w:rtl w:val="true"/>
          <w:lang w:bidi="ar-SA"/>
        </w:rPr>
        <w:t xml:space="preserve">،و تبعه الحلّي و جماعة من المتأخّرين </w:t>
      </w:r>
      <w:r>
        <w:rPr>
          <w:rStyle w:val="FootnoteAnchor"/>
          <w:rtl w:val="true"/>
        </w:rPr>
        <w:footnoteReference w:id="2861"/>
      </w:r>
      <w:r>
        <w:rPr>
          <w:rFonts w:ascii="Amiri" w:hAnsi="Amiri" w:eastAsia="Amiri" w:cs="Amiri"/>
          <w:color w:val="111111"/>
          <w:sz w:val="28"/>
          <w:sz w:val="28"/>
          <w:szCs w:val="28"/>
          <w:rtl w:val="true"/>
          <w:lang w:bidi="ar-SA"/>
        </w:rPr>
        <w:t>،و لعلّه المشهور بينهم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يبدأ بالتقسيط على الأقرب من العاقلة إلى الجاني رتبةً و درجةً فالأقرب فيأخذ من أقرب الطبقات أوّلاً،فإن لم يكن أو لم يحتمل تخطّى إلى البعيد ثم الأبعد،و هكذا ينتقل مع الحاجة إلى المولى،ثم إلى عصبته،ثم إلى مولى المولى،ثم إلى ما فوق،ثم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4" w:name="pg11409_91169"/>
    </w:p>
    <w:p>
      <w:pPr>
        <w:pStyle w:val="BookText"/>
        <w:rPr/>
      </w:pPr>
      <w:bookmarkEnd w:id="374"/>
      <w:r>
        <w:rPr>
          <w:rFonts w:ascii="Amiri" w:hAnsi="Amiri" w:eastAsia="Amiri" w:cs="Amiri"/>
          <w:color w:val="111111"/>
          <w:sz w:val="28"/>
          <w:sz w:val="28"/>
          <w:szCs w:val="28"/>
          <w:rtl w:val="true"/>
          <w:lang w:bidi="ar-SA"/>
        </w:rPr>
        <w:t>و يحتمل بسطها على العاقلة أجمع من غير اختصاص بالقريب؛ لعموم الأدلّة بوجوبها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الأوّل أظهر وفاقاً للأكثر؛ لعموم وَ أُولُوا الْأَرْحامِ بَعْضُهُمْ أَوْلى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862"/>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مرّ من إشعار النصوص و الفتاوي بل ظهورهما في كون العقل كالإرث يترتّب كترتّبه،و يلزم حيث يثبت،و منها المرسل المتقدم 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الدية على ورثته</w:t>
      </w:r>
      <w:r>
        <w:rPr>
          <w:rFonts w:eastAsia="Amiri" w:cs="Amiri" w:ascii="Amiri" w:hAnsi="Amiri"/>
          <w:color w:val="111111"/>
          <w:sz w:val="28"/>
          <w:szCs w:val="28"/>
          <w:rtl w:val="true"/>
          <w:lang w:bidi="ar-SA"/>
        </w:rPr>
        <w:t xml:space="preserve">» </w:t>
      </w:r>
      <w:r>
        <w:rPr>
          <w:rStyle w:val="FootnoteAnchor"/>
          <w:rtl w:val="true"/>
        </w:rPr>
        <w:footnoteReference w:id="2863"/>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النصوص المتقدمة فيمن قتل و هرب فمات أنّه تؤخذ الدية من الأقرب إليه فالأقرب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المبسوط و الجامع </w:t>
      </w:r>
      <w:r>
        <w:rPr>
          <w:rStyle w:val="FootnoteAnchor"/>
          <w:rtl w:val="true"/>
        </w:rPr>
        <w:footnoteReference w:id="2865"/>
      </w:r>
      <w:r>
        <w:rPr>
          <w:rFonts w:ascii="IRNazanin" w:hAnsi="IRNazanin" w:eastAsia="IRNazanin"/>
          <w:color w:val="111111"/>
          <w:sz w:val="28"/>
          <w:sz w:val="28"/>
          <w:szCs w:val="28"/>
          <w:rtl w:val="true"/>
          <w:lang w:bidi="fa-IR"/>
        </w:rPr>
        <w:t>،فقالا بالاحتمال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يؤجّلها أي الدية الإمام أو من نصبه عليهم أي على العاقلة ثلاث سنين على ما سلف بيانه و نقل الدليل عليه في أوائل كتاب الديات</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02857_73709187"/>
      <w:bookmarkStart w:id="376" w:name="_Toc138"/>
      <w:bookmarkEnd w:id="375"/>
      <w:r>
        <w:rPr>
          <w:rtl w:val="true"/>
        </w:rPr>
        <w:t>الأمر الثالث في اللواحق و هي مسائل ثلاث</w:t>
      </w:r>
      <w:bookmarkEnd w:id="376"/>
    </w:p>
    <w:p>
      <w:pPr>
        <w:pStyle w:val="Heading6"/>
        <w:numPr>
          <w:ilvl w:val="5"/>
          <w:numId w:val="1"/>
        </w:numPr>
        <w:rPr/>
      </w:pPr>
      <w:bookmarkStart w:id="377" w:name="__RefHeading___Toc1102859_73709187"/>
      <w:bookmarkStart w:id="378" w:name="_Toc139"/>
      <w:bookmarkEnd w:id="377"/>
      <w:r>
        <w:rPr>
          <w:rtl w:val="true"/>
        </w:rPr>
        <w:t>الأولى لو قتل الأب ولده عمداً</w:t>
      </w:r>
      <w:bookmarkEnd w:id="378"/>
    </w:p>
    <w:p>
      <w:pPr>
        <w:pStyle w:val="BookText"/>
        <w:rPr/>
      </w:pPr>
      <w:r>
        <w:rPr>
          <w:rFonts w:ascii="IRNazanin" w:hAnsi="IRNazanin" w:eastAsia="IRNazanin"/>
          <w:color w:val="111111"/>
          <w:sz w:val="28"/>
          <w:sz w:val="28"/>
          <w:szCs w:val="28"/>
          <w:rtl w:val="true"/>
          <w:lang w:bidi="fa-IR"/>
        </w:rPr>
        <w:t>و أمّا اللواحق فمسائل ثلاث</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الأب ولده عمداً فلا قصاص كما مرّ في كتابه و دفعت الدية بعد أن تؤخذ منه إلى الوارث للابن و لو كان بعيداً، و لو ضامن جريرة،أو إماماً و لا نصيب للأب منها لأنّه قاتل عمداً لمورّثه فلا يرث منه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لم يكن للابن وارث سوى الأب فهي أي الدية المأخوذة منه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قتله الأب خطأً فالدية على العاقلة،و يرثها الوارث للابن مطلقا،و لا خلاف و 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توريث الأب من الدية في صورة الخطأ، ففيه قولان،أشبههما 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منها شيئاً مطلقا،و قد تقدم التحقيق في ذلك في كتاب المواريث مستوفى و إنّما أعاده هنا لبيان وقوع الاختلاف هنا في ذلك على القول بتوريثه من الدية فيما لو لم يكن وارث للمقتول سوى الأب و العاقلة هل تؤخذ منهم الدية و تدفع إليه أم لا شيء له عليهم؟ 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 لا يرث من ديته أو مطلقا شيئاً فلا دية له قطعاً 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يرث،ففي أخذ الدية له هنا من العاقلة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الجاني و لا يعقل ضمان الغير له جناية جناها،و العاقلة إنّما يضمن جنايته للغير،و هو خيرة الأكثر،بل لا خلاف فيه هنا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إطلاق ما دلّ على وجوب الدية على العاقلة للورثة،و الأب منهم،فيرث؛ لوجود السبب،و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الإطلاق بحيث يشمل نحو محل الفرض؛ لندرته، و عدم تبادره،فيختصّ بغيره ممّا هو الغالب المتبادر،و هو غير محل الفرض،فيرجع حينئذٍ إلى مقتضى الأصل من لزوم الدية على الجاني دون غيره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دعوى كون الأب هنا من الورثة بقول مطلق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w:t>
      </w:r>
      <w:bookmarkStart w:id="379" w:name="pg11409_91171"/>
    </w:p>
    <w:p>
      <w:pPr>
        <w:pStyle w:val="BookText"/>
        <w:rPr/>
      </w:pPr>
      <w:bookmarkEnd w:id="379"/>
      <w:r>
        <w:rPr>
          <w:rFonts w:ascii="Amiri" w:hAnsi="Amiri" w:eastAsia="Amiri" w:cs="Amiri"/>
          <w:color w:val="111111"/>
          <w:sz w:val="28"/>
          <w:sz w:val="28"/>
          <w:szCs w:val="28"/>
          <w:rtl w:val="true"/>
          <w:lang w:bidi="ar-SA"/>
        </w:rPr>
        <w:t>القول بعدم إرثه مطلقا فظاهر،و كذا على القول بعدم إرثه من الدية خاصّة؛ إذ هو بالنسبة إليها ليس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بإرثه منها فحسن إن سلّم منه ذلك كلّيّاً،أو كان دليل آخر عليه كذلك،و إلّا فالدعوى من دونهما أو أحدهما مصادرة و أوّل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تسليم كونه وارثاً فيما إذا كان له ورثة غير العاقلة كالأُمّ و البنت مثلاً لا يستلزم تسليم كونه وارثاً هنا،فتأمّل جدّاً </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102861_73709187"/>
      <w:bookmarkStart w:id="381" w:name="_Toc140"/>
      <w:bookmarkEnd w:id="380"/>
      <w:r>
        <w:rPr>
          <w:rtl w:val="true"/>
        </w:rPr>
        <w:t>الثانية لا تعقل العاقلة عمداً</w:t>
      </w:r>
      <w:bookmarkEnd w:id="381"/>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 العاقلة عمداً محضاً و لا شبيهاً به،و إنما تعقل الخطأ المحض و لا إقراراً،و لا صلحاً يعني إذا أقرّ الجاني بالقتل خطأً مع عدم ثبوته إلّا بإقراره لم يثبت بذلك شيء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اصطلح القاتل و الأولياء في العمد مطلقاً،و الخطأ مع عدم ثبوته على الدية لا يلزم العاقلة منها شيء،بلا خلاف في شيء من ذلك أجده؛ لأصالة البراءة؛ و اختصاص المخرج عنها من النص و الفتوى بدية الخطأ المحض الثابت بنحو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العاقلة عمداً،و لا عبداً، و لا صلحاً،و لا اعترافاً</w:t>
      </w:r>
      <w:r>
        <w:rPr>
          <w:rFonts w:eastAsia="Amiri" w:cs="Amiri" w:ascii="Amiri" w:hAnsi="Amiri"/>
          <w:color w:val="111111"/>
          <w:sz w:val="28"/>
          <w:szCs w:val="28"/>
          <w:rtl w:val="true"/>
          <w:lang w:bidi="ar-SA"/>
        </w:rPr>
        <w:t xml:space="preserve">»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تعقل جناية الإنسان على نفسه مطلقا،بل يكون دمه هدراً،بلا خلاف فيه ظاهراً،بل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كذلك عندنا و ضمّن العاقلة الأوزاعي و أحمد و إسحاق </w:t>
      </w:r>
      <w:r>
        <w:rPr>
          <w:rStyle w:val="FootnoteAnchor"/>
          <w:rtl w:val="true"/>
        </w:rPr>
        <w:footnoteReference w:id="2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في إجماعنا عليه،و هو الحجة؛ </w:t>
      </w:r>
    </w:p>
    <w:p>
      <w:pPr>
        <w:pStyle w:val="BookText"/>
        <w:rPr/>
      </w:pPr>
      <w:r>
        <w:rPr>
          <w:rFonts w:ascii="Amiri" w:hAnsi="Amiri" w:eastAsia="Amiri" w:cs="Amiri"/>
          <w:color w:val="111111"/>
          <w:sz w:val="28"/>
          <w:sz w:val="28"/>
          <w:szCs w:val="28"/>
          <w:rtl w:val="true"/>
          <w:lang w:bidi="ar-SA"/>
        </w:rPr>
        <w:t>مضافاً إلى بعض 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يعقل المولى عبداً بمعنى أنّ العبد لو قتل إنساناً خطأً أو جنى عليه كذلك لا يعقل المولى جنايته،بل يتعلق برقبته،كما سلف بيانه في كتاب القصاص في الشرط الأوّل من شرائطه،و قد ذكرنا ثمّة عدم الخلاف فيه،كما هو ظاهر جماعة و منهم الصيمري و الفاضل المقداد </w:t>
      </w:r>
      <w:r>
        <w:rPr>
          <w:rStyle w:val="FootnoteAnchor"/>
          <w:rtl w:val="true"/>
        </w:rPr>
        <w:footnoteReference w:id="2868"/>
      </w:r>
      <w:r>
        <w:rPr>
          <w:rFonts w:ascii="Amiri" w:hAnsi="Amiri" w:eastAsia="Amiri" w:cs="Amiri"/>
          <w:color w:val="111111"/>
          <w:sz w:val="28"/>
          <w:sz w:val="28"/>
          <w:szCs w:val="28"/>
          <w:rtl w:val="true"/>
          <w:lang w:bidi="ar-SA"/>
        </w:rPr>
        <w:t>هنا،حيث أرجعا قول الماتن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الأظهر،إلى المستولدة خاصّة،بل صرّح الثاني بالإجماع عليه،فإنّه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الأظهرية كونها رقّاً،و الإجماع منعقد على أنّ المولى لا يعقل عبداً،و هو عامّ في أمّ الولد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مضافاً إليه النصوص المتقدمة ثمّة،لكن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قتل عبد حرّا خطأً فأعتقه مولاه جاز عتقه،و كان على مولاه دية المقتول؛ لأنّه عاقلته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منه الخلاف في المسألة،و أظهر منه عبارة الغنية،حيث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عاقلة الرقيق مالكه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الاستناد لهما بمفهوم التعليل في الصحيح المتقدم في عاقلة الذمّي أنّه الإمام لأنّه يؤدّي إليه الجزية كما يؤدّي العبد إلى سيّده الضريبة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يعارض النصوص المتقدّمة ثمّة،المعتضدة مع الصراحة و الكثرة بالشهرة العظيمة التي كادت تكون إجماعاً،بل إجماع في </w:t>
      </w:r>
    </w:p>
    <w:p>
      <w:pPr>
        <w:pStyle w:val="BookText"/>
        <w:rPr/>
      </w:pPr>
      <w:r>
        <w:rPr>
          <w:rFonts w:ascii="Amiri" w:hAnsi="Amiri" w:eastAsia="Amiri" w:cs="Amiri"/>
          <w:color w:val="111111"/>
          <w:sz w:val="28"/>
          <w:sz w:val="28"/>
          <w:szCs w:val="28"/>
          <w:rtl w:val="true"/>
          <w:lang w:bidi="ar-SA"/>
        </w:rPr>
        <w:t>الحقيقة؛ لشذوذ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إرادتهما كون المولى عاقلته لو جنى بعد العتق لا قبله، كما احتمله الحلّي في عبارة النهاية </w:t>
      </w:r>
      <w:r>
        <w:rPr>
          <w:rStyle w:val="FootnoteAnchor"/>
          <w:rtl w:val="true"/>
        </w:rPr>
        <w:footnoteReference w:id="2872"/>
      </w:r>
      <w:r>
        <w:rPr>
          <w:rFonts w:ascii="Amiri" w:hAnsi="Amiri" w:eastAsia="Amiri" w:cs="Amiri"/>
          <w:color w:val="111111"/>
          <w:sz w:val="28"/>
          <w:sz w:val="28"/>
          <w:szCs w:val="28"/>
          <w:rtl w:val="true"/>
          <w:lang w:bidi="ar-SA"/>
        </w:rPr>
        <w:t>،و هو و إن بعد في عبارة الغنية،لكن يؤيّده أنّه لم يذكر عاقلة المعتَق بالكلّية،و هو بعيد غايته لو لم يكن هو مراداً بتلك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إرادتهما مطلق الضمان،كما حمل الفاضل في المختلف عليه عبارة النهاية،فقال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عنى بالعاقلة هنا الضامن لا المعنى المتعارف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صحة عقل المولى لعبده بهذا المعنى؛ لما مضى ثمّة من أنّ على المولى في جناية عبده إمّا دفعه إلى وليّ المجني عليه،أو فكّه بقيمته،و أيّا ما كان ثبت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العقل بالمعنى المتعارف استلزامه ضمان تمام الدية و لو زادت عن قيمة العبد،بخلاف الضمان فإنّ متعلّقه ليس إلّا دفع العبد مع الزيادة،أو فكّه بالقيمة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فرق على المختار بين كون العبد قنّاً أي رقّاً محضاً أو مدبّراً أو مكاتباً أو أُمّ ولد على الأظهر الأشهر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أحد قوليه و القاضي </w:t>
      </w:r>
      <w:r>
        <w:rPr>
          <w:rStyle w:val="FootnoteAnchor"/>
          <w:rtl w:val="true"/>
        </w:rPr>
        <w:footnoteReference w:id="2874"/>
      </w:r>
      <w:r>
        <w:rPr>
          <w:rFonts w:ascii="Amiri" w:hAnsi="Amiri" w:eastAsia="Amiri" w:cs="Amiri"/>
          <w:color w:val="111111"/>
          <w:sz w:val="28"/>
          <w:sz w:val="28"/>
          <w:szCs w:val="28"/>
          <w:rtl w:val="true"/>
          <w:lang w:bidi="ar-SA"/>
        </w:rPr>
        <w:t xml:space="preserve">،فيعقلها مولاها؛ للخبر المتقدم مع تمام التحقيق في المسألة في آخر النظر الأوّل من الأنظار الأربعة </w:t>
      </w:r>
      <w:bookmarkStart w:id="382" w:name="pg11409_91174"/>
    </w:p>
    <w:p>
      <w:pPr>
        <w:pStyle w:val="BookText"/>
        <w:rPr/>
      </w:pPr>
      <w:bookmarkEnd w:id="382"/>
      <w:r>
        <w:rPr>
          <w:rFonts w:ascii="Amiri" w:hAnsi="Amiri" w:eastAsia="Amiri" w:cs="Amiri"/>
          <w:color w:val="111111"/>
          <w:sz w:val="28"/>
          <w:sz w:val="28"/>
          <w:szCs w:val="28"/>
          <w:rtl w:val="true"/>
          <w:lang w:bidi="ar-SA"/>
        </w:rPr>
        <w:t xml:space="preserve">من كتاب الديات </w:t>
      </w:r>
      <w:r>
        <w:rPr>
          <w:rStyle w:val="FootnoteAnchor"/>
          <w:rtl w:val="true"/>
        </w:rPr>
        <w:footnoteReference w:id="2875"/>
      </w:r>
      <w:r>
        <w:rPr>
          <w:rFonts w:ascii="Amiri" w:hAnsi="Amiri" w:eastAsia="Amiri" w:cs="Amiri"/>
          <w:color w:val="111111"/>
          <w:sz w:val="28"/>
          <w:sz w:val="28"/>
          <w:szCs w:val="28"/>
          <w:rtl w:val="true"/>
          <w:lang w:bidi="ar-SA"/>
        </w:rPr>
        <w:t>،من أراده فليراجعه ثمّة</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102863_73709187"/>
      <w:bookmarkStart w:id="384" w:name="_Toc141"/>
      <w:bookmarkEnd w:id="383"/>
      <w:r>
        <w:rPr>
          <w:rtl w:val="true"/>
        </w:rPr>
        <w:t>الثالثة لا تعقل العاقلة بهيمة</w:t>
      </w:r>
      <w:bookmarkEnd w:id="384"/>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 العاقلة للإنسان جناية بهيمة له على إنسان، و إن كان جنايتها مضمونة عليه على تقدير تفريطه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تعقل إتلاف ذلك الإنسان مال أحد،بل هو مضمون عليه و يختصّ ضمانها أي العاقلة بالجناية ممّن تعقل عنه على الآدمي فحسب بلا خلاف في شيء من ذلك أجده؛ للأصل،مع اختصاص ما دلّ على ضمان العاقلة من الفتوى و الرواية بجناية الآدمي على مثله خطأً،لا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انتهى الكلام في الكتاب بعون اللّه تعالى الملك الوهّاب إلى هنا قال الماتن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أردناه و قصدنا حصره و ضبطه مختصرين مطوّله، مجرّدين محصّله و نسأل اللّه سبحانه أن يجعلنا ممّن شكر بلطفه و كرمه عمله،و غفر بفضله و سعة رحمته زلله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أقلّ الخليقة،بل اللّاشيء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سبحانه على توفيقه و تسهيله لتأليف هذا التعليق،و أسأله بجوده و كرمه أن يجعله خالصاً لوجهه الكريم،موجباً لثوابه الجسيم،و أن يغفر </w:t>
      </w:r>
      <w:r>
        <w:rPr>
          <w:rStyle w:val="FootnoteAnchor"/>
          <w:rtl w:val="true"/>
        </w:rPr>
        <w:footnoteReference w:id="2877"/>
      </w:r>
      <w:r>
        <w:rPr>
          <w:rFonts w:ascii="Amiri" w:hAnsi="Amiri" w:eastAsia="Amiri" w:cs="Amiri"/>
          <w:color w:val="111111"/>
          <w:sz w:val="28"/>
          <w:sz w:val="28"/>
          <w:szCs w:val="28"/>
          <w:rtl w:val="true"/>
          <w:lang w:bidi="ar-SA"/>
        </w:rPr>
        <w:t>لعبده ما قصر فيه من اجتهاد،أو وقع له من خلل في إيراد،إنّه هو الغفور الرحيم البَرّ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المرجوّ ممّن يقف على هذا التعليق و يرى فيه خطأً أو خللاً أن يصلحه،و ينبّه عليه،و يوضحه،و يشير إليه،حائزاً بذلك منّي شكراً جميلاً،و من اللّه تعالى أجراً عظيماً جزيلاً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فرغ من تسويده مؤلّفه الفقير إلى اللّه تعالى الغني علي بن محمد علي الطباطبائي منتصف ليلة الجمعة،و هي السابعة و العشرون من شهر صفر سنة اثنين و تسعين و مائة بعد الألف من الهجرة النبوية،على صاحبها أفضل صلوات و تسليمات و تحية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مزاج من أمزجة البدن لسان العرب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10:198/53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4:822/220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4:818/219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10:199/54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4:823/220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9:148</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10:203/55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4:827/221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10:205/56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4:830/222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4:85/30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4:825/220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10:198/53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4:822/220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7:3/199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10:196/53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4:821/219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2:1600/455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2:1602/456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7:36/268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10:598/149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10:193/52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4:819/219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حزمة القصب الصحاح </w:t>
      </w:r>
      <w:r>
        <w:rPr>
          <w:rFonts w:eastAsia="IRNazanin" w:cs="IRNazanin"/>
          <w:b w:val="false"/>
          <w:bCs w:val="false"/>
          <w:i w:val="false"/>
          <w:iCs w:val="false"/>
          <w:color w:val="333333"/>
          <w:sz w:val="20"/>
          <w:szCs w:val="20"/>
        </w:rPr>
        <w:t>6:2159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10:194/52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4:820/219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،حكاه عن شرح الإرشاد في المسالك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،و هو غاية المراد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10:129/37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4:790/212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10:369/95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10:146/41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4:797/213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الزنى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10:159/44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4:811/217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 ارتباط بما هنا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1:1720/496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2:1603/456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4:86/31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10:210/58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10:199/54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4:823/220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10:159/44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4:811/217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به أحد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10:499/125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2:1652/466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10:498/124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الافتضاض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،و هو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4:100/34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القيادة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موطوء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،العفج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به عن الجماع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10:245/67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بموضوع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جهالته فائدتها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4:113/36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10:338/87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4:877/233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10:329/83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4:878/233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4:105/35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هو حسن عبد اللّه بن سنان المصرَّح به في عبارة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العزيز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غاية المراد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4:116/37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،فخر المحققين في الإيضاح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الشرائع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4:103/34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10:300/78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3:1345/377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هتك 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4:108/35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10:319/81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7:19/243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10:320/82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10:251/68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،و المقدّس الأردبيلي في زبدة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2:1634/462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10:269/71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7:17/208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4:119/37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10:266/71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7:18/243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10:289/75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4:114/36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4:881/234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كنز العرفان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10:254/68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4:848/227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10:256/69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4:851/227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10:328/83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4:882/234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10:327/83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4:883/235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للرجل،و ما أثبتناه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10:369/95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9:188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10:270/72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4:853/228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10:277/73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4:860/229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10:275/72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4:858/228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10:278/73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العذاب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9:177</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التهذيب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،فخر المحقّقين في الإيضاح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13:140</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10:279/74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4:862/230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10:281/74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4:864/230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10:342/88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4:867/230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10:264/70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10:316/81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4:128/39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7:43/269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،و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2:634/632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من الرواية الثانية و غيرها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7:44/269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بعض حواشيه على ما حكاه عند صاحب الجواهر </w:t>
      </w:r>
      <w:r>
        <w:rPr>
          <w:rFonts w:eastAsia="IRNazanin" w:cs="IRNazanin"/>
          <w:b w:val="false"/>
          <w:bCs w:val="false"/>
          <w:i w:val="false"/>
          <w:iCs w:val="false"/>
          <w:color w:val="333333"/>
          <w:sz w:val="20"/>
          <w:szCs w:val="20"/>
        </w:rPr>
        <w:t>41:438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4:4362/129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10:559/141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10:561/141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7:1/260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3:1752/371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10:583/147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10:585/147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10:586/147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10:584/147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7:35/268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10:597/149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كشف اللثام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،و في الجامع للشرائع لم نجد التصريح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7:38/268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10:599/149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7:5/241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10:570/144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كشف اللثام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هو في التحرير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،و لم نعثر عليه في كتب الشيخ،و هو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له حَبّ يخلط بالعقل و يورث الخبال،و ربّما أسكر إذا شربه الإنسان بعد ذَوبه،و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يورث السبات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السيكران كما في تاج العروس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انظر تذكرة اولي الألباب للأنطاكي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10:348/90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10:379/98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10:378/98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4:370/95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الاستبصار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الرائع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10:370/96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4:886/235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10:371/96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4:887/236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10:355/92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4:892/237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10:353/91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10:354/91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4:891/237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10:357/92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4:894/237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10:358/93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4:895/238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9:204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10:355/92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،التقي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10:367/95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10:369/95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4:791/212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4:131/40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15:490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مظعون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6:772/280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جمال الدين بن طاوس في المسالك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 القبول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الراوندي في فقه القرآن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التنقيح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،و هو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البناية في شرح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لاستقامة العبارة،كما في 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أسقطناها كما في المصدر لاستقامة المعنى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13:204</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أشعر بالعدم الرواية الآتية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15:470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xml:space="preserve">،و نسبه في مجمع الفائدة </w:t>
      </w:r>
      <w:r>
        <w:rPr>
          <w:rFonts w:eastAsia="IRNazanin" w:cs="IRNazanin"/>
          <w:b w:val="false"/>
          <w:bCs w:val="false"/>
          <w:i w:val="false"/>
          <w:iCs w:val="false"/>
          <w:color w:val="333333"/>
          <w:sz w:val="20"/>
          <w:szCs w:val="20"/>
        </w:rPr>
        <w:t>13:205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الساقط بالتوبة بعد الإقرار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،الشيخ لم نعثر على كلامه في المبسوط و الخلاف،نعم حكاه عنه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غاية المراد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النادر منهم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التنقيح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لم نعثر عليه في كتب القاضي،نعم حكاه عنه في الإيضاح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الوثوق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10:476/119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10:472/118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10:473/119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10:474/119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10:484/121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المتأخرين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10:406/104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4:910/241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فيما أخذ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نصيب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10:407/105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4:911/241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10:449/114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4:912/241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،فخر الدين في الإيضاح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فهد الحلّي في المهذّب البارع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4:151/45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10:410/106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4:914/242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10:408/105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4:913/241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بيضة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الخُوذَة نهاية ابن الأثير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الكافي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إبراهيم،عن أبيه،و عدّة من أصحابنا،عن سهل بن زياد جميعاً،عن ابن أبي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السند الأوّل صحيح على مبناه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6:961/343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3:648/147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7:651/146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1:106/224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10:429/110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الشيء اختلاساً الصحاح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10:438/111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10:439/111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10:437/111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10:436/111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المالك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7:24/264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10:437/111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الضيف و الأجير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10:428/110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،و حكاه عن الخلاف في السرائر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الشهيد الثاني في المسالك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10:425/109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ليس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غيره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10:412/106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10:413/106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10:518/130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النووي في المجموع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ابنا قدامة في المغني و الشرح الكبير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10:384/99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4:896/238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الترس الذي يتّقي به المحارب ضرب عدّوه الصحاح </w:t>
      </w:r>
      <w:r>
        <w:rPr>
          <w:rFonts w:eastAsia="IRNazanin" w:cs="IRNazanin"/>
          <w:b w:val="false"/>
          <w:bCs w:val="false"/>
          <w:i w:val="false"/>
          <w:iCs w:val="false"/>
          <w:color w:val="333333"/>
          <w:sz w:val="20"/>
          <w:szCs w:val="20"/>
        </w:rPr>
        <w:t>5:2094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10:387/100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4:899/239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10:385/99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4:897/238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10:389/100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4:901/239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موجودة في كليهما،مضافاً إلى قول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الملاذ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باتحادهما مع تقديم و تأخير و زيادة أحمد في أول السند،و لعلّه أخذه من كتابه و هذا من كتاب الحسين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10:394/102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10:393/101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4:906/240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10:395/102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4:908/240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10:390/100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4:902/239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التهذيب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الحر العاملي في الوسائل </w:t>
      </w:r>
      <w:r>
        <w:rPr>
          <w:rFonts w:eastAsia="IRNazanin" w:cs="IRNazanin"/>
          <w:b w:val="false"/>
          <w:bCs w:val="false"/>
          <w:i w:val="false"/>
          <w:iCs w:val="false"/>
          <w:color w:val="333333"/>
          <w:sz w:val="20"/>
          <w:szCs w:val="20"/>
        </w:rPr>
        <w:t>28:247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القرآن للقرطبي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،و المغني و الشرح الكبير لابني قدامة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10:391/101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4:903/239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10:392/101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4:904/240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10:513/128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التنقيح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10:423/109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4:146/44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10:422/108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شذوذه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10:494/123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4:952/251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1:255/184</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 و القطع،و منه الطرّار الصحاح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10:455/115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4:922/244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10:456/115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4:923/244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10:460/116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4:929/245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10:467/117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10:451/114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4:924/244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كمّه،فإن شدّة من داخل و تركه من خارج فلا قطع عليه،و إن شدّه من خارج و تركه من داخل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4:149/44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10:430/110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4:821/265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10:521/130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10:519/130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10:513/128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10:442/112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2:1693/473</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4:188/52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10:443/112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13:243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10:445/113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10:446/113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4:170/48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10:447/113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المسالك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،و هو في الإرشاد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13:243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القبر حرز 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10:460/116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4:929/245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10:463/116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4:932/246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10:457/115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4:926/245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10:458/115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4:927/245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10:464/116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4:933/246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10:461/116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4:930/246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10:459/115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 الحاكي عنهم هو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10:465/117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4:934/246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10:468/117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4:936/246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10:469/118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4:937/247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،و العلّامة في الإرشاد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10:470/118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4:939/247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10:471/118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4:940/247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البارع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4:145/43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10:515/129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4:948/250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4:762/204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الصدوق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 إذا أقرّ على نفسه عند الإمام مرّة واحدة بالسرقة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ما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 إذا أقرّ على نفسه لم يقطع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10:504/126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4:949/250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2:1701/474</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10:505/126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4:950/250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ما بين المعقوفين من المصادر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16:252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10:440/112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4:920/243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10:441/112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4:921/244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10:592/148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،و حكاه الشهيد في غاية المراد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،عن القاضي و الصهرشتي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10:411/106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بجواز أن يكون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 على شرح اللمعة للخوانساري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رحمه اللّه في مقام الاستدلال للقول بتحتّم القطع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10:492/123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10:503/126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،إلّا أنّه في التوبة بعد الإقرار،و الخلاف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10:516/129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4:955/252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10:506/127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4:954/252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10:402/103</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10:404/104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10:416/107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10:400/103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10:401/103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السيّدان،و الظاهر ما أثبتناه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في تلخيص الخلاف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10:399/102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10:398/102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4:157/46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10:418/107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،الشهيد الأوّل في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ليس 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10:419/108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4:915/242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4:160/47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بتفاوت،الوسائل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10:420/108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4:916/242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اليمنى،و لعلّه هو الأنسب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10:421/108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4:917/242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10:489/122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10:490/122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10:516/129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4:955/252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للحليَّين،و ما أثبتناه هو الصحيح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10:813/206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4:1055/278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10:819/207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4:1056/279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10:822/208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،و هو في المهذّب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4:150/44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10:517/129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10:418/107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10:157/44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4:809/216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يزجره،بدل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يزبره،و هما بمعنى واحد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10:494/123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4:952/251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10:495/124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4:953/251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2:1549/444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10:493/123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4:951/251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4:185/52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10:496/124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10:498/124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10:524/132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4:972/257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4:168/48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10:530/134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4:419/120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10:912/231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3:68/25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6:625/246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،و التعليل موجود في 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،المجلسي في ملاذ الأخيار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الإرشاد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،الفاضل المقداد في كنز العرفان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،الفاضل الجواد في مسالك الأفهام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5:1147/333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2:656/195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10:529/133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7:3/245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1:93/315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10:533/134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23:384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10:529/133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،و الفاضل الجواد في مسالك الأفهام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10:535/135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4:167/48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10:534/135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4:166/48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الخلاف عن ابن أبي هريرة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،و هو في المجموع </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،و صاحب المفاتيح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1:91/314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xml:space="preserve">،و هو في الدروس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4:205/68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10:830/210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4:233/75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10:813/206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4:1055/278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10:829/210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10:538/136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فأصابت،و ما أثبتناه هو الأنسب كما في الكافي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4:424/122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10:814/206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ما بين المعقوفين من المصادر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4:828/272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6:282/157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6:319/167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9:305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10:453/114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10:454/114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10:451/114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4:924/244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10:450/114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10:452/114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10:426/109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أفرغ</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10:218/60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4:831/222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10:219/60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4:832/223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4:99/33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10:220/61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4:833/223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10:218/60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4:831/222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7:1/204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4:99/33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10:220/61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4:833/223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10:221/61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10:222/61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4:835/223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بسبعة،و الظاهر ما أثبتناه كما تقدّم في الصحيح المتقدم و تاليه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10:225/61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4:838/224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10:225/62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4:840/224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التهذيب </w:t>
      </w:r>
      <w:r>
        <w:rPr>
          <w:rFonts w:eastAsia="IRNazanin" w:cs="IRNazanin"/>
          <w:b w:val="false"/>
          <w:bCs w:val="false"/>
          <w:i w:val="false"/>
          <w:iCs w:val="false"/>
          <w:color w:val="333333"/>
          <w:sz w:val="20"/>
          <w:szCs w:val="20"/>
        </w:rPr>
        <w:t>10:223/61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4:836/224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10:226/62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4:839/224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الحدّ،و الأنسب ما أثبتناه كما في الاستبصار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10:369/95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4:189/52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10:229/62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10:230/63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4:843/225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10:231/63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يحيى 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6:760/277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ساقط عن كتاب النوادر المطبوع،و هو موجود في الحجريّ منه الملحق بكتاب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10:233/64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4:846/226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4:845/226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10:234/64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4:847/226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13:372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10:622/155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10:627/156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10:623/155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1:223/264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1:223/264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10:628/157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سيأتي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قريباً،و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بالسوط،و هو الصحيح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4:240/77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10:635/158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4:976/259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4:238/77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10:632/157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الإجهاز و الإسراع في قتله،من أجاز يجيز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10:629/157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بالسكوني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4:275/86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10:862/219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10:860/219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4:254/81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10:864/219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4:1071/283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العلّامة في القواعد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w:t>
      </w:r>
      <w:r>
        <w:rPr>
          <w:rFonts w:eastAsia="IRNazanin" w:cs="IRNazanin"/>
          <w:b w:val="false"/>
          <w:bCs w:val="false"/>
          <w:i w:val="false"/>
          <w:iCs w:val="false"/>
          <w:color w:val="333333"/>
          <w:sz w:val="20"/>
          <w:szCs w:val="20"/>
        </w:rPr>
        <w:t>13:394</w:t>
      </w:r>
      <w:r>
        <w:rPr>
          <w:rFonts w:ascii="IRNazanin" w:hAnsi="IRNazanin" w:eastAsia="IRNazanin"/>
          <w:b w:val="false"/>
          <w:b w:val="false"/>
          <w:bCs w:val="false"/>
          <w:i w:val="false"/>
          <w:i w:val="false"/>
          <w:iCs w:val="false"/>
          <w:color w:val="333333"/>
          <w:sz w:val="20"/>
          <w:sz w:val="20"/>
          <w:szCs w:val="20"/>
          <w:rtl w:val="true"/>
        </w:rPr>
        <w:t xml:space="preserve">،و صاحب المفاتيح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6:335/172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أحدهما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10:865/220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4:1072/283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4:282/88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10:866/220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4:1073/283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،و هو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4:327/98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10:1003/253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4:324/97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10:1000/252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10:1002/253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10:999/252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10:855/217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4:276/86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10:857/218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4:1067/281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10:854/217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4:1064/281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10:858/218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4:1068/282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اجتمع العدّة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4:403/116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10:957/240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القائل هو الفاضل الهندي في كشف اللثام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10:716/183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4:267/83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10:963/242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ساوته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10:959/241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4:1070/282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قتلا رجلا 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قتلا حرّا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4:268/84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10:962/242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4:1083/286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10:707/181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4:999/265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10:704/180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4:997/265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10:717/183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4:1009/267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،الشهيد الأول في غاية المراد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الشهيد الأول في غاية المراد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حكاه عنه في الشرائع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10:717/183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 للأردبيلي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7:6/299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4:283/88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10:719/184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10:720/184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10:726/185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10:724/185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10:754/191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4:1032/272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10:751/191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4:1029/272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10:753/191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4:1031/272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10:755/191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4:1033/272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4:312/95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10:761/193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4:1039/274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للصحيح</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4:318/96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10:762/193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غاية المراد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7:6/303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4:388/114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10:933/235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10:759/192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4:1037/273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10:758/192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4:1036/273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معوداً،و ما أثبتناه من المصادر هو الصحيح</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10:936/236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4:1037/273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10:757/192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4:1035/273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القواعد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10:780/197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10:767/194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10:766/194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المسالك 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،و في المبسوط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4:309/94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10:776/196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10:780/197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10:786/198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10:772/195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4:316/95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10:787/198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4:315/95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10:782/197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كشف اللثام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10:783/197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4:1042/275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10:785/198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4:1044/275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البارع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 لكن حكاه عنه في التنقيح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4:316/95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10:787/198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المهذّب،مجمع الفائدة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المهذّب البارع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10:795/201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4:1049/277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4:308/94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10:790/200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4:1048/276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،و هو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4:286/89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بتفاوت يسير؛ و كذا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2:441/160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10:774/195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4:1040/274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10:775/195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10:775/195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4:328/99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10:1022/259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خارجياً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،فخر الدين في الإيضاح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10:794/200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10:743/189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4:1025/271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10:741/189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4:1023/271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10:742/189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4:1024/271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في الإيضاح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غاية المراد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10:744/189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4:1026/271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10:744/189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4:1026/271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10:740/188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المسلم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10:749/190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4:295/91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10:750/190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تعليقات باب القصاص لصاحب مفتاح الكرامة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 العالمي لأهل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الإيضاح </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4:357/106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10:674/170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المصادر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3:182/141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10:943/237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4:290/90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10:939/236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4:358/107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10:919/233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10:916/232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10:920/233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4:600</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4:267/83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10:963/242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للسرخسي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9:736/183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4:270/84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10:922/233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4:1085/287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10:915/232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4:265/83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10:648/162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4:234/75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10:913/231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4:125/38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10:914/231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4:234/75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10:913/231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تقدّمت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،الشهيد في غاية المراد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،و حكاه الشهيد عن الصهرشتي و الطبرسي أيضاً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4:361/107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10:918/232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10:917/232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الشهيد الأول في غاية المراد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نفي الخلاف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10:819/207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4:1056/279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يحيى 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،و حكاه عن الطبرسي في غاية المراد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2:441/160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4:314/95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10:614/153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4:244/78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10:677/172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10:679/173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غاية المراد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غاية المراد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10:678/172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4:608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،و تبعه القاضي في المهذّب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،يحيى 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،حكاه عن الصهرشتي في مجمع الفائدة </w:t>
      </w:r>
      <w:r>
        <w:rPr>
          <w:rFonts w:eastAsia="IRNazanin" w:cs="IRNazanin"/>
          <w:b w:val="false"/>
          <w:bCs w:val="false"/>
          <w:i w:val="false"/>
          <w:iCs w:val="false"/>
          <w:color w:val="333333"/>
          <w:sz w:val="20"/>
          <w:szCs w:val="20"/>
        </w:rPr>
        <w:t>14:214</w:t>
      </w:r>
      <w:r>
        <w:rPr>
          <w:rFonts w:ascii="IRNazanin" w:hAnsi="IRNazanin" w:eastAsia="IRNazanin"/>
          <w:b w:val="false"/>
          <w:b w:val="false"/>
          <w:bCs w:val="false"/>
          <w:i w:val="false"/>
          <w:i w:val="false"/>
          <w:iCs w:val="false"/>
          <w:color w:val="333333"/>
          <w:sz w:val="20"/>
          <w:sz w:val="20"/>
          <w:szCs w:val="20"/>
          <w:rtl w:val="true"/>
        </w:rPr>
        <w:t xml:space="preserve">،و عن الطبرسي و الإسكافي في غاية المراد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10:683/174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3:59/600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10:1166/312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10:801/203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6:872/315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بفتح الحاء و كسر آخره مبنيّاً عليه،هذا هو الأصل في الكلمة،لكن ينبغي أن يراد هنا ما دلّ على معناها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المقلاع الذي يُرمى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4:231/75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10:819/207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،و انظر التنقيح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4:229/74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10:821/208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 به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10:826/209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6:553/229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 و هو 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10:812/206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4:1054/278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بين قريتهم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4:224/74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10:805/204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4:1050/277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التحرير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10:799/202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10:798/202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10:802/203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10:796/201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4:427/122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26:108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،نكت الإرشاد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،و حكاه عن الصهرشتي و الطبرسي في غاية المراد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،النكت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في كشف الرموز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،ابن فهد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انظر المهذب البارع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10:667/168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10:668/169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،و حكاه في المختلف عن ابن الجنيد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،و قال الشهيد في غاية المراد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يلوح من كلام ابن زهرة و تبعه الكيدري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10:662/166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10:665/168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10:662/166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4:223/73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10:663/167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10:666/168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10:665/168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المتّهمون،و ما أثبتناه من المصدر هو الأنسب،أي كان أبي حلّف المتهمين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يؤدّي الدية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10:812/206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4:1054/278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10:811/206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4:1053/278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،و تبعه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10:668/169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 ما يثبت 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16:345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يميناً احتياطاً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10:638/159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4:980/261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2:2624/876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10:634/158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فعل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10:1091/279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10:813/206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13:430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السيد المرتضى في كتبه لكن حكاه عنه الشهيد في غاية المراد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الأردبيلي في مجمع الفائدة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الرضح بالحاء المهملة و الأنسب ما أثبتناه من المختصر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10:630/157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قتله بمثل القتلة التي قتل بها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رضح بالحاء المهملة،و ما أثبتناه من المصدر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10:813/206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7:19/377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10:1090/279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10:1086/278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،و انظر ملاذ الأخيار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4:353/105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10:686/175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10:694/177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10:688/176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4:991/263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10:671/170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 عدا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10:875/223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،و هو في الإرشاد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ليس في الكافي إلّا أحد الموثقين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7:1/360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4:452/128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10:1087/278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يتتاركان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2:660/640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2:705/673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4:452/128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10:1083/277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الخبر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،و انظر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انتقض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بعد برئه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10:1134/292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انتقضت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10:779/196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 لكن حكاه في المسالك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10:1064/270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10:1082/276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10:1096/280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الذمّي،و ما أثبتناه من المصادر هو الأنسب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10:740/188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قالبه الأردبيلي في مجمع الفائدة و البرهان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و النسخ هنا و في الموارد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التعزير،و ما أثبتناه هو الصحيح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4:436/125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10:1143/294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الذي فوق الدماغ من الجمجمة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10:1077/275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10:1084/277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الفاضلان الآبي في كشف الرموز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،و المقداد في التنقيح الرائع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10:1093/279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المجنون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4:320/97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و البرهان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10:1079/276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غاية المراد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غاية المراد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أشبههما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10:1057/269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،و تبعه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قيّد،و ما أثبتناه من المصدر هو الأنسب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الضارب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4:346/102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10:1008/255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4:343/102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10:1025/260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حكاه فيه عن الإسكافي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10:1010/256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10:1033/261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المهذّب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رجعت كما كانت سالمة من التغيّر و النقصان لم يكن فيها قصاص و لا دية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4:343/102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10:1025/260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10:1081/276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فحماها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10:1081/276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،حكاه عن القاضي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5:1769</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11:461</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ثنيّ،و هي الإبل تدخل في السنة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البعير إذا دخل في السنة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الروضة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10:636/159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4:977/260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انظر الحديثين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4:245/78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10:640/160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4:975/259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7:4/281</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10:637/159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الصحاح </w:t>
      </w:r>
      <w:r>
        <w:rPr>
          <w:rFonts w:eastAsia="IRNazanin" w:cs="IRNazanin"/>
          <w:b w:val="false"/>
          <w:bCs w:val="false"/>
          <w:i w:val="false"/>
          <w:iCs w:val="false"/>
          <w:color w:val="333333"/>
          <w:sz w:val="20"/>
          <w:szCs w:val="20"/>
        </w:rPr>
        <w:t>4:1673</w:t>
      </w:r>
      <w:r>
        <w:rPr>
          <w:rFonts w:ascii="IRNazanin" w:hAnsi="IRNazanin" w:eastAsia="IRNazanin"/>
          <w:b w:val="false"/>
          <w:b w:val="false"/>
          <w:bCs w:val="false"/>
          <w:i w:val="false"/>
          <w:i w:val="false"/>
          <w:iCs w:val="false"/>
          <w:color w:val="333333"/>
          <w:sz w:val="20"/>
          <w:sz w:val="20"/>
          <w:szCs w:val="20"/>
          <w:rtl w:val="true"/>
        </w:rPr>
        <w:t xml:space="preserve">،و هو في غريب الحديث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10:633/158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4:973/258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4:240/77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10:635/158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4:976/259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10:638/159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4:980/261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4:250/80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10:646/162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4:360/107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10:670/170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4:983/261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10:655/164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العمدَ شبهَه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4:240/77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10:635/158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4:976/259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،و انظر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10:633/158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4:973/258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10:977/247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انظر إصباح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الآبي في كشف الرموز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،و المقداد في التنقيح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،و ابن فهد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أشهرها سيّما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4:240/77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10:635/158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4:976/259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10:634/158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1:227/265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،و الفيض الكاشاني في المفاتيح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المستفيضة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10:851/216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الفيض الكاشاني في المفاتيح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10:184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10:705/180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10:725/185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10:175</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10:644/161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10:730/186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4:1012/268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4:298/91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10:735/187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4:1017/269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4:299/92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10:736/187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جاماسف،و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4:296/91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10:737/187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4:1019/269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10:738/188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4:1020/270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الفقيه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الآخر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10:744/189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4:1026/271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4:389/114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10:1172/315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4:739/231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9:1234/343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4:686/183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إليها،و هو الأنسب</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10:763/193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10:778/196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4:310/94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10:764/193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الخلاف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المفاتيح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10:765/194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كشف اللثام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لمولى</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10:779/196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الروضية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،و هو في غاية المراد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تبعه القاضي في المهذّب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،و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لمسيس،أو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لمساس</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10:925/234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كتابيه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،و 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و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الزوجة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4:259/82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10:828/210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الزمتهما،و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ألزمهما،و الأنسب ما أثبتناه من الكافي و الوسائل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7:12/374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4:260/82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10:827/209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4:1058/279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4:263/82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10:909/230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3:719/163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7:973/222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7:976/222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3:707/161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3:715/163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7:944/216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،و هو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10:928/234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وقع على إنسان من علو فقتل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4:230/75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10:838/212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4:1062/280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10:835/211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مجمع الفائدة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،حكاه عنهم في التنقيح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4:439/125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10:960/241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 نسخة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الوقص هو كسر العنق،النهاية لابن أثير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الرائع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4:410/118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10:958/241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4:410/118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،المقنع،لم نعثر عليها فيه لكن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4:279/86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10:868/221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10:869/222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الرموز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فعليه الدية على الأظهر من أقوال الأصحاب،و نسبه في غاية المرام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4:279/86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10:868/221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غاية المرام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المشهور بين الأصحاب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أعادت،و ما أثبتناه من المختصر المطبوع هو الأنسب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المصادر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4:416/119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10:870/222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4:413/119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10:871/222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الهندي في كشف اللثام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4:426/122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10:956/240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4:280/87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10:955/240</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ملاذ الأخيار </w:t>
      </w:r>
      <w:r>
        <w:rPr>
          <w:rFonts w:eastAsia="IRNazanin" w:cs="IRNazanin"/>
          <w:b w:val="false"/>
          <w:bCs w:val="false"/>
          <w:i w:val="false"/>
          <w:iCs w:val="false"/>
          <w:color w:val="333333"/>
          <w:sz w:val="20"/>
          <w:szCs w:val="20"/>
        </w:rPr>
        <w:t>16:509</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التنقيح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،و عنهما في المهذّب البارع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البارع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،و الصيمري في غاية المرام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ما أثبتناه من المختصر المطبوع هو الأنسب</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4:277/86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10:953/239</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10:906/230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المعترضتين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4:395/115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10:905/230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4:390/114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10:903/229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10:907/230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4:394/115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10:840/212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رواية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4:392/114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10:908/230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10:154</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10:902/229</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فعجّه،و في غيرها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فبعجه،و ما أثبتناه من المصادر هو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 هو الضرب و الرمي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بعج،و ما أثبتناه من المصادر هو الأنسب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10:900/228</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4:397/115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10:888/225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4:1074/284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10:889/226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4:1076/284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4:400/116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10:887/225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4:1075/284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10:886/225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4:1078/285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10:890/226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4:1077/284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يعقر،و ما أثبتناه من المصادر هو الأنسب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10:888/225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10:895/227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بعجت،و ما أثبتناه من الكافي و الفقيه و الوسائل هو الأنسب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4:402/116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10:880/224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4:235/76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10:839/212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النفس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10:877/223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7:20/377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10:885/225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4:1080/285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4:399/116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4:401/116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10:926/234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 تجمع للسباق من كلّ أوب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10:876/223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المهذب البارع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4:398/116</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حفرها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4:278/86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10:951/239</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10:952/239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14:276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xml:space="preserve">؛ و قال في المسالك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بمضمونها جماعة منهم،أي الأصحاب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،و انظر المهذّب البارع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4:379/111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10:992/250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10:991/250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4:381/112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10:990/250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4:380/112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10:1035/262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،و انظر المهذّب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فطالب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فمهر مثلها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10:1036/262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كالصيمري في غاية المرام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،و قال المحقق الأردبيلي في مجمع الفائدة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الإجماع</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4:332/100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10:1020/258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10:989/250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المسالك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،و 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ابن فهد الحلّي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المعارف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في جفن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،و القائل هو ابن فهد في المهذّب البارع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،نكت الإرشاد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10:204</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،التنقيع الرائع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4:325/98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أصل الثلث</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10:1061/270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4:376/111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10:1063/270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xml:space="preserve">،و انظر غاية المرام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جذعه،و ما أثبتناه هو الأنسب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10:972/246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المشهور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،و نسبه في المسالك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10:1034/261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10:208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غاية المراد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،و هو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10:970/245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10:972/246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10:975/246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4:1088/288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10:1013/256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10:979/248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10:1014/256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حكاه عنهم في كشف اللثام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التفصيل،و الأنسب ما أثبتناه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الشفتين،التهذيب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غاية المراد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،المهذّب و لم نعثر عليه في المهذب،الوسيلة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،الصهرشتي انظر 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،الطبرسي في المؤتلف من المختلف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4:330/99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10:974/246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الشفتين،التهذيب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10:975/246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4:1088/288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10:209</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10:1043/263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4:1108/293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المفيد في بعض نسخ المقنعة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10:1042/263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4:1107/293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ابن فهد في المهذب البارع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10:1040/263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4:1105/292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،و هو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4:325/98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4:376/111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7:7/323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3:35/11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10:1053/268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14:386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4:351/104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10:1005/254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4:1089/288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4:347/103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16:547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10:1029/260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4:1094/290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،فإنّه قوّى القول بالثلث ظاهراً،و كذا اعتراض الماتن إليه يكون بالنسبة إلى القول بالثلث</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4:346/102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10:1008/255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انظر الشرائع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4:500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10:1074/275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10:1033/261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10:1010/256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10:989/250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10:972/246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10:973/246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10:975/246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4:1088/288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4:329/99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10:971/245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المرام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14:401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10:1015/257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4:1098/291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4:345/102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10:1016/257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4:1100/291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4:340/102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4:1102/292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العَصَب،و ما أثبتناه من المصادر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،و هو في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فإنّها،و ما أثبتناه من المصادر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4:385/113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10:1018/257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4:349/103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4:348/103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10:1017/257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4:1097/290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10:777/196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29:346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الهندي في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10:1012/256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10:1016/257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10:970/245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10:978/248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14:408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الساعدين،و ما أثبتناه من المصدر هو الأنسب</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xml:space="preserve">،و انظر مرآة العقول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10:998/252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،و الفاضل الآبي في كشف الرموز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10:970/245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10:972/246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10:975/246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10:977/247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4:325/98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10:982/248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4:320/97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10:235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10:970/245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10:989/250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4:386/113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،و هو في كتاب الحيوان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غاية المراد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ففتقت</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يولد له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صرّة،و ما أثبتناه من المصادر</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10:979/248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،و لمزيد التوضيح انظر مفتاح الكرامة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10:238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7:17/314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10:998/252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4:382/112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10:996/251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4:337/101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10:980/248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10:986/249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4:1112/295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افتضت،و الأنسب ما أثبتناه كما في الوسائل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الصحيحة،و الأنسب ما أثبتناه من المصدر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4:378/111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16:532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10:1037/262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وطئها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16:530</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10:976/247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القدم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10:251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4:337/101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10:980/248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مجمع الفائدة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4:326/98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10:981/248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و انظر لسان العرب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مائة،و لعل الصحيح ما أثبتناه،كما في المصادر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7:155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الإرشاد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الشهيدان في اللمعة و الروضة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للقاضي،و هو موجود في المهذب البارع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7:21/377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4:374/110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10:1089/279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التعزير،و الظاهر ما أثبتناه من المصدر</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10:987/249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14:419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الأردبيلي في مجمع الفائدة </w:t>
      </w:r>
      <w:r>
        <w:rPr>
          <w:rFonts w:eastAsia="IRNazanin" w:cs="IRNazanin"/>
          <w:b w:val="false"/>
          <w:bCs w:val="false"/>
          <w:i w:val="false"/>
          <w:iCs w:val="false"/>
          <w:color w:val="333333"/>
          <w:sz w:val="20"/>
          <w:szCs w:val="20"/>
        </w:rPr>
        <w:t>14:419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بالإجماع،كما في الخلاف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14:426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10:999/252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4:327/98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10:1003/253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أوردنا،و ما أثبتناه من المصدر هو الأنسب</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4:333/100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10:1045/265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10:1050/267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10:1050/267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10:1046/265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4:331/100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10:1049/266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10:1047/266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4:321/97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10:1055/268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4:339/101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1051/268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10:1028/260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4:363/108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10:995/251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10:994/251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4:362/107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المنافع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،و الفاضلان المقداد في التنقيح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،و الهندي في كشف اللثام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،و الفاضلان المقداد في التنقيح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،و الهندي في كشف اللثام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10:267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10:1138/293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10:1126/290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10:267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4:433/124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10:1124/290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10:1124/290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في الفقيه بتفاوت يسير،الوسائل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10:1141/293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،و 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 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4:437/125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10:1139/293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10:270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10:1143/294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10:1130/291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4:432/124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10:1123/289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10:1124/290</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14:454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4:432/124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10:1123/289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10:1137/293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السرائر،الخلاف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و حكاه عنه في المختلف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،لم نعثر عليه في المراسم و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10:1135/292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لموضحة،و الأنسب ما أثبتناه من المصادر</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10:282</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الثاني على ما حكاه عنه في مفتاح الكرامة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الروضة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تخضارّ،و ما أثبتناه من المصادر</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4:408/118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10:1084/277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4:435/125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10:1132/291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10:1004/254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10:968/245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4:320/97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10:1015/257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10:1144/294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4:435/125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10:1132/291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10:1128/290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دية الإصبع،كما في الفقيه </w:t>
      </w:r>
      <w:r>
        <w:rPr>
          <w:rFonts w:eastAsia="IRNazanin" w:cs="IRNazanin"/>
          <w:b w:val="false"/>
          <w:bCs w:val="false"/>
          <w:i w:val="false"/>
          <w:iCs w:val="false"/>
          <w:color w:val="333333"/>
          <w:sz w:val="20"/>
          <w:szCs w:val="20"/>
        </w:rPr>
        <w:t>4:350/103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7:7/327</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10:763/193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10:764/193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10:778/196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10:747/190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10:723/185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الشجاج و الجراح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الاستئصال و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5:1967</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4:323/97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الصحة</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4:248/79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10:697/178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ب الأعضاء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10:1103/283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10:1099/281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عليه،قال المجلسي في ملاذ الأخيار </w:t>
      </w:r>
      <w:r>
        <w:rPr>
          <w:rFonts w:eastAsia="IRNazanin" w:cs="IRNazanin"/>
          <w:b w:val="false"/>
          <w:bCs w:val="false"/>
          <w:i w:val="false"/>
          <w:iCs w:val="false"/>
          <w:color w:val="333333"/>
          <w:sz w:val="20"/>
          <w:szCs w:val="20"/>
        </w:rPr>
        <w:t>16:604</w:t>
      </w:r>
      <w:r>
        <w:rPr>
          <w:rFonts w:ascii="IRNazanin" w:hAnsi="IRNazanin" w:eastAsia="IRNazanin"/>
          <w:b w:val="false"/>
          <w:b w:val="false"/>
          <w:bCs w:val="false"/>
          <w:i w:val="false"/>
          <w:i w:val="false"/>
          <w:iCs w:val="false"/>
          <w:color w:val="333333"/>
          <w:sz w:val="20"/>
          <w:sz w:val="20"/>
          <w:szCs w:val="20"/>
          <w:rtl w:val="true"/>
        </w:rPr>
        <w:t>،حسن كالصحيح</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10:1102/282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،و غاية المراد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10:748/190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10:1122/288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حكاه عن العماني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4:370/110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10:1116/288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نصفها</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4:367/109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10:1110/286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4:1127/300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10:1111/286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10:1109/286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4:1126/300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10:1112/286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4:1129/301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10:1108/286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4:1125/300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4:369/109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10:1113/287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4:1130/301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4:368/109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10:1114/287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10:1115/287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10:1101/281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10:1103/283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10:1102/282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4:365/108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10:1105/283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4:369/109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10:1113/287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4:1130/301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امرأة تؤتى فبلغ ذلك عمر فبعث إليها فروّعها و أمر أن يجاء بها ففزعت المرأة فأخذها الطلق إلى بعض الدور فولدت غلاماً فاستهل الغلام ثمّ مات،فدخل عليه من روعة المرأة و من موت الغلام ما شاء اللّه تعالى،فقال له بعض جلسائه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عليك من هذا شيء،و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هذا؟قالوا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كنتم اجتهدتم ما أصبتم،و لئِن كنتم قلتم برأيكم أخطأتم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دية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10:1165/312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المرسل المروي عن إرشاد المفيد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الدية على عاقلتك لأنّ قتل الصبي خطأ تعلّق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4:404/117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10:1073/273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4:1121/298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الشهيدين في اللمعة و الروضة البهية </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10:1149/309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10:1152/309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حكاه عنهم في كشف اللثام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حكاه عن ابن جنيد أيضاً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4:442/126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10:1155/310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10:1156/310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10:323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10:1155/310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4:442/126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10:324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،و نسبه الأردبيلي في مجمع الفائدة </w:t>
      </w:r>
      <w:r>
        <w:rPr>
          <w:rFonts w:eastAsia="IRNazanin" w:cs="IRNazanin"/>
          <w:b w:val="false"/>
          <w:bCs w:val="false"/>
          <w:i w:val="false"/>
          <w:iCs w:val="false"/>
          <w:color w:val="333333"/>
          <w:sz w:val="20"/>
          <w:szCs w:val="20"/>
        </w:rPr>
        <w:t>14:349</w:t>
      </w:r>
      <w:r>
        <w:rPr>
          <w:rFonts w:ascii="IRNazanin" w:hAnsi="IRNazanin" w:eastAsia="IRNazanin"/>
          <w:b w:val="false"/>
          <w:b w:val="false"/>
          <w:bCs w:val="false"/>
          <w:i w:val="false"/>
          <w:i w:val="false"/>
          <w:iCs w:val="false"/>
          <w:color w:val="333333"/>
          <w:sz w:val="20"/>
          <w:sz w:val="20"/>
          <w:szCs w:val="20"/>
          <w:rtl w:val="true"/>
        </w:rPr>
        <w:t>،إلى أكثر العبارات</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14:349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4:442/126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البارع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يوافقه</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10:1155/310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4:1609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3:717/163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10:880/224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4:450/127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10:910/231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،و هو في نكت النهاية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10:1120/288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10:1159/310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7:981/224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المصادر</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7:982/224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1:9/382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اللواحق</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10:294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4:305/93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10:932/235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10:929/234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10:931/235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المجموع </w:t>
      </w:r>
      <w:r>
        <w:rPr>
          <w:rFonts w:eastAsia="IRNazanin" w:cs="IRNazanin"/>
          <w:b w:val="false"/>
          <w:bCs w:val="false"/>
          <w:i w:val="false"/>
          <w:iCs w:val="false"/>
          <w:color w:val="333333"/>
          <w:sz w:val="20"/>
          <w:szCs w:val="20"/>
        </w:rPr>
        <w:t>19:188</w:t>
      </w:r>
      <w:r>
        <w:rPr>
          <w:rFonts w:ascii="IRNazanin" w:hAnsi="IRNazanin" w:eastAsia="IRNazanin"/>
          <w:b w:val="false"/>
          <w:b w:val="false"/>
          <w:bCs w:val="false"/>
          <w:i w:val="false"/>
          <w:i w:val="false"/>
          <w:iCs w:val="false"/>
          <w:color w:val="333333"/>
          <w:sz w:val="20"/>
          <w:sz w:val="20"/>
          <w:szCs w:val="20"/>
          <w:rtl w:val="true"/>
        </w:rPr>
        <w:t xml:space="preserve">،و المبسوط للسرخسي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فبان مسلماً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3:1/608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هو في الصحاح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،و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فالأقرب</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10:676/172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4:356/105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10:675/171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،الحائريات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،و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8:921/253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10:669/170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قال به القاضي في الكامل على ما حكاه عنه في غاية المراد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5:508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حكاه عنهم في كشف اللثام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10:685/175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4:773/242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9:1410/395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10:676/172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4:361/107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10:918/232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10:917/232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الصيمري في غاية المرام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يعقله قومه</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4:357/106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10:674/170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الجنّة منقلبه و منقله،إنّه لا يخيب من سأله،و لا يخسر من أمله،إنّه ولي الإعانة و التوفيق و الصلاة و السلام على محمد و آله أجمعين</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96037</Words>
  <Characters>417818</Characters>
  <CharactersWithSpaces>510904</CharactersWithSpaces>
  <Paragraphs>3529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2026-08-21T21:18:41Z</dcterms:created>
  <dc:creator>ghaemiyeh.com</dc:creator>
  <dc:description/>
  <dc:language>en-US</dc:language>
  <cp:lastModifiedBy/>
  <dcterms:modified xsi:type="dcterms:W3CDTF">2026-08-22T00:49:13Z</dcterms:modified>
  <cp:revision>1</cp:revision>
  <dc:subject/>
  <dc:title>ریاض المسائل فی تحقیق الاٴحکام بالدلائل جلد 16</dc:title>
</cp:coreProperties>
</file>

<file path=docProps/custom.xml><?xml version="1.0" encoding="utf-8"?>
<Properties xmlns="http://schemas.openxmlformats.org/officeDocument/2006/custom-properties" xmlns:vt="http://schemas.openxmlformats.org/officeDocument/2006/docPropsVTypes"/>
</file>