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الانصاف فی مسائل دام فیها الخلاف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2651_1067777946">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1272653_1067777946">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272655_1067777946">
            <w:r>
              <w:rPr>
                <w:webHidden/>
                <w:rStyle w:val="IndexLink"/>
                <w:rtl w:val="true"/>
              </w:rPr>
              <w:t>المسائل الخلافيّة و دورها في الاستنباط</w:t>
            </w:r>
            <w:r>
              <w:rPr>
                <w:rStyle w:val="IndexLink"/>
                <w:rtl w:val="true"/>
              </w:rPr>
              <w:tab/>
            </w:r>
            <w:r>
              <w:rPr>
                <w:rStyle w:val="IndexLink"/>
              </w:rPr>
              <w:t>16</w:t>
            </w:r>
          </w:hyperlink>
        </w:p>
        <w:p>
          <w:pPr>
            <w:pStyle w:val="Contents2"/>
            <w:tabs>
              <w:tab w:val="clear" w:pos="8743"/>
              <w:tab w:val="right" w:pos="9026" w:leader="dot"/>
            </w:tabs>
            <w:rPr/>
          </w:pPr>
          <w:hyperlink w:anchor="__RefHeading___Toc1272657_1067777946">
            <w:r>
              <w:rPr>
                <w:webHidden/>
                <w:rStyle w:val="IndexLink"/>
                <w:rtl w:val="true"/>
              </w:rPr>
              <w:t>الإعراض عن أحاديث العترة الطاهرة</w:t>
            </w:r>
            <w:r>
              <w:rPr>
                <w:rStyle w:val="IndexLink"/>
                <w:rtl w:val="true"/>
              </w:rPr>
              <w:tab/>
            </w:r>
            <w:r>
              <w:rPr>
                <w:rStyle w:val="IndexLink"/>
              </w:rPr>
              <w:t>23</w:t>
            </w:r>
          </w:hyperlink>
        </w:p>
        <w:p>
          <w:pPr>
            <w:pStyle w:val="Contents2"/>
            <w:tabs>
              <w:tab w:val="clear" w:pos="8743"/>
              <w:tab w:val="right" w:pos="9026" w:leader="dot"/>
            </w:tabs>
            <w:rPr/>
          </w:pPr>
          <w:hyperlink w:anchor="__RefHeading___Toc1272659_1067777946">
            <w:r>
              <w:rPr>
                <w:webHidden/>
                <w:rStyle w:val="IndexLink"/>
              </w:rPr>
              <w:t>13</w:t>
            </w:r>
            <w:r>
              <w:rPr>
                <w:rStyle w:val="IndexLink"/>
                <w:rtl w:val="true"/>
              </w:rPr>
              <w:t xml:space="preserve">- </w:t>
            </w:r>
            <w:r>
              <w:rPr>
                <w:rStyle w:val="IndexLink"/>
                <w:rtl w:val="true"/>
              </w:rPr>
              <w:t>الخمس في الكتاب والسنّة</w:t>
            </w:r>
            <w:r>
              <w:rPr>
                <w:rStyle w:val="IndexLink"/>
                <w:rtl w:val="true"/>
              </w:rPr>
              <w:tab/>
            </w:r>
            <w:r>
              <w:rPr>
                <w:rStyle w:val="IndexLink"/>
              </w:rPr>
              <w:t>28</w:t>
            </w:r>
          </w:hyperlink>
        </w:p>
        <w:p>
          <w:pPr>
            <w:pStyle w:val="Contents3"/>
            <w:tabs>
              <w:tab w:val="clear" w:pos="8459"/>
              <w:tab w:val="right" w:pos="9026" w:leader="dot"/>
            </w:tabs>
            <w:rPr/>
          </w:pPr>
          <w:hyperlink w:anchor="__RefHeading___Toc1272661_1067777946">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272663_1067777946">
            <w:r>
              <w:rPr>
                <w:webHidden/>
                <w:rStyle w:val="IndexLink"/>
                <w:rtl w:val="true"/>
              </w:rPr>
              <w:t xml:space="preserve">الأوّل </w:t>
            </w:r>
            <w:r>
              <w:rPr>
                <w:rStyle w:val="IndexLink"/>
                <w:rtl w:val="true"/>
              </w:rPr>
              <w:t xml:space="preserve">: </w:t>
            </w:r>
            <w:r>
              <w:rPr>
                <w:rStyle w:val="IndexLink"/>
                <w:rtl w:val="true"/>
              </w:rPr>
              <w:t>الغنيمة مطلق ما يفوز به الإنسان</w:t>
            </w:r>
            <w:r>
              <w:rPr>
                <w:rStyle w:val="IndexLink"/>
                <w:rtl w:val="true"/>
              </w:rPr>
              <w:tab/>
            </w:r>
            <w:r>
              <w:rPr>
                <w:rStyle w:val="IndexLink"/>
              </w:rPr>
              <w:t>30</w:t>
            </w:r>
          </w:hyperlink>
        </w:p>
        <w:p>
          <w:pPr>
            <w:pStyle w:val="Contents3"/>
            <w:tabs>
              <w:tab w:val="clear" w:pos="8459"/>
              <w:tab w:val="right" w:pos="9026" w:leader="dot"/>
            </w:tabs>
            <w:rPr/>
          </w:pPr>
          <w:hyperlink w:anchor="__RefHeading___Toc1272665_1067777946">
            <w:r>
              <w:rPr>
                <w:webHidden/>
                <w:rStyle w:val="IndexLink"/>
                <w:rtl w:val="true"/>
              </w:rPr>
              <w:t xml:space="preserve">الثاني </w:t>
            </w:r>
            <w:r>
              <w:rPr>
                <w:rStyle w:val="IndexLink"/>
                <w:rtl w:val="true"/>
              </w:rPr>
              <w:t xml:space="preserve">: </w:t>
            </w:r>
            <w:r>
              <w:rPr>
                <w:rStyle w:val="IndexLink"/>
                <w:rtl w:val="true"/>
              </w:rPr>
              <w:t>المورد غير مخصّص</w:t>
            </w:r>
            <w:r>
              <w:rPr>
                <w:rStyle w:val="IndexLink"/>
                <w:rtl w:val="true"/>
              </w:rPr>
              <w:tab/>
            </w:r>
            <w:r>
              <w:rPr>
                <w:rStyle w:val="IndexLink"/>
              </w:rPr>
              <w:t>34</w:t>
            </w:r>
          </w:hyperlink>
        </w:p>
        <w:p>
          <w:pPr>
            <w:pStyle w:val="Contents4"/>
            <w:tabs>
              <w:tab w:val="clear" w:pos="8176"/>
              <w:tab w:val="right" w:pos="9026" w:leader="dot"/>
            </w:tabs>
            <w:rPr/>
          </w:pPr>
          <w:hyperlink w:anchor="__RefHeading___Toc1272667_1067777946">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272669_1067777946">
            <w:r>
              <w:rPr>
                <w:webHidden/>
                <w:rStyle w:val="IndexLink"/>
              </w:rPr>
              <w:t>1</w:t>
            </w:r>
            <w:r>
              <w:rPr>
                <w:rStyle w:val="IndexLink"/>
                <w:rtl w:val="true"/>
              </w:rPr>
              <w:t xml:space="preserve">. </w:t>
            </w:r>
            <w:r>
              <w:rPr>
                <w:rStyle w:val="IndexLink"/>
                <w:rtl w:val="true"/>
              </w:rPr>
              <w:t>وجوب الخمس في الركاز من باب الغنيمة</w:t>
            </w:r>
            <w:r>
              <w:rPr>
                <w:rStyle w:val="IndexLink"/>
                <w:rtl w:val="true"/>
              </w:rPr>
              <w:tab/>
            </w:r>
            <w:r>
              <w:rPr>
                <w:rStyle w:val="IndexLink"/>
              </w:rPr>
              <w:t>34</w:t>
            </w:r>
          </w:hyperlink>
        </w:p>
        <w:p>
          <w:pPr>
            <w:pStyle w:val="Contents5"/>
            <w:tabs>
              <w:tab w:val="clear" w:pos="7892"/>
              <w:tab w:val="right" w:pos="9026" w:leader="dot"/>
            </w:tabs>
            <w:rPr/>
          </w:pPr>
          <w:hyperlink w:anchor="__RefHeading___Toc1272671_1067777946">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272673_1067777946">
            <w:r>
              <w:rPr>
                <w:webHidden/>
                <w:rStyle w:val="IndexLink"/>
                <w:rtl w:val="true"/>
              </w:rPr>
              <w:t>تفسير ألفاظ الأحاديث</w:t>
            </w:r>
            <w:r>
              <w:rPr>
                <w:rStyle w:val="IndexLink"/>
                <w:rtl w:val="true"/>
              </w:rPr>
              <w:tab/>
            </w:r>
            <w:r>
              <w:rPr>
                <w:rStyle w:val="IndexLink"/>
              </w:rPr>
              <w:t>37</w:t>
            </w:r>
          </w:hyperlink>
        </w:p>
        <w:p>
          <w:pPr>
            <w:pStyle w:val="Contents5"/>
            <w:tabs>
              <w:tab w:val="clear" w:pos="7892"/>
              <w:tab w:val="right" w:pos="9026" w:leader="dot"/>
            </w:tabs>
            <w:rPr/>
          </w:pPr>
          <w:hyperlink w:anchor="__RefHeading___Toc1272675_1067777946">
            <w:r>
              <w:rPr>
                <w:webHidden/>
                <w:rStyle w:val="IndexLink"/>
                <w:rtl w:val="true"/>
              </w:rPr>
              <w:t>كلام أبي يوسف في المعدن والركاز</w:t>
            </w:r>
            <w:r>
              <w:rPr>
                <w:rStyle w:val="IndexLink"/>
                <w:rtl w:val="true"/>
              </w:rPr>
              <w:tab/>
            </w:r>
            <w:r>
              <w:rPr>
                <w:rStyle w:val="IndexLink"/>
              </w:rPr>
              <w:t>38</w:t>
            </w:r>
          </w:hyperlink>
        </w:p>
        <w:p>
          <w:pPr>
            <w:pStyle w:val="Contents4"/>
            <w:tabs>
              <w:tab w:val="clear" w:pos="8176"/>
              <w:tab w:val="right" w:pos="9026" w:leader="dot"/>
            </w:tabs>
            <w:rPr/>
          </w:pPr>
          <w:hyperlink w:anchor="__RefHeading___Toc1272677_1067777946">
            <w:r>
              <w:rPr>
                <w:webHidden/>
                <w:rStyle w:val="IndexLink"/>
              </w:rPr>
              <w:t>2</w:t>
            </w:r>
            <w:r>
              <w:rPr>
                <w:rStyle w:val="IndexLink"/>
                <w:rtl w:val="true"/>
              </w:rPr>
              <w:t xml:space="preserve">. </w:t>
            </w:r>
            <w:r>
              <w:rPr>
                <w:rStyle w:val="IndexLink"/>
                <w:rtl w:val="true"/>
              </w:rPr>
              <w:t>الخمس في أرباح المكاسب</w:t>
            </w:r>
            <w:r>
              <w:rPr>
                <w:rStyle w:val="IndexLink"/>
                <w:rtl w:val="true"/>
              </w:rPr>
              <w:tab/>
            </w:r>
            <w:r>
              <w:rPr>
                <w:rStyle w:val="IndexLink"/>
              </w:rPr>
              <w:t>41</w:t>
            </w:r>
          </w:hyperlink>
        </w:p>
        <w:p>
          <w:pPr>
            <w:pStyle w:val="Contents5"/>
            <w:tabs>
              <w:tab w:val="clear" w:pos="7892"/>
              <w:tab w:val="right" w:pos="9026" w:leader="dot"/>
            </w:tabs>
            <w:rPr/>
          </w:pPr>
          <w:hyperlink w:anchor="__RefHeading___Toc1272679_1067777946">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272681_1067777946">
            <w:r>
              <w:rPr>
                <w:webHidden/>
                <w:rStyle w:val="IndexLink"/>
                <w:rtl w:val="true"/>
              </w:rPr>
              <w:t>إيضاح الاستدلال بهذه المكاتيب</w:t>
            </w:r>
            <w:r>
              <w:rPr>
                <w:rStyle w:val="IndexLink"/>
                <w:rtl w:val="true"/>
              </w:rPr>
              <w:tab/>
            </w:r>
            <w:r>
              <w:rPr>
                <w:rStyle w:val="IndexLink"/>
              </w:rPr>
              <w:t>44</w:t>
            </w:r>
          </w:hyperlink>
        </w:p>
        <w:p>
          <w:pPr>
            <w:pStyle w:val="Contents2"/>
            <w:tabs>
              <w:tab w:val="clear" w:pos="8743"/>
              <w:tab w:val="right" w:pos="9026" w:leader="dot"/>
            </w:tabs>
            <w:rPr/>
          </w:pPr>
          <w:hyperlink w:anchor="__RefHeading___Toc1272683_1067777946">
            <w:r>
              <w:rPr>
                <w:webHidden/>
                <w:rStyle w:val="IndexLink"/>
              </w:rPr>
              <w:t>14</w:t>
            </w:r>
            <w:r>
              <w:rPr>
                <w:rStyle w:val="IndexLink"/>
                <w:rtl w:val="true"/>
              </w:rPr>
              <w:t xml:space="preserve">- </w:t>
            </w:r>
            <w:r>
              <w:rPr>
                <w:rStyle w:val="IndexLink"/>
                <w:rtl w:val="true"/>
              </w:rPr>
              <w:t>مواضع الخمس في القرآن الكريم</w:t>
            </w:r>
            <w:r>
              <w:rPr>
                <w:rStyle w:val="IndexLink"/>
                <w:rtl w:val="true"/>
              </w:rPr>
              <w:tab/>
            </w:r>
            <w:r>
              <w:rPr>
                <w:rStyle w:val="IndexLink"/>
              </w:rPr>
              <w:t>48</w:t>
            </w:r>
          </w:hyperlink>
        </w:p>
        <w:p>
          <w:pPr>
            <w:pStyle w:val="Contents3"/>
            <w:tabs>
              <w:tab w:val="clear" w:pos="8459"/>
              <w:tab w:val="right" w:pos="9026" w:leader="dot"/>
            </w:tabs>
            <w:rPr/>
          </w:pPr>
          <w:hyperlink w:anchor="__RefHeading___Toc1272685_1067777946">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272687_1067777946">
            <w:r>
              <w:rPr>
                <w:webHidden/>
                <w:rStyle w:val="IndexLink"/>
                <w:rtl w:val="true"/>
              </w:rPr>
              <w:t>مواضع الخمس في القرآن الكريم</w:t>
            </w:r>
            <w:r>
              <w:rPr>
                <w:rStyle w:val="IndexLink"/>
                <w:rtl w:val="true"/>
              </w:rPr>
              <w:tab/>
            </w:r>
            <w:r>
              <w:rPr>
                <w:rStyle w:val="IndexLink"/>
              </w:rPr>
              <w:t>50</w:t>
            </w:r>
          </w:hyperlink>
        </w:p>
        <w:p>
          <w:pPr>
            <w:pStyle w:val="Contents3"/>
            <w:tabs>
              <w:tab w:val="clear" w:pos="8459"/>
              <w:tab w:val="right" w:pos="9026" w:leader="dot"/>
            </w:tabs>
            <w:rPr/>
          </w:pPr>
          <w:hyperlink w:anchor="__RefHeading___Toc1272689_1067777946">
            <w:r>
              <w:rPr>
                <w:webHidden/>
                <w:rStyle w:val="IndexLink"/>
                <w:rtl w:val="true"/>
              </w:rPr>
              <w:t>مواضع الخمس في السنّة</w:t>
            </w:r>
            <w:r>
              <w:rPr>
                <w:rStyle w:val="IndexLink"/>
                <w:rtl w:val="true"/>
              </w:rPr>
              <w:tab/>
            </w:r>
            <w:r>
              <w:rPr>
                <w:rStyle w:val="IndexLink"/>
              </w:rPr>
              <w:t>52</w:t>
            </w:r>
          </w:hyperlink>
        </w:p>
        <w:p>
          <w:pPr>
            <w:pStyle w:val="Contents3"/>
            <w:tabs>
              <w:tab w:val="clear" w:pos="8459"/>
              <w:tab w:val="right" w:pos="9026" w:leader="dot"/>
            </w:tabs>
            <w:rPr/>
          </w:pPr>
          <w:hyperlink w:anchor="__RefHeading___Toc1272691_1067777946">
            <w:r>
              <w:rPr>
                <w:webHidden/>
                <w:rStyle w:val="IndexLink"/>
                <w:rtl w:val="true"/>
              </w:rPr>
              <w:t>إسقاط حقّ ذي القربى بعد رحيل النبي صلى الله عليه وآله وسلم</w:t>
            </w:r>
            <w:r>
              <w:rPr>
                <w:rStyle w:val="IndexLink"/>
                <w:rtl w:val="true"/>
              </w:rPr>
              <w:tab/>
            </w:r>
            <w:r>
              <w:rPr>
                <w:rStyle w:val="IndexLink"/>
              </w:rPr>
              <w:t>54</w:t>
            </w:r>
          </w:hyperlink>
        </w:p>
        <w:p>
          <w:pPr>
            <w:pStyle w:val="Contents3"/>
            <w:tabs>
              <w:tab w:val="clear" w:pos="8459"/>
              <w:tab w:val="right" w:pos="9026" w:leader="dot"/>
            </w:tabs>
            <w:rPr/>
          </w:pPr>
          <w:hyperlink w:anchor="__RefHeading___Toc1272693_1067777946">
            <w:r>
              <w:rPr>
                <w:webHidden/>
                <w:rStyle w:val="IndexLink"/>
                <w:rtl w:val="true"/>
              </w:rPr>
              <w:t>إسقاط سهم ذي القربى اجتهاد تجاه النص</w:t>
            </w:r>
            <w:r>
              <w:rPr>
                <w:rStyle w:val="IndexLink"/>
                <w:rtl w:val="true"/>
              </w:rPr>
              <w:tab/>
            </w:r>
            <w:r>
              <w:rPr>
                <w:rStyle w:val="IndexLink"/>
              </w:rPr>
              <w:t>55</w:t>
            </w:r>
          </w:hyperlink>
        </w:p>
        <w:p>
          <w:pPr>
            <w:pStyle w:val="Contents2"/>
            <w:tabs>
              <w:tab w:val="clear" w:pos="8743"/>
              <w:tab w:val="right" w:pos="9026" w:leader="dot"/>
            </w:tabs>
            <w:rPr/>
          </w:pPr>
          <w:hyperlink w:anchor="__RefHeading___Toc1272695_1067777946">
            <w:r>
              <w:rPr>
                <w:webHidden/>
                <w:rStyle w:val="IndexLink"/>
              </w:rPr>
              <w:t>15</w:t>
            </w:r>
            <w:r>
              <w:rPr>
                <w:rStyle w:val="IndexLink"/>
                <w:rtl w:val="true"/>
              </w:rPr>
              <w:t xml:space="preserve">- </w:t>
            </w:r>
            <w:r>
              <w:rPr>
                <w:rStyle w:val="IndexLink"/>
                <w:rtl w:val="true"/>
              </w:rPr>
              <w:t>الإشهاد على الطلاق</w:t>
            </w:r>
            <w:r>
              <w:rPr>
                <w:rStyle w:val="IndexLink"/>
                <w:rtl w:val="true"/>
              </w:rPr>
              <w:tab/>
            </w:r>
            <w:r>
              <w:rPr>
                <w:rStyle w:val="IndexLink"/>
              </w:rPr>
              <w:t>60</w:t>
            </w:r>
          </w:hyperlink>
        </w:p>
        <w:p>
          <w:pPr>
            <w:pStyle w:val="Contents3"/>
            <w:tabs>
              <w:tab w:val="clear" w:pos="8459"/>
              <w:tab w:val="right" w:pos="9026" w:leader="dot"/>
            </w:tabs>
            <w:rPr/>
          </w:pPr>
          <w:hyperlink w:anchor="__RefHeading___Toc1272697_1067777946">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272699_1067777946">
            <w:r>
              <w:rPr>
                <w:webHidden/>
                <w:rStyle w:val="IndexLink"/>
                <w:rtl w:val="true"/>
              </w:rPr>
              <w:t>الإشهاد على الطلاق</w:t>
            </w:r>
            <w:r>
              <w:rPr>
                <w:rStyle w:val="IndexLink"/>
                <w:rtl w:val="true"/>
              </w:rPr>
              <w:tab/>
            </w:r>
            <w:r>
              <w:rPr>
                <w:rStyle w:val="IndexLink"/>
              </w:rPr>
              <w:t>62</w:t>
            </w:r>
          </w:hyperlink>
        </w:p>
        <w:p>
          <w:pPr>
            <w:pStyle w:val="Contents2"/>
            <w:tabs>
              <w:tab w:val="clear" w:pos="8743"/>
              <w:tab w:val="right" w:pos="9026" w:leader="dot"/>
            </w:tabs>
            <w:rPr/>
          </w:pPr>
          <w:hyperlink w:anchor="__RefHeading___Toc1272701_1067777946">
            <w:r>
              <w:rPr>
                <w:webHidden/>
                <w:rStyle w:val="IndexLink"/>
              </w:rPr>
              <w:t>16</w:t>
            </w:r>
            <w:r>
              <w:rPr>
                <w:rStyle w:val="IndexLink"/>
                <w:rtl w:val="true"/>
              </w:rPr>
              <w:t xml:space="preserve">- </w:t>
            </w:r>
            <w:r>
              <w:rPr>
                <w:rStyle w:val="IndexLink"/>
                <w:rtl w:val="true"/>
              </w:rPr>
              <w:t>الطلاق ثلاثاً بصيغة أو ثلاث صيغ في مجلس واحد</w:t>
            </w:r>
            <w:r>
              <w:rPr>
                <w:rStyle w:val="IndexLink"/>
                <w:rtl w:val="true"/>
              </w:rPr>
              <w:tab/>
            </w:r>
            <w:r>
              <w:rPr>
                <w:rStyle w:val="IndexLink"/>
              </w:rPr>
              <w:t>72</w:t>
            </w:r>
          </w:hyperlink>
        </w:p>
        <w:p>
          <w:pPr>
            <w:pStyle w:val="Contents3"/>
            <w:tabs>
              <w:tab w:val="clear" w:pos="8459"/>
              <w:tab w:val="right" w:pos="9026" w:leader="dot"/>
            </w:tabs>
            <w:rPr/>
          </w:pPr>
          <w:hyperlink w:anchor="__RefHeading___Toc1272703_1067777946">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272705_1067777946">
            <w:r>
              <w:rPr>
                <w:webHidden/>
                <w:rStyle w:val="IndexLink"/>
                <w:rtl w:val="true"/>
              </w:rPr>
              <w:t>الطلاق ثلاثاً بصيغة أو ثلاث صيغ في مجلس واحد</w:t>
            </w:r>
            <w:r>
              <w:rPr>
                <w:rStyle w:val="IndexLink"/>
                <w:rtl w:val="true"/>
              </w:rPr>
              <w:tab/>
            </w:r>
            <w:r>
              <w:rPr>
                <w:rStyle w:val="IndexLink"/>
              </w:rPr>
              <w:t>74</w:t>
            </w:r>
          </w:hyperlink>
        </w:p>
        <w:p>
          <w:pPr>
            <w:pStyle w:val="Contents3"/>
            <w:tabs>
              <w:tab w:val="clear" w:pos="8459"/>
              <w:tab w:val="right" w:pos="9026" w:leader="dot"/>
            </w:tabs>
            <w:rPr/>
          </w:pPr>
          <w:hyperlink w:anchor="__RefHeading___Toc1272707_1067777946">
            <w:r>
              <w:rPr>
                <w:webHidden/>
                <w:rStyle w:val="IndexLink"/>
                <w:rtl w:val="true"/>
              </w:rPr>
              <w:t>دراسة الآيات الواردة في المقام</w:t>
            </w:r>
            <w:r>
              <w:rPr>
                <w:rStyle w:val="IndexLink"/>
                <w:rtl w:val="true"/>
              </w:rPr>
              <w:tab/>
            </w:r>
            <w:r>
              <w:rPr>
                <w:rStyle w:val="IndexLink"/>
              </w:rPr>
              <w:t>80</w:t>
            </w:r>
          </w:hyperlink>
        </w:p>
        <w:p>
          <w:pPr>
            <w:pStyle w:val="Contents4"/>
            <w:tabs>
              <w:tab w:val="clear" w:pos="8176"/>
              <w:tab w:val="right" w:pos="9026" w:leader="dot"/>
            </w:tabs>
            <w:rPr/>
          </w:pPr>
          <w:hyperlink w:anchor="__RefHeading___Toc1272709_1067777946">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272711_1067777946">
            <w:r>
              <w:rPr>
                <w:webHidden/>
                <w:rStyle w:val="IndexLink"/>
                <w:rtl w:val="true"/>
              </w:rPr>
              <w:t xml:space="preserve">أوّلاً </w:t>
            </w:r>
            <w:r>
              <w:rPr>
                <w:rStyle w:val="IndexLink"/>
                <w:rtl w:val="true"/>
              </w:rPr>
              <w:t xml:space="preserve">: </w:t>
            </w:r>
            <w:r>
              <w:rPr>
                <w:rStyle w:val="IndexLink"/>
                <w:rtl w:val="true"/>
              </w:rPr>
              <w:t xml:space="preserve">الاستدلال عن طريق الكتاب بوجوه </w:t>
            </w:r>
            <w:r>
              <w:rPr>
                <w:rStyle w:val="IndexLink"/>
                <w:rtl w:val="true"/>
              </w:rPr>
              <w:t>:</w:t>
              <w:tab/>
            </w:r>
            <w:r>
              <w:rPr>
                <w:rStyle w:val="IndexLink"/>
              </w:rPr>
              <w:t>87</w:t>
            </w:r>
          </w:hyperlink>
        </w:p>
        <w:p>
          <w:pPr>
            <w:pStyle w:val="Contents4"/>
            <w:tabs>
              <w:tab w:val="clear" w:pos="8176"/>
              <w:tab w:val="right" w:pos="9026" w:leader="dot"/>
            </w:tabs>
            <w:rPr/>
          </w:pPr>
          <w:hyperlink w:anchor="__RefHeading___Toc1272713_1067777946">
            <w:r>
              <w:rPr>
                <w:webHidden/>
                <w:rStyle w:val="IndexLink"/>
                <w:rtl w:val="true"/>
              </w:rPr>
              <w:t xml:space="preserve">ثانياً </w:t>
            </w:r>
            <w:r>
              <w:rPr>
                <w:rStyle w:val="IndexLink"/>
                <w:rtl w:val="true"/>
              </w:rPr>
              <w:t xml:space="preserve">: </w:t>
            </w:r>
            <w:r>
              <w:rPr>
                <w:rStyle w:val="IndexLink"/>
                <w:rtl w:val="true"/>
              </w:rPr>
              <w:t>الاستدلال عن طريق السنّة</w:t>
            </w:r>
            <w:r>
              <w:rPr>
                <w:rStyle w:val="IndexLink"/>
                <w:rtl w:val="true"/>
              </w:rPr>
              <w:tab/>
            </w:r>
            <w:r>
              <w:rPr>
                <w:rStyle w:val="IndexLink"/>
              </w:rPr>
              <w:t>95</w:t>
            </w:r>
          </w:hyperlink>
        </w:p>
        <w:p>
          <w:pPr>
            <w:pStyle w:val="Contents3"/>
            <w:tabs>
              <w:tab w:val="clear" w:pos="8459"/>
              <w:tab w:val="right" w:pos="9026" w:leader="dot"/>
            </w:tabs>
            <w:rPr/>
          </w:pPr>
          <w:hyperlink w:anchor="__RefHeading___Toc1272715_1067777946">
            <w:r>
              <w:rPr>
                <w:webHidden/>
                <w:rStyle w:val="IndexLink"/>
                <w:rtl w:val="true"/>
              </w:rPr>
              <w:t>أدلّة القائل بصحّة الطلاق ثلاثاً</w:t>
            </w:r>
            <w:r>
              <w:rPr>
                <w:rStyle w:val="IndexLink"/>
                <w:rtl w:val="true"/>
              </w:rPr>
              <w:tab/>
            </w:r>
            <w:r>
              <w:rPr>
                <w:rStyle w:val="IndexLink"/>
              </w:rPr>
              <w:t>97</w:t>
            </w:r>
          </w:hyperlink>
        </w:p>
        <w:p>
          <w:pPr>
            <w:pStyle w:val="Contents3"/>
            <w:tabs>
              <w:tab w:val="clear" w:pos="8459"/>
              <w:tab w:val="right" w:pos="9026" w:leader="dot"/>
            </w:tabs>
            <w:rPr/>
          </w:pPr>
          <w:hyperlink w:anchor="__RefHeading___Toc1272717_1067777946">
            <w:r>
              <w:rPr>
                <w:webHidden/>
                <w:rStyle w:val="IndexLink"/>
                <w:rtl w:val="true"/>
              </w:rPr>
              <w:t>الاستدلال بالسنّة</w:t>
            </w:r>
            <w:r>
              <w:rPr>
                <w:rStyle w:val="IndexLink"/>
                <w:rtl w:val="true"/>
              </w:rPr>
              <w:tab/>
            </w:r>
            <w:r>
              <w:rPr>
                <w:rStyle w:val="IndexLink"/>
              </w:rPr>
              <w:t>98</w:t>
            </w:r>
          </w:hyperlink>
        </w:p>
        <w:p>
          <w:pPr>
            <w:pStyle w:val="Contents4"/>
            <w:tabs>
              <w:tab w:val="clear" w:pos="8176"/>
              <w:tab w:val="right" w:pos="9026" w:leader="dot"/>
            </w:tabs>
            <w:rPr/>
          </w:pPr>
          <w:hyperlink w:anchor="__RefHeading___Toc1272719_1067777946">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272721_1067777946">
            <w:r>
              <w:rPr>
                <w:webHidden/>
                <w:rStyle w:val="IndexLink"/>
              </w:rPr>
              <w:t>1</w:t>
            </w:r>
            <w:r>
              <w:rPr>
                <w:rStyle w:val="IndexLink"/>
                <w:rtl w:val="true"/>
              </w:rPr>
              <w:t xml:space="preserve">. </w:t>
            </w:r>
            <w:r>
              <w:rPr>
                <w:rStyle w:val="IndexLink"/>
                <w:rtl w:val="true"/>
              </w:rPr>
              <w:t>خبر فاطمة بنت قيس</w:t>
            </w:r>
            <w:r>
              <w:rPr>
                <w:rStyle w:val="IndexLink"/>
                <w:rtl w:val="true"/>
              </w:rPr>
              <w:tab/>
            </w:r>
            <w:r>
              <w:rPr>
                <w:rStyle w:val="IndexLink"/>
              </w:rPr>
              <w:t>98</w:t>
            </w:r>
          </w:hyperlink>
        </w:p>
        <w:p>
          <w:pPr>
            <w:pStyle w:val="Contents4"/>
            <w:tabs>
              <w:tab w:val="clear" w:pos="8176"/>
              <w:tab w:val="right" w:pos="9026" w:leader="dot"/>
            </w:tabs>
            <w:rPr/>
          </w:pPr>
          <w:hyperlink w:anchor="__RefHeading___Toc1272723_1067777946">
            <w:r>
              <w:rPr>
                <w:webHidden/>
                <w:rStyle w:val="IndexLink"/>
              </w:rPr>
              <w:t>2</w:t>
            </w:r>
            <w:r>
              <w:rPr>
                <w:rStyle w:val="IndexLink"/>
                <w:rtl w:val="true"/>
              </w:rPr>
              <w:t xml:space="preserve">. </w:t>
            </w:r>
            <w:r>
              <w:rPr>
                <w:rStyle w:val="IndexLink"/>
                <w:rtl w:val="true"/>
              </w:rPr>
              <w:t>حديث عائشة</w:t>
            </w:r>
            <w:r>
              <w:rPr>
                <w:rStyle w:val="IndexLink"/>
                <w:rtl w:val="true"/>
              </w:rPr>
              <w:tab/>
            </w:r>
            <w:r>
              <w:rPr>
                <w:rStyle w:val="IndexLink"/>
              </w:rPr>
              <w:t>99</w:t>
            </w:r>
          </w:hyperlink>
        </w:p>
        <w:p>
          <w:pPr>
            <w:pStyle w:val="Contents4"/>
            <w:tabs>
              <w:tab w:val="clear" w:pos="8176"/>
              <w:tab w:val="right" w:pos="9026" w:leader="dot"/>
            </w:tabs>
            <w:rPr/>
          </w:pPr>
          <w:hyperlink w:anchor="__RefHeading___Toc1272725_1067777946">
            <w:r>
              <w:rPr>
                <w:webHidden/>
                <w:rStyle w:val="IndexLink"/>
              </w:rPr>
              <w:t>3</w:t>
            </w:r>
            <w:r>
              <w:rPr>
                <w:rStyle w:val="IndexLink"/>
                <w:rtl w:val="true"/>
              </w:rPr>
              <w:t xml:space="preserve">. </w:t>
            </w:r>
            <w:r>
              <w:rPr>
                <w:rStyle w:val="IndexLink"/>
                <w:rtl w:val="true"/>
              </w:rPr>
              <w:t>حديث سهل</w:t>
            </w:r>
            <w:r>
              <w:rPr>
                <w:rStyle w:val="IndexLink"/>
                <w:rtl w:val="true"/>
              </w:rPr>
              <w:tab/>
            </w:r>
            <w:r>
              <w:rPr>
                <w:rStyle w:val="IndexLink"/>
              </w:rPr>
              <w:t>100</w:t>
            </w:r>
          </w:hyperlink>
        </w:p>
        <w:p>
          <w:pPr>
            <w:pStyle w:val="Contents3"/>
            <w:tabs>
              <w:tab w:val="clear" w:pos="8459"/>
              <w:tab w:val="right" w:pos="9026" w:leader="dot"/>
            </w:tabs>
            <w:rPr/>
          </w:pPr>
          <w:hyperlink w:anchor="__RefHeading___Toc1272727_1067777946">
            <w:r>
              <w:rPr>
                <w:webHidden/>
                <w:rStyle w:val="IndexLink"/>
                <w:rtl w:val="true"/>
              </w:rPr>
              <w:t>الاستدلال بالإجماع</w:t>
            </w:r>
            <w:r>
              <w:rPr>
                <w:rStyle w:val="IndexLink"/>
                <w:rtl w:val="true"/>
              </w:rPr>
              <w:tab/>
            </w:r>
            <w:r>
              <w:rPr>
                <w:rStyle w:val="IndexLink"/>
              </w:rPr>
              <w:t>101</w:t>
            </w:r>
          </w:hyperlink>
        </w:p>
        <w:p>
          <w:pPr>
            <w:pStyle w:val="Contents3"/>
            <w:tabs>
              <w:tab w:val="clear" w:pos="8459"/>
              <w:tab w:val="right" w:pos="9026" w:leader="dot"/>
            </w:tabs>
            <w:rPr/>
          </w:pPr>
          <w:hyperlink w:anchor="__RefHeading___Toc1272729_1067777946">
            <w:r>
              <w:rPr>
                <w:webHidden/>
                <w:rStyle w:val="IndexLink"/>
                <w:rtl w:val="true"/>
              </w:rPr>
              <w:t>الاجتهاد تجاه النص</w:t>
            </w:r>
            <w:r>
              <w:rPr>
                <w:rStyle w:val="IndexLink"/>
                <w:rtl w:val="true"/>
              </w:rPr>
              <w:tab/>
            </w:r>
            <w:r>
              <w:rPr>
                <w:rStyle w:val="IndexLink"/>
              </w:rPr>
              <w:t>102</w:t>
            </w:r>
          </w:hyperlink>
        </w:p>
        <w:p>
          <w:pPr>
            <w:pStyle w:val="Contents3"/>
            <w:tabs>
              <w:tab w:val="clear" w:pos="8459"/>
              <w:tab w:val="right" w:pos="9026" w:leader="dot"/>
            </w:tabs>
            <w:rPr/>
          </w:pPr>
          <w:hyperlink w:anchor="__RefHeading___Toc1272731_1067777946">
            <w:r>
              <w:rPr>
                <w:webHidden/>
                <w:rStyle w:val="IndexLink"/>
                <w:rtl w:val="true"/>
              </w:rPr>
              <w:t>تبريرات لحكم الخليفة</w:t>
            </w:r>
            <w:r>
              <w:rPr>
                <w:rStyle w:val="IndexLink"/>
                <w:rtl w:val="true"/>
              </w:rPr>
              <w:tab/>
            </w:r>
            <w:r>
              <w:rPr>
                <w:rStyle w:val="IndexLink"/>
              </w:rPr>
              <w:t>105</w:t>
            </w:r>
          </w:hyperlink>
        </w:p>
        <w:p>
          <w:pPr>
            <w:pStyle w:val="Contents4"/>
            <w:tabs>
              <w:tab w:val="clear" w:pos="8176"/>
              <w:tab w:val="right" w:pos="9026" w:leader="dot"/>
            </w:tabs>
            <w:rPr/>
          </w:pPr>
          <w:hyperlink w:anchor="__RefHeading___Toc1272733_1067777946">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272735_1067777946">
            <w:r>
              <w:rPr>
                <w:webHidden/>
                <w:rStyle w:val="IndexLink"/>
              </w:rPr>
              <w:t>1</w:t>
            </w:r>
            <w:r>
              <w:rPr>
                <w:rStyle w:val="IndexLink"/>
                <w:rtl w:val="true"/>
              </w:rPr>
              <w:t xml:space="preserve">. </w:t>
            </w:r>
            <w:r>
              <w:rPr>
                <w:rStyle w:val="IndexLink"/>
                <w:rtl w:val="true"/>
              </w:rPr>
              <w:t>نسخ الكتاب بالإجماع الكاشف عن النص</w:t>
            </w:r>
            <w:r>
              <w:rPr>
                <w:rStyle w:val="IndexLink"/>
                <w:rtl w:val="true"/>
              </w:rPr>
              <w:tab/>
            </w:r>
            <w:r>
              <w:rPr>
                <w:rStyle w:val="IndexLink"/>
              </w:rPr>
              <w:t>106</w:t>
            </w:r>
          </w:hyperlink>
        </w:p>
        <w:p>
          <w:pPr>
            <w:pStyle w:val="Contents4"/>
            <w:tabs>
              <w:tab w:val="clear" w:pos="8176"/>
              <w:tab w:val="right" w:pos="9026" w:leader="dot"/>
            </w:tabs>
            <w:rPr/>
          </w:pPr>
          <w:hyperlink w:anchor="__RefHeading___Toc1272737_1067777946">
            <w:r>
              <w:rPr>
                <w:webHidden/>
                <w:rStyle w:val="IndexLink"/>
              </w:rPr>
              <w:t>2</w:t>
            </w:r>
            <w:r>
              <w:rPr>
                <w:rStyle w:val="IndexLink"/>
                <w:rtl w:val="true"/>
              </w:rPr>
              <w:t xml:space="preserve">. </w:t>
            </w:r>
            <w:r>
              <w:rPr>
                <w:rStyle w:val="IndexLink"/>
                <w:rtl w:val="true"/>
              </w:rPr>
              <w:t>تعزيرهم على ما تعدّوا به حدود الله</w:t>
            </w:r>
            <w:r>
              <w:rPr>
                <w:rStyle w:val="IndexLink"/>
                <w:rtl w:val="true"/>
              </w:rPr>
              <w:tab/>
            </w:r>
            <w:r>
              <w:rPr>
                <w:rStyle w:val="IndexLink"/>
              </w:rPr>
              <w:t>107</w:t>
            </w:r>
          </w:hyperlink>
        </w:p>
        <w:p>
          <w:pPr>
            <w:pStyle w:val="Contents4"/>
            <w:tabs>
              <w:tab w:val="clear" w:pos="8176"/>
              <w:tab w:val="right" w:pos="9026" w:leader="dot"/>
            </w:tabs>
            <w:rPr/>
          </w:pPr>
          <w:hyperlink w:anchor="__RefHeading___Toc1272739_1067777946">
            <w:r>
              <w:rPr>
                <w:webHidden/>
                <w:rStyle w:val="IndexLink"/>
              </w:rPr>
              <w:t>3</w:t>
            </w:r>
            <w:r>
              <w:rPr>
                <w:rStyle w:val="IndexLink"/>
                <w:rtl w:val="true"/>
              </w:rPr>
              <w:t xml:space="preserve">. </w:t>
            </w:r>
            <w:r>
              <w:rPr>
                <w:rStyle w:val="IndexLink"/>
                <w:rtl w:val="true"/>
              </w:rPr>
              <w:t>تنفيذ الطلاق ثلاثاً للحد من الكذب</w:t>
            </w:r>
            <w:r>
              <w:rPr>
                <w:rStyle w:val="IndexLink"/>
                <w:rtl w:val="true"/>
              </w:rPr>
              <w:tab/>
            </w:r>
            <w:r>
              <w:rPr>
                <w:rStyle w:val="IndexLink"/>
              </w:rPr>
              <w:t>110</w:t>
            </w:r>
          </w:hyperlink>
        </w:p>
        <w:p>
          <w:pPr>
            <w:pStyle w:val="Contents4"/>
            <w:tabs>
              <w:tab w:val="clear" w:pos="8176"/>
              <w:tab w:val="right" w:pos="9026" w:leader="dot"/>
            </w:tabs>
            <w:rPr/>
          </w:pPr>
          <w:hyperlink w:anchor="__RefHeading___Toc1272741_1067777946">
            <w:r>
              <w:rPr>
                <w:webHidden/>
                <w:rStyle w:val="IndexLink"/>
              </w:rPr>
              <w:t>4</w:t>
            </w:r>
            <w:r>
              <w:rPr>
                <w:rStyle w:val="IndexLink"/>
                <w:rtl w:val="true"/>
              </w:rPr>
              <w:t xml:space="preserve">. </w:t>
            </w:r>
            <w:r>
              <w:rPr>
                <w:rStyle w:val="IndexLink"/>
                <w:rtl w:val="true"/>
              </w:rPr>
              <w:t>تغيّر الأحكام بالمصالح</w:t>
            </w:r>
            <w:r>
              <w:rPr>
                <w:rStyle w:val="IndexLink"/>
                <w:rtl w:val="true"/>
              </w:rPr>
              <w:tab/>
            </w:r>
            <w:r>
              <w:rPr>
                <w:rStyle w:val="IndexLink"/>
              </w:rPr>
              <w:t>112</w:t>
            </w:r>
          </w:hyperlink>
        </w:p>
        <w:p>
          <w:pPr>
            <w:pStyle w:val="Contents4"/>
            <w:tabs>
              <w:tab w:val="clear" w:pos="8176"/>
              <w:tab w:val="right" w:pos="9026" w:leader="dot"/>
            </w:tabs>
            <w:rPr/>
          </w:pPr>
          <w:hyperlink w:anchor="__RefHeading___Toc1272743_1067777946">
            <w:r>
              <w:rPr>
                <w:webHidden/>
                <w:rStyle w:val="IndexLink"/>
              </w:rPr>
              <w:t>5</w:t>
            </w:r>
            <w:r>
              <w:rPr>
                <w:rStyle w:val="IndexLink"/>
                <w:rtl w:val="true"/>
              </w:rPr>
              <w:t xml:space="preserve">. </w:t>
            </w:r>
            <w:r>
              <w:rPr>
                <w:rStyle w:val="IndexLink"/>
                <w:rtl w:val="true"/>
              </w:rPr>
              <w:t>تغيّر الأحكام حسب مقتضيات الزمان</w:t>
            </w:r>
            <w:r>
              <w:rPr>
                <w:rStyle w:val="IndexLink"/>
                <w:rtl w:val="true"/>
              </w:rPr>
              <w:tab/>
            </w:r>
            <w:r>
              <w:rPr>
                <w:rStyle w:val="IndexLink"/>
              </w:rPr>
              <w:t>114</w:t>
            </w:r>
          </w:hyperlink>
        </w:p>
        <w:p>
          <w:pPr>
            <w:pStyle w:val="Contents3"/>
            <w:tabs>
              <w:tab w:val="clear" w:pos="8459"/>
              <w:tab w:val="right" w:pos="9026" w:leader="dot"/>
            </w:tabs>
            <w:rPr/>
          </w:pPr>
          <w:hyperlink w:anchor="__RefHeading___Toc1272745_1067777946">
            <w:r>
              <w:rPr>
                <w:webHidden/>
                <w:rStyle w:val="IndexLink"/>
                <w:rtl w:val="true"/>
              </w:rPr>
              <w:t>جزاء الانحراف عن الطريق المهيع</w:t>
            </w:r>
            <w:r>
              <w:rPr>
                <w:rStyle w:val="IndexLink"/>
                <w:rtl w:val="true"/>
              </w:rPr>
              <w:tab/>
            </w:r>
            <w:r>
              <w:rPr>
                <w:rStyle w:val="IndexLink"/>
              </w:rPr>
              <w:t>119</w:t>
            </w:r>
          </w:hyperlink>
        </w:p>
        <w:p>
          <w:pPr>
            <w:pStyle w:val="Contents2"/>
            <w:tabs>
              <w:tab w:val="clear" w:pos="8743"/>
              <w:tab w:val="right" w:pos="9026" w:leader="dot"/>
            </w:tabs>
            <w:rPr/>
          </w:pPr>
          <w:hyperlink w:anchor="__RefHeading___Toc1272747_1067777946">
            <w:r>
              <w:rPr>
                <w:webHidden/>
                <w:rStyle w:val="IndexLink"/>
              </w:rPr>
              <w:t>17</w:t>
            </w:r>
            <w:r>
              <w:rPr>
                <w:rStyle w:val="IndexLink"/>
                <w:rtl w:val="true"/>
              </w:rPr>
              <w:t xml:space="preserve">- </w:t>
            </w:r>
            <w:r>
              <w:rPr>
                <w:rStyle w:val="IndexLink"/>
                <w:rtl w:val="true"/>
              </w:rPr>
              <w:t>الطلاق المعلّق</w:t>
            </w:r>
            <w:r>
              <w:rPr>
                <w:rStyle w:val="IndexLink"/>
                <w:rtl w:val="true"/>
              </w:rPr>
              <w:tab/>
            </w:r>
            <w:r>
              <w:rPr>
                <w:rStyle w:val="IndexLink"/>
              </w:rPr>
              <w:t>124</w:t>
            </w:r>
          </w:hyperlink>
        </w:p>
        <w:p>
          <w:pPr>
            <w:pStyle w:val="Contents3"/>
            <w:tabs>
              <w:tab w:val="clear" w:pos="8459"/>
              <w:tab w:val="right" w:pos="9026" w:leader="dot"/>
            </w:tabs>
            <w:rPr/>
          </w:pPr>
          <w:hyperlink w:anchor="__RefHeading___Toc1272749_1067777946">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272751_1067777946">
            <w:r>
              <w:rPr>
                <w:webHidden/>
                <w:rStyle w:val="IndexLink"/>
                <w:rtl w:val="true"/>
              </w:rPr>
              <w:t>الطلاق المعلّق</w:t>
            </w:r>
            <w:r>
              <w:rPr>
                <w:rStyle w:val="IndexLink"/>
                <w:rtl w:val="true"/>
              </w:rPr>
              <w:tab/>
            </w:r>
            <w:r>
              <w:rPr>
                <w:rStyle w:val="IndexLink"/>
              </w:rPr>
              <w:t>126</w:t>
            </w:r>
          </w:hyperlink>
        </w:p>
        <w:p>
          <w:pPr>
            <w:pStyle w:val="Contents3"/>
            <w:tabs>
              <w:tab w:val="clear" w:pos="8459"/>
              <w:tab w:val="right" w:pos="9026" w:leader="dot"/>
            </w:tabs>
            <w:rPr/>
          </w:pPr>
          <w:hyperlink w:anchor="__RefHeading___Toc1272753_1067777946">
            <w:r>
              <w:rPr>
                <w:webHidden/>
                <w:rStyle w:val="IndexLink"/>
                <w:rtl w:val="true"/>
              </w:rPr>
              <w:t>أدلّة القائل بالبطلان</w:t>
            </w:r>
            <w:r>
              <w:rPr>
                <w:rStyle w:val="IndexLink"/>
                <w:rtl w:val="true"/>
              </w:rPr>
              <w:tab/>
            </w:r>
            <w:r>
              <w:rPr>
                <w:rStyle w:val="IndexLink"/>
              </w:rPr>
              <w:t>128</w:t>
            </w:r>
          </w:hyperlink>
        </w:p>
        <w:p>
          <w:pPr>
            <w:pStyle w:val="Contents4"/>
            <w:tabs>
              <w:tab w:val="clear" w:pos="8176"/>
              <w:tab w:val="right" w:pos="9026" w:leader="dot"/>
            </w:tabs>
            <w:rPr/>
          </w:pPr>
          <w:hyperlink w:anchor="__RefHeading___Toc1272755_1067777946">
            <w:r>
              <w:rPr>
                <w:webHidden/>
                <w:rStyle w:val="IndexLink"/>
                <w:rtl w:val="true"/>
              </w:rPr>
              <w:t xml:space="preserve">الأوّل </w:t>
            </w:r>
            <w:r>
              <w:rPr>
                <w:rStyle w:val="IndexLink"/>
                <w:rtl w:val="true"/>
              </w:rPr>
              <w:t xml:space="preserve">: </w:t>
            </w:r>
            <w:r>
              <w:rPr>
                <w:rStyle w:val="IndexLink"/>
                <w:rtl w:val="true"/>
              </w:rPr>
              <w:t>الطلاق المشروط غير مسنون</w:t>
            </w:r>
            <w:r>
              <w:rPr>
                <w:rStyle w:val="IndexLink"/>
                <w:rtl w:val="true"/>
              </w:rPr>
              <w:tab/>
            </w:r>
            <w:r>
              <w:rPr>
                <w:rStyle w:val="IndexLink"/>
              </w:rPr>
              <w:t>128</w:t>
            </w:r>
          </w:hyperlink>
        </w:p>
        <w:p>
          <w:pPr>
            <w:pStyle w:val="Contents4"/>
            <w:tabs>
              <w:tab w:val="clear" w:pos="8176"/>
              <w:tab w:val="right" w:pos="9026" w:leader="dot"/>
            </w:tabs>
            <w:rPr/>
          </w:pPr>
          <w:hyperlink w:anchor="__RefHeading___Toc1272757_1067777946">
            <w:r>
              <w:rPr>
                <w:webHidden/>
                <w:rStyle w:val="IndexLink"/>
                <w:rtl w:val="true"/>
              </w:rPr>
              <w:t xml:space="preserve">الثاني </w:t>
            </w:r>
            <w:r>
              <w:rPr>
                <w:rStyle w:val="IndexLink"/>
                <w:rtl w:val="true"/>
              </w:rPr>
              <w:t xml:space="preserve">: </w:t>
            </w:r>
            <w:r>
              <w:rPr>
                <w:rStyle w:val="IndexLink"/>
                <w:rtl w:val="true"/>
              </w:rPr>
              <w:t>مقتضى الاستصحاب بقاء الزوجية</w:t>
            </w:r>
            <w:r>
              <w:rPr>
                <w:rStyle w:val="IndexLink"/>
                <w:rtl w:val="true"/>
              </w:rPr>
              <w:tab/>
            </w:r>
            <w:r>
              <w:rPr>
                <w:rStyle w:val="IndexLink"/>
              </w:rPr>
              <w:t>128</w:t>
            </w:r>
          </w:hyperlink>
        </w:p>
        <w:p>
          <w:pPr>
            <w:pStyle w:val="Contents4"/>
            <w:tabs>
              <w:tab w:val="clear" w:pos="8176"/>
              <w:tab w:val="right" w:pos="9026" w:leader="dot"/>
            </w:tabs>
            <w:rPr/>
          </w:pPr>
          <w:hyperlink w:anchor="__RefHeading___Toc1272759_1067777946">
            <w:r>
              <w:rPr>
                <w:webHidden/>
                <w:rStyle w:val="IndexLink"/>
                <w:rtl w:val="true"/>
              </w:rPr>
              <w:t xml:space="preserve">الثالث </w:t>
            </w:r>
            <w:r>
              <w:rPr>
                <w:rStyle w:val="IndexLink"/>
                <w:rtl w:val="true"/>
              </w:rPr>
              <w:t xml:space="preserve">: </w:t>
            </w:r>
            <w:r>
              <w:rPr>
                <w:rStyle w:val="IndexLink"/>
                <w:rtl w:val="true"/>
              </w:rPr>
              <w:t>الطلاق المعلّق خارج عن القسمين</w:t>
            </w:r>
            <w:r>
              <w:rPr>
                <w:rStyle w:val="IndexLink"/>
                <w:rtl w:val="true"/>
              </w:rPr>
              <w:tab/>
            </w:r>
            <w:r>
              <w:rPr>
                <w:rStyle w:val="IndexLink"/>
              </w:rPr>
              <w:t>130</w:t>
            </w:r>
          </w:hyperlink>
        </w:p>
        <w:p>
          <w:pPr>
            <w:pStyle w:val="Contents4"/>
            <w:tabs>
              <w:tab w:val="clear" w:pos="8176"/>
              <w:tab w:val="right" w:pos="9026" w:leader="dot"/>
            </w:tabs>
            <w:rPr/>
          </w:pPr>
          <w:hyperlink w:anchor="__RefHeading___Toc1272761_1067777946">
            <w:r>
              <w:rPr>
                <w:webHidden/>
                <w:rStyle w:val="IndexLink"/>
                <w:rtl w:val="true"/>
              </w:rPr>
              <w:t xml:space="preserve">الرابع </w:t>
            </w:r>
            <w:r>
              <w:rPr>
                <w:rStyle w:val="IndexLink"/>
                <w:rtl w:val="true"/>
              </w:rPr>
              <w:t xml:space="preserve">: </w:t>
            </w:r>
            <w:r>
              <w:rPr>
                <w:rStyle w:val="IndexLink"/>
                <w:rtl w:val="true"/>
              </w:rPr>
              <w:t>المطلّقة أشبه بالمعلّقة</w:t>
            </w:r>
            <w:r>
              <w:rPr>
                <w:rStyle w:val="IndexLink"/>
                <w:rtl w:val="true"/>
              </w:rPr>
              <w:tab/>
            </w:r>
            <w:r>
              <w:rPr>
                <w:rStyle w:val="IndexLink"/>
              </w:rPr>
              <w:t>130</w:t>
            </w:r>
          </w:hyperlink>
        </w:p>
        <w:p>
          <w:pPr>
            <w:pStyle w:val="Contents4"/>
            <w:tabs>
              <w:tab w:val="clear" w:pos="8176"/>
              <w:tab w:val="right" w:pos="9026" w:leader="dot"/>
            </w:tabs>
            <w:rPr/>
          </w:pPr>
          <w:hyperlink w:anchor="__RefHeading___Toc1272763_1067777946">
            <w:r>
              <w:rPr>
                <w:webHidden/>
                <w:rStyle w:val="IndexLink"/>
                <w:rtl w:val="true"/>
              </w:rPr>
              <w:t xml:space="preserve">الخامس </w:t>
            </w:r>
            <w:r>
              <w:rPr>
                <w:rStyle w:val="IndexLink"/>
                <w:rtl w:val="true"/>
              </w:rPr>
              <w:t xml:space="preserve">: </w:t>
            </w:r>
            <w:r>
              <w:rPr>
                <w:rStyle w:val="IndexLink"/>
                <w:rtl w:val="true"/>
              </w:rPr>
              <w:t xml:space="preserve">إجماع أئمّة أهل البيت </w:t>
            </w:r>
            <w:r>
              <w:rPr>
                <w:rStyle w:val="IndexLink"/>
                <w:rtl w:val="true"/>
              </w:rPr>
              <w:t xml:space="preserve">- </w:t>
            </w:r>
            <w:r>
              <w:rPr>
                <w:rStyle w:val="IndexLink"/>
                <w:rtl w:val="true"/>
              </w:rPr>
              <w:t xml:space="preserve">عليهم السلام </w:t>
            </w:r>
            <w:r>
              <w:rPr>
                <w:rStyle w:val="IndexLink"/>
                <w:rtl w:val="true"/>
              </w:rPr>
              <w:t>-</w:t>
              <w:tab/>
            </w:r>
            <w:r>
              <w:rPr>
                <w:rStyle w:val="IndexLink"/>
              </w:rPr>
              <w:t>131</w:t>
            </w:r>
          </w:hyperlink>
        </w:p>
        <w:p>
          <w:pPr>
            <w:pStyle w:val="Contents3"/>
            <w:tabs>
              <w:tab w:val="clear" w:pos="8459"/>
              <w:tab w:val="right" w:pos="9026" w:leader="dot"/>
            </w:tabs>
            <w:rPr/>
          </w:pPr>
          <w:hyperlink w:anchor="__RefHeading___Toc1272765_1067777946">
            <w:r>
              <w:rPr>
                <w:webHidden/>
                <w:rStyle w:val="IndexLink"/>
                <w:rtl w:val="true"/>
              </w:rPr>
              <w:t>أدلّة القائل بالصحّة</w:t>
            </w:r>
            <w:r>
              <w:rPr>
                <w:rStyle w:val="IndexLink"/>
                <w:rtl w:val="true"/>
              </w:rPr>
              <w:tab/>
            </w:r>
            <w:r>
              <w:rPr>
                <w:rStyle w:val="IndexLink"/>
              </w:rPr>
              <w:t>132</w:t>
            </w:r>
          </w:hyperlink>
        </w:p>
        <w:p>
          <w:pPr>
            <w:pStyle w:val="Contents2"/>
            <w:tabs>
              <w:tab w:val="clear" w:pos="8743"/>
              <w:tab w:val="right" w:pos="9026" w:leader="dot"/>
            </w:tabs>
            <w:rPr/>
          </w:pPr>
          <w:hyperlink w:anchor="__RefHeading___Toc1272767_1067777946">
            <w:r>
              <w:rPr>
                <w:webHidden/>
                <w:rStyle w:val="IndexLink"/>
              </w:rPr>
              <w:t>18</w:t>
            </w:r>
            <w:r>
              <w:rPr>
                <w:rStyle w:val="IndexLink"/>
                <w:rtl w:val="true"/>
              </w:rPr>
              <w:t xml:space="preserve">- </w:t>
            </w:r>
            <w:r>
              <w:rPr>
                <w:rStyle w:val="IndexLink"/>
                <w:rtl w:val="true"/>
              </w:rPr>
              <w:t>الحلف بالطلاق</w:t>
            </w:r>
            <w:r>
              <w:rPr>
                <w:rStyle w:val="IndexLink"/>
                <w:rtl w:val="true"/>
              </w:rPr>
              <w:tab/>
            </w:r>
            <w:r>
              <w:rPr>
                <w:rStyle w:val="IndexLink"/>
              </w:rPr>
              <w:t>136</w:t>
            </w:r>
          </w:hyperlink>
        </w:p>
        <w:p>
          <w:pPr>
            <w:pStyle w:val="Contents3"/>
            <w:tabs>
              <w:tab w:val="clear" w:pos="8459"/>
              <w:tab w:val="right" w:pos="9026" w:leader="dot"/>
            </w:tabs>
            <w:rPr/>
          </w:pPr>
          <w:hyperlink w:anchor="__RefHeading___Toc1272769_1067777946">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272771_1067777946">
            <w:r>
              <w:rPr>
                <w:webHidden/>
                <w:rStyle w:val="IndexLink"/>
                <w:rtl w:val="true"/>
              </w:rPr>
              <w:t>الحلف بالطلاق</w:t>
            </w:r>
            <w:r>
              <w:rPr>
                <w:rStyle w:val="IndexLink"/>
                <w:rtl w:val="true"/>
              </w:rPr>
              <w:tab/>
            </w:r>
            <w:r>
              <w:rPr>
                <w:rStyle w:val="IndexLink"/>
              </w:rPr>
              <w:t>138</w:t>
            </w:r>
          </w:hyperlink>
        </w:p>
        <w:p>
          <w:pPr>
            <w:pStyle w:val="Contents3"/>
            <w:tabs>
              <w:tab w:val="clear" w:pos="8459"/>
              <w:tab w:val="right" w:pos="9026" w:leader="dot"/>
            </w:tabs>
            <w:rPr/>
          </w:pPr>
          <w:hyperlink w:anchor="__RefHeading___Toc1272773_1067777946">
            <w:r>
              <w:rPr>
                <w:webHidden/>
                <w:rStyle w:val="IndexLink"/>
                <w:rtl w:val="true"/>
              </w:rPr>
              <w:t xml:space="preserve">وقبل الخوض في المقصود نقدم أُموراً </w:t>
            </w:r>
            <w:r>
              <w:rPr>
                <w:rStyle w:val="IndexLink"/>
                <w:rtl w:val="true"/>
              </w:rPr>
              <w:t>:</w:t>
              <w:tab/>
            </w:r>
            <w:r>
              <w:rPr>
                <w:rStyle w:val="IndexLink"/>
              </w:rPr>
              <w:t>138</w:t>
            </w:r>
          </w:hyperlink>
        </w:p>
        <w:p>
          <w:pPr>
            <w:pStyle w:val="Contents4"/>
            <w:tabs>
              <w:tab w:val="clear" w:pos="8176"/>
              <w:tab w:val="right" w:pos="9026" w:leader="dot"/>
            </w:tabs>
            <w:rPr/>
          </w:pPr>
          <w:hyperlink w:anchor="__RefHeading___Toc1272775_1067777946">
            <w:r>
              <w:rPr>
                <w:webHidden/>
                <w:rStyle w:val="IndexLink"/>
                <w:rtl w:val="true"/>
              </w:rPr>
              <w:t xml:space="preserve">الأوّل </w:t>
            </w:r>
            <w:r>
              <w:rPr>
                <w:rStyle w:val="IndexLink"/>
                <w:rtl w:val="true"/>
              </w:rPr>
              <w:t xml:space="preserve">: </w:t>
            </w:r>
            <w:r>
              <w:rPr>
                <w:rStyle w:val="IndexLink"/>
                <w:rtl w:val="true"/>
              </w:rPr>
              <w:t>ليس للطلاق إلاّ صيغة واحدة</w:t>
            </w:r>
            <w:r>
              <w:rPr>
                <w:rStyle w:val="IndexLink"/>
                <w:rtl w:val="true"/>
              </w:rPr>
              <w:tab/>
            </w:r>
            <w:r>
              <w:rPr>
                <w:rStyle w:val="IndexLink"/>
              </w:rPr>
              <w:t>138</w:t>
            </w:r>
          </w:hyperlink>
        </w:p>
        <w:p>
          <w:pPr>
            <w:pStyle w:val="Contents4"/>
            <w:tabs>
              <w:tab w:val="clear" w:pos="8176"/>
              <w:tab w:val="right" w:pos="9026" w:leader="dot"/>
            </w:tabs>
            <w:rPr/>
          </w:pPr>
          <w:hyperlink w:anchor="__RefHeading___Toc1272777_1067777946">
            <w:r>
              <w:rPr>
                <w:webHidden/>
                <w:rStyle w:val="IndexLink"/>
                <w:rtl w:val="true"/>
              </w:rPr>
              <w:t xml:space="preserve">الثاني </w:t>
            </w:r>
            <w:r>
              <w:rPr>
                <w:rStyle w:val="IndexLink"/>
                <w:rtl w:val="true"/>
              </w:rPr>
              <w:t xml:space="preserve">: </w:t>
            </w:r>
            <w:r>
              <w:rPr>
                <w:rStyle w:val="IndexLink"/>
                <w:rtl w:val="true"/>
              </w:rPr>
              <w:t>تسويد الصفحات بأقسام الحلف بالطلاق</w:t>
            </w:r>
            <w:r>
              <w:rPr>
                <w:rStyle w:val="IndexLink"/>
                <w:rtl w:val="true"/>
              </w:rPr>
              <w:tab/>
            </w:r>
            <w:r>
              <w:rPr>
                <w:rStyle w:val="IndexLink"/>
              </w:rPr>
              <w:t>139</w:t>
            </w:r>
          </w:hyperlink>
        </w:p>
        <w:p>
          <w:pPr>
            <w:pStyle w:val="Contents4"/>
            <w:tabs>
              <w:tab w:val="clear" w:pos="8176"/>
              <w:tab w:val="right" w:pos="9026" w:leader="dot"/>
            </w:tabs>
            <w:rPr/>
          </w:pPr>
          <w:hyperlink w:anchor="__RefHeading___Toc1272779_1067777946">
            <w:r>
              <w:rPr>
                <w:webHidden/>
                <w:rStyle w:val="IndexLink"/>
                <w:rtl w:val="true"/>
              </w:rPr>
              <w:t xml:space="preserve">الثالث </w:t>
            </w:r>
            <w:r>
              <w:rPr>
                <w:rStyle w:val="IndexLink"/>
                <w:rtl w:val="true"/>
              </w:rPr>
              <w:t xml:space="preserve">: </w:t>
            </w:r>
            <w:r>
              <w:rPr>
                <w:rStyle w:val="IndexLink"/>
                <w:rtl w:val="true"/>
              </w:rPr>
              <w:t>بطلان الحلف بالطلاق عند البعض</w:t>
            </w:r>
            <w:r>
              <w:rPr>
                <w:rStyle w:val="IndexLink"/>
                <w:rtl w:val="true"/>
              </w:rPr>
              <w:tab/>
            </w:r>
            <w:r>
              <w:rPr>
                <w:rStyle w:val="IndexLink"/>
              </w:rPr>
              <w:t>140</w:t>
            </w:r>
          </w:hyperlink>
        </w:p>
        <w:p>
          <w:pPr>
            <w:pStyle w:val="Contents3"/>
            <w:tabs>
              <w:tab w:val="clear" w:pos="8459"/>
              <w:tab w:val="right" w:pos="9026" w:leader="dot"/>
            </w:tabs>
            <w:rPr/>
          </w:pPr>
          <w:hyperlink w:anchor="__RefHeading___Toc1272781_1067777946">
            <w:r>
              <w:rPr>
                <w:webHidden/>
                <w:rStyle w:val="IndexLink"/>
                <w:rtl w:val="true"/>
              </w:rPr>
              <w:t xml:space="preserve">إذا عرفت هذه الأُمور يقع الكلام في محورين </w:t>
            </w:r>
            <w:r>
              <w:rPr>
                <w:rStyle w:val="IndexLink"/>
                <w:rtl w:val="true"/>
              </w:rPr>
              <w:t>:</w:t>
              <w:tab/>
            </w:r>
            <w:r>
              <w:rPr>
                <w:rStyle w:val="IndexLink"/>
              </w:rPr>
              <w:t>143</w:t>
            </w:r>
          </w:hyperlink>
        </w:p>
        <w:p>
          <w:pPr>
            <w:pStyle w:val="Contents3"/>
            <w:tabs>
              <w:tab w:val="clear" w:pos="8459"/>
              <w:tab w:val="right" w:pos="9026" w:leader="dot"/>
            </w:tabs>
            <w:rPr/>
          </w:pPr>
          <w:hyperlink w:anchor="__RefHeading___Toc1272783_1067777946">
            <w:r>
              <w:rPr>
                <w:webHidden/>
                <w:rStyle w:val="IndexLink"/>
                <w:rtl w:val="true"/>
              </w:rPr>
              <w:t>بطلان الطلاق بالحلف به</w:t>
            </w:r>
            <w:r>
              <w:rPr>
                <w:rStyle w:val="IndexLink"/>
                <w:rtl w:val="true"/>
              </w:rPr>
              <w:tab/>
            </w:r>
            <w:r>
              <w:rPr>
                <w:rStyle w:val="IndexLink"/>
              </w:rPr>
              <w:t>143</w:t>
            </w:r>
          </w:hyperlink>
        </w:p>
        <w:p>
          <w:pPr>
            <w:pStyle w:val="Contents3"/>
            <w:tabs>
              <w:tab w:val="clear" w:pos="8459"/>
              <w:tab w:val="right" w:pos="9026" w:leader="dot"/>
            </w:tabs>
            <w:rPr/>
          </w:pPr>
          <w:hyperlink w:anchor="__RefHeading___Toc1272785_1067777946">
            <w:r>
              <w:rPr>
                <w:webHidden/>
                <w:rStyle w:val="IndexLink"/>
                <w:rtl w:val="true"/>
              </w:rPr>
              <w:t>دليل القائل بالصحّة</w:t>
            </w:r>
            <w:r>
              <w:rPr>
                <w:rStyle w:val="IndexLink"/>
                <w:rtl w:val="true"/>
              </w:rPr>
              <w:tab/>
            </w:r>
            <w:r>
              <w:rPr>
                <w:rStyle w:val="IndexLink"/>
              </w:rPr>
              <w:t>144</w:t>
            </w:r>
          </w:hyperlink>
        </w:p>
        <w:p>
          <w:pPr>
            <w:pStyle w:val="Contents3"/>
            <w:tabs>
              <w:tab w:val="clear" w:pos="8459"/>
              <w:tab w:val="right" w:pos="9026" w:leader="dot"/>
            </w:tabs>
            <w:rPr/>
          </w:pPr>
          <w:hyperlink w:anchor="__RefHeading___Toc1272787_1067777946">
            <w:r>
              <w:rPr>
                <w:webHidden/>
                <w:rStyle w:val="IndexLink"/>
                <w:rtl w:val="true"/>
              </w:rPr>
              <w:t>حكم المرأة في الفترة</w:t>
            </w:r>
            <w:r>
              <w:rPr>
                <w:rStyle w:val="IndexLink"/>
                <w:rtl w:val="true"/>
              </w:rPr>
              <w:tab/>
            </w:r>
            <w:r>
              <w:rPr>
                <w:rStyle w:val="IndexLink"/>
              </w:rPr>
              <w:t>145</w:t>
            </w:r>
          </w:hyperlink>
        </w:p>
        <w:p>
          <w:pPr>
            <w:pStyle w:val="Contents3"/>
            <w:tabs>
              <w:tab w:val="clear" w:pos="8459"/>
              <w:tab w:val="right" w:pos="9026" w:leader="dot"/>
            </w:tabs>
            <w:rPr/>
          </w:pPr>
          <w:hyperlink w:anchor="__RefHeading___Toc1272789_1067777946">
            <w:r>
              <w:rPr>
                <w:webHidden/>
                <w:rStyle w:val="IndexLink"/>
                <w:rtl w:val="true"/>
              </w:rPr>
              <w:t>خاتمة المطاف</w:t>
            </w:r>
            <w:r>
              <w:rPr>
                <w:rStyle w:val="IndexLink"/>
                <w:rtl w:val="true"/>
              </w:rPr>
              <w:t xml:space="preserve">: </w:t>
            </w:r>
            <w:r>
              <w:rPr>
                <w:rStyle w:val="IndexLink"/>
                <w:rtl w:val="true"/>
              </w:rPr>
              <w:t>هل تتعلّق الكفّارة إذا حنث</w:t>
            </w:r>
            <w:r>
              <w:rPr>
                <w:rStyle w:val="IndexLink"/>
                <w:rtl w:val="true"/>
              </w:rPr>
              <w:tab/>
            </w:r>
            <w:r>
              <w:rPr>
                <w:rStyle w:val="IndexLink"/>
              </w:rPr>
              <w:t>146</w:t>
            </w:r>
          </w:hyperlink>
        </w:p>
        <w:p>
          <w:pPr>
            <w:pStyle w:val="Contents2"/>
            <w:tabs>
              <w:tab w:val="clear" w:pos="8743"/>
              <w:tab w:val="right" w:pos="9026" w:leader="dot"/>
            </w:tabs>
            <w:rPr/>
          </w:pPr>
          <w:hyperlink w:anchor="__RefHeading___Toc1272791_1067777946">
            <w:r>
              <w:rPr>
                <w:webHidden/>
                <w:rStyle w:val="IndexLink"/>
              </w:rPr>
              <w:t>19</w:t>
            </w:r>
            <w:r>
              <w:rPr>
                <w:rStyle w:val="IndexLink"/>
                <w:rtl w:val="true"/>
              </w:rPr>
              <w:t xml:space="preserve">- </w:t>
            </w:r>
            <w:r>
              <w:rPr>
                <w:rStyle w:val="IndexLink"/>
                <w:rtl w:val="true"/>
              </w:rPr>
              <w:t>الطلاق في الحيض والنفاس أو في طهر جامعها</w:t>
            </w:r>
            <w:r>
              <w:rPr>
                <w:rStyle w:val="IndexLink"/>
                <w:rtl w:val="true"/>
              </w:rPr>
              <w:tab/>
            </w:r>
            <w:r>
              <w:rPr>
                <w:rStyle w:val="IndexLink"/>
              </w:rPr>
              <w:t>148</w:t>
            </w:r>
          </w:hyperlink>
        </w:p>
        <w:p>
          <w:pPr>
            <w:pStyle w:val="Contents3"/>
            <w:tabs>
              <w:tab w:val="clear" w:pos="8459"/>
              <w:tab w:val="right" w:pos="9026" w:leader="dot"/>
            </w:tabs>
            <w:rPr/>
          </w:pPr>
          <w:hyperlink w:anchor="__RefHeading___Toc1272793_1067777946">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272795_1067777946">
            <w:r>
              <w:rPr>
                <w:webHidden/>
                <w:rStyle w:val="IndexLink"/>
                <w:rtl w:val="true"/>
              </w:rPr>
              <w:t>الطلاق في الحيض والنفاس أو في طهر جامعها</w:t>
            </w:r>
            <w:r>
              <w:rPr>
                <w:rStyle w:val="IndexLink"/>
                <w:rtl w:val="true"/>
              </w:rPr>
              <w:tab/>
            </w:r>
            <w:r>
              <w:rPr>
                <w:rStyle w:val="IndexLink"/>
              </w:rPr>
              <w:t>150</w:t>
            </w:r>
          </w:hyperlink>
        </w:p>
        <w:p>
          <w:pPr>
            <w:pStyle w:val="Contents4"/>
            <w:tabs>
              <w:tab w:val="clear" w:pos="8176"/>
              <w:tab w:val="right" w:pos="9026" w:leader="dot"/>
            </w:tabs>
            <w:rPr/>
          </w:pPr>
          <w:hyperlink w:anchor="__RefHeading___Toc1272797_1067777946">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272799_1067777946">
            <w:r>
              <w:rPr>
                <w:webHidden/>
                <w:rStyle w:val="IndexLink"/>
                <w:rtl w:val="true"/>
              </w:rPr>
              <w:t xml:space="preserve">الأوّل </w:t>
            </w:r>
            <w:r>
              <w:rPr>
                <w:rStyle w:val="IndexLink"/>
                <w:rtl w:val="true"/>
              </w:rPr>
              <w:t xml:space="preserve">: </w:t>
            </w:r>
            <w:r>
              <w:rPr>
                <w:rStyle w:val="IndexLink"/>
                <w:rtl w:val="true"/>
              </w:rPr>
              <w:t>تقسيم الطلاق إلى سُنّي وبدعيّ</w:t>
            </w:r>
            <w:r>
              <w:rPr>
                <w:rStyle w:val="IndexLink"/>
                <w:rtl w:val="true"/>
              </w:rPr>
              <w:tab/>
            </w:r>
            <w:r>
              <w:rPr>
                <w:rStyle w:val="IndexLink"/>
              </w:rPr>
              <w:t>150</w:t>
            </w:r>
          </w:hyperlink>
        </w:p>
        <w:p>
          <w:pPr>
            <w:pStyle w:val="Contents4"/>
            <w:tabs>
              <w:tab w:val="clear" w:pos="8176"/>
              <w:tab w:val="right" w:pos="9026" w:leader="dot"/>
            </w:tabs>
            <w:rPr/>
          </w:pPr>
          <w:hyperlink w:anchor="__RefHeading___Toc1272801_1067777946">
            <w:r>
              <w:rPr>
                <w:webHidden/>
                <w:rStyle w:val="IndexLink"/>
                <w:rtl w:val="true"/>
              </w:rPr>
              <w:t xml:space="preserve">الثاني </w:t>
            </w:r>
            <w:r>
              <w:rPr>
                <w:rStyle w:val="IndexLink"/>
                <w:rtl w:val="true"/>
              </w:rPr>
              <w:t xml:space="preserve">: </w:t>
            </w:r>
            <w:r>
              <w:rPr>
                <w:rStyle w:val="IndexLink"/>
                <w:rtl w:val="true"/>
              </w:rPr>
              <w:t>في تفسير شرطية الطهر في الطلاق السنّي</w:t>
            </w:r>
            <w:r>
              <w:rPr>
                <w:rStyle w:val="IndexLink"/>
                <w:rtl w:val="true"/>
              </w:rPr>
              <w:tab/>
            </w:r>
            <w:r>
              <w:rPr>
                <w:rStyle w:val="IndexLink"/>
              </w:rPr>
              <w:t>151</w:t>
            </w:r>
          </w:hyperlink>
        </w:p>
        <w:p>
          <w:pPr>
            <w:pStyle w:val="Contents4"/>
            <w:tabs>
              <w:tab w:val="clear" w:pos="8176"/>
              <w:tab w:val="right" w:pos="9026" w:leader="dot"/>
            </w:tabs>
            <w:rPr/>
          </w:pPr>
          <w:hyperlink w:anchor="__RefHeading___Toc1272803_1067777946">
            <w:r>
              <w:rPr>
                <w:webHidden/>
                <w:rStyle w:val="IndexLink"/>
                <w:rtl w:val="true"/>
              </w:rPr>
              <w:t xml:space="preserve">الثالث </w:t>
            </w:r>
            <w:r>
              <w:rPr>
                <w:rStyle w:val="IndexLink"/>
                <w:rtl w:val="true"/>
              </w:rPr>
              <w:t xml:space="preserve">: </w:t>
            </w:r>
            <w:r>
              <w:rPr>
                <w:rStyle w:val="IndexLink"/>
                <w:rtl w:val="true"/>
              </w:rPr>
              <w:t>نقل كلمات الفقهاء</w:t>
            </w:r>
            <w:r>
              <w:rPr>
                <w:rStyle w:val="IndexLink"/>
                <w:rtl w:val="true"/>
              </w:rPr>
              <w:tab/>
            </w:r>
            <w:r>
              <w:rPr>
                <w:rStyle w:val="IndexLink"/>
              </w:rPr>
              <w:t>151</w:t>
            </w:r>
          </w:hyperlink>
        </w:p>
        <w:p>
          <w:pPr>
            <w:pStyle w:val="Contents4"/>
            <w:tabs>
              <w:tab w:val="clear" w:pos="8176"/>
              <w:tab w:val="right" w:pos="9026" w:leader="dot"/>
            </w:tabs>
            <w:rPr/>
          </w:pPr>
          <w:hyperlink w:anchor="__RefHeading___Toc1272805_1067777946">
            <w:r>
              <w:rPr>
                <w:webHidden/>
                <w:rStyle w:val="IndexLink"/>
                <w:rtl w:val="true"/>
              </w:rPr>
              <w:t xml:space="preserve">الرابع </w:t>
            </w:r>
            <w:r>
              <w:rPr>
                <w:rStyle w:val="IndexLink"/>
                <w:rtl w:val="true"/>
              </w:rPr>
              <w:t xml:space="preserve">: </w:t>
            </w:r>
            <w:r>
              <w:rPr>
                <w:rStyle w:val="IndexLink"/>
                <w:rtl w:val="true"/>
              </w:rPr>
              <w:t>ما هو المراد من القُرء؟</w:t>
            </w:r>
            <w:r>
              <w:rPr>
                <w:rStyle w:val="IndexLink"/>
                <w:rtl w:val="true"/>
              </w:rPr>
              <w:tab/>
            </w:r>
            <w:r>
              <w:rPr>
                <w:rStyle w:val="IndexLink"/>
              </w:rPr>
              <w:t>152</w:t>
            </w:r>
          </w:hyperlink>
        </w:p>
        <w:p>
          <w:pPr>
            <w:pStyle w:val="Contents4"/>
            <w:tabs>
              <w:tab w:val="clear" w:pos="8176"/>
              <w:tab w:val="right" w:pos="9026" w:leader="dot"/>
            </w:tabs>
            <w:rPr/>
          </w:pPr>
          <w:hyperlink w:anchor="__RefHeading___Toc1272807_1067777946">
            <w:r>
              <w:rPr>
                <w:webHidden/>
                <w:rStyle w:val="IndexLink"/>
                <w:rtl w:val="true"/>
              </w:rPr>
              <w:t xml:space="preserve">الخامس </w:t>
            </w:r>
            <w:r>
              <w:rPr>
                <w:rStyle w:val="IndexLink"/>
                <w:rtl w:val="true"/>
              </w:rPr>
              <w:t xml:space="preserve">: </w:t>
            </w:r>
            <w:r>
              <w:rPr>
                <w:rStyle w:val="IndexLink"/>
                <w:rtl w:val="true"/>
              </w:rPr>
              <w:t>عدم احتساب الحيضة من العدّة</w:t>
            </w:r>
            <w:r>
              <w:rPr>
                <w:rStyle w:val="IndexLink"/>
                <w:rtl w:val="true"/>
              </w:rPr>
              <w:tab/>
            </w:r>
            <w:r>
              <w:rPr>
                <w:rStyle w:val="IndexLink"/>
              </w:rPr>
              <w:t>153</w:t>
            </w:r>
          </w:hyperlink>
        </w:p>
        <w:p>
          <w:pPr>
            <w:pStyle w:val="Contents4"/>
            <w:tabs>
              <w:tab w:val="clear" w:pos="8176"/>
              <w:tab w:val="right" w:pos="9026" w:leader="dot"/>
            </w:tabs>
            <w:rPr/>
          </w:pPr>
          <w:hyperlink w:anchor="__RefHeading___Toc1272809_1067777946">
            <w:r>
              <w:rPr>
                <w:webHidden/>
                <w:rStyle w:val="IndexLink"/>
                <w:rtl w:val="true"/>
              </w:rPr>
              <w:t xml:space="preserve">السادس </w:t>
            </w:r>
            <w:r>
              <w:rPr>
                <w:rStyle w:val="IndexLink"/>
                <w:rtl w:val="true"/>
              </w:rPr>
              <w:t xml:space="preserve">: </w:t>
            </w:r>
            <w:r>
              <w:rPr>
                <w:rStyle w:val="IndexLink"/>
                <w:rtl w:val="true"/>
              </w:rPr>
              <w:t>طلاق عبد الله بن عمر هو الأصل</w:t>
            </w:r>
            <w:r>
              <w:rPr>
                <w:rStyle w:val="IndexLink"/>
                <w:rtl w:val="true"/>
              </w:rPr>
              <w:tab/>
            </w:r>
            <w:r>
              <w:rPr>
                <w:rStyle w:val="IndexLink"/>
              </w:rPr>
              <w:t>154</w:t>
            </w:r>
          </w:hyperlink>
        </w:p>
        <w:p>
          <w:pPr>
            <w:pStyle w:val="Contents3"/>
            <w:tabs>
              <w:tab w:val="clear" w:pos="8459"/>
              <w:tab w:val="right" w:pos="9026" w:leader="dot"/>
            </w:tabs>
            <w:rPr/>
          </w:pPr>
          <w:hyperlink w:anchor="__RefHeading___Toc1272811_1067777946">
            <w:r>
              <w:rPr>
                <w:webHidden/>
                <w:rStyle w:val="IndexLink"/>
                <w:rtl w:val="true"/>
              </w:rPr>
              <w:t>الاستدلال بالكتاب على شرطية الطهر</w:t>
            </w:r>
            <w:r>
              <w:rPr>
                <w:rStyle w:val="IndexLink"/>
                <w:rtl w:val="true"/>
              </w:rPr>
              <w:tab/>
            </w:r>
            <w:r>
              <w:rPr>
                <w:rStyle w:val="IndexLink"/>
              </w:rPr>
              <w:t>154</w:t>
            </w:r>
          </w:hyperlink>
        </w:p>
        <w:p>
          <w:pPr>
            <w:pStyle w:val="Contents3"/>
            <w:tabs>
              <w:tab w:val="clear" w:pos="8459"/>
              <w:tab w:val="right" w:pos="9026" w:leader="dot"/>
            </w:tabs>
            <w:rPr/>
          </w:pPr>
          <w:hyperlink w:anchor="__RefHeading___Toc1272813_1067777946">
            <w:r>
              <w:rPr>
                <w:webHidden/>
                <w:rStyle w:val="IndexLink"/>
                <w:rtl w:val="true"/>
              </w:rPr>
              <w:t>الاستدلال بالسنّة</w:t>
            </w:r>
            <w:r>
              <w:rPr>
                <w:rStyle w:val="IndexLink"/>
                <w:rtl w:val="true"/>
              </w:rPr>
              <w:tab/>
            </w:r>
            <w:r>
              <w:rPr>
                <w:rStyle w:val="IndexLink"/>
              </w:rPr>
              <w:t>156</w:t>
            </w:r>
          </w:hyperlink>
        </w:p>
        <w:p>
          <w:pPr>
            <w:pStyle w:val="Contents4"/>
            <w:tabs>
              <w:tab w:val="clear" w:pos="8176"/>
              <w:tab w:val="right" w:pos="9026" w:leader="dot"/>
            </w:tabs>
            <w:rPr/>
          </w:pPr>
          <w:hyperlink w:anchor="__RefHeading___Toc1272815_1067777946">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272817_1067777946">
            <w:r>
              <w:rPr>
                <w:webHidden/>
                <w:rStyle w:val="IndexLink"/>
                <w:rtl w:val="true"/>
              </w:rPr>
              <w:t xml:space="preserve">الأُولى </w:t>
            </w:r>
            <w:r>
              <w:rPr>
                <w:rStyle w:val="IndexLink"/>
                <w:rtl w:val="true"/>
              </w:rPr>
              <w:t xml:space="preserve">: </w:t>
            </w:r>
            <w:r>
              <w:rPr>
                <w:rStyle w:val="IndexLink"/>
                <w:rtl w:val="true"/>
              </w:rPr>
              <w:t>ما دلّ على عدم الاعتداد بتلك التطليقة</w:t>
            </w:r>
            <w:r>
              <w:rPr>
                <w:rStyle w:val="IndexLink"/>
                <w:rtl w:val="true"/>
              </w:rPr>
              <w:tab/>
            </w:r>
            <w:r>
              <w:rPr>
                <w:rStyle w:val="IndexLink"/>
              </w:rPr>
              <w:t>157</w:t>
            </w:r>
          </w:hyperlink>
        </w:p>
        <w:p>
          <w:pPr>
            <w:pStyle w:val="Contents4"/>
            <w:tabs>
              <w:tab w:val="clear" w:pos="8176"/>
              <w:tab w:val="right" w:pos="9026" w:leader="dot"/>
            </w:tabs>
            <w:rPr/>
          </w:pPr>
          <w:hyperlink w:anchor="__RefHeading___Toc1272819_1067777946">
            <w:r>
              <w:rPr>
                <w:webHidden/>
                <w:rStyle w:val="IndexLink"/>
                <w:rtl w:val="true"/>
              </w:rPr>
              <w:t xml:space="preserve">الثانية </w:t>
            </w:r>
            <w:r>
              <w:rPr>
                <w:rStyle w:val="IndexLink"/>
                <w:rtl w:val="true"/>
              </w:rPr>
              <w:t xml:space="preserve">: </w:t>
            </w:r>
            <w:r>
              <w:rPr>
                <w:rStyle w:val="IndexLink"/>
                <w:rtl w:val="true"/>
              </w:rPr>
              <w:t>ما يتضمّن التصريح باحتساب تلك التطليقة طلاقاً صحيحاً</w:t>
            </w:r>
            <w:r>
              <w:rPr>
                <w:rStyle w:val="IndexLink"/>
                <w:rtl w:val="true"/>
              </w:rPr>
              <w:tab/>
            </w:r>
            <w:r>
              <w:rPr>
                <w:rStyle w:val="IndexLink"/>
              </w:rPr>
              <w:t>157</w:t>
            </w:r>
          </w:hyperlink>
        </w:p>
        <w:p>
          <w:pPr>
            <w:pStyle w:val="Contents4"/>
            <w:tabs>
              <w:tab w:val="clear" w:pos="8176"/>
              <w:tab w:val="right" w:pos="9026" w:leader="dot"/>
            </w:tabs>
            <w:rPr/>
          </w:pPr>
          <w:hyperlink w:anchor="__RefHeading___Toc1272821_1067777946">
            <w:r>
              <w:rPr>
                <w:webHidden/>
                <w:rStyle w:val="IndexLink"/>
                <w:rtl w:val="true"/>
              </w:rPr>
              <w:t xml:space="preserve">الثالثة </w:t>
            </w:r>
            <w:r>
              <w:rPr>
                <w:rStyle w:val="IndexLink"/>
                <w:rtl w:val="true"/>
              </w:rPr>
              <w:t xml:space="preserve">: </w:t>
            </w:r>
            <w:r>
              <w:rPr>
                <w:rStyle w:val="IndexLink"/>
                <w:rtl w:val="true"/>
              </w:rPr>
              <w:t>ما ليس فيه تصريح بأحد الأمرين</w:t>
            </w:r>
            <w:r>
              <w:rPr>
                <w:rStyle w:val="IndexLink"/>
                <w:rtl w:val="true"/>
              </w:rPr>
              <w:tab/>
            </w:r>
            <w:r>
              <w:rPr>
                <w:rStyle w:val="IndexLink"/>
              </w:rPr>
              <w:t>158</w:t>
            </w:r>
          </w:hyperlink>
        </w:p>
        <w:p>
          <w:pPr>
            <w:pStyle w:val="Contents3"/>
            <w:tabs>
              <w:tab w:val="clear" w:pos="8459"/>
              <w:tab w:val="right" w:pos="9026" w:leader="dot"/>
            </w:tabs>
            <w:rPr/>
          </w:pPr>
          <w:hyperlink w:anchor="__RefHeading___Toc1272823_1067777946">
            <w:r>
              <w:rPr>
                <w:webHidden/>
                <w:rStyle w:val="IndexLink"/>
                <w:rtl w:val="true"/>
              </w:rPr>
              <w:t>معالجة الصور المتعارضة</w:t>
            </w:r>
            <w:r>
              <w:rPr>
                <w:rStyle w:val="IndexLink"/>
                <w:rtl w:val="true"/>
              </w:rPr>
              <w:tab/>
            </w:r>
            <w:r>
              <w:rPr>
                <w:rStyle w:val="IndexLink"/>
              </w:rPr>
              <w:t>159</w:t>
            </w:r>
          </w:hyperlink>
        </w:p>
        <w:p>
          <w:pPr>
            <w:pStyle w:val="Contents3"/>
            <w:tabs>
              <w:tab w:val="clear" w:pos="8459"/>
              <w:tab w:val="right" w:pos="9026" w:leader="dot"/>
            </w:tabs>
            <w:rPr/>
          </w:pPr>
          <w:hyperlink w:anchor="__RefHeading___Toc1272825_1067777946">
            <w:r>
              <w:rPr>
                <w:webHidden/>
                <w:rStyle w:val="IndexLink"/>
                <w:rtl w:val="true"/>
              </w:rPr>
              <w:t>الطلاق في طهر المواقعة</w:t>
            </w:r>
            <w:r>
              <w:rPr>
                <w:rStyle w:val="IndexLink"/>
                <w:rtl w:val="true"/>
              </w:rPr>
              <w:tab/>
            </w:r>
            <w:r>
              <w:rPr>
                <w:rStyle w:val="IndexLink"/>
              </w:rPr>
              <w:t>162</w:t>
            </w:r>
          </w:hyperlink>
        </w:p>
        <w:p>
          <w:pPr>
            <w:pStyle w:val="Contents2"/>
            <w:tabs>
              <w:tab w:val="clear" w:pos="8743"/>
              <w:tab w:val="right" w:pos="9026" w:leader="dot"/>
            </w:tabs>
            <w:rPr/>
          </w:pPr>
          <w:hyperlink w:anchor="__RefHeading___Toc1272827_1067777946">
            <w:r>
              <w:rPr>
                <w:webHidden/>
                <w:rStyle w:val="IndexLink"/>
              </w:rPr>
              <w:t>20</w:t>
            </w:r>
            <w:r>
              <w:rPr>
                <w:rStyle w:val="IndexLink"/>
                <w:rtl w:val="true"/>
              </w:rPr>
              <w:t xml:space="preserve">- </w:t>
            </w:r>
            <w:r>
              <w:rPr>
                <w:rStyle w:val="IndexLink"/>
                <w:rtl w:val="true"/>
              </w:rPr>
              <w:t>الوصيّة للوارث إذا لم تتجاوز الثلث</w:t>
            </w:r>
            <w:r>
              <w:rPr>
                <w:rStyle w:val="IndexLink"/>
                <w:rtl w:val="true"/>
              </w:rPr>
              <w:tab/>
            </w:r>
            <w:r>
              <w:rPr>
                <w:rStyle w:val="IndexLink"/>
              </w:rPr>
              <w:t>166</w:t>
            </w:r>
          </w:hyperlink>
        </w:p>
        <w:p>
          <w:pPr>
            <w:pStyle w:val="Contents3"/>
            <w:tabs>
              <w:tab w:val="clear" w:pos="8459"/>
              <w:tab w:val="right" w:pos="9026" w:leader="dot"/>
            </w:tabs>
            <w:rPr/>
          </w:pPr>
          <w:hyperlink w:anchor="__RefHeading___Toc1272829_1067777946">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272831_1067777946">
            <w:r>
              <w:rPr>
                <w:webHidden/>
                <w:rStyle w:val="IndexLink"/>
                <w:rtl w:val="true"/>
              </w:rPr>
              <w:t>الوصية للوارث إذا لم تتجاوز الثلث</w:t>
            </w:r>
            <w:r>
              <w:rPr>
                <w:rStyle w:val="IndexLink"/>
                <w:rtl w:val="true"/>
              </w:rPr>
              <w:tab/>
            </w:r>
            <w:r>
              <w:rPr>
                <w:rStyle w:val="IndexLink"/>
              </w:rPr>
              <w:t>168</w:t>
            </w:r>
          </w:hyperlink>
        </w:p>
        <w:p>
          <w:pPr>
            <w:pStyle w:val="Contents3"/>
            <w:tabs>
              <w:tab w:val="clear" w:pos="8459"/>
              <w:tab w:val="right" w:pos="9026" w:leader="dot"/>
            </w:tabs>
            <w:rPr/>
          </w:pPr>
          <w:hyperlink w:anchor="__RefHeading___Toc1272833_1067777946">
            <w:r>
              <w:rPr>
                <w:webHidden/>
                <w:rStyle w:val="IndexLink"/>
              </w:rPr>
              <w:t>1</w:t>
            </w:r>
            <w:r>
              <w:rPr>
                <w:rStyle w:val="IndexLink"/>
                <w:rtl w:val="true"/>
              </w:rPr>
              <w:t xml:space="preserve">. </w:t>
            </w:r>
            <w:r>
              <w:rPr>
                <w:rStyle w:val="IndexLink"/>
                <w:rtl w:val="true"/>
              </w:rPr>
              <w:t>آية الوصية منسوخة بآية المواريث</w:t>
            </w:r>
            <w:r>
              <w:rPr>
                <w:rStyle w:val="IndexLink"/>
                <w:rtl w:val="true"/>
              </w:rPr>
              <w:tab/>
            </w:r>
            <w:r>
              <w:rPr>
                <w:rStyle w:val="IndexLink"/>
              </w:rPr>
              <w:t>171</w:t>
            </w:r>
          </w:hyperlink>
        </w:p>
        <w:p>
          <w:pPr>
            <w:pStyle w:val="Contents3"/>
            <w:tabs>
              <w:tab w:val="clear" w:pos="8459"/>
              <w:tab w:val="right" w:pos="9026" w:leader="dot"/>
            </w:tabs>
            <w:rPr/>
          </w:pPr>
          <w:hyperlink w:anchor="__RefHeading___Toc1272835_1067777946">
            <w:r>
              <w:rPr>
                <w:webHidden/>
                <w:rStyle w:val="IndexLink"/>
              </w:rPr>
              <w:t>2</w:t>
            </w:r>
            <w:r>
              <w:rPr>
                <w:rStyle w:val="IndexLink"/>
                <w:rtl w:val="true"/>
              </w:rPr>
              <w:t xml:space="preserve">. </w:t>
            </w:r>
            <w:r>
              <w:rPr>
                <w:rStyle w:val="IndexLink"/>
                <w:rtl w:val="true"/>
              </w:rPr>
              <w:t>آية الوصية منسوخة بالسنّة</w:t>
            </w:r>
            <w:r>
              <w:rPr>
                <w:rStyle w:val="IndexLink"/>
                <w:rtl w:val="true"/>
              </w:rPr>
              <w:tab/>
            </w:r>
            <w:r>
              <w:rPr>
                <w:rStyle w:val="IndexLink"/>
              </w:rPr>
              <w:t>177</w:t>
            </w:r>
          </w:hyperlink>
        </w:p>
        <w:p>
          <w:pPr>
            <w:pStyle w:val="Contents4"/>
            <w:tabs>
              <w:tab w:val="clear" w:pos="8176"/>
              <w:tab w:val="right" w:pos="9026" w:leader="dot"/>
            </w:tabs>
            <w:rPr/>
          </w:pPr>
          <w:hyperlink w:anchor="__RefHeading___Toc1272837_1067777946">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272839_1067777946">
            <w:r>
              <w:rPr>
                <w:webHidden/>
                <w:rStyle w:val="IndexLink"/>
              </w:rPr>
              <w:t>1</w:t>
            </w:r>
            <w:r>
              <w:rPr>
                <w:rStyle w:val="IndexLink"/>
                <w:rtl w:val="true"/>
              </w:rPr>
              <w:t xml:space="preserve">. </w:t>
            </w:r>
            <w:r>
              <w:rPr>
                <w:rStyle w:val="IndexLink"/>
                <w:rtl w:val="true"/>
              </w:rPr>
              <w:t>إسماعيل بن عياش</w:t>
            </w:r>
            <w:r>
              <w:rPr>
                <w:rStyle w:val="IndexLink"/>
                <w:rtl w:val="true"/>
              </w:rPr>
              <w:tab/>
            </w:r>
            <w:r>
              <w:rPr>
                <w:rStyle w:val="IndexLink"/>
              </w:rPr>
              <w:t>177</w:t>
            </w:r>
          </w:hyperlink>
        </w:p>
        <w:p>
          <w:pPr>
            <w:pStyle w:val="Contents4"/>
            <w:tabs>
              <w:tab w:val="clear" w:pos="8176"/>
              <w:tab w:val="right" w:pos="9026" w:leader="dot"/>
            </w:tabs>
            <w:rPr/>
          </w:pPr>
          <w:hyperlink w:anchor="__RefHeading___Toc1272841_1067777946">
            <w:r>
              <w:rPr>
                <w:webHidden/>
                <w:rStyle w:val="IndexLink"/>
              </w:rPr>
              <w:t>2</w:t>
            </w:r>
            <w:r>
              <w:rPr>
                <w:rStyle w:val="IndexLink"/>
                <w:rtl w:val="true"/>
              </w:rPr>
              <w:t xml:space="preserve">. </w:t>
            </w:r>
            <w:r>
              <w:rPr>
                <w:rStyle w:val="IndexLink"/>
                <w:rtl w:val="true"/>
              </w:rPr>
              <w:t>شرحبيل بن مسلم الخولاني الشامي</w:t>
            </w:r>
            <w:r>
              <w:rPr>
                <w:rStyle w:val="IndexLink"/>
                <w:rtl w:val="true"/>
              </w:rPr>
              <w:tab/>
            </w:r>
            <w:r>
              <w:rPr>
                <w:rStyle w:val="IndexLink"/>
              </w:rPr>
              <w:t>179</w:t>
            </w:r>
          </w:hyperlink>
        </w:p>
        <w:p>
          <w:pPr>
            <w:pStyle w:val="Contents3"/>
            <w:tabs>
              <w:tab w:val="clear" w:pos="8459"/>
              <w:tab w:val="right" w:pos="9026" w:leader="dot"/>
            </w:tabs>
            <w:rPr/>
          </w:pPr>
          <w:hyperlink w:anchor="__RefHeading___Toc1272843_1067777946">
            <w:r>
              <w:rPr>
                <w:webHidden/>
                <w:rStyle w:val="IndexLink"/>
              </w:rPr>
              <w:t>3</w:t>
            </w:r>
            <w:r>
              <w:rPr>
                <w:rStyle w:val="IndexLink"/>
                <w:rtl w:val="true"/>
              </w:rPr>
              <w:t xml:space="preserve">. </w:t>
            </w:r>
            <w:r>
              <w:rPr>
                <w:rStyle w:val="IndexLink"/>
                <w:rtl w:val="true"/>
              </w:rPr>
              <w:t>شهر بن حوشب</w:t>
            </w:r>
            <w:r>
              <w:rPr>
                <w:rStyle w:val="IndexLink"/>
                <w:rtl w:val="true"/>
              </w:rPr>
              <w:tab/>
            </w:r>
            <w:r>
              <w:rPr>
                <w:rStyle w:val="IndexLink"/>
              </w:rPr>
              <w:t>179</w:t>
            </w:r>
          </w:hyperlink>
        </w:p>
        <w:p>
          <w:pPr>
            <w:pStyle w:val="Contents3"/>
            <w:tabs>
              <w:tab w:val="clear" w:pos="8459"/>
              <w:tab w:val="right" w:pos="9026" w:leader="dot"/>
            </w:tabs>
            <w:rPr/>
          </w:pPr>
          <w:hyperlink w:anchor="__RefHeading___Toc1272845_1067777946">
            <w:r>
              <w:rPr>
                <w:webHidden/>
                <w:rStyle w:val="IndexLink"/>
                <w:rtl w:val="true"/>
              </w:rPr>
              <w:t>ملاحظات على نسخ الآية بالسنّة</w:t>
            </w:r>
            <w:r>
              <w:rPr>
                <w:rStyle w:val="IndexLink"/>
                <w:rtl w:val="true"/>
              </w:rPr>
              <w:tab/>
            </w:r>
            <w:r>
              <w:rPr>
                <w:rStyle w:val="IndexLink"/>
              </w:rPr>
              <w:t>188</w:t>
            </w:r>
          </w:hyperlink>
        </w:p>
        <w:p>
          <w:pPr>
            <w:pStyle w:val="Contents2"/>
            <w:tabs>
              <w:tab w:val="clear" w:pos="8743"/>
              <w:tab w:val="right" w:pos="9026" w:leader="dot"/>
            </w:tabs>
            <w:rPr/>
          </w:pPr>
          <w:hyperlink w:anchor="__RefHeading___Toc1272847_1067777946">
            <w:r>
              <w:rPr>
                <w:webHidden/>
                <w:rStyle w:val="IndexLink"/>
              </w:rPr>
              <w:t>21</w:t>
            </w:r>
            <w:r>
              <w:rPr>
                <w:rStyle w:val="IndexLink"/>
                <w:rtl w:val="true"/>
              </w:rPr>
              <w:t xml:space="preserve">- </w:t>
            </w:r>
            <w:r>
              <w:rPr>
                <w:rStyle w:val="IndexLink"/>
                <w:rtl w:val="true"/>
              </w:rPr>
              <w:t>المسلم يرث الكافر دون العكس</w:t>
            </w:r>
            <w:r>
              <w:rPr>
                <w:rStyle w:val="IndexLink"/>
                <w:rtl w:val="true"/>
              </w:rPr>
              <w:tab/>
            </w:r>
            <w:r>
              <w:rPr>
                <w:rStyle w:val="IndexLink"/>
              </w:rPr>
              <w:t>192</w:t>
            </w:r>
          </w:hyperlink>
        </w:p>
        <w:p>
          <w:pPr>
            <w:pStyle w:val="Contents3"/>
            <w:tabs>
              <w:tab w:val="clear" w:pos="8459"/>
              <w:tab w:val="right" w:pos="9026" w:leader="dot"/>
            </w:tabs>
            <w:rPr/>
          </w:pPr>
          <w:hyperlink w:anchor="__RefHeading___Toc1272849_1067777946">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272851_1067777946">
            <w:r>
              <w:rPr>
                <w:webHidden/>
                <w:rStyle w:val="IndexLink"/>
                <w:rtl w:val="true"/>
              </w:rPr>
              <w:t>المسلم يرث الكافر دون العكس</w:t>
            </w:r>
            <w:r>
              <w:rPr>
                <w:rStyle w:val="IndexLink"/>
                <w:rtl w:val="true"/>
              </w:rPr>
              <w:tab/>
            </w:r>
            <w:r>
              <w:rPr>
                <w:rStyle w:val="IndexLink"/>
              </w:rPr>
              <w:t>194</w:t>
            </w:r>
          </w:hyperlink>
        </w:p>
        <w:p>
          <w:pPr>
            <w:pStyle w:val="Contents4"/>
            <w:tabs>
              <w:tab w:val="clear" w:pos="8176"/>
              <w:tab w:val="right" w:pos="9026" w:leader="dot"/>
            </w:tabs>
            <w:rPr/>
          </w:pPr>
          <w:hyperlink w:anchor="__RefHeading___Toc1272853_1067777946">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272855_1067777946">
            <w:r>
              <w:rPr>
                <w:webHidden/>
                <w:rStyle w:val="IndexLink"/>
                <w:rtl w:val="true"/>
              </w:rPr>
              <w:t xml:space="preserve">الأُولى </w:t>
            </w:r>
            <w:r>
              <w:rPr>
                <w:rStyle w:val="IndexLink"/>
                <w:rtl w:val="true"/>
              </w:rPr>
              <w:t xml:space="preserve">: </w:t>
            </w:r>
            <w:r>
              <w:rPr>
                <w:rStyle w:val="IndexLink"/>
                <w:rtl w:val="true"/>
              </w:rPr>
              <w:t>توريث الكافر من المسلم</w:t>
            </w:r>
            <w:r>
              <w:rPr>
                <w:rStyle w:val="IndexLink"/>
                <w:rtl w:val="true"/>
              </w:rPr>
              <w:tab/>
            </w:r>
            <w:r>
              <w:rPr>
                <w:rStyle w:val="IndexLink"/>
              </w:rPr>
              <w:t>194</w:t>
            </w:r>
          </w:hyperlink>
        </w:p>
        <w:p>
          <w:pPr>
            <w:pStyle w:val="Contents4"/>
            <w:tabs>
              <w:tab w:val="clear" w:pos="8176"/>
              <w:tab w:val="right" w:pos="9026" w:leader="dot"/>
            </w:tabs>
            <w:rPr/>
          </w:pPr>
          <w:hyperlink w:anchor="__RefHeading___Toc1272857_1067777946">
            <w:r>
              <w:rPr>
                <w:webHidden/>
                <w:rStyle w:val="IndexLink"/>
                <w:rtl w:val="true"/>
              </w:rPr>
              <w:t xml:space="preserve">الثانية </w:t>
            </w:r>
            <w:r>
              <w:rPr>
                <w:rStyle w:val="IndexLink"/>
                <w:rtl w:val="true"/>
              </w:rPr>
              <w:t xml:space="preserve">: </w:t>
            </w:r>
            <w:r>
              <w:rPr>
                <w:rStyle w:val="IndexLink"/>
                <w:rtl w:val="true"/>
              </w:rPr>
              <w:t>توريث المسلم من الكافر</w:t>
            </w:r>
            <w:r>
              <w:rPr>
                <w:rStyle w:val="IndexLink"/>
                <w:rtl w:val="true"/>
              </w:rPr>
              <w:tab/>
            </w:r>
            <w:r>
              <w:rPr>
                <w:rStyle w:val="IndexLink"/>
              </w:rPr>
              <w:t>195</w:t>
            </w:r>
          </w:hyperlink>
        </w:p>
        <w:p>
          <w:pPr>
            <w:pStyle w:val="Contents5"/>
            <w:tabs>
              <w:tab w:val="clear" w:pos="7892"/>
              <w:tab w:val="right" w:pos="9026" w:leader="dot"/>
            </w:tabs>
            <w:rPr/>
          </w:pPr>
          <w:hyperlink w:anchor="__RefHeading___Toc1272859_1067777946">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272861_1067777946">
            <w:r>
              <w:rPr>
                <w:webHidden/>
                <w:rStyle w:val="IndexLink"/>
              </w:rPr>
              <w:t>1</w:t>
            </w:r>
            <w:r>
              <w:rPr>
                <w:rStyle w:val="IndexLink"/>
                <w:rtl w:val="true"/>
              </w:rPr>
              <w:t xml:space="preserve">- </w:t>
            </w:r>
            <w:r>
              <w:rPr>
                <w:rStyle w:val="IndexLink"/>
                <w:rtl w:val="true"/>
              </w:rPr>
              <w:t>استعراض كلمات الفقهاء</w:t>
            </w:r>
            <w:r>
              <w:rPr>
                <w:rStyle w:val="IndexLink"/>
                <w:rtl w:val="true"/>
              </w:rPr>
              <w:tab/>
            </w:r>
            <w:r>
              <w:rPr>
                <w:rStyle w:val="IndexLink"/>
              </w:rPr>
              <w:t>196</w:t>
            </w:r>
          </w:hyperlink>
        </w:p>
        <w:p>
          <w:pPr>
            <w:pStyle w:val="Contents5"/>
            <w:tabs>
              <w:tab w:val="clear" w:pos="7892"/>
              <w:tab w:val="right" w:pos="9026" w:leader="dot"/>
            </w:tabs>
            <w:rPr/>
          </w:pPr>
          <w:hyperlink w:anchor="__RefHeading___Toc1272863_1067777946">
            <w:r>
              <w:rPr>
                <w:webHidden/>
                <w:rStyle w:val="IndexLink"/>
              </w:rPr>
              <w:t>2</w:t>
            </w:r>
            <w:r>
              <w:rPr>
                <w:rStyle w:val="IndexLink"/>
                <w:rtl w:val="true"/>
              </w:rPr>
              <w:t xml:space="preserve">- </w:t>
            </w:r>
            <w:r>
              <w:rPr>
                <w:rStyle w:val="IndexLink"/>
                <w:rtl w:val="true"/>
              </w:rPr>
              <w:t>الكتاب حجّة قطعية لا يعدل عنه إلاّ بدليل قطعي</w:t>
            </w:r>
            <w:r>
              <w:rPr>
                <w:rStyle w:val="IndexLink"/>
                <w:rtl w:val="true"/>
              </w:rPr>
              <w:tab/>
            </w:r>
            <w:r>
              <w:rPr>
                <w:rStyle w:val="IndexLink"/>
              </w:rPr>
              <w:t>198</w:t>
            </w:r>
          </w:hyperlink>
        </w:p>
        <w:p>
          <w:pPr>
            <w:pStyle w:val="Contents5"/>
            <w:tabs>
              <w:tab w:val="clear" w:pos="7892"/>
              <w:tab w:val="right" w:pos="9026" w:leader="dot"/>
            </w:tabs>
            <w:rPr/>
          </w:pPr>
          <w:hyperlink w:anchor="__RefHeading___Toc1272865_1067777946">
            <w:r>
              <w:rPr>
                <w:webHidden/>
                <w:rStyle w:val="IndexLink"/>
              </w:rPr>
              <w:t>3</w:t>
            </w:r>
            <w:r>
              <w:rPr>
                <w:rStyle w:val="IndexLink"/>
                <w:rtl w:val="true"/>
              </w:rPr>
              <w:t xml:space="preserve">- </w:t>
            </w:r>
            <w:r>
              <w:rPr>
                <w:rStyle w:val="IndexLink"/>
                <w:rtl w:val="true"/>
              </w:rPr>
              <w:t>أدلّة القائلين بإرث المسلم من الكافر</w:t>
            </w:r>
            <w:r>
              <w:rPr>
                <w:rStyle w:val="IndexLink"/>
                <w:rtl w:val="true"/>
              </w:rPr>
              <w:tab/>
            </w:r>
            <w:r>
              <w:rPr>
                <w:rStyle w:val="IndexLink"/>
              </w:rPr>
              <w:t>200</w:t>
            </w:r>
          </w:hyperlink>
        </w:p>
        <w:p>
          <w:pPr>
            <w:pStyle w:val="Contents6"/>
            <w:tabs>
              <w:tab w:val="clear" w:pos="7609"/>
              <w:tab w:val="right" w:pos="9026" w:leader="dot"/>
            </w:tabs>
            <w:rPr/>
          </w:pPr>
          <w:hyperlink w:anchor="__RefHeading___Toc1272867_1067777946">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1272869_1067777946">
            <w:r>
              <w:rPr>
                <w:webHidden/>
                <w:rStyle w:val="IndexLink"/>
              </w:rPr>
              <w:t>1</w:t>
            </w:r>
            <w:r>
              <w:rPr>
                <w:rStyle w:val="IndexLink"/>
                <w:rtl w:val="true"/>
              </w:rPr>
              <w:t xml:space="preserve">. </w:t>
            </w:r>
            <w:r>
              <w:rPr>
                <w:rStyle w:val="IndexLink"/>
                <w:rtl w:val="true"/>
              </w:rPr>
              <w:t>إطلاقات الكتاب العزيز</w:t>
            </w:r>
            <w:r>
              <w:rPr>
                <w:rStyle w:val="IndexLink"/>
                <w:rtl w:val="true"/>
              </w:rPr>
              <w:tab/>
            </w:r>
            <w:r>
              <w:rPr>
                <w:rStyle w:val="IndexLink"/>
              </w:rPr>
              <w:t>200</w:t>
            </w:r>
          </w:hyperlink>
        </w:p>
        <w:p>
          <w:pPr>
            <w:pStyle w:val="Contents6"/>
            <w:tabs>
              <w:tab w:val="clear" w:pos="7609"/>
              <w:tab w:val="right" w:pos="9026" w:leader="dot"/>
            </w:tabs>
            <w:rPr/>
          </w:pPr>
          <w:hyperlink w:anchor="__RefHeading___Toc1272871_1067777946">
            <w:r>
              <w:rPr>
                <w:webHidden/>
                <w:rStyle w:val="IndexLink"/>
              </w:rPr>
              <w:t>2</w:t>
            </w:r>
            <w:r>
              <w:rPr>
                <w:rStyle w:val="IndexLink"/>
                <w:rtl w:val="true"/>
              </w:rPr>
              <w:t xml:space="preserve">. </w:t>
            </w:r>
            <w:r>
              <w:rPr>
                <w:rStyle w:val="IndexLink"/>
                <w:rtl w:val="true"/>
              </w:rPr>
              <w:t>إجماع الإمامية على الإرث</w:t>
            </w:r>
            <w:r>
              <w:rPr>
                <w:rStyle w:val="IndexLink"/>
                <w:rtl w:val="true"/>
              </w:rPr>
              <w:tab/>
            </w:r>
            <w:r>
              <w:rPr>
                <w:rStyle w:val="IndexLink"/>
              </w:rPr>
              <w:t>201</w:t>
            </w:r>
          </w:hyperlink>
        </w:p>
        <w:p>
          <w:pPr>
            <w:pStyle w:val="Contents6"/>
            <w:tabs>
              <w:tab w:val="clear" w:pos="7609"/>
              <w:tab w:val="right" w:pos="9026" w:leader="dot"/>
            </w:tabs>
            <w:rPr/>
          </w:pPr>
          <w:hyperlink w:anchor="__RefHeading___Toc1272873_1067777946">
            <w:r>
              <w:rPr>
                <w:webHidden/>
                <w:rStyle w:val="IndexLink"/>
              </w:rPr>
              <w:t>3</w:t>
            </w:r>
            <w:r>
              <w:rPr>
                <w:rStyle w:val="IndexLink"/>
                <w:rtl w:val="true"/>
              </w:rPr>
              <w:t xml:space="preserve">. </w:t>
            </w:r>
            <w:r>
              <w:rPr>
                <w:rStyle w:val="IndexLink"/>
                <w:rtl w:val="true"/>
              </w:rPr>
              <w:t xml:space="preserve">الروايات المتضافرة عن أئمّة أهل البيت </w:t>
            </w:r>
            <w:r>
              <w:rPr>
                <w:rStyle w:val="IndexLink"/>
                <w:rtl w:val="true"/>
              </w:rPr>
              <w:t xml:space="preserve">- </w:t>
            </w:r>
            <w:r>
              <w:rPr>
                <w:rStyle w:val="IndexLink"/>
                <w:rtl w:val="true"/>
              </w:rPr>
              <w:t xml:space="preserve">عليهم السلام </w:t>
            </w:r>
            <w:r>
              <w:rPr>
                <w:rStyle w:val="IndexLink"/>
                <w:rtl w:val="true"/>
              </w:rPr>
              <w:t>-</w:t>
              <w:tab/>
            </w:r>
            <w:r>
              <w:rPr>
                <w:rStyle w:val="IndexLink"/>
              </w:rPr>
              <w:t>203</w:t>
            </w:r>
          </w:hyperlink>
        </w:p>
        <w:p>
          <w:pPr>
            <w:pStyle w:val="Contents6"/>
            <w:tabs>
              <w:tab w:val="clear" w:pos="7609"/>
              <w:tab w:val="right" w:pos="9026" w:leader="dot"/>
            </w:tabs>
            <w:rPr/>
          </w:pPr>
          <w:hyperlink w:anchor="__RefHeading___Toc1272875_1067777946">
            <w:r>
              <w:rPr>
                <w:webHidden/>
                <w:rStyle w:val="IndexLink"/>
                <w:rtl w:val="true"/>
              </w:rPr>
              <w:t>الروايات المعارضة</w:t>
            </w:r>
            <w:r>
              <w:rPr>
                <w:rStyle w:val="IndexLink"/>
                <w:rtl w:val="true"/>
              </w:rPr>
              <w:tab/>
            </w:r>
            <w:r>
              <w:rPr>
                <w:rStyle w:val="IndexLink"/>
              </w:rPr>
              <w:t>206</w:t>
            </w:r>
          </w:hyperlink>
        </w:p>
        <w:p>
          <w:pPr>
            <w:pStyle w:val="Contents6"/>
            <w:tabs>
              <w:tab w:val="clear" w:pos="7609"/>
              <w:tab w:val="right" w:pos="9026" w:leader="dot"/>
            </w:tabs>
            <w:rPr/>
          </w:pPr>
          <w:hyperlink w:anchor="__RefHeading___Toc1272877_1067777946">
            <w:r>
              <w:rPr>
                <w:webHidden/>
                <w:rStyle w:val="IndexLink"/>
                <w:rtl w:val="true"/>
              </w:rPr>
              <w:t xml:space="preserve">الرابع </w:t>
            </w:r>
            <w:r>
              <w:rPr>
                <w:rStyle w:val="IndexLink"/>
                <w:rtl w:val="true"/>
              </w:rPr>
              <w:t xml:space="preserve">: </w:t>
            </w:r>
            <w:r>
              <w:rPr>
                <w:rStyle w:val="IndexLink"/>
                <w:rtl w:val="true"/>
              </w:rPr>
              <w:t>الآثار المروية في السنن</w:t>
            </w:r>
            <w:r>
              <w:rPr>
                <w:rStyle w:val="IndexLink"/>
                <w:rtl w:val="true"/>
              </w:rPr>
              <w:tab/>
            </w:r>
            <w:r>
              <w:rPr>
                <w:rStyle w:val="IndexLink"/>
              </w:rPr>
              <w:t>208</w:t>
            </w:r>
          </w:hyperlink>
        </w:p>
        <w:p>
          <w:pPr>
            <w:pStyle w:val="Contents6"/>
            <w:tabs>
              <w:tab w:val="clear" w:pos="7609"/>
              <w:tab w:val="right" w:pos="9026" w:leader="dot"/>
            </w:tabs>
            <w:rPr/>
          </w:pPr>
          <w:hyperlink w:anchor="__RefHeading___Toc1272879_1067777946">
            <w:r>
              <w:rPr>
                <w:webHidden/>
                <w:rStyle w:val="IndexLink"/>
                <w:rtl w:val="true"/>
              </w:rPr>
              <w:t xml:space="preserve">الخامس </w:t>
            </w:r>
            <w:r>
              <w:rPr>
                <w:rStyle w:val="IndexLink"/>
                <w:rtl w:val="true"/>
              </w:rPr>
              <w:t xml:space="preserve">: </w:t>
            </w:r>
            <w:r>
              <w:rPr>
                <w:rStyle w:val="IndexLink"/>
                <w:rtl w:val="true"/>
              </w:rPr>
              <w:t>حرمان المسلم خلاف الامتنان</w:t>
            </w:r>
            <w:r>
              <w:rPr>
                <w:rStyle w:val="IndexLink"/>
                <w:rtl w:val="true"/>
              </w:rPr>
              <w:tab/>
            </w:r>
            <w:r>
              <w:rPr>
                <w:rStyle w:val="IndexLink"/>
              </w:rPr>
              <w:t>209</w:t>
            </w:r>
          </w:hyperlink>
        </w:p>
        <w:p>
          <w:pPr>
            <w:pStyle w:val="Contents5"/>
            <w:tabs>
              <w:tab w:val="clear" w:pos="7892"/>
              <w:tab w:val="right" w:pos="9026" w:leader="dot"/>
            </w:tabs>
            <w:rPr/>
          </w:pPr>
          <w:hyperlink w:anchor="__RefHeading___Toc1272881_1067777946">
            <w:r>
              <w:rPr>
                <w:webHidden/>
                <w:rStyle w:val="IndexLink"/>
              </w:rPr>
              <w:t>4</w:t>
            </w:r>
            <w:r>
              <w:rPr>
                <w:rStyle w:val="IndexLink"/>
                <w:rtl w:val="true"/>
              </w:rPr>
              <w:t xml:space="preserve">- </w:t>
            </w:r>
            <w:r>
              <w:rPr>
                <w:rStyle w:val="IndexLink"/>
                <w:rtl w:val="true"/>
              </w:rPr>
              <w:t>أدلّة القائلين بعدم التوريث</w:t>
            </w:r>
            <w:r>
              <w:rPr>
                <w:rStyle w:val="IndexLink"/>
                <w:rtl w:val="true"/>
              </w:rPr>
              <w:tab/>
            </w:r>
            <w:r>
              <w:rPr>
                <w:rStyle w:val="IndexLink"/>
              </w:rPr>
              <w:t>211</w:t>
            </w:r>
          </w:hyperlink>
        </w:p>
        <w:p>
          <w:pPr>
            <w:pStyle w:val="Contents6"/>
            <w:tabs>
              <w:tab w:val="clear" w:pos="7609"/>
              <w:tab w:val="right" w:pos="9026" w:leader="dot"/>
            </w:tabs>
            <w:rPr/>
          </w:pPr>
          <w:hyperlink w:anchor="__RefHeading___Toc1272883_1067777946">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1272885_1067777946">
            <w:r>
              <w:rPr>
                <w:webHidden/>
                <w:rStyle w:val="IndexLink"/>
              </w:rPr>
              <w:t>1</w:t>
            </w:r>
            <w:r>
              <w:rPr>
                <w:rStyle w:val="IndexLink"/>
                <w:rtl w:val="true"/>
              </w:rPr>
              <w:t xml:space="preserve">. </w:t>
            </w:r>
            <w:r>
              <w:rPr>
                <w:rStyle w:val="IndexLink"/>
                <w:rtl w:val="true"/>
              </w:rPr>
              <w:t>حديث عمرو بن شعيب</w:t>
            </w:r>
            <w:r>
              <w:rPr>
                <w:rStyle w:val="IndexLink"/>
                <w:rtl w:val="true"/>
              </w:rPr>
              <w:tab/>
            </w:r>
            <w:r>
              <w:rPr>
                <w:rStyle w:val="IndexLink"/>
              </w:rPr>
              <w:t>211</w:t>
            </w:r>
          </w:hyperlink>
        </w:p>
        <w:p>
          <w:pPr>
            <w:pStyle w:val="Contents6"/>
            <w:tabs>
              <w:tab w:val="clear" w:pos="7609"/>
              <w:tab w:val="right" w:pos="9026" w:leader="dot"/>
            </w:tabs>
            <w:rPr/>
          </w:pPr>
          <w:hyperlink w:anchor="__RefHeading___Toc1272887_1067777946">
            <w:r>
              <w:rPr>
                <w:webHidden/>
                <w:rStyle w:val="IndexLink"/>
              </w:rPr>
              <w:t>2</w:t>
            </w:r>
            <w:r>
              <w:rPr>
                <w:rStyle w:val="IndexLink"/>
                <w:rtl w:val="true"/>
              </w:rPr>
              <w:t xml:space="preserve">. </w:t>
            </w:r>
            <w:r>
              <w:rPr>
                <w:rStyle w:val="IndexLink"/>
                <w:rtl w:val="true"/>
              </w:rPr>
              <w:t>حديث أُسامة</w:t>
            </w:r>
            <w:r>
              <w:rPr>
                <w:rStyle w:val="IndexLink"/>
                <w:rtl w:val="true"/>
              </w:rPr>
              <w:tab/>
            </w:r>
            <w:r>
              <w:rPr>
                <w:rStyle w:val="IndexLink"/>
              </w:rPr>
              <w:t>213</w:t>
            </w:r>
          </w:hyperlink>
        </w:p>
        <w:p>
          <w:pPr>
            <w:pStyle w:val="Contents6"/>
            <w:tabs>
              <w:tab w:val="clear" w:pos="7609"/>
              <w:tab w:val="right" w:pos="9026" w:leader="dot"/>
            </w:tabs>
            <w:rPr/>
          </w:pPr>
          <w:hyperlink w:anchor="__RefHeading___Toc1272889_1067777946">
            <w:r>
              <w:rPr>
                <w:webHidden/>
                <w:rStyle w:val="IndexLink"/>
              </w:rPr>
              <w:t>3</w:t>
            </w:r>
            <w:r>
              <w:rPr>
                <w:rStyle w:val="IndexLink"/>
                <w:rtl w:val="true"/>
              </w:rPr>
              <w:t xml:space="preserve">. </w:t>
            </w:r>
            <w:r>
              <w:rPr>
                <w:rStyle w:val="IndexLink"/>
                <w:rtl w:val="true"/>
              </w:rPr>
              <w:t>حديث عامر الشعبي</w:t>
            </w:r>
            <w:r>
              <w:rPr>
                <w:rStyle w:val="IndexLink"/>
                <w:rtl w:val="true"/>
              </w:rPr>
              <w:tab/>
            </w:r>
            <w:r>
              <w:rPr>
                <w:rStyle w:val="IndexLink"/>
              </w:rPr>
              <w:t>214</w:t>
            </w:r>
          </w:hyperlink>
        </w:p>
        <w:p>
          <w:pPr>
            <w:pStyle w:val="Contents6"/>
            <w:tabs>
              <w:tab w:val="clear" w:pos="7609"/>
              <w:tab w:val="right" w:pos="9026" w:leader="dot"/>
            </w:tabs>
            <w:rPr/>
          </w:pPr>
          <w:hyperlink w:anchor="__RefHeading___Toc1272891_1067777946">
            <w:r>
              <w:rPr>
                <w:webHidden/>
                <w:rStyle w:val="IndexLink"/>
              </w:rPr>
              <w:t>4</w:t>
            </w:r>
            <w:r>
              <w:rPr>
                <w:rStyle w:val="IndexLink"/>
                <w:rtl w:val="true"/>
              </w:rPr>
              <w:t xml:space="preserve">. </w:t>
            </w:r>
            <w:r>
              <w:rPr>
                <w:rStyle w:val="IndexLink"/>
                <w:rtl w:val="true"/>
              </w:rPr>
              <w:t>الاستدلال بالآثار المروية عن الصحابة</w:t>
            </w:r>
            <w:r>
              <w:rPr>
                <w:rStyle w:val="IndexLink"/>
                <w:rtl w:val="true"/>
              </w:rPr>
              <w:tab/>
            </w:r>
            <w:r>
              <w:rPr>
                <w:rStyle w:val="IndexLink"/>
              </w:rPr>
              <w:t>215</w:t>
            </w:r>
          </w:hyperlink>
        </w:p>
        <w:p>
          <w:pPr>
            <w:pStyle w:val="Contents6"/>
            <w:tabs>
              <w:tab w:val="clear" w:pos="7609"/>
              <w:tab w:val="right" w:pos="9026" w:leader="dot"/>
            </w:tabs>
            <w:rPr/>
          </w:pPr>
          <w:hyperlink w:anchor="__RefHeading___Toc1272893_1067777946">
            <w:r>
              <w:rPr>
                <w:webHidden/>
                <w:rStyle w:val="IndexLink"/>
              </w:rPr>
              <w:t>5</w:t>
            </w:r>
            <w:r>
              <w:rPr>
                <w:rStyle w:val="IndexLink"/>
                <w:rtl w:val="true"/>
              </w:rPr>
              <w:t xml:space="preserve">. </w:t>
            </w:r>
            <w:r>
              <w:rPr>
                <w:rStyle w:val="IndexLink"/>
                <w:rtl w:val="true"/>
              </w:rPr>
              <w:t>انقطاع الولاية بين الكافر والمسلم</w:t>
            </w:r>
            <w:r>
              <w:rPr>
                <w:rStyle w:val="IndexLink"/>
                <w:rtl w:val="true"/>
              </w:rPr>
              <w:tab/>
            </w:r>
            <w:r>
              <w:rPr>
                <w:rStyle w:val="IndexLink"/>
              </w:rPr>
              <w:t>217</w:t>
            </w:r>
          </w:hyperlink>
        </w:p>
        <w:p>
          <w:pPr>
            <w:pStyle w:val="Contents2"/>
            <w:tabs>
              <w:tab w:val="clear" w:pos="8743"/>
              <w:tab w:val="right" w:pos="9026" w:leader="dot"/>
            </w:tabs>
            <w:rPr/>
          </w:pPr>
          <w:hyperlink w:anchor="__RefHeading___Toc1272895_1067777946">
            <w:r>
              <w:rPr>
                <w:webHidden/>
                <w:rStyle w:val="IndexLink"/>
              </w:rPr>
              <w:t>22</w:t>
            </w:r>
            <w:r>
              <w:rPr>
                <w:rStyle w:val="IndexLink"/>
                <w:rtl w:val="true"/>
              </w:rPr>
              <w:t xml:space="preserve">- </w:t>
            </w:r>
            <w:r>
              <w:rPr>
                <w:rStyle w:val="IndexLink"/>
                <w:rtl w:val="true"/>
              </w:rPr>
              <w:t>الميراث بالقرابة أو بالتعصيب</w:t>
            </w:r>
            <w:r>
              <w:rPr>
                <w:rStyle w:val="IndexLink"/>
                <w:rtl w:val="true"/>
              </w:rPr>
              <w:tab/>
            </w:r>
            <w:r>
              <w:rPr>
                <w:rStyle w:val="IndexLink"/>
              </w:rPr>
              <w:t>220</w:t>
            </w:r>
          </w:hyperlink>
        </w:p>
        <w:p>
          <w:pPr>
            <w:pStyle w:val="Contents3"/>
            <w:tabs>
              <w:tab w:val="clear" w:pos="8459"/>
              <w:tab w:val="right" w:pos="9026" w:leader="dot"/>
            </w:tabs>
            <w:rPr/>
          </w:pPr>
          <w:hyperlink w:anchor="__RefHeading___Toc1272897_1067777946">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272899_1067777946">
            <w:r>
              <w:rPr>
                <w:webHidden/>
                <w:rStyle w:val="IndexLink"/>
                <w:rtl w:val="true"/>
              </w:rPr>
              <w:t>الميراث بالقرابة أو بالتعصيب</w:t>
            </w:r>
            <w:r>
              <w:rPr>
                <w:rStyle w:val="IndexLink"/>
                <w:rtl w:val="true"/>
              </w:rPr>
              <w:tab/>
            </w:r>
            <w:r>
              <w:rPr>
                <w:rStyle w:val="IndexLink"/>
              </w:rPr>
              <w:t>222</w:t>
            </w:r>
          </w:hyperlink>
        </w:p>
        <w:p>
          <w:pPr>
            <w:pStyle w:val="Contents4"/>
            <w:tabs>
              <w:tab w:val="clear" w:pos="8176"/>
              <w:tab w:val="right" w:pos="9026" w:leader="dot"/>
            </w:tabs>
            <w:rPr/>
          </w:pPr>
          <w:hyperlink w:anchor="__RefHeading___Toc1272901_1067777946">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272903_1067777946">
            <w:r>
              <w:rPr>
                <w:webHidden/>
                <w:rStyle w:val="IndexLink"/>
                <w:rtl w:val="true"/>
              </w:rPr>
              <w:t xml:space="preserve">الأوّل </w:t>
            </w:r>
            <w:r>
              <w:rPr>
                <w:rStyle w:val="IndexLink"/>
                <w:rtl w:val="true"/>
              </w:rPr>
              <w:t xml:space="preserve">: </w:t>
            </w:r>
            <w:r>
              <w:rPr>
                <w:rStyle w:val="IndexLink"/>
                <w:rtl w:val="true"/>
              </w:rPr>
              <w:t>العَصَبة في اللغة والاصطلاح</w:t>
            </w:r>
            <w:r>
              <w:rPr>
                <w:rStyle w:val="IndexLink"/>
                <w:rtl w:val="true"/>
              </w:rPr>
              <w:tab/>
            </w:r>
            <w:r>
              <w:rPr>
                <w:rStyle w:val="IndexLink"/>
              </w:rPr>
              <w:t>222</w:t>
            </w:r>
          </w:hyperlink>
        </w:p>
        <w:p>
          <w:pPr>
            <w:pStyle w:val="Contents4"/>
            <w:tabs>
              <w:tab w:val="clear" w:pos="8176"/>
              <w:tab w:val="right" w:pos="9026" w:leader="dot"/>
            </w:tabs>
            <w:rPr/>
          </w:pPr>
          <w:hyperlink w:anchor="__RefHeading___Toc1272905_1067777946">
            <w:r>
              <w:rPr>
                <w:webHidden/>
                <w:rStyle w:val="IndexLink"/>
                <w:rtl w:val="true"/>
              </w:rPr>
              <w:t xml:space="preserve">الثاني </w:t>
            </w:r>
            <w:r>
              <w:rPr>
                <w:rStyle w:val="IndexLink"/>
                <w:rtl w:val="true"/>
              </w:rPr>
              <w:t xml:space="preserve">: </w:t>
            </w:r>
            <w:r>
              <w:rPr>
                <w:rStyle w:val="IndexLink"/>
                <w:rtl w:val="true"/>
              </w:rPr>
              <w:t>أقسام العصبة</w:t>
            </w:r>
            <w:r>
              <w:rPr>
                <w:rStyle w:val="IndexLink"/>
                <w:rtl w:val="true"/>
              </w:rPr>
              <w:tab/>
            </w:r>
            <w:r>
              <w:rPr>
                <w:rStyle w:val="IndexLink"/>
              </w:rPr>
              <w:t>223</w:t>
            </w:r>
          </w:hyperlink>
        </w:p>
        <w:p>
          <w:pPr>
            <w:pStyle w:val="Contents4"/>
            <w:tabs>
              <w:tab w:val="clear" w:pos="8176"/>
              <w:tab w:val="right" w:pos="9026" w:leader="dot"/>
            </w:tabs>
            <w:rPr/>
          </w:pPr>
          <w:hyperlink w:anchor="__RefHeading___Toc1272907_1067777946">
            <w:r>
              <w:rPr>
                <w:webHidden/>
                <w:rStyle w:val="IndexLink"/>
                <w:rtl w:val="true"/>
              </w:rPr>
              <w:t xml:space="preserve">الثالث </w:t>
            </w:r>
            <w:r>
              <w:rPr>
                <w:rStyle w:val="IndexLink"/>
                <w:rtl w:val="true"/>
              </w:rPr>
              <w:t xml:space="preserve">: </w:t>
            </w:r>
            <w:r>
              <w:rPr>
                <w:rStyle w:val="IndexLink"/>
                <w:rtl w:val="true"/>
              </w:rPr>
              <w:t>أقسام نسبة الفروض مع مجموع التركة</w:t>
            </w:r>
            <w:r>
              <w:rPr>
                <w:rStyle w:val="IndexLink"/>
                <w:rtl w:val="true"/>
              </w:rPr>
              <w:tab/>
            </w:r>
            <w:r>
              <w:rPr>
                <w:rStyle w:val="IndexLink"/>
              </w:rPr>
              <w:t>224</w:t>
            </w:r>
          </w:hyperlink>
        </w:p>
        <w:p>
          <w:pPr>
            <w:pStyle w:val="Contents4"/>
            <w:tabs>
              <w:tab w:val="clear" w:pos="8176"/>
              <w:tab w:val="right" w:pos="9026" w:leader="dot"/>
            </w:tabs>
            <w:rPr/>
          </w:pPr>
          <w:hyperlink w:anchor="__RefHeading___Toc1272909_1067777946">
            <w:r>
              <w:rPr>
                <w:webHidden/>
                <w:rStyle w:val="IndexLink"/>
                <w:rtl w:val="true"/>
              </w:rPr>
              <w:t xml:space="preserve">الرابع </w:t>
            </w:r>
            <w:r>
              <w:rPr>
                <w:rStyle w:val="IndexLink"/>
                <w:rtl w:val="true"/>
              </w:rPr>
              <w:t xml:space="preserve">: </w:t>
            </w:r>
            <w:r>
              <w:rPr>
                <w:rStyle w:val="IndexLink"/>
                <w:rtl w:val="true"/>
              </w:rPr>
              <w:t>إيضاح التوريث بالتعصيب</w:t>
            </w:r>
            <w:r>
              <w:rPr>
                <w:rStyle w:val="IndexLink"/>
                <w:rtl w:val="true"/>
              </w:rPr>
              <w:tab/>
            </w:r>
            <w:r>
              <w:rPr>
                <w:rStyle w:val="IndexLink"/>
              </w:rPr>
              <w:t>225</w:t>
            </w:r>
          </w:hyperlink>
        </w:p>
        <w:p>
          <w:pPr>
            <w:pStyle w:val="Contents4"/>
            <w:tabs>
              <w:tab w:val="clear" w:pos="8176"/>
              <w:tab w:val="right" w:pos="9026" w:leader="dot"/>
            </w:tabs>
            <w:rPr/>
          </w:pPr>
          <w:hyperlink w:anchor="__RefHeading___Toc1272911_1067777946">
            <w:r>
              <w:rPr>
                <w:webHidden/>
                <w:rStyle w:val="IndexLink"/>
                <w:rtl w:val="true"/>
              </w:rPr>
              <w:t xml:space="preserve">الخامس </w:t>
            </w:r>
            <w:r>
              <w:rPr>
                <w:rStyle w:val="IndexLink"/>
                <w:rtl w:val="true"/>
              </w:rPr>
              <w:t xml:space="preserve">: </w:t>
            </w:r>
            <w:r>
              <w:rPr>
                <w:rStyle w:val="IndexLink"/>
                <w:rtl w:val="true"/>
              </w:rPr>
              <w:t>ضابطة الميراث عند الفريقين</w:t>
            </w:r>
            <w:r>
              <w:rPr>
                <w:rStyle w:val="IndexLink"/>
                <w:rtl w:val="true"/>
              </w:rPr>
              <w:tab/>
            </w:r>
            <w:r>
              <w:rPr>
                <w:rStyle w:val="IndexLink"/>
              </w:rPr>
              <w:t>226</w:t>
            </w:r>
          </w:hyperlink>
        </w:p>
        <w:p>
          <w:pPr>
            <w:pStyle w:val="Contents4"/>
            <w:tabs>
              <w:tab w:val="clear" w:pos="8176"/>
              <w:tab w:val="right" w:pos="9026" w:leader="dot"/>
            </w:tabs>
            <w:rPr/>
          </w:pPr>
          <w:hyperlink w:anchor="__RefHeading___Toc1272913_1067777946">
            <w:r>
              <w:rPr>
                <w:webHidden/>
                <w:rStyle w:val="IndexLink"/>
                <w:rtl w:val="true"/>
              </w:rPr>
              <w:t xml:space="preserve">السادس </w:t>
            </w:r>
            <w:r>
              <w:rPr>
                <w:rStyle w:val="IndexLink"/>
                <w:rtl w:val="true"/>
              </w:rPr>
              <w:t xml:space="preserve">: </w:t>
            </w:r>
            <w:r>
              <w:rPr>
                <w:rStyle w:val="IndexLink"/>
                <w:rtl w:val="true"/>
              </w:rPr>
              <w:t>عدم الثمرة فيما إذا كان قريب مساو لا فرض له</w:t>
            </w:r>
            <w:r>
              <w:rPr>
                <w:rStyle w:val="IndexLink"/>
                <w:rtl w:val="true"/>
              </w:rPr>
              <w:tab/>
            </w:r>
            <w:r>
              <w:rPr>
                <w:rStyle w:val="IndexLink"/>
              </w:rPr>
              <w:t>227</w:t>
            </w:r>
          </w:hyperlink>
        </w:p>
        <w:p>
          <w:pPr>
            <w:pStyle w:val="Contents4"/>
            <w:tabs>
              <w:tab w:val="clear" w:pos="8176"/>
              <w:tab w:val="right" w:pos="9026" w:leader="dot"/>
            </w:tabs>
            <w:rPr/>
          </w:pPr>
          <w:hyperlink w:anchor="__RefHeading___Toc1272915_1067777946">
            <w:r>
              <w:rPr>
                <w:webHidden/>
                <w:rStyle w:val="IndexLink"/>
                <w:rtl w:val="true"/>
              </w:rPr>
              <w:t xml:space="preserve">السابع </w:t>
            </w:r>
            <w:r>
              <w:rPr>
                <w:rStyle w:val="IndexLink"/>
                <w:rtl w:val="true"/>
              </w:rPr>
              <w:t xml:space="preserve">: </w:t>
            </w:r>
            <w:r>
              <w:rPr>
                <w:rStyle w:val="IndexLink"/>
                <w:rtl w:val="true"/>
              </w:rPr>
              <w:t>ترتّب الثمرة إذا لم يكن قريب مساو لا فرض له</w:t>
            </w:r>
            <w:r>
              <w:rPr>
                <w:rStyle w:val="IndexLink"/>
                <w:rtl w:val="true"/>
              </w:rPr>
              <w:tab/>
            </w:r>
            <w:r>
              <w:rPr>
                <w:rStyle w:val="IndexLink"/>
              </w:rPr>
              <w:t>229</w:t>
            </w:r>
          </w:hyperlink>
        </w:p>
        <w:p>
          <w:pPr>
            <w:pStyle w:val="Contents3"/>
            <w:tabs>
              <w:tab w:val="clear" w:pos="8459"/>
              <w:tab w:val="right" w:pos="9026" w:leader="dot"/>
            </w:tabs>
            <w:rPr/>
          </w:pPr>
          <w:hyperlink w:anchor="__RefHeading___Toc1272917_1067777946">
            <w:r>
              <w:rPr>
                <w:webHidden/>
                <w:rStyle w:val="IndexLink"/>
                <w:rtl w:val="true"/>
              </w:rPr>
              <w:t>دراسة أدلّة نفاة التعصيب</w:t>
            </w:r>
            <w:r>
              <w:rPr>
                <w:rStyle w:val="IndexLink"/>
                <w:rtl w:val="true"/>
              </w:rPr>
              <w:tab/>
            </w:r>
            <w:r>
              <w:rPr>
                <w:rStyle w:val="IndexLink"/>
              </w:rPr>
              <w:t>231</w:t>
            </w:r>
          </w:hyperlink>
        </w:p>
        <w:p>
          <w:pPr>
            <w:pStyle w:val="Contents4"/>
            <w:tabs>
              <w:tab w:val="clear" w:pos="8176"/>
              <w:tab w:val="right" w:pos="9026" w:leader="dot"/>
            </w:tabs>
            <w:rPr/>
          </w:pPr>
          <w:hyperlink w:anchor="__RefHeading___Toc1272919_1067777946">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272921_1067777946">
            <w:r>
              <w:rPr>
                <w:webHidden/>
                <w:rStyle w:val="IndexLink"/>
                <w:rtl w:val="true"/>
              </w:rPr>
              <w:t>الآية الأُولى</w:t>
            </w:r>
            <w:r>
              <w:rPr>
                <w:rStyle w:val="IndexLink"/>
                <w:rtl w:val="true"/>
              </w:rPr>
              <w:t xml:space="preserve">: </w:t>
            </w:r>
            <w:r>
              <w:rPr>
                <w:rStyle w:val="IndexLink"/>
                <w:rtl w:val="true"/>
              </w:rPr>
              <w:t>مشاركة النساء للرجال في الميراث</w:t>
            </w:r>
            <w:r>
              <w:rPr>
                <w:rStyle w:val="IndexLink"/>
                <w:rtl w:val="true"/>
              </w:rPr>
              <w:tab/>
            </w:r>
            <w:r>
              <w:rPr>
                <w:rStyle w:val="IndexLink"/>
              </w:rPr>
              <w:t>231</w:t>
            </w:r>
          </w:hyperlink>
        </w:p>
        <w:p>
          <w:pPr>
            <w:pStyle w:val="Contents4"/>
            <w:tabs>
              <w:tab w:val="clear" w:pos="8176"/>
              <w:tab w:val="right" w:pos="9026" w:leader="dot"/>
            </w:tabs>
            <w:rPr/>
          </w:pPr>
          <w:hyperlink w:anchor="__RefHeading___Toc1272923_1067777946">
            <w:r>
              <w:rPr>
                <w:webHidden/>
                <w:rStyle w:val="IndexLink"/>
                <w:rtl w:val="true"/>
              </w:rPr>
              <w:t>الآية الثانية</w:t>
            </w:r>
            <w:r>
              <w:rPr>
                <w:rStyle w:val="IndexLink"/>
                <w:rtl w:val="true"/>
              </w:rPr>
              <w:t xml:space="preserve">: </w:t>
            </w:r>
            <w:r>
              <w:rPr>
                <w:rStyle w:val="IndexLink"/>
                <w:rtl w:val="true"/>
              </w:rPr>
              <w:t>الضابطة في الميراث هي الأقربية</w:t>
            </w:r>
            <w:r>
              <w:rPr>
                <w:rStyle w:val="IndexLink"/>
                <w:rtl w:val="true"/>
              </w:rPr>
              <w:tab/>
            </w:r>
            <w:r>
              <w:rPr>
                <w:rStyle w:val="IndexLink"/>
              </w:rPr>
              <w:t>234</w:t>
            </w:r>
          </w:hyperlink>
        </w:p>
        <w:p>
          <w:pPr>
            <w:pStyle w:val="Contents5"/>
            <w:tabs>
              <w:tab w:val="clear" w:pos="7892"/>
              <w:tab w:val="right" w:pos="9026" w:leader="dot"/>
            </w:tabs>
            <w:rPr/>
          </w:pPr>
          <w:hyperlink w:anchor="__RefHeading___Toc1272925_1067777946">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272927_1067777946">
            <w:r>
              <w:rPr>
                <w:webHidden/>
                <w:rStyle w:val="IndexLink"/>
                <w:rtl w:val="true"/>
              </w:rPr>
              <w:t xml:space="preserve">الأوّل </w:t>
            </w:r>
            <w:r>
              <w:rPr>
                <w:rStyle w:val="IndexLink"/>
                <w:rtl w:val="true"/>
              </w:rPr>
              <w:t xml:space="preserve">: </w:t>
            </w:r>
            <w:r>
              <w:rPr>
                <w:rStyle w:val="IndexLink"/>
                <w:rtl w:val="true"/>
              </w:rPr>
              <w:t>تخصيص الآية بما دلّ على ميراث العصبة</w:t>
            </w:r>
            <w:r>
              <w:rPr>
                <w:rStyle w:val="IndexLink"/>
                <w:rtl w:val="true"/>
              </w:rPr>
              <w:tab/>
            </w:r>
            <w:r>
              <w:rPr>
                <w:rStyle w:val="IndexLink"/>
              </w:rPr>
              <w:t>237</w:t>
            </w:r>
          </w:hyperlink>
        </w:p>
        <w:p>
          <w:pPr>
            <w:pStyle w:val="Contents5"/>
            <w:tabs>
              <w:tab w:val="clear" w:pos="7892"/>
              <w:tab w:val="right" w:pos="9026" w:leader="dot"/>
            </w:tabs>
            <w:rPr/>
          </w:pPr>
          <w:hyperlink w:anchor="__RefHeading___Toc1272929_1067777946">
            <w:r>
              <w:rPr>
                <w:webHidden/>
                <w:rStyle w:val="IndexLink"/>
                <w:rtl w:val="true"/>
              </w:rPr>
              <w:t xml:space="preserve">الثاني </w:t>
            </w:r>
            <w:r>
              <w:rPr>
                <w:rStyle w:val="IndexLink"/>
                <w:rtl w:val="true"/>
              </w:rPr>
              <w:t xml:space="preserve">: </w:t>
            </w:r>
            <w:r>
              <w:rPr>
                <w:rStyle w:val="IndexLink"/>
                <w:rtl w:val="true"/>
              </w:rPr>
              <w:t>حرمان الرجال من الميراث في الفقه الإمامي</w:t>
            </w:r>
            <w:r>
              <w:rPr>
                <w:rStyle w:val="IndexLink"/>
                <w:rtl w:val="true"/>
              </w:rPr>
              <w:tab/>
            </w:r>
            <w:r>
              <w:rPr>
                <w:rStyle w:val="IndexLink"/>
              </w:rPr>
              <w:t>237</w:t>
            </w:r>
          </w:hyperlink>
        </w:p>
        <w:p>
          <w:pPr>
            <w:pStyle w:val="Contents4"/>
            <w:tabs>
              <w:tab w:val="clear" w:pos="8176"/>
              <w:tab w:val="right" w:pos="9026" w:leader="dot"/>
            </w:tabs>
            <w:rPr/>
          </w:pPr>
          <w:hyperlink w:anchor="__RefHeading___Toc1272931_1067777946">
            <w:r>
              <w:rPr>
                <w:webHidden/>
                <w:rStyle w:val="IndexLink"/>
                <w:rtl w:val="true"/>
              </w:rPr>
              <w:t>الآية الثالثة</w:t>
            </w:r>
            <w:r>
              <w:rPr>
                <w:rStyle w:val="IndexLink"/>
                <w:rtl w:val="true"/>
              </w:rPr>
              <w:t xml:space="preserve">: </w:t>
            </w:r>
            <w:r>
              <w:rPr>
                <w:rStyle w:val="IndexLink"/>
                <w:rtl w:val="true"/>
              </w:rPr>
              <w:t>توريث الأُخت مشروط بعدم وجود الولد</w:t>
            </w:r>
            <w:r>
              <w:rPr>
                <w:rStyle w:val="IndexLink"/>
                <w:rtl w:val="true"/>
              </w:rPr>
              <w:tab/>
            </w:r>
            <w:r>
              <w:rPr>
                <w:rStyle w:val="IndexLink"/>
              </w:rPr>
              <w:t>239</w:t>
            </w:r>
          </w:hyperlink>
        </w:p>
        <w:p>
          <w:pPr>
            <w:pStyle w:val="Contents3"/>
            <w:tabs>
              <w:tab w:val="clear" w:pos="8459"/>
              <w:tab w:val="right" w:pos="9026" w:leader="dot"/>
            </w:tabs>
            <w:rPr/>
          </w:pPr>
          <w:hyperlink w:anchor="__RefHeading___Toc1272933_1067777946">
            <w:r>
              <w:rPr>
                <w:webHidden/>
                <w:rStyle w:val="IndexLink"/>
                <w:rtl w:val="true"/>
              </w:rPr>
              <w:t>الاستدلال بالسنّة على نفي التعصيب</w:t>
            </w:r>
            <w:r>
              <w:rPr>
                <w:rStyle w:val="IndexLink"/>
                <w:rtl w:val="true"/>
              </w:rPr>
              <w:tab/>
            </w:r>
            <w:r>
              <w:rPr>
                <w:rStyle w:val="IndexLink"/>
              </w:rPr>
              <w:t>241</w:t>
            </w:r>
          </w:hyperlink>
        </w:p>
        <w:p>
          <w:pPr>
            <w:pStyle w:val="Contents3"/>
            <w:tabs>
              <w:tab w:val="clear" w:pos="8459"/>
              <w:tab w:val="right" w:pos="9026" w:leader="dot"/>
            </w:tabs>
            <w:rPr/>
          </w:pPr>
          <w:hyperlink w:anchor="__RefHeading___Toc1272935_1067777946">
            <w:r>
              <w:rPr>
                <w:webHidden/>
                <w:rStyle w:val="IndexLink"/>
                <w:rtl w:val="true"/>
              </w:rPr>
              <w:t>الأحاديث المأثورة عن أئمّة أهل البيت عليهم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1272937_1067777946">
            <w:r>
              <w:rPr>
                <w:webHidden/>
                <w:rStyle w:val="IndexLink"/>
                <w:rtl w:val="true"/>
              </w:rPr>
              <w:t>دراسة أدلّة القائلين بالتعصيب</w:t>
            </w:r>
            <w:r>
              <w:rPr>
                <w:rStyle w:val="IndexLink"/>
                <w:rtl w:val="true"/>
              </w:rPr>
              <w:tab/>
            </w:r>
            <w:r>
              <w:rPr>
                <w:rStyle w:val="IndexLink"/>
              </w:rPr>
              <w:t>246</w:t>
            </w:r>
          </w:hyperlink>
        </w:p>
        <w:p>
          <w:pPr>
            <w:pStyle w:val="Contents4"/>
            <w:tabs>
              <w:tab w:val="clear" w:pos="8176"/>
              <w:tab w:val="right" w:pos="9026" w:leader="dot"/>
            </w:tabs>
            <w:rPr/>
          </w:pPr>
          <w:hyperlink w:anchor="__RefHeading___Toc1272939_1067777946">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272941_1067777946">
            <w:r>
              <w:rPr>
                <w:webHidden/>
                <w:rStyle w:val="IndexLink"/>
                <w:rtl w:val="true"/>
              </w:rPr>
              <w:t xml:space="preserve">الرواية الأُولى </w:t>
            </w:r>
            <w:r>
              <w:rPr>
                <w:rStyle w:val="IndexLink"/>
                <w:rtl w:val="true"/>
              </w:rPr>
              <w:t xml:space="preserve">: </w:t>
            </w:r>
            <w:r>
              <w:rPr>
                <w:rStyle w:val="IndexLink"/>
                <w:rtl w:val="true"/>
              </w:rPr>
              <w:t>في أنّ بقية المال لأولى رجل ذكر</w:t>
            </w:r>
            <w:r>
              <w:rPr>
                <w:rStyle w:val="IndexLink"/>
                <w:rtl w:val="true"/>
              </w:rPr>
              <w:tab/>
            </w:r>
            <w:r>
              <w:rPr>
                <w:rStyle w:val="IndexLink"/>
              </w:rPr>
              <w:t>249</w:t>
            </w:r>
          </w:hyperlink>
        </w:p>
        <w:p>
          <w:pPr>
            <w:pStyle w:val="Contents4"/>
            <w:tabs>
              <w:tab w:val="clear" w:pos="8176"/>
              <w:tab w:val="right" w:pos="9026" w:leader="dot"/>
            </w:tabs>
            <w:rPr/>
          </w:pPr>
          <w:hyperlink w:anchor="__RefHeading___Toc1272943_1067777946">
            <w:r>
              <w:rPr>
                <w:webHidden/>
                <w:rStyle w:val="IndexLink"/>
                <w:rtl w:val="true"/>
              </w:rPr>
              <w:t xml:space="preserve">الرواية الثانية </w:t>
            </w:r>
            <w:r>
              <w:rPr>
                <w:rStyle w:val="IndexLink"/>
                <w:rtl w:val="true"/>
              </w:rPr>
              <w:t xml:space="preserve">: </w:t>
            </w:r>
            <w:r>
              <w:rPr>
                <w:rStyle w:val="IndexLink"/>
                <w:rtl w:val="true"/>
              </w:rPr>
              <w:t>ما ورد في ميراث البنتين</w:t>
            </w:r>
            <w:r>
              <w:rPr>
                <w:rStyle w:val="IndexLink"/>
                <w:rtl w:val="true"/>
              </w:rPr>
              <w:tab/>
            </w:r>
            <w:r>
              <w:rPr>
                <w:rStyle w:val="IndexLink"/>
              </w:rPr>
              <w:t>253</w:t>
            </w:r>
          </w:hyperlink>
        </w:p>
        <w:p>
          <w:pPr>
            <w:pStyle w:val="Contents4"/>
            <w:tabs>
              <w:tab w:val="clear" w:pos="8176"/>
              <w:tab w:val="right" w:pos="9026" w:leader="dot"/>
            </w:tabs>
            <w:rPr/>
          </w:pPr>
          <w:hyperlink w:anchor="__RefHeading___Toc1272945_1067777946">
            <w:r>
              <w:rPr>
                <w:webHidden/>
                <w:rStyle w:val="IndexLink"/>
                <w:rtl w:val="true"/>
              </w:rPr>
              <w:t xml:space="preserve">الرواية الثالثة </w:t>
            </w:r>
            <w:r>
              <w:rPr>
                <w:rStyle w:val="IndexLink"/>
                <w:rtl w:val="true"/>
              </w:rPr>
              <w:t xml:space="preserve">: </w:t>
            </w:r>
            <w:r>
              <w:rPr>
                <w:rStyle w:val="IndexLink"/>
                <w:rtl w:val="true"/>
              </w:rPr>
              <w:t>ما ورد في ميراث البنت والأُخت</w:t>
            </w:r>
            <w:r>
              <w:rPr>
                <w:rStyle w:val="IndexLink"/>
                <w:rtl w:val="true"/>
              </w:rPr>
              <w:tab/>
            </w:r>
            <w:r>
              <w:rPr>
                <w:rStyle w:val="IndexLink"/>
              </w:rPr>
              <w:t>256</w:t>
            </w:r>
          </w:hyperlink>
        </w:p>
        <w:p>
          <w:pPr>
            <w:pStyle w:val="Contents4"/>
            <w:tabs>
              <w:tab w:val="clear" w:pos="8176"/>
              <w:tab w:val="right" w:pos="9026" w:leader="dot"/>
            </w:tabs>
            <w:rPr/>
          </w:pPr>
          <w:hyperlink w:anchor="__RefHeading___Toc1272947_1067777946">
            <w:r>
              <w:rPr>
                <w:webHidden/>
                <w:rStyle w:val="IndexLink"/>
                <w:rtl w:val="true"/>
              </w:rPr>
              <w:t xml:space="preserve">الرواية الرابعة </w:t>
            </w:r>
            <w:r>
              <w:rPr>
                <w:rStyle w:val="IndexLink"/>
                <w:rtl w:val="true"/>
              </w:rPr>
              <w:t xml:space="preserve">: </w:t>
            </w:r>
            <w:r>
              <w:rPr>
                <w:rStyle w:val="IndexLink"/>
                <w:rtl w:val="true"/>
              </w:rPr>
              <w:t>ما ورد في ميراث الأخوات مع البنات</w:t>
            </w:r>
            <w:r>
              <w:rPr>
                <w:rStyle w:val="IndexLink"/>
                <w:rtl w:val="true"/>
              </w:rPr>
              <w:tab/>
            </w:r>
            <w:r>
              <w:rPr>
                <w:rStyle w:val="IndexLink"/>
              </w:rPr>
              <w:t>257</w:t>
            </w:r>
          </w:hyperlink>
        </w:p>
        <w:p>
          <w:pPr>
            <w:pStyle w:val="Contents4"/>
            <w:tabs>
              <w:tab w:val="clear" w:pos="8176"/>
              <w:tab w:val="right" w:pos="9026" w:leader="dot"/>
            </w:tabs>
            <w:rPr/>
          </w:pPr>
          <w:hyperlink w:anchor="__RefHeading___Toc1272949_1067777946">
            <w:r>
              <w:rPr>
                <w:webHidden/>
                <w:rStyle w:val="IndexLink"/>
                <w:rtl w:val="true"/>
              </w:rPr>
              <w:t xml:space="preserve">الرواية الخامسة </w:t>
            </w:r>
            <w:r>
              <w:rPr>
                <w:rStyle w:val="IndexLink"/>
                <w:rtl w:val="true"/>
              </w:rPr>
              <w:t xml:space="preserve">: </w:t>
            </w:r>
            <w:r>
              <w:rPr>
                <w:rStyle w:val="IndexLink"/>
                <w:rtl w:val="true"/>
              </w:rPr>
              <w:t>ما رواه البخاري في صحيحه عن الأسود</w:t>
            </w:r>
            <w:r>
              <w:rPr>
                <w:rStyle w:val="IndexLink"/>
                <w:rtl w:val="true"/>
              </w:rPr>
              <w:tab/>
            </w:r>
            <w:r>
              <w:rPr>
                <w:rStyle w:val="IndexLink"/>
              </w:rPr>
              <w:t>258</w:t>
            </w:r>
          </w:hyperlink>
        </w:p>
        <w:p>
          <w:pPr>
            <w:pStyle w:val="Contents3"/>
            <w:tabs>
              <w:tab w:val="clear" w:pos="8459"/>
              <w:tab w:val="right" w:pos="9026" w:leader="dot"/>
            </w:tabs>
            <w:rPr/>
          </w:pPr>
          <w:hyperlink w:anchor="__RefHeading___Toc1272951_1067777946">
            <w:r>
              <w:rPr>
                <w:webHidden/>
                <w:rStyle w:val="IndexLink"/>
                <w:rtl w:val="true"/>
              </w:rPr>
              <w:t>مضاعفات القول بالتعصيب</w:t>
            </w:r>
            <w:r>
              <w:rPr>
                <w:rStyle w:val="IndexLink"/>
                <w:rtl w:val="true"/>
              </w:rPr>
              <w:tab/>
            </w:r>
            <w:r>
              <w:rPr>
                <w:rStyle w:val="IndexLink"/>
              </w:rPr>
              <w:t>258</w:t>
            </w:r>
          </w:hyperlink>
        </w:p>
        <w:p>
          <w:pPr>
            <w:pStyle w:val="Contents2"/>
            <w:tabs>
              <w:tab w:val="clear" w:pos="8743"/>
              <w:tab w:val="right" w:pos="9026" w:leader="dot"/>
            </w:tabs>
            <w:rPr/>
          </w:pPr>
          <w:hyperlink w:anchor="__RefHeading___Toc1272953_1067777946">
            <w:r>
              <w:rPr>
                <w:webHidden/>
                <w:rStyle w:val="IndexLink"/>
              </w:rPr>
              <w:t>23</w:t>
            </w:r>
            <w:r>
              <w:rPr>
                <w:rStyle w:val="IndexLink"/>
                <w:rtl w:val="true"/>
              </w:rPr>
              <w:t xml:space="preserve">- </w:t>
            </w:r>
            <w:r>
              <w:rPr>
                <w:rStyle w:val="IndexLink"/>
                <w:rtl w:val="true"/>
              </w:rPr>
              <w:t>العول في الفرائض</w:t>
            </w:r>
            <w:r>
              <w:rPr>
                <w:rStyle w:val="IndexLink"/>
                <w:rtl w:val="true"/>
              </w:rPr>
              <w:tab/>
            </w:r>
            <w:r>
              <w:rPr>
                <w:rStyle w:val="IndexLink"/>
              </w:rPr>
              <w:t>260</w:t>
            </w:r>
          </w:hyperlink>
        </w:p>
        <w:p>
          <w:pPr>
            <w:pStyle w:val="Contents3"/>
            <w:tabs>
              <w:tab w:val="clear" w:pos="8459"/>
              <w:tab w:val="right" w:pos="9026" w:leader="dot"/>
            </w:tabs>
            <w:rPr/>
          </w:pPr>
          <w:hyperlink w:anchor="__RefHeading___Toc1272955_1067777946">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272957_1067777946">
            <w:r>
              <w:rPr>
                <w:webHidden/>
                <w:rStyle w:val="IndexLink"/>
                <w:rtl w:val="true"/>
              </w:rPr>
              <w:t>العول في الإرث أو حكم الفرائض إذا عالت</w:t>
            </w:r>
            <w:r>
              <w:rPr>
                <w:rStyle w:val="IndexLink"/>
                <w:rtl w:val="true"/>
              </w:rPr>
              <w:tab/>
            </w:r>
            <w:r>
              <w:rPr>
                <w:rStyle w:val="IndexLink"/>
              </w:rPr>
              <w:t>262</w:t>
            </w:r>
          </w:hyperlink>
        </w:p>
        <w:p>
          <w:pPr>
            <w:pStyle w:val="Contents4"/>
            <w:tabs>
              <w:tab w:val="clear" w:pos="8176"/>
              <w:tab w:val="right" w:pos="9026" w:leader="dot"/>
            </w:tabs>
            <w:rPr/>
          </w:pPr>
          <w:hyperlink w:anchor="__RefHeading___Toc1272959_1067777946">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272961_1067777946">
            <w:r>
              <w:rPr>
                <w:webHidden/>
                <w:rStyle w:val="IndexLink"/>
                <w:rtl w:val="true"/>
              </w:rPr>
              <w:t xml:space="preserve">الأوّل </w:t>
            </w:r>
            <w:r>
              <w:rPr>
                <w:rStyle w:val="IndexLink"/>
                <w:rtl w:val="true"/>
              </w:rPr>
              <w:t xml:space="preserve">: </w:t>
            </w:r>
            <w:r>
              <w:rPr>
                <w:rStyle w:val="IndexLink"/>
                <w:rtl w:val="true"/>
              </w:rPr>
              <w:t>العول لغة واصطلاحاً</w:t>
            </w:r>
            <w:r>
              <w:rPr>
                <w:rStyle w:val="IndexLink"/>
                <w:rtl w:val="true"/>
              </w:rPr>
              <w:tab/>
            </w:r>
            <w:r>
              <w:rPr>
                <w:rStyle w:val="IndexLink"/>
              </w:rPr>
              <w:t>262</w:t>
            </w:r>
          </w:hyperlink>
        </w:p>
        <w:p>
          <w:pPr>
            <w:pStyle w:val="Contents4"/>
            <w:tabs>
              <w:tab w:val="clear" w:pos="8176"/>
              <w:tab w:val="right" w:pos="9026" w:leader="dot"/>
            </w:tabs>
            <w:rPr/>
          </w:pPr>
          <w:hyperlink w:anchor="__RefHeading___Toc1272963_1067777946">
            <w:r>
              <w:rPr>
                <w:webHidden/>
                <w:rStyle w:val="IndexLink"/>
                <w:rtl w:val="true"/>
              </w:rPr>
              <w:t xml:space="preserve">الثاني </w:t>
            </w:r>
            <w:r>
              <w:rPr>
                <w:rStyle w:val="IndexLink"/>
                <w:rtl w:val="true"/>
              </w:rPr>
              <w:t xml:space="preserve">: </w:t>
            </w:r>
            <w:r>
              <w:rPr>
                <w:rStyle w:val="IndexLink"/>
                <w:rtl w:val="true"/>
              </w:rPr>
              <w:t>العول ، تاريخيّاً</w:t>
            </w:r>
            <w:r>
              <w:rPr>
                <w:rStyle w:val="IndexLink"/>
                <w:rtl w:val="true"/>
              </w:rPr>
              <w:tab/>
            </w:r>
            <w:r>
              <w:rPr>
                <w:rStyle w:val="IndexLink"/>
              </w:rPr>
              <w:t>263</w:t>
            </w:r>
          </w:hyperlink>
        </w:p>
        <w:p>
          <w:pPr>
            <w:pStyle w:val="Contents4"/>
            <w:tabs>
              <w:tab w:val="clear" w:pos="8176"/>
              <w:tab w:val="right" w:pos="9026" w:leader="dot"/>
            </w:tabs>
            <w:rPr/>
          </w:pPr>
          <w:hyperlink w:anchor="__RefHeading___Toc1272965_1067777946">
            <w:r>
              <w:rPr>
                <w:webHidden/>
                <w:rStyle w:val="IndexLink"/>
                <w:rtl w:val="true"/>
              </w:rPr>
              <w:t xml:space="preserve">الثالث </w:t>
            </w:r>
            <w:r>
              <w:rPr>
                <w:rStyle w:val="IndexLink"/>
                <w:rtl w:val="true"/>
              </w:rPr>
              <w:t xml:space="preserve">: </w:t>
            </w:r>
            <w:r>
              <w:rPr>
                <w:rStyle w:val="IndexLink"/>
                <w:rtl w:val="true"/>
              </w:rPr>
              <w:t>الأقوال المطروحة في العول</w:t>
            </w:r>
            <w:r>
              <w:rPr>
                <w:rStyle w:val="IndexLink"/>
                <w:rtl w:val="true"/>
              </w:rPr>
              <w:tab/>
            </w:r>
            <w:r>
              <w:rPr>
                <w:rStyle w:val="IndexLink"/>
              </w:rPr>
              <w:t>266</w:t>
            </w:r>
          </w:hyperlink>
        </w:p>
        <w:p>
          <w:pPr>
            <w:pStyle w:val="Contents4"/>
            <w:tabs>
              <w:tab w:val="clear" w:pos="8176"/>
              <w:tab w:val="right" w:pos="9026" w:leader="dot"/>
            </w:tabs>
            <w:rPr/>
          </w:pPr>
          <w:hyperlink w:anchor="__RefHeading___Toc1272967_1067777946">
            <w:r>
              <w:rPr>
                <w:webHidden/>
                <w:rStyle w:val="IndexLink"/>
                <w:rtl w:val="true"/>
              </w:rPr>
              <w:t>الرابع ذكر نماذج من صور العول</w:t>
            </w:r>
            <w:r>
              <w:rPr>
                <w:rStyle w:val="IndexLink"/>
                <w:rtl w:val="true"/>
              </w:rPr>
              <w:tab/>
            </w:r>
            <w:r>
              <w:rPr>
                <w:rStyle w:val="IndexLink"/>
              </w:rPr>
              <w:t>268</w:t>
            </w:r>
          </w:hyperlink>
        </w:p>
        <w:p>
          <w:pPr>
            <w:pStyle w:val="Contents3"/>
            <w:tabs>
              <w:tab w:val="clear" w:pos="8459"/>
              <w:tab w:val="right" w:pos="9026" w:leader="dot"/>
            </w:tabs>
            <w:rPr/>
          </w:pPr>
          <w:hyperlink w:anchor="__RefHeading___Toc1272969_1067777946">
            <w:r>
              <w:rPr>
                <w:webHidden/>
                <w:rStyle w:val="IndexLink"/>
                <w:rtl w:val="true"/>
              </w:rPr>
              <w:t>أدلّة القائلين بالعول</w:t>
            </w:r>
            <w:r>
              <w:rPr>
                <w:rStyle w:val="IndexLink"/>
                <w:rtl w:val="true"/>
              </w:rPr>
              <w:tab/>
            </w:r>
            <w:r>
              <w:rPr>
                <w:rStyle w:val="IndexLink"/>
              </w:rPr>
              <w:t>271</w:t>
            </w:r>
          </w:hyperlink>
        </w:p>
        <w:p>
          <w:pPr>
            <w:pStyle w:val="Contents4"/>
            <w:tabs>
              <w:tab w:val="clear" w:pos="8176"/>
              <w:tab w:val="right" w:pos="9026" w:leader="dot"/>
            </w:tabs>
            <w:rPr/>
          </w:pPr>
          <w:hyperlink w:anchor="__RefHeading___Toc1272971_1067777946">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272973_1067777946">
            <w:r>
              <w:rPr>
                <w:webHidden/>
                <w:rStyle w:val="IndexLink"/>
              </w:rPr>
              <w:t>1</w:t>
            </w:r>
            <w:r>
              <w:rPr>
                <w:rStyle w:val="IndexLink"/>
                <w:rtl w:val="true"/>
              </w:rPr>
              <w:t xml:space="preserve">. </w:t>
            </w:r>
            <w:r>
              <w:rPr>
                <w:rStyle w:val="IndexLink"/>
                <w:rtl w:val="true"/>
              </w:rPr>
              <w:t>قياس الحقّ بالدين</w:t>
            </w:r>
            <w:r>
              <w:rPr>
                <w:rStyle w:val="IndexLink"/>
                <w:rtl w:val="true"/>
              </w:rPr>
              <w:tab/>
            </w:r>
            <w:r>
              <w:rPr>
                <w:rStyle w:val="IndexLink"/>
              </w:rPr>
              <w:t>271</w:t>
            </w:r>
          </w:hyperlink>
        </w:p>
        <w:p>
          <w:pPr>
            <w:pStyle w:val="Contents4"/>
            <w:tabs>
              <w:tab w:val="clear" w:pos="8176"/>
              <w:tab w:val="right" w:pos="9026" w:leader="dot"/>
            </w:tabs>
            <w:rPr/>
          </w:pPr>
          <w:hyperlink w:anchor="__RefHeading___Toc1272975_1067777946">
            <w:r>
              <w:rPr>
                <w:webHidden/>
                <w:rStyle w:val="IndexLink"/>
              </w:rPr>
              <w:t>2</w:t>
            </w:r>
            <w:r>
              <w:rPr>
                <w:rStyle w:val="IndexLink"/>
                <w:rtl w:val="true"/>
              </w:rPr>
              <w:t xml:space="preserve">. </w:t>
            </w:r>
            <w:r>
              <w:rPr>
                <w:rStyle w:val="IndexLink"/>
                <w:rtl w:val="true"/>
              </w:rPr>
              <w:t>قياس الإرث بالوصية</w:t>
            </w:r>
            <w:r>
              <w:rPr>
                <w:rStyle w:val="IndexLink"/>
                <w:rtl w:val="true"/>
              </w:rPr>
              <w:tab/>
            </w:r>
            <w:r>
              <w:rPr>
                <w:rStyle w:val="IndexLink"/>
              </w:rPr>
              <w:t>272</w:t>
            </w:r>
          </w:hyperlink>
        </w:p>
        <w:p>
          <w:pPr>
            <w:pStyle w:val="Contents4"/>
            <w:tabs>
              <w:tab w:val="clear" w:pos="8176"/>
              <w:tab w:val="right" w:pos="9026" w:leader="dot"/>
            </w:tabs>
            <w:rPr/>
          </w:pPr>
          <w:hyperlink w:anchor="__RefHeading___Toc1272977_1067777946">
            <w:r>
              <w:rPr>
                <w:webHidden/>
                <w:rStyle w:val="IndexLink"/>
              </w:rPr>
              <w:t>3</w:t>
            </w:r>
            <w:r>
              <w:rPr>
                <w:rStyle w:val="IndexLink"/>
                <w:rtl w:val="true"/>
              </w:rPr>
              <w:t xml:space="preserve">. </w:t>
            </w:r>
            <w:r>
              <w:rPr>
                <w:rStyle w:val="IndexLink"/>
                <w:rtl w:val="true"/>
              </w:rPr>
              <w:t>تقديم البعض على البعض ترجيح بلا مرجّح</w:t>
            </w:r>
            <w:r>
              <w:rPr>
                <w:rStyle w:val="IndexLink"/>
                <w:rtl w:val="true"/>
              </w:rPr>
              <w:tab/>
            </w:r>
            <w:r>
              <w:rPr>
                <w:rStyle w:val="IndexLink"/>
              </w:rPr>
              <w:t>273</w:t>
            </w:r>
          </w:hyperlink>
        </w:p>
        <w:p>
          <w:pPr>
            <w:pStyle w:val="Contents4"/>
            <w:tabs>
              <w:tab w:val="clear" w:pos="8176"/>
              <w:tab w:val="right" w:pos="9026" w:leader="dot"/>
            </w:tabs>
            <w:rPr/>
          </w:pPr>
          <w:hyperlink w:anchor="__RefHeading___Toc1272979_1067777946">
            <w:r>
              <w:rPr>
                <w:webHidden/>
                <w:rStyle w:val="IndexLink"/>
              </w:rPr>
              <w:t>4</w:t>
            </w:r>
            <w:r>
              <w:rPr>
                <w:rStyle w:val="IndexLink"/>
                <w:rtl w:val="true"/>
              </w:rPr>
              <w:t xml:space="preserve">. </w:t>
            </w:r>
            <w:r>
              <w:rPr>
                <w:rStyle w:val="IndexLink"/>
                <w:rtl w:val="true"/>
              </w:rPr>
              <w:t xml:space="preserve">قول علي عليه السلام </w:t>
            </w:r>
            <w:r>
              <w:rPr>
                <w:rStyle w:val="IndexLink"/>
                <w:rtl w:val="true"/>
              </w:rPr>
              <w:t xml:space="preserve">- </w:t>
            </w:r>
            <w:r>
              <w:rPr>
                <w:rStyle w:val="IndexLink"/>
                <w:rtl w:val="true"/>
              </w:rPr>
              <w:t>في المسألة المنبرية</w:t>
            </w:r>
            <w:r>
              <w:rPr>
                <w:rStyle w:val="IndexLink"/>
                <w:rtl w:val="true"/>
              </w:rPr>
              <w:tab/>
            </w:r>
            <w:r>
              <w:rPr>
                <w:rStyle w:val="IndexLink"/>
              </w:rPr>
              <w:t>274</w:t>
            </w:r>
          </w:hyperlink>
        </w:p>
        <w:p>
          <w:pPr>
            <w:pStyle w:val="Contents3"/>
            <w:tabs>
              <w:tab w:val="clear" w:pos="8459"/>
              <w:tab w:val="right" w:pos="9026" w:leader="dot"/>
            </w:tabs>
            <w:rPr/>
          </w:pPr>
          <w:hyperlink w:anchor="__RefHeading___Toc1272981_1067777946">
            <w:r>
              <w:rPr>
                <w:webHidden/>
                <w:rStyle w:val="IndexLink"/>
                <w:rtl w:val="true"/>
              </w:rPr>
              <w:t>أدلّة القائلين ببطلان العول</w:t>
            </w:r>
            <w:r>
              <w:rPr>
                <w:rStyle w:val="IndexLink"/>
                <w:rtl w:val="true"/>
              </w:rPr>
              <w:tab/>
            </w:r>
            <w:r>
              <w:rPr>
                <w:rStyle w:val="IndexLink"/>
              </w:rPr>
              <w:t>277</w:t>
            </w:r>
          </w:hyperlink>
        </w:p>
        <w:p>
          <w:pPr>
            <w:pStyle w:val="Contents4"/>
            <w:tabs>
              <w:tab w:val="clear" w:pos="8176"/>
              <w:tab w:val="right" w:pos="9026" w:leader="dot"/>
            </w:tabs>
            <w:rPr/>
          </w:pPr>
          <w:hyperlink w:anchor="__RefHeading___Toc1272983_1067777946">
            <w:r>
              <w:rPr>
                <w:webHidden/>
                <w:rStyle w:val="IndexLink"/>
              </w:rPr>
              <w:t>1</w:t>
            </w:r>
            <w:r>
              <w:rPr>
                <w:rStyle w:val="IndexLink"/>
                <w:rtl w:val="true"/>
              </w:rPr>
              <w:t xml:space="preserve">. </w:t>
            </w:r>
            <w:r>
              <w:rPr>
                <w:rStyle w:val="IndexLink"/>
                <w:rtl w:val="true"/>
              </w:rPr>
              <w:t>استلزام العول نسبة الجهل أو العبث إلى الله</w:t>
            </w:r>
            <w:r>
              <w:rPr>
                <w:rStyle w:val="IndexLink"/>
                <w:rtl w:val="true"/>
              </w:rPr>
              <w:tab/>
            </w:r>
            <w:r>
              <w:rPr>
                <w:rStyle w:val="IndexLink"/>
              </w:rPr>
              <w:t>277</w:t>
            </w:r>
          </w:hyperlink>
        </w:p>
        <w:p>
          <w:pPr>
            <w:pStyle w:val="Contents4"/>
            <w:tabs>
              <w:tab w:val="clear" w:pos="8176"/>
              <w:tab w:val="right" w:pos="9026" w:leader="dot"/>
            </w:tabs>
            <w:rPr/>
          </w:pPr>
          <w:hyperlink w:anchor="__RefHeading___Toc1272985_1067777946">
            <w:r>
              <w:rPr>
                <w:webHidden/>
                <w:rStyle w:val="IndexLink"/>
              </w:rPr>
              <w:t>2</w:t>
            </w:r>
            <w:r>
              <w:rPr>
                <w:rStyle w:val="IndexLink"/>
                <w:rtl w:val="true"/>
              </w:rPr>
              <w:t xml:space="preserve">. </w:t>
            </w:r>
            <w:r>
              <w:rPr>
                <w:rStyle w:val="IndexLink"/>
                <w:rtl w:val="true"/>
              </w:rPr>
              <w:t>استلزامه التناقض والإغراء بالجهل</w:t>
            </w:r>
            <w:r>
              <w:rPr>
                <w:rStyle w:val="IndexLink"/>
                <w:rtl w:val="true"/>
              </w:rPr>
              <w:tab/>
            </w:r>
            <w:r>
              <w:rPr>
                <w:rStyle w:val="IndexLink"/>
              </w:rPr>
              <w:t>278</w:t>
            </w:r>
          </w:hyperlink>
        </w:p>
        <w:p>
          <w:pPr>
            <w:pStyle w:val="Contents4"/>
            <w:tabs>
              <w:tab w:val="clear" w:pos="8176"/>
              <w:tab w:val="right" w:pos="9026" w:leader="dot"/>
            </w:tabs>
            <w:rPr/>
          </w:pPr>
          <w:hyperlink w:anchor="__RefHeading___Toc1272987_1067777946">
            <w:r>
              <w:rPr>
                <w:webHidden/>
                <w:rStyle w:val="IndexLink"/>
              </w:rPr>
              <w:t>3</w:t>
            </w:r>
            <w:r>
              <w:rPr>
                <w:rStyle w:val="IndexLink"/>
                <w:rtl w:val="true"/>
              </w:rPr>
              <w:t xml:space="preserve">. </w:t>
            </w:r>
            <w:r>
              <w:rPr>
                <w:rStyle w:val="IndexLink"/>
                <w:rtl w:val="true"/>
              </w:rPr>
              <w:t>يلزم تفضيل النساء على الرجال</w:t>
            </w:r>
            <w:r>
              <w:rPr>
                <w:rStyle w:val="IndexLink"/>
                <w:rtl w:val="true"/>
              </w:rPr>
              <w:tab/>
            </w:r>
            <w:r>
              <w:rPr>
                <w:rStyle w:val="IndexLink"/>
              </w:rPr>
              <w:t>279</w:t>
            </w:r>
          </w:hyperlink>
        </w:p>
        <w:p>
          <w:pPr>
            <w:pStyle w:val="Contents3"/>
            <w:tabs>
              <w:tab w:val="clear" w:pos="8459"/>
              <w:tab w:val="right" w:pos="9026" w:leader="dot"/>
            </w:tabs>
            <w:rPr/>
          </w:pPr>
          <w:hyperlink w:anchor="__RefHeading___Toc1272989_1067777946">
            <w:r>
              <w:rPr>
                <w:webHidden/>
                <w:rStyle w:val="IndexLink"/>
                <w:rtl w:val="true"/>
              </w:rPr>
              <w:t xml:space="preserve">الرابع </w:t>
            </w:r>
            <w:r>
              <w:rPr>
                <w:rStyle w:val="IndexLink"/>
                <w:rtl w:val="true"/>
              </w:rPr>
              <w:t xml:space="preserve">: </w:t>
            </w:r>
            <w:r>
              <w:rPr>
                <w:rStyle w:val="IndexLink"/>
                <w:rtl w:val="true"/>
              </w:rPr>
              <w:t>تصريح أئمّة أهل البيت ببطلان العول</w:t>
            </w:r>
            <w:r>
              <w:rPr>
                <w:rStyle w:val="IndexLink"/>
                <w:rtl w:val="true"/>
              </w:rPr>
              <w:tab/>
            </w:r>
            <w:r>
              <w:rPr>
                <w:rStyle w:val="IndexLink"/>
              </w:rPr>
              <w:t>280</w:t>
            </w:r>
          </w:hyperlink>
        </w:p>
        <w:p>
          <w:pPr>
            <w:pStyle w:val="Contents4"/>
            <w:tabs>
              <w:tab w:val="clear" w:pos="8176"/>
              <w:tab w:val="right" w:pos="9026" w:leader="dot"/>
            </w:tabs>
            <w:rPr/>
          </w:pPr>
          <w:hyperlink w:anchor="__RefHeading___Toc1272991_1067777946">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272993_1067777946">
            <w:r>
              <w:rPr>
                <w:webHidden/>
                <w:rStyle w:val="IndexLink"/>
                <w:rtl w:val="true"/>
              </w:rPr>
              <w:t>أُسلوب علاج العول من منظار روائي</w:t>
            </w:r>
            <w:r>
              <w:rPr>
                <w:rStyle w:val="IndexLink"/>
                <w:rtl w:val="true"/>
              </w:rPr>
              <w:tab/>
            </w:r>
            <w:r>
              <w:rPr>
                <w:rStyle w:val="IndexLink"/>
              </w:rPr>
              <w:t>280</w:t>
            </w:r>
          </w:hyperlink>
        </w:p>
        <w:p>
          <w:pPr>
            <w:pStyle w:val="Contents4"/>
            <w:tabs>
              <w:tab w:val="clear" w:pos="8176"/>
              <w:tab w:val="right" w:pos="9026" w:leader="dot"/>
            </w:tabs>
            <w:rPr/>
          </w:pPr>
          <w:hyperlink w:anchor="__RefHeading___Toc1272995_1067777946">
            <w:r>
              <w:rPr>
                <w:webHidden/>
                <w:rStyle w:val="IndexLink"/>
                <w:rtl w:val="true"/>
              </w:rPr>
              <w:t>ما الفرق بين البنت وكلالة الأُمّ؟</w:t>
            </w:r>
            <w:r>
              <w:rPr>
                <w:rStyle w:val="IndexLink"/>
                <w:rtl w:val="true"/>
              </w:rPr>
              <w:tab/>
            </w:r>
            <w:r>
              <w:rPr>
                <w:rStyle w:val="IndexLink"/>
              </w:rPr>
              <w:t>283</w:t>
            </w:r>
          </w:hyperlink>
        </w:p>
        <w:p>
          <w:pPr>
            <w:pStyle w:val="Contents4"/>
            <w:tabs>
              <w:tab w:val="clear" w:pos="8176"/>
              <w:tab w:val="right" w:pos="9026" w:leader="dot"/>
            </w:tabs>
            <w:rPr/>
          </w:pPr>
          <w:hyperlink w:anchor="__RefHeading___Toc1272997_1067777946">
            <w:r>
              <w:rPr>
                <w:webHidden/>
                <w:rStyle w:val="IndexLink"/>
                <w:rtl w:val="true"/>
              </w:rPr>
              <w:t xml:space="preserve">بقيت هنا نكات نذكرها </w:t>
            </w:r>
            <w:r>
              <w:rPr>
                <w:rStyle w:val="IndexLink"/>
                <w:rtl w:val="true"/>
              </w:rPr>
              <w:t>:</w:t>
              <w:tab/>
            </w:r>
            <w:r>
              <w:rPr>
                <w:rStyle w:val="IndexLink"/>
              </w:rPr>
              <w:t>286</w:t>
            </w:r>
          </w:hyperlink>
        </w:p>
        <w:p>
          <w:pPr>
            <w:pStyle w:val="Contents2"/>
            <w:tabs>
              <w:tab w:val="clear" w:pos="8743"/>
              <w:tab w:val="right" w:pos="9026" w:leader="dot"/>
            </w:tabs>
            <w:rPr/>
          </w:pPr>
          <w:hyperlink w:anchor="__RefHeading___Toc1272999_1067777946">
            <w:r>
              <w:rPr>
                <w:webHidden/>
                <w:rStyle w:val="IndexLink"/>
              </w:rPr>
              <w:t>24</w:t>
            </w:r>
            <w:r>
              <w:rPr>
                <w:rStyle w:val="IndexLink"/>
                <w:rtl w:val="true"/>
              </w:rPr>
              <w:t xml:space="preserve">- </w:t>
            </w:r>
            <w:r>
              <w:rPr>
                <w:rStyle w:val="IndexLink"/>
                <w:rtl w:val="true"/>
              </w:rPr>
              <w:t>التقية في الكتاب والسنّة</w:t>
            </w:r>
            <w:r>
              <w:rPr>
                <w:rStyle w:val="IndexLink"/>
                <w:rtl w:val="true"/>
              </w:rPr>
              <w:tab/>
            </w:r>
            <w:r>
              <w:rPr>
                <w:rStyle w:val="IndexLink"/>
              </w:rPr>
              <w:t>290</w:t>
            </w:r>
          </w:hyperlink>
        </w:p>
        <w:p>
          <w:pPr>
            <w:pStyle w:val="Contents3"/>
            <w:tabs>
              <w:tab w:val="clear" w:pos="8459"/>
              <w:tab w:val="right" w:pos="9026" w:leader="dot"/>
            </w:tabs>
            <w:rPr/>
          </w:pPr>
          <w:hyperlink w:anchor="__RefHeading___Toc1273001_1067777946">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273003_1067777946">
            <w:r>
              <w:rPr>
                <w:webHidden/>
                <w:rStyle w:val="IndexLink"/>
              </w:rPr>
              <w:t>1</w:t>
            </w:r>
            <w:r>
              <w:rPr>
                <w:rStyle w:val="IndexLink"/>
                <w:rtl w:val="true"/>
              </w:rPr>
              <w:t xml:space="preserve">- </w:t>
            </w:r>
            <w:r>
              <w:rPr>
                <w:rStyle w:val="IndexLink"/>
                <w:rtl w:val="true"/>
              </w:rPr>
              <w:t>التقية لغة</w:t>
            </w:r>
            <w:r>
              <w:rPr>
                <w:rStyle w:val="IndexLink"/>
                <w:rtl w:val="true"/>
              </w:rPr>
              <w:tab/>
            </w:r>
            <w:r>
              <w:rPr>
                <w:rStyle w:val="IndexLink"/>
              </w:rPr>
              <w:t>297</w:t>
            </w:r>
          </w:hyperlink>
        </w:p>
        <w:p>
          <w:pPr>
            <w:pStyle w:val="Contents3"/>
            <w:tabs>
              <w:tab w:val="clear" w:pos="8459"/>
              <w:tab w:val="right" w:pos="9026" w:leader="dot"/>
            </w:tabs>
            <w:rPr/>
          </w:pPr>
          <w:hyperlink w:anchor="__RefHeading___Toc1273005_1067777946">
            <w:r>
              <w:rPr>
                <w:webHidden/>
                <w:rStyle w:val="IndexLink"/>
              </w:rPr>
              <w:t>2</w:t>
            </w:r>
            <w:r>
              <w:rPr>
                <w:rStyle w:val="IndexLink"/>
                <w:rtl w:val="true"/>
              </w:rPr>
              <w:t xml:space="preserve">- </w:t>
            </w:r>
            <w:r>
              <w:rPr>
                <w:rStyle w:val="IndexLink"/>
                <w:rtl w:val="true"/>
              </w:rPr>
              <w:t>التقية اصطلاحاً</w:t>
            </w:r>
            <w:r>
              <w:rPr>
                <w:rStyle w:val="IndexLink"/>
                <w:rtl w:val="true"/>
              </w:rPr>
              <w:tab/>
            </w:r>
            <w:r>
              <w:rPr>
                <w:rStyle w:val="IndexLink"/>
              </w:rPr>
              <w:t>298</w:t>
            </w:r>
          </w:hyperlink>
        </w:p>
        <w:p>
          <w:pPr>
            <w:pStyle w:val="Contents3"/>
            <w:tabs>
              <w:tab w:val="clear" w:pos="8459"/>
              <w:tab w:val="right" w:pos="9026" w:leader="dot"/>
            </w:tabs>
            <w:rPr/>
          </w:pPr>
          <w:hyperlink w:anchor="__RefHeading___Toc1273007_1067777946">
            <w:r>
              <w:rPr>
                <w:webHidden/>
                <w:rStyle w:val="IndexLink"/>
              </w:rPr>
              <w:t>3</w:t>
            </w:r>
            <w:r>
              <w:rPr>
                <w:rStyle w:val="IndexLink"/>
                <w:rtl w:val="true"/>
              </w:rPr>
              <w:t xml:space="preserve">- </w:t>
            </w:r>
            <w:r>
              <w:rPr>
                <w:rStyle w:val="IndexLink"/>
                <w:rtl w:val="true"/>
              </w:rPr>
              <w:t>التقية تاريخيّاً</w:t>
            </w:r>
            <w:r>
              <w:rPr>
                <w:rStyle w:val="IndexLink"/>
                <w:rtl w:val="true"/>
              </w:rPr>
              <w:tab/>
            </w:r>
            <w:r>
              <w:rPr>
                <w:rStyle w:val="IndexLink"/>
              </w:rPr>
              <w:t>300</w:t>
            </w:r>
          </w:hyperlink>
        </w:p>
        <w:p>
          <w:pPr>
            <w:pStyle w:val="Contents4"/>
            <w:tabs>
              <w:tab w:val="clear" w:pos="8176"/>
              <w:tab w:val="right" w:pos="9026" w:leader="dot"/>
            </w:tabs>
            <w:rPr/>
          </w:pPr>
          <w:hyperlink w:anchor="__RefHeading___Toc1273009_1067777946">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273011_1067777946">
            <w:r>
              <w:rPr>
                <w:webHidden/>
                <w:rStyle w:val="IndexLink"/>
              </w:rPr>
              <w:t>1</w:t>
            </w:r>
            <w:r>
              <w:rPr>
                <w:rStyle w:val="IndexLink"/>
                <w:rtl w:val="true"/>
              </w:rPr>
              <w:t xml:space="preserve">. </w:t>
            </w:r>
            <w:r>
              <w:rPr>
                <w:rStyle w:val="IndexLink"/>
                <w:rtl w:val="true"/>
              </w:rPr>
              <w:t>التقيّة في عصر الكليم</w:t>
            </w:r>
            <w:r>
              <w:rPr>
                <w:rStyle w:val="IndexLink"/>
                <w:rtl w:val="true"/>
              </w:rPr>
              <w:tab/>
            </w:r>
            <w:r>
              <w:rPr>
                <w:rStyle w:val="IndexLink"/>
              </w:rPr>
              <w:t>300</w:t>
            </w:r>
          </w:hyperlink>
        </w:p>
        <w:p>
          <w:pPr>
            <w:pStyle w:val="Contents4"/>
            <w:tabs>
              <w:tab w:val="clear" w:pos="8176"/>
              <w:tab w:val="right" w:pos="9026" w:leader="dot"/>
            </w:tabs>
            <w:rPr/>
          </w:pPr>
          <w:hyperlink w:anchor="__RefHeading___Toc1273013_1067777946">
            <w:r>
              <w:rPr>
                <w:webHidden/>
                <w:rStyle w:val="IndexLink"/>
              </w:rPr>
              <w:t>2</w:t>
            </w:r>
            <w:r>
              <w:rPr>
                <w:rStyle w:val="IndexLink"/>
                <w:rtl w:val="true"/>
              </w:rPr>
              <w:t xml:space="preserve">. </w:t>
            </w:r>
            <w:r>
              <w:rPr>
                <w:rStyle w:val="IndexLink"/>
                <w:rtl w:val="true"/>
              </w:rPr>
              <w:t xml:space="preserve">التقية في عصر الرسول </w:t>
            </w:r>
            <w:r>
              <w:rPr>
                <w:rStyle w:val="IndexLink"/>
                <w:rtl w:val="true"/>
              </w:rPr>
              <w:t xml:space="preserve">- </w:t>
            </w:r>
            <w:r>
              <w:rPr>
                <w:rStyle w:val="IndexLink"/>
                <w:rtl w:val="true"/>
              </w:rPr>
              <w:t>صلى الله عليه وآله وسلم</w:t>
            </w:r>
            <w:r>
              <w:rPr>
                <w:rStyle w:val="IndexLink"/>
                <w:rtl w:val="true"/>
              </w:rPr>
              <w:tab/>
            </w:r>
            <w:r>
              <w:rPr>
                <w:rStyle w:val="IndexLink"/>
              </w:rPr>
              <w:t>301</w:t>
            </w:r>
          </w:hyperlink>
        </w:p>
        <w:p>
          <w:pPr>
            <w:pStyle w:val="Contents4"/>
            <w:tabs>
              <w:tab w:val="clear" w:pos="8176"/>
              <w:tab w:val="right" w:pos="9026" w:leader="dot"/>
            </w:tabs>
            <w:rPr/>
          </w:pPr>
          <w:hyperlink w:anchor="__RefHeading___Toc1273015_1067777946">
            <w:r>
              <w:rPr>
                <w:webHidden/>
                <w:rStyle w:val="IndexLink"/>
              </w:rPr>
              <w:t>3</w:t>
            </w:r>
            <w:r>
              <w:rPr>
                <w:rStyle w:val="IndexLink"/>
                <w:rtl w:val="true"/>
              </w:rPr>
              <w:t xml:space="preserve">. </w:t>
            </w:r>
            <w:r>
              <w:rPr>
                <w:rStyle w:val="IndexLink"/>
                <w:rtl w:val="true"/>
              </w:rPr>
              <w:t xml:space="preserve">التقية بعد رحيل الرسول </w:t>
            </w:r>
            <w:r>
              <w:rPr>
                <w:rStyle w:val="IndexLink"/>
                <w:rtl w:val="true"/>
              </w:rPr>
              <w:t xml:space="preserve">- </w:t>
            </w:r>
            <w:r>
              <w:rPr>
                <w:rStyle w:val="IndexLink"/>
                <w:rtl w:val="true"/>
              </w:rPr>
              <w:t>صلى الله عليه وآله وسلم</w:t>
            </w:r>
            <w:r>
              <w:rPr>
                <w:rStyle w:val="IndexLink"/>
                <w:rtl w:val="true"/>
              </w:rPr>
              <w:tab/>
            </w:r>
            <w:r>
              <w:rPr>
                <w:rStyle w:val="IndexLink"/>
              </w:rPr>
              <w:t>302</w:t>
            </w:r>
          </w:hyperlink>
        </w:p>
        <w:p>
          <w:pPr>
            <w:pStyle w:val="Contents3"/>
            <w:tabs>
              <w:tab w:val="clear" w:pos="8459"/>
              <w:tab w:val="right" w:pos="9026" w:leader="dot"/>
            </w:tabs>
            <w:rPr/>
          </w:pPr>
          <w:hyperlink w:anchor="__RefHeading___Toc1273017_1067777946">
            <w:r>
              <w:rPr>
                <w:webHidden/>
                <w:rStyle w:val="IndexLink"/>
              </w:rPr>
              <w:t>4</w:t>
            </w:r>
            <w:r>
              <w:rPr>
                <w:rStyle w:val="IndexLink"/>
                <w:rtl w:val="true"/>
              </w:rPr>
              <w:t xml:space="preserve">- </w:t>
            </w:r>
            <w:r>
              <w:rPr>
                <w:rStyle w:val="IndexLink"/>
                <w:rtl w:val="true"/>
              </w:rPr>
              <w:t>محنة الشيعة في عصر الأمويين والعباسيين</w:t>
            </w:r>
            <w:r>
              <w:rPr>
                <w:rStyle w:val="IndexLink"/>
                <w:rtl w:val="true"/>
              </w:rPr>
              <w:tab/>
            </w:r>
            <w:r>
              <w:rPr>
                <w:rStyle w:val="IndexLink"/>
              </w:rPr>
              <w:t>306</w:t>
            </w:r>
          </w:hyperlink>
        </w:p>
        <w:p>
          <w:pPr>
            <w:pStyle w:val="Contents4"/>
            <w:tabs>
              <w:tab w:val="clear" w:pos="8176"/>
              <w:tab w:val="right" w:pos="9026" w:leader="dot"/>
            </w:tabs>
            <w:rPr/>
          </w:pPr>
          <w:hyperlink w:anchor="__RefHeading___Toc1273019_1067777946">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273021_1067777946">
            <w:r>
              <w:rPr>
                <w:webHidden/>
                <w:rStyle w:val="IndexLink"/>
                <w:rtl w:val="true"/>
              </w:rPr>
              <w:t>محنة الشيعة في العصر الأموي</w:t>
            </w:r>
            <w:r>
              <w:rPr>
                <w:rStyle w:val="IndexLink"/>
                <w:rtl w:val="true"/>
              </w:rPr>
              <w:tab/>
            </w:r>
            <w:r>
              <w:rPr>
                <w:rStyle w:val="IndexLink"/>
              </w:rPr>
              <w:t>307</w:t>
            </w:r>
          </w:hyperlink>
        </w:p>
        <w:p>
          <w:pPr>
            <w:pStyle w:val="Contents4"/>
            <w:tabs>
              <w:tab w:val="clear" w:pos="8176"/>
              <w:tab w:val="right" w:pos="9026" w:leader="dot"/>
            </w:tabs>
            <w:rPr/>
          </w:pPr>
          <w:hyperlink w:anchor="__RefHeading___Toc1273023_1067777946">
            <w:r>
              <w:rPr>
                <w:webHidden/>
                <w:rStyle w:val="IndexLink"/>
                <w:rtl w:val="true"/>
              </w:rPr>
              <w:t>محنة الشيعة في العصر العباسي</w:t>
            </w:r>
            <w:r>
              <w:rPr>
                <w:rStyle w:val="IndexLink"/>
                <w:rtl w:val="true"/>
              </w:rPr>
              <w:tab/>
            </w:r>
            <w:r>
              <w:rPr>
                <w:rStyle w:val="IndexLink"/>
              </w:rPr>
              <w:t>309</w:t>
            </w:r>
          </w:hyperlink>
        </w:p>
        <w:p>
          <w:pPr>
            <w:pStyle w:val="Contents4"/>
            <w:tabs>
              <w:tab w:val="clear" w:pos="8176"/>
              <w:tab w:val="right" w:pos="9026" w:leader="dot"/>
            </w:tabs>
            <w:rPr/>
          </w:pPr>
          <w:hyperlink w:anchor="__RefHeading___Toc1273025_1067777946">
            <w:r>
              <w:rPr>
                <w:webHidden/>
                <w:rStyle w:val="IndexLink"/>
                <w:rtl w:val="true"/>
              </w:rPr>
              <w:t xml:space="preserve">محنة الشيعة في العصرين </w:t>
            </w:r>
            <w:r>
              <w:rPr>
                <w:rStyle w:val="IndexLink"/>
                <w:rtl w:val="true"/>
              </w:rPr>
              <w:t xml:space="preserve">: </w:t>
            </w:r>
            <w:r>
              <w:rPr>
                <w:rStyle w:val="IndexLink"/>
                <w:rtl w:val="true"/>
              </w:rPr>
              <w:t>الأيوبي والعثماني</w:t>
            </w:r>
            <w:r>
              <w:rPr>
                <w:rStyle w:val="IndexLink"/>
                <w:rtl w:val="true"/>
              </w:rPr>
              <w:tab/>
            </w:r>
            <w:r>
              <w:rPr>
                <w:rStyle w:val="IndexLink"/>
              </w:rPr>
              <w:t>313</w:t>
            </w:r>
          </w:hyperlink>
        </w:p>
        <w:p>
          <w:pPr>
            <w:pStyle w:val="Contents4"/>
            <w:tabs>
              <w:tab w:val="clear" w:pos="8176"/>
              <w:tab w:val="right" w:pos="9026" w:leader="dot"/>
            </w:tabs>
            <w:rPr/>
          </w:pPr>
          <w:hyperlink w:anchor="__RefHeading___Toc1273027_1067777946">
            <w:r>
              <w:rPr>
                <w:webHidden/>
                <w:rStyle w:val="IndexLink"/>
                <w:rtl w:val="true"/>
              </w:rPr>
              <w:t>حصيلة البحث</w:t>
            </w:r>
            <w:r>
              <w:rPr>
                <w:rStyle w:val="IndexLink"/>
                <w:rtl w:val="true"/>
              </w:rPr>
              <w:tab/>
            </w:r>
            <w:r>
              <w:rPr>
                <w:rStyle w:val="IndexLink"/>
              </w:rPr>
              <w:t>316</w:t>
            </w:r>
          </w:hyperlink>
        </w:p>
        <w:p>
          <w:pPr>
            <w:pStyle w:val="Contents3"/>
            <w:tabs>
              <w:tab w:val="clear" w:pos="8459"/>
              <w:tab w:val="right" w:pos="9026" w:leader="dot"/>
            </w:tabs>
            <w:rPr/>
          </w:pPr>
          <w:hyperlink w:anchor="__RefHeading___Toc1273029_1067777946">
            <w:r>
              <w:rPr>
                <w:webHidden/>
                <w:rStyle w:val="IndexLink"/>
              </w:rPr>
              <w:t>5</w:t>
            </w:r>
            <w:r>
              <w:rPr>
                <w:rStyle w:val="IndexLink"/>
                <w:rtl w:val="true"/>
              </w:rPr>
              <w:t xml:space="preserve">- </w:t>
            </w:r>
            <w:r>
              <w:rPr>
                <w:rStyle w:val="IndexLink"/>
                <w:rtl w:val="true"/>
              </w:rPr>
              <w:t>الغاية من تشريع التقية</w:t>
            </w:r>
            <w:r>
              <w:rPr>
                <w:rStyle w:val="IndexLink"/>
                <w:rtl w:val="true"/>
              </w:rPr>
              <w:tab/>
            </w:r>
            <w:r>
              <w:rPr>
                <w:rStyle w:val="IndexLink"/>
              </w:rPr>
              <w:t>318</w:t>
            </w:r>
          </w:hyperlink>
        </w:p>
        <w:p>
          <w:pPr>
            <w:pStyle w:val="Contents3"/>
            <w:tabs>
              <w:tab w:val="clear" w:pos="8459"/>
              <w:tab w:val="right" w:pos="9026" w:leader="dot"/>
            </w:tabs>
            <w:rPr/>
          </w:pPr>
          <w:hyperlink w:anchor="__RefHeading___Toc1273031_1067777946">
            <w:r>
              <w:rPr>
                <w:webHidden/>
                <w:rStyle w:val="IndexLink"/>
              </w:rPr>
              <w:t>6</w:t>
            </w:r>
            <w:r>
              <w:rPr>
                <w:rStyle w:val="IndexLink"/>
                <w:rtl w:val="true"/>
              </w:rPr>
              <w:t xml:space="preserve">- </w:t>
            </w:r>
            <w:r>
              <w:rPr>
                <w:rStyle w:val="IndexLink"/>
                <w:rtl w:val="true"/>
              </w:rPr>
              <w:t>التقية في الكتاب العزيز</w:t>
            </w:r>
            <w:r>
              <w:rPr>
                <w:rStyle w:val="IndexLink"/>
                <w:rtl w:val="true"/>
              </w:rPr>
              <w:tab/>
            </w:r>
            <w:r>
              <w:rPr>
                <w:rStyle w:val="IndexLink"/>
              </w:rPr>
              <w:t>321</w:t>
            </w:r>
          </w:hyperlink>
        </w:p>
        <w:p>
          <w:pPr>
            <w:pStyle w:val="Contents4"/>
            <w:tabs>
              <w:tab w:val="clear" w:pos="8176"/>
              <w:tab w:val="right" w:pos="9026" w:leader="dot"/>
            </w:tabs>
            <w:rPr/>
          </w:pPr>
          <w:hyperlink w:anchor="__RefHeading___Toc1273033_1067777946">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273035_1067777946">
            <w:r>
              <w:rPr>
                <w:webHidden/>
                <w:rStyle w:val="IndexLink"/>
                <w:rtl w:val="true"/>
              </w:rPr>
              <w:t xml:space="preserve">الآية الأُولى </w:t>
            </w:r>
            <w:r>
              <w:rPr>
                <w:rStyle w:val="IndexLink"/>
                <w:rtl w:val="true"/>
              </w:rPr>
              <w:t>:</w:t>
              <w:tab/>
            </w:r>
            <w:r>
              <w:rPr>
                <w:rStyle w:val="IndexLink"/>
              </w:rPr>
              <w:t>321</w:t>
            </w:r>
          </w:hyperlink>
        </w:p>
        <w:p>
          <w:pPr>
            <w:pStyle w:val="Contents4"/>
            <w:tabs>
              <w:tab w:val="clear" w:pos="8176"/>
              <w:tab w:val="right" w:pos="9026" w:leader="dot"/>
            </w:tabs>
            <w:rPr/>
          </w:pPr>
          <w:hyperlink w:anchor="__RefHeading___Toc1273037_1067777946">
            <w:r>
              <w:rPr>
                <w:webHidden/>
                <w:rStyle w:val="IndexLink"/>
                <w:rtl w:val="true"/>
              </w:rPr>
              <w:t xml:space="preserve">الآية الثانية </w:t>
            </w:r>
            <w:r>
              <w:rPr>
                <w:rStyle w:val="IndexLink"/>
                <w:rtl w:val="true"/>
              </w:rPr>
              <w:t>:</w:t>
              <w:tab/>
            </w:r>
            <w:r>
              <w:rPr>
                <w:rStyle w:val="IndexLink"/>
              </w:rPr>
              <w:t>323</w:t>
            </w:r>
          </w:hyperlink>
        </w:p>
        <w:p>
          <w:pPr>
            <w:pStyle w:val="Contents4"/>
            <w:tabs>
              <w:tab w:val="clear" w:pos="8176"/>
              <w:tab w:val="right" w:pos="9026" w:leader="dot"/>
            </w:tabs>
            <w:rPr/>
          </w:pPr>
          <w:hyperlink w:anchor="__RefHeading___Toc1273039_1067777946">
            <w:r>
              <w:rPr>
                <w:webHidden/>
                <w:rStyle w:val="IndexLink"/>
                <w:rtl w:val="true"/>
              </w:rPr>
              <w:t xml:space="preserve">الآية الثالثة </w:t>
            </w:r>
            <w:r>
              <w:rPr>
                <w:rStyle w:val="IndexLink"/>
                <w:rtl w:val="true"/>
              </w:rPr>
              <w:t>:</w:t>
              <w:tab/>
            </w:r>
            <w:r>
              <w:rPr>
                <w:rStyle w:val="IndexLink"/>
              </w:rPr>
              <w:t>326</w:t>
            </w:r>
          </w:hyperlink>
        </w:p>
        <w:p>
          <w:pPr>
            <w:pStyle w:val="Contents3"/>
            <w:tabs>
              <w:tab w:val="clear" w:pos="8459"/>
              <w:tab w:val="right" w:pos="9026" w:leader="dot"/>
            </w:tabs>
            <w:rPr/>
          </w:pPr>
          <w:hyperlink w:anchor="__RefHeading___Toc1273041_1067777946">
            <w:r>
              <w:rPr>
                <w:webHidden/>
                <w:rStyle w:val="IndexLink"/>
              </w:rPr>
              <w:t>7</w:t>
            </w:r>
            <w:r>
              <w:rPr>
                <w:rStyle w:val="IndexLink"/>
                <w:rtl w:val="true"/>
              </w:rPr>
              <w:t xml:space="preserve">- </w:t>
            </w:r>
            <w:r>
              <w:rPr>
                <w:rStyle w:val="IndexLink"/>
                <w:rtl w:val="true"/>
              </w:rPr>
              <w:t>التقيّة في السنّة النبويّة</w:t>
            </w:r>
            <w:r>
              <w:rPr>
                <w:rStyle w:val="IndexLink"/>
                <w:rtl w:val="true"/>
              </w:rPr>
              <w:tab/>
            </w:r>
            <w:r>
              <w:rPr>
                <w:rStyle w:val="IndexLink"/>
              </w:rPr>
              <w:t>328</w:t>
            </w:r>
          </w:hyperlink>
        </w:p>
        <w:p>
          <w:pPr>
            <w:pStyle w:val="Contents4"/>
            <w:tabs>
              <w:tab w:val="clear" w:pos="8176"/>
              <w:tab w:val="right" w:pos="9026" w:leader="dot"/>
            </w:tabs>
            <w:rPr/>
          </w:pPr>
          <w:hyperlink w:anchor="__RefHeading___Toc1273043_1067777946">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273045_1067777946">
            <w:r>
              <w:rPr>
                <w:webHidden/>
                <w:rStyle w:val="IndexLink"/>
                <w:rtl w:val="true"/>
              </w:rPr>
              <w:t>التقية في كلمات العلماء</w:t>
            </w:r>
            <w:r>
              <w:rPr>
                <w:rStyle w:val="IndexLink"/>
                <w:rtl w:val="true"/>
              </w:rPr>
              <w:tab/>
            </w:r>
            <w:r>
              <w:rPr>
                <w:rStyle w:val="IndexLink"/>
              </w:rPr>
              <w:t>329</w:t>
            </w:r>
          </w:hyperlink>
        </w:p>
        <w:p>
          <w:pPr>
            <w:pStyle w:val="Contents4"/>
            <w:tabs>
              <w:tab w:val="clear" w:pos="8176"/>
              <w:tab w:val="right" w:pos="9026" w:leader="dot"/>
            </w:tabs>
            <w:rPr/>
          </w:pPr>
          <w:hyperlink w:anchor="__RefHeading___Toc1273047_1067777946">
            <w:r>
              <w:rPr>
                <w:webHidden/>
                <w:rStyle w:val="IndexLink"/>
                <w:rtl w:val="true"/>
              </w:rPr>
              <w:t>مجال التقية هو الأُمور الشخصية</w:t>
            </w:r>
            <w:r>
              <w:rPr>
                <w:rStyle w:val="IndexLink"/>
                <w:rtl w:val="true"/>
              </w:rPr>
              <w:tab/>
            </w:r>
            <w:r>
              <w:rPr>
                <w:rStyle w:val="IndexLink"/>
              </w:rPr>
              <w:t>330</w:t>
            </w:r>
          </w:hyperlink>
        </w:p>
        <w:p>
          <w:pPr>
            <w:pStyle w:val="Contents3"/>
            <w:tabs>
              <w:tab w:val="clear" w:pos="8459"/>
              <w:tab w:val="right" w:pos="9026" w:leader="dot"/>
            </w:tabs>
            <w:rPr/>
          </w:pPr>
          <w:hyperlink w:anchor="__RefHeading___Toc1273049_1067777946">
            <w:r>
              <w:rPr>
                <w:webHidden/>
                <w:rStyle w:val="IndexLink"/>
              </w:rPr>
              <w:t>8</w:t>
            </w:r>
            <w:r>
              <w:rPr>
                <w:rStyle w:val="IndexLink"/>
                <w:rtl w:val="true"/>
              </w:rPr>
              <w:t xml:space="preserve">- </w:t>
            </w:r>
            <w:r>
              <w:rPr>
                <w:rStyle w:val="IndexLink"/>
                <w:rtl w:val="true"/>
              </w:rPr>
              <w:t>أقسام التقية</w:t>
            </w:r>
            <w:r>
              <w:rPr>
                <w:rStyle w:val="IndexLink"/>
                <w:rtl w:val="true"/>
              </w:rPr>
              <w:tab/>
            </w:r>
            <w:r>
              <w:rPr>
                <w:rStyle w:val="IndexLink"/>
              </w:rPr>
              <w:t>332</w:t>
            </w:r>
          </w:hyperlink>
        </w:p>
        <w:p>
          <w:pPr>
            <w:pStyle w:val="Contents3"/>
            <w:tabs>
              <w:tab w:val="clear" w:pos="8459"/>
              <w:tab w:val="right" w:pos="9026" w:leader="dot"/>
            </w:tabs>
            <w:rPr/>
          </w:pPr>
          <w:hyperlink w:anchor="__RefHeading___Toc1273051_1067777946">
            <w:r>
              <w:rPr>
                <w:webHidden/>
                <w:rStyle w:val="IndexLink"/>
              </w:rPr>
              <w:t>9</w:t>
            </w:r>
            <w:r>
              <w:rPr>
                <w:rStyle w:val="IndexLink"/>
                <w:rtl w:val="true"/>
              </w:rPr>
              <w:t xml:space="preserve">- </w:t>
            </w:r>
            <w:r>
              <w:rPr>
                <w:rStyle w:val="IndexLink"/>
                <w:rtl w:val="true"/>
              </w:rPr>
              <w:t>شبهات حول التقية</w:t>
            </w:r>
            <w:r>
              <w:rPr>
                <w:rStyle w:val="IndexLink"/>
                <w:rtl w:val="true"/>
              </w:rPr>
              <w:tab/>
            </w:r>
            <w:r>
              <w:rPr>
                <w:rStyle w:val="IndexLink"/>
              </w:rPr>
              <w:t>336</w:t>
            </w:r>
          </w:hyperlink>
        </w:p>
        <w:p>
          <w:pPr>
            <w:pStyle w:val="Contents4"/>
            <w:tabs>
              <w:tab w:val="clear" w:pos="8176"/>
              <w:tab w:val="right" w:pos="9026" w:leader="dot"/>
            </w:tabs>
            <w:rPr/>
          </w:pPr>
          <w:hyperlink w:anchor="__RefHeading___Toc1273053_1067777946">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273055_1067777946">
            <w:r>
              <w:rPr>
                <w:webHidden/>
                <w:rStyle w:val="IndexLink"/>
                <w:rtl w:val="true"/>
              </w:rPr>
              <w:t xml:space="preserve">الشبهة الأُولى </w:t>
            </w:r>
            <w:r>
              <w:rPr>
                <w:rStyle w:val="IndexLink"/>
                <w:rtl w:val="true"/>
              </w:rPr>
              <w:t xml:space="preserve">: </w:t>
            </w:r>
            <w:r>
              <w:rPr>
                <w:rStyle w:val="IndexLink"/>
                <w:rtl w:val="true"/>
              </w:rPr>
              <w:t>التقية من شعب النفاق</w:t>
            </w:r>
            <w:r>
              <w:rPr>
                <w:rStyle w:val="IndexLink"/>
                <w:rtl w:val="true"/>
              </w:rPr>
              <w:tab/>
            </w:r>
            <w:r>
              <w:rPr>
                <w:rStyle w:val="IndexLink"/>
              </w:rPr>
              <w:t>336</w:t>
            </w:r>
          </w:hyperlink>
        </w:p>
        <w:p>
          <w:pPr>
            <w:pStyle w:val="Contents4"/>
            <w:tabs>
              <w:tab w:val="clear" w:pos="8176"/>
              <w:tab w:val="right" w:pos="9026" w:leader="dot"/>
            </w:tabs>
            <w:rPr/>
          </w:pPr>
          <w:hyperlink w:anchor="__RefHeading___Toc1273057_1067777946">
            <w:r>
              <w:rPr>
                <w:webHidden/>
                <w:rStyle w:val="IndexLink"/>
                <w:rtl w:val="true"/>
              </w:rPr>
              <w:t xml:space="preserve">الشبهة الثانية </w:t>
            </w:r>
            <w:r>
              <w:rPr>
                <w:rStyle w:val="IndexLink"/>
                <w:rtl w:val="true"/>
              </w:rPr>
              <w:t xml:space="preserve">: </w:t>
            </w:r>
            <w:r>
              <w:rPr>
                <w:rStyle w:val="IndexLink"/>
                <w:rtl w:val="true"/>
              </w:rPr>
              <w:t>لما ذا عُدَّت التقية من أُصول الدين؟</w:t>
            </w:r>
            <w:r>
              <w:rPr>
                <w:rStyle w:val="IndexLink"/>
                <w:rtl w:val="true"/>
              </w:rPr>
              <w:tab/>
            </w:r>
            <w:r>
              <w:rPr>
                <w:rStyle w:val="IndexLink"/>
              </w:rPr>
              <w:t>337</w:t>
            </w:r>
          </w:hyperlink>
        </w:p>
        <w:p>
          <w:pPr>
            <w:pStyle w:val="Contents4"/>
            <w:tabs>
              <w:tab w:val="clear" w:pos="8176"/>
              <w:tab w:val="right" w:pos="9026" w:leader="dot"/>
            </w:tabs>
            <w:rPr/>
          </w:pPr>
          <w:hyperlink w:anchor="__RefHeading___Toc1273059_1067777946">
            <w:r>
              <w:rPr>
                <w:webHidden/>
                <w:rStyle w:val="IndexLink"/>
                <w:rtl w:val="true"/>
              </w:rPr>
              <w:t xml:space="preserve">الشبهة الثالثة </w:t>
            </w:r>
            <w:r>
              <w:rPr>
                <w:rStyle w:val="IndexLink"/>
                <w:rtl w:val="true"/>
              </w:rPr>
              <w:t xml:space="preserve">: </w:t>
            </w:r>
            <w:r>
              <w:rPr>
                <w:rStyle w:val="IndexLink"/>
                <w:rtl w:val="true"/>
              </w:rPr>
              <w:t>التقية تؤدي إلى محق الدين</w:t>
            </w:r>
            <w:r>
              <w:rPr>
                <w:rStyle w:val="IndexLink"/>
                <w:rtl w:val="true"/>
              </w:rPr>
              <w:tab/>
            </w:r>
            <w:r>
              <w:rPr>
                <w:rStyle w:val="IndexLink"/>
              </w:rPr>
              <w:t>339</w:t>
            </w:r>
          </w:hyperlink>
        </w:p>
        <w:p>
          <w:pPr>
            <w:pStyle w:val="Contents4"/>
            <w:tabs>
              <w:tab w:val="clear" w:pos="8176"/>
              <w:tab w:val="right" w:pos="9026" w:leader="dot"/>
            </w:tabs>
            <w:rPr/>
          </w:pPr>
          <w:hyperlink w:anchor="__RefHeading___Toc1273061_1067777946">
            <w:r>
              <w:rPr>
                <w:webHidden/>
                <w:rStyle w:val="IndexLink"/>
                <w:rtl w:val="true"/>
              </w:rPr>
              <w:t xml:space="preserve">الشبهة الرابعة </w:t>
            </w:r>
            <w:r>
              <w:rPr>
                <w:rStyle w:val="IndexLink"/>
                <w:rtl w:val="true"/>
              </w:rPr>
              <w:t xml:space="preserve">: </w:t>
            </w:r>
            <w:r>
              <w:rPr>
                <w:rStyle w:val="IndexLink"/>
                <w:rtl w:val="true"/>
              </w:rPr>
              <w:t>التقية تؤدي إلى تعطيل الأمر بالمعروف</w:t>
            </w:r>
            <w:r>
              <w:rPr>
                <w:rStyle w:val="IndexLink"/>
                <w:rtl w:val="true"/>
              </w:rPr>
              <w:tab/>
            </w:r>
            <w:r>
              <w:rPr>
                <w:rStyle w:val="IndexLink"/>
              </w:rPr>
              <w:t>339</w:t>
            </w:r>
          </w:hyperlink>
        </w:p>
        <w:p>
          <w:pPr>
            <w:pStyle w:val="Contents4"/>
            <w:tabs>
              <w:tab w:val="clear" w:pos="8176"/>
              <w:tab w:val="right" w:pos="9026" w:leader="dot"/>
            </w:tabs>
            <w:rPr/>
          </w:pPr>
          <w:hyperlink w:anchor="__RefHeading___Toc1273063_1067777946">
            <w:r>
              <w:rPr>
                <w:webHidden/>
                <w:rStyle w:val="IndexLink"/>
                <w:rtl w:val="true"/>
              </w:rPr>
              <w:t xml:space="preserve">الشبهة الخامسة </w:t>
            </w:r>
            <w:r>
              <w:rPr>
                <w:rStyle w:val="IndexLink"/>
                <w:rtl w:val="true"/>
              </w:rPr>
              <w:t xml:space="preserve">: </w:t>
            </w:r>
            <w:r>
              <w:rPr>
                <w:rStyle w:val="IndexLink"/>
                <w:rtl w:val="true"/>
              </w:rPr>
              <w:t>التقية من المسلم من البدع</w:t>
            </w:r>
            <w:r>
              <w:rPr>
                <w:rStyle w:val="IndexLink"/>
                <w:rtl w:val="true"/>
              </w:rPr>
              <w:tab/>
            </w:r>
            <w:r>
              <w:rPr>
                <w:rStyle w:val="IndexLink"/>
              </w:rPr>
              <w:t>340</w:t>
            </w:r>
          </w:hyperlink>
        </w:p>
        <w:p>
          <w:pPr>
            <w:pStyle w:val="Contents4"/>
            <w:tabs>
              <w:tab w:val="clear" w:pos="8176"/>
              <w:tab w:val="right" w:pos="9026" w:leader="dot"/>
            </w:tabs>
            <w:rPr/>
          </w:pPr>
          <w:hyperlink w:anchor="__RefHeading___Toc1273065_1067777946">
            <w:r>
              <w:rPr>
                <w:webHidden/>
                <w:rStyle w:val="IndexLink"/>
                <w:rtl w:val="true"/>
              </w:rPr>
              <w:t>الجواب</w:t>
            </w:r>
            <w:r>
              <w:rPr>
                <w:rStyle w:val="IndexLink"/>
                <w:rtl w:val="true"/>
              </w:rPr>
              <w:tab/>
            </w:r>
            <w:r>
              <w:rPr>
                <w:rStyle w:val="IndexLink"/>
              </w:rPr>
              <w:t>340</w:t>
            </w:r>
          </w:hyperlink>
        </w:p>
        <w:p>
          <w:pPr>
            <w:pStyle w:val="Contents3"/>
            <w:tabs>
              <w:tab w:val="clear" w:pos="8459"/>
              <w:tab w:val="right" w:pos="9026" w:leader="dot"/>
            </w:tabs>
            <w:rPr/>
          </w:pPr>
          <w:hyperlink w:anchor="__RefHeading___Toc1273067_1067777946">
            <w:r>
              <w:rPr>
                <w:webHidden/>
                <w:rStyle w:val="IndexLink"/>
              </w:rPr>
              <w:t>10</w:t>
            </w:r>
            <w:r>
              <w:rPr>
                <w:rStyle w:val="IndexLink"/>
                <w:rtl w:val="true"/>
              </w:rPr>
              <w:t xml:space="preserve">- </w:t>
            </w:r>
            <w:r>
              <w:rPr>
                <w:rStyle w:val="IndexLink"/>
                <w:rtl w:val="true"/>
              </w:rPr>
              <w:t>الآثار البنّاءة للتقية</w:t>
            </w:r>
            <w:r>
              <w:rPr>
                <w:rStyle w:val="IndexLink"/>
                <w:rtl w:val="true"/>
              </w:rPr>
              <w:tab/>
            </w:r>
            <w:r>
              <w:rPr>
                <w:rStyle w:val="IndexLink"/>
              </w:rPr>
              <w:t>344</w:t>
            </w:r>
          </w:hyperlink>
        </w:p>
        <w:p>
          <w:pPr>
            <w:pStyle w:val="Contents4"/>
            <w:tabs>
              <w:tab w:val="clear" w:pos="8176"/>
              <w:tab w:val="right" w:pos="9026" w:leader="dot"/>
            </w:tabs>
            <w:rPr/>
          </w:pPr>
          <w:hyperlink w:anchor="__RefHeading___Toc1273069_1067777946">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273071_1067777946">
            <w:r>
              <w:rPr>
                <w:webHidden/>
                <w:rStyle w:val="IndexLink"/>
              </w:rPr>
              <w:t>1</w:t>
            </w:r>
            <w:r>
              <w:rPr>
                <w:rStyle w:val="IndexLink"/>
                <w:rtl w:val="true"/>
              </w:rPr>
              <w:t xml:space="preserve">. </w:t>
            </w:r>
            <w:r>
              <w:rPr>
                <w:rStyle w:val="IndexLink"/>
                <w:rtl w:val="true"/>
              </w:rPr>
              <w:t>حفظ النفس والنفيس</w:t>
            </w:r>
            <w:r>
              <w:rPr>
                <w:rStyle w:val="IndexLink"/>
                <w:rtl w:val="true"/>
              </w:rPr>
              <w:tab/>
            </w:r>
            <w:r>
              <w:rPr>
                <w:rStyle w:val="IndexLink"/>
              </w:rPr>
              <w:t>344</w:t>
            </w:r>
          </w:hyperlink>
        </w:p>
        <w:p>
          <w:pPr>
            <w:pStyle w:val="Contents4"/>
            <w:tabs>
              <w:tab w:val="clear" w:pos="8176"/>
              <w:tab w:val="right" w:pos="9026" w:leader="dot"/>
            </w:tabs>
            <w:rPr/>
          </w:pPr>
          <w:hyperlink w:anchor="__RefHeading___Toc1273073_1067777946">
            <w:r>
              <w:rPr>
                <w:webHidden/>
                <w:rStyle w:val="IndexLink"/>
              </w:rPr>
              <w:t>2</w:t>
            </w:r>
            <w:r>
              <w:rPr>
                <w:rStyle w:val="IndexLink"/>
                <w:rtl w:val="true"/>
              </w:rPr>
              <w:t xml:space="preserve">. </w:t>
            </w:r>
            <w:r>
              <w:rPr>
                <w:rStyle w:val="IndexLink"/>
                <w:rtl w:val="true"/>
              </w:rPr>
              <w:t>حفظ وحدة الأُمّة</w:t>
            </w:r>
            <w:r>
              <w:rPr>
                <w:rStyle w:val="IndexLink"/>
                <w:rtl w:val="true"/>
              </w:rPr>
              <w:tab/>
            </w:r>
            <w:r>
              <w:rPr>
                <w:rStyle w:val="IndexLink"/>
              </w:rPr>
              <w:t>346</w:t>
            </w:r>
          </w:hyperlink>
        </w:p>
        <w:p>
          <w:pPr>
            <w:pStyle w:val="Contents4"/>
            <w:tabs>
              <w:tab w:val="clear" w:pos="8176"/>
              <w:tab w:val="right" w:pos="9026" w:leader="dot"/>
            </w:tabs>
            <w:rPr/>
          </w:pPr>
          <w:hyperlink w:anchor="__RefHeading___Toc1273075_1067777946">
            <w:r>
              <w:rPr>
                <w:webHidden/>
                <w:rStyle w:val="IndexLink"/>
              </w:rPr>
              <w:t>3</w:t>
            </w:r>
            <w:r>
              <w:rPr>
                <w:rStyle w:val="IndexLink"/>
                <w:rtl w:val="true"/>
              </w:rPr>
              <w:t xml:space="preserve">. </w:t>
            </w:r>
            <w:r>
              <w:rPr>
                <w:rStyle w:val="IndexLink"/>
                <w:rtl w:val="true"/>
              </w:rPr>
              <w:t>الحفاظ على القوى من الاستنزاف</w:t>
            </w:r>
            <w:r>
              <w:rPr>
                <w:rStyle w:val="IndexLink"/>
                <w:rtl w:val="true"/>
              </w:rPr>
              <w:tab/>
            </w:r>
            <w:r>
              <w:rPr>
                <w:rStyle w:val="IndexLink"/>
              </w:rPr>
              <w:t>346</w:t>
            </w:r>
          </w:hyperlink>
        </w:p>
        <w:p>
          <w:pPr>
            <w:pStyle w:val="Contents3"/>
            <w:tabs>
              <w:tab w:val="clear" w:pos="8459"/>
              <w:tab w:val="right" w:pos="9026" w:leader="dot"/>
            </w:tabs>
            <w:rPr/>
          </w:pPr>
          <w:hyperlink w:anchor="__RefHeading___Toc1273077_1067777946">
            <w:r>
              <w:rPr>
                <w:webHidden/>
                <w:rStyle w:val="IndexLink"/>
              </w:rPr>
              <w:t>11</w:t>
            </w:r>
            <w:r>
              <w:rPr>
                <w:rStyle w:val="IndexLink"/>
                <w:rtl w:val="true"/>
              </w:rPr>
              <w:t xml:space="preserve">- </w:t>
            </w:r>
            <w:r>
              <w:rPr>
                <w:rStyle w:val="IndexLink"/>
                <w:rtl w:val="true"/>
              </w:rPr>
              <w:t xml:space="preserve">موقف أئمة أهل البيت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من التقية</w:t>
            </w:r>
            <w:r>
              <w:rPr>
                <w:rStyle w:val="IndexLink"/>
                <w:rtl w:val="true"/>
              </w:rPr>
              <w:tab/>
            </w:r>
            <w:r>
              <w:rPr>
                <w:rStyle w:val="IndexLink"/>
              </w:rPr>
              <w:t>348</w:t>
            </w:r>
          </w:hyperlink>
        </w:p>
        <w:p>
          <w:pPr>
            <w:pStyle w:val="Contents3"/>
            <w:tabs>
              <w:tab w:val="clear" w:pos="8459"/>
              <w:tab w:val="right" w:pos="9026" w:leader="dot"/>
            </w:tabs>
            <w:rPr/>
          </w:pPr>
          <w:hyperlink w:anchor="__RefHeading___Toc1273079_1067777946">
            <w:r>
              <w:rPr>
                <w:webHidden/>
                <w:rStyle w:val="IndexLink"/>
              </w:rPr>
              <w:t>12</w:t>
            </w:r>
            <w:r>
              <w:rPr>
                <w:rStyle w:val="IndexLink"/>
                <w:rtl w:val="true"/>
              </w:rPr>
              <w:t xml:space="preserve">- </w:t>
            </w:r>
            <w:r>
              <w:rPr>
                <w:rStyle w:val="IndexLink"/>
                <w:rtl w:val="true"/>
              </w:rPr>
              <w:t>في إجزاء العمل الموافق للتقية</w:t>
            </w:r>
            <w:r>
              <w:rPr>
                <w:rStyle w:val="IndexLink"/>
                <w:rtl w:val="true"/>
              </w:rPr>
              <w:tab/>
            </w:r>
            <w:r>
              <w:rPr>
                <w:rStyle w:val="IndexLink"/>
              </w:rPr>
              <w:t>351</w:t>
            </w:r>
          </w:hyperlink>
        </w:p>
        <w:p>
          <w:pPr>
            <w:pStyle w:val="Contents4"/>
            <w:tabs>
              <w:tab w:val="clear" w:pos="8176"/>
              <w:tab w:val="right" w:pos="9026" w:leader="dot"/>
            </w:tabs>
            <w:rPr/>
          </w:pPr>
          <w:hyperlink w:anchor="__RefHeading___Toc1273081_1067777946">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273083_1067777946">
            <w:r>
              <w:rPr>
                <w:webHidden/>
                <w:rStyle w:val="IndexLink"/>
                <w:rtl w:val="true"/>
              </w:rPr>
              <w:t xml:space="preserve">الصنف الأوّل </w:t>
            </w:r>
            <w:r>
              <w:rPr>
                <w:rStyle w:val="IndexLink"/>
                <w:rtl w:val="true"/>
              </w:rPr>
              <w:t xml:space="preserve">: </w:t>
            </w:r>
            <w:r>
              <w:rPr>
                <w:rStyle w:val="IndexLink"/>
                <w:rtl w:val="true"/>
              </w:rPr>
              <w:t>ما يكون فيه الموضوع هو الاضطرار</w:t>
            </w:r>
            <w:r>
              <w:rPr>
                <w:rStyle w:val="IndexLink"/>
                <w:rtl w:val="true"/>
              </w:rPr>
              <w:tab/>
            </w:r>
            <w:r>
              <w:rPr>
                <w:rStyle w:val="IndexLink"/>
              </w:rPr>
              <w:t>352</w:t>
            </w:r>
          </w:hyperlink>
        </w:p>
        <w:p>
          <w:pPr>
            <w:pStyle w:val="Contents4"/>
            <w:tabs>
              <w:tab w:val="clear" w:pos="8176"/>
              <w:tab w:val="right" w:pos="9026" w:leader="dot"/>
            </w:tabs>
            <w:rPr/>
          </w:pPr>
          <w:hyperlink w:anchor="__RefHeading___Toc1273085_1067777946">
            <w:r>
              <w:rPr>
                <w:webHidden/>
                <w:rStyle w:val="IndexLink"/>
                <w:rtl w:val="true"/>
              </w:rPr>
              <w:t xml:space="preserve">الصنف الثاني </w:t>
            </w:r>
            <w:r>
              <w:rPr>
                <w:rStyle w:val="IndexLink"/>
                <w:rtl w:val="true"/>
              </w:rPr>
              <w:t xml:space="preserve">: </w:t>
            </w:r>
            <w:r>
              <w:rPr>
                <w:rStyle w:val="IndexLink"/>
                <w:rtl w:val="true"/>
              </w:rPr>
              <w:t xml:space="preserve">ما يكون الموضوع فيه </w:t>
            </w:r>
            <w:r>
              <w:rPr>
                <w:rStyle w:val="IndexLink"/>
                <w:rtl w:val="true"/>
              </w:rPr>
              <w:t>«</w:t>
            </w:r>
            <w:r>
              <w:rPr>
                <w:rStyle w:val="IndexLink"/>
                <w:rtl w:val="true"/>
              </w:rPr>
              <w:t>التقيّة</w:t>
            </w:r>
            <w:r>
              <w:rPr>
                <w:rStyle w:val="IndexLink"/>
                <w:rtl w:val="true"/>
              </w:rPr>
              <w:t>»</w:t>
              <w:tab/>
            </w:r>
            <w:r>
              <w:rPr>
                <w:rStyle w:val="IndexLink"/>
              </w:rPr>
              <w:t>355</w:t>
            </w:r>
          </w:hyperlink>
        </w:p>
        <w:p>
          <w:pPr>
            <w:pStyle w:val="Contents4"/>
            <w:tabs>
              <w:tab w:val="clear" w:pos="8176"/>
              <w:tab w:val="right" w:pos="9026" w:leader="dot"/>
            </w:tabs>
            <w:rPr/>
          </w:pPr>
          <w:hyperlink w:anchor="__RefHeading___Toc1273087_1067777946">
            <w:r>
              <w:rPr>
                <w:webHidden/>
                <w:rStyle w:val="IndexLink"/>
                <w:rtl w:val="true"/>
              </w:rPr>
              <w:t xml:space="preserve">الصنف الثالث </w:t>
            </w:r>
            <w:r>
              <w:rPr>
                <w:rStyle w:val="IndexLink"/>
                <w:rtl w:val="true"/>
              </w:rPr>
              <w:t xml:space="preserve">: </w:t>
            </w:r>
            <w:r>
              <w:rPr>
                <w:rStyle w:val="IndexLink"/>
                <w:rtl w:val="true"/>
              </w:rPr>
              <w:t>التقية لغاية المداراة</w:t>
            </w:r>
            <w:r>
              <w:rPr>
                <w:rStyle w:val="IndexLink"/>
                <w:rtl w:val="true"/>
              </w:rPr>
              <w:tab/>
            </w:r>
            <w:r>
              <w:rPr>
                <w:rStyle w:val="IndexLink"/>
              </w:rPr>
              <w:t>359</w:t>
            </w:r>
          </w:hyperlink>
        </w:p>
        <w:p>
          <w:pPr>
            <w:pStyle w:val="Contents2"/>
            <w:tabs>
              <w:tab w:val="clear" w:pos="8743"/>
              <w:tab w:val="right" w:pos="9026" w:leader="dot"/>
            </w:tabs>
            <w:rPr/>
          </w:pPr>
          <w:hyperlink w:anchor="__RefHeading___Toc1273089_1067777946">
            <w:r>
              <w:rPr>
                <w:webHidden/>
                <w:rStyle w:val="IndexLink"/>
                <w:rtl w:val="true"/>
              </w:rPr>
              <w:t>خاتمة المطاف</w:t>
            </w:r>
            <w:r>
              <w:rPr>
                <w:rStyle w:val="IndexLink"/>
                <w:rtl w:val="true"/>
              </w:rPr>
              <w:t xml:space="preserve">: </w:t>
            </w:r>
            <w:r>
              <w:rPr>
                <w:rStyle w:val="IndexLink"/>
                <w:rtl w:val="true"/>
              </w:rPr>
              <w:t>جذور الاختلاف بين الفريقين</w:t>
            </w:r>
            <w:r>
              <w:rPr>
                <w:rStyle w:val="IndexLink"/>
                <w:rtl w:val="true"/>
              </w:rPr>
              <w:tab/>
            </w:r>
            <w:r>
              <w:rPr>
                <w:rStyle w:val="IndexLink"/>
              </w:rPr>
              <w:t>364</w:t>
            </w:r>
          </w:hyperlink>
        </w:p>
        <w:p>
          <w:pPr>
            <w:pStyle w:val="Contents3"/>
            <w:tabs>
              <w:tab w:val="clear" w:pos="8459"/>
              <w:tab w:val="right" w:pos="9026" w:leader="dot"/>
            </w:tabs>
            <w:rPr/>
          </w:pPr>
          <w:hyperlink w:anchor="__RefHeading___Toc1273091_1067777946">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1273093_1067777946">
            <w:r>
              <w:rPr>
                <w:webHidden/>
                <w:rStyle w:val="IndexLink"/>
                <w:rtl w:val="true"/>
              </w:rPr>
              <w:t>الفصل الأوّل</w:t>
            </w:r>
            <w:r>
              <w:rPr>
                <w:rStyle w:val="IndexLink"/>
                <w:rtl w:val="true"/>
              </w:rPr>
              <w:t xml:space="preserve">: </w:t>
            </w:r>
            <w:r>
              <w:rPr>
                <w:rStyle w:val="IndexLink"/>
                <w:rtl w:val="true"/>
              </w:rPr>
              <w:t xml:space="preserve">أئمّة أهل البيت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هم المرجع العلمي للمسلمين بعد النبي صلى الله عليه وآله وسلم</w:t>
            </w:r>
            <w:r>
              <w:rPr>
                <w:rStyle w:val="IndexLink"/>
                <w:rtl w:val="true"/>
              </w:rPr>
              <w:tab/>
            </w:r>
            <w:r>
              <w:rPr>
                <w:rStyle w:val="IndexLink"/>
              </w:rPr>
              <w:t>366</w:t>
            </w:r>
          </w:hyperlink>
        </w:p>
        <w:p>
          <w:pPr>
            <w:pStyle w:val="Contents4"/>
            <w:tabs>
              <w:tab w:val="clear" w:pos="8176"/>
              <w:tab w:val="right" w:pos="9026" w:leader="dot"/>
            </w:tabs>
            <w:rPr/>
          </w:pPr>
          <w:hyperlink w:anchor="__RefHeading___Toc1273095_1067777946">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273097_1067777946">
            <w:r>
              <w:rPr>
                <w:webHidden/>
                <w:rStyle w:val="IndexLink"/>
                <w:rtl w:val="true"/>
              </w:rPr>
              <w:t>أئمّة الشيعة أوصياء الرسول</w:t>
            </w:r>
            <w:r>
              <w:rPr>
                <w:rStyle w:val="IndexLink"/>
                <w:rtl w:val="true"/>
              </w:rPr>
              <w:tab/>
            </w:r>
            <w:r>
              <w:rPr>
                <w:rStyle w:val="IndexLink"/>
              </w:rPr>
              <w:t>366</w:t>
            </w:r>
          </w:hyperlink>
        </w:p>
        <w:p>
          <w:pPr>
            <w:pStyle w:val="Contents5"/>
            <w:tabs>
              <w:tab w:val="clear" w:pos="7892"/>
              <w:tab w:val="right" w:pos="9026" w:leader="dot"/>
            </w:tabs>
            <w:rPr/>
          </w:pPr>
          <w:hyperlink w:anchor="__RefHeading___Toc1273099_1067777946">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273101_1067777946">
            <w:r>
              <w:rPr>
                <w:webHidden/>
                <w:rStyle w:val="IndexLink"/>
              </w:rPr>
              <w:t>1</w:t>
            </w:r>
            <w:r>
              <w:rPr>
                <w:rStyle w:val="IndexLink"/>
                <w:rtl w:val="true"/>
              </w:rPr>
              <w:t xml:space="preserve">- </w:t>
            </w:r>
            <w:r>
              <w:rPr>
                <w:rStyle w:val="IndexLink"/>
                <w:rtl w:val="true"/>
              </w:rPr>
              <w:t>حجّية أقوال العترة الطاهرة</w:t>
            </w:r>
            <w:r>
              <w:rPr>
                <w:rStyle w:val="IndexLink"/>
                <w:rtl w:val="true"/>
              </w:rPr>
              <w:tab/>
            </w:r>
            <w:r>
              <w:rPr>
                <w:rStyle w:val="IndexLink"/>
              </w:rPr>
              <w:t>370</w:t>
            </w:r>
          </w:hyperlink>
        </w:p>
        <w:p>
          <w:pPr>
            <w:pStyle w:val="Contents6"/>
            <w:tabs>
              <w:tab w:val="clear" w:pos="7609"/>
              <w:tab w:val="right" w:pos="9026" w:leader="dot"/>
            </w:tabs>
            <w:rPr/>
          </w:pPr>
          <w:hyperlink w:anchor="__RefHeading___Toc1273103_1067777946">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1273105_1067777946">
            <w:r>
              <w:rPr>
                <w:webHidden/>
                <w:rStyle w:val="IndexLink"/>
              </w:rPr>
              <w:t>1</w:t>
            </w:r>
            <w:r>
              <w:rPr>
                <w:rStyle w:val="IndexLink"/>
                <w:rtl w:val="true"/>
              </w:rPr>
              <w:t xml:space="preserve">. </w:t>
            </w:r>
            <w:r>
              <w:rPr>
                <w:rStyle w:val="IndexLink"/>
                <w:rtl w:val="true"/>
              </w:rPr>
              <w:t xml:space="preserve">السماع عن رسول الله </w:t>
            </w:r>
            <w:r>
              <w:rPr>
                <w:rStyle w:val="IndexLink"/>
                <w:rtl w:val="true"/>
              </w:rPr>
              <w:t xml:space="preserve">- </w:t>
            </w:r>
            <w:r>
              <w:rPr>
                <w:rStyle w:val="IndexLink"/>
                <w:rtl w:val="true"/>
              </w:rPr>
              <w:t xml:space="preserve">صلى الله عليه وآله وسلم </w:t>
            </w:r>
            <w:r>
              <w:rPr>
                <w:rStyle w:val="IndexLink"/>
                <w:rtl w:val="true"/>
              </w:rPr>
              <w:t>- :</w:t>
              <w:tab/>
            </w:r>
            <w:r>
              <w:rPr>
                <w:rStyle w:val="IndexLink"/>
              </w:rPr>
              <w:t>372</w:t>
            </w:r>
          </w:hyperlink>
        </w:p>
        <w:p>
          <w:pPr>
            <w:pStyle w:val="Contents6"/>
            <w:tabs>
              <w:tab w:val="clear" w:pos="7609"/>
              <w:tab w:val="right" w:pos="9026" w:leader="dot"/>
            </w:tabs>
            <w:rPr/>
          </w:pPr>
          <w:hyperlink w:anchor="__RefHeading___Toc1273107_1067777946">
            <w:r>
              <w:rPr>
                <w:webHidden/>
                <w:rStyle w:val="IndexLink"/>
              </w:rPr>
              <w:t>2</w:t>
            </w:r>
            <w:r>
              <w:rPr>
                <w:rStyle w:val="IndexLink"/>
                <w:rtl w:val="true"/>
              </w:rPr>
              <w:t xml:space="preserve">. </w:t>
            </w:r>
            <w:r>
              <w:rPr>
                <w:rStyle w:val="IndexLink"/>
                <w:rtl w:val="true"/>
              </w:rPr>
              <w:t xml:space="preserve">كتاب عليّ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372</w:t>
            </w:r>
          </w:hyperlink>
        </w:p>
        <w:p>
          <w:pPr>
            <w:pStyle w:val="Contents6"/>
            <w:tabs>
              <w:tab w:val="clear" w:pos="7609"/>
              <w:tab w:val="right" w:pos="9026" w:leader="dot"/>
            </w:tabs>
            <w:rPr/>
          </w:pPr>
          <w:hyperlink w:anchor="__RefHeading___Toc1273109_1067777946">
            <w:r>
              <w:rPr>
                <w:webHidden/>
                <w:rStyle w:val="IndexLink"/>
              </w:rPr>
              <w:t>3</w:t>
            </w:r>
            <w:r>
              <w:rPr>
                <w:rStyle w:val="IndexLink"/>
                <w:rtl w:val="true"/>
              </w:rPr>
              <w:t xml:space="preserve">. </w:t>
            </w:r>
            <w:r>
              <w:rPr>
                <w:rStyle w:val="IndexLink"/>
                <w:rtl w:val="true"/>
              </w:rPr>
              <w:t xml:space="preserve">الاستنباط من الكتاب والسنّة </w:t>
            </w:r>
            <w:r>
              <w:rPr>
                <w:rStyle w:val="IndexLink"/>
                <w:rtl w:val="true"/>
              </w:rPr>
              <w:t>:</w:t>
              <w:tab/>
            </w:r>
            <w:r>
              <w:rPr>
                <w:rStyle w:val="IndexLink"/>
              </w:rPr>
              <w:t>374</w:t>
            </w:r>
          </w:hyperlink>
        </w:p>
        <w:p>
          <w:pPr>
            <w:pStyle w:val="Contents6"/>
            <w:tabs>
              <w:tab w:val="clear" w:pos="7609"/>
              <w:tab w:val="right" w:pos="9026" w:leader="dot"/>
            </w:tabs>
            <w:rPr/>
          </w:pPr>
          <w:hyperlink w:anchor="__RefHeading___Toc1273111_1067777946">
            <w:r>
              <w:rPr>
                <w:webHidden/>
                <w:rStyle w:val="IndexLink"/>
              </w:rPr>
              <w:t>4</w:t>
            </w:r>
            <w:r>
              <w:rPr>
                <w:rStyle w:val="IndexLink"/>
                <w:rtl w:val="true"/>
              </w:rPr>
              <w:t xml:space="preserve">. </w:t>
            </w:r>
            <w:r>
              <w:rPr>
                <w:rStyle w:val="IndexLink"/>
                <w:rtl w:val="true"/>
              </w:rPr>
              <w:t xml:space="preserve">الإشراقات الإلهية </w:t>
            </w:r>
            <w:r>
              <w:rPr>
                <w:rStyle w:val="IndexLink"/>
                <w:rtl w:val="true"/>
              </w:rPr>
              <w:t>:</w:t>
              <w:tab/>
            </w:r>
            <w:r>
              <w:rPr>
                <w:rStyle w:val="IndexLink"/>
              </w:rPr>
              <w:t>376</w:t>
            </w:r>
          </w:hyperlink>
        </w:p>
        <w:p>
          <w:pPr>
            <w:pStyle w:val="Contents5"/>
            <w:tabs>
              <w:tab w:val="clear" w:pos="7892"/>
              <w:tab w:val="right" w:pos="9026" w:leader="dot"/>
            </w:tabs>
            <w:rPr/>
          </w:pPr>
          <w:hyperlink w:anchor="__RefHeading___Toc1273113_1067777946">
            <w:r>
              <w:rPr>
                <w:webHidden/>
                <w:rStyle w:val="IndexLink"/>
              </w:rPr>
              <w:t>2</w:t>
            </w:r>
            <w:r>
              <w:rPr>
                <w:rStyle w:val="IndexLink"/>
                <w:rtl w:val="true"/>
              </w:rPr>
              <w:t xml:space="preserve">- </w:t>
            </w:r>
            <w:r>
              <w:rPr>
                <w:rStyle w:val="IndexLink"/>
                <w:rtl w:val="true"/>
              </w:rPr>
              <w:t>عصمة الأئمّة الاثني عشر</w:t>
            </w:r>
            <w:r>
              <w:rPr>
                <w:rStyle w:val="IndexLink"/>
                <w:rtl w:val="true"/>
              </w:rPr>
              <w:tab/>
            </w:r>
            <w:r>
              <w:rPr>
                <w:rStyle w:val="IndexLink"/>
              </w:rPr>
              <w:t>381</w:t>
            </w:r>
          </w:hyperlink>
        </w:p>
        <w:p>
          <w:pPr>
            <w:pStyle w:val="Contents4"/>
            <w:tabs>
              <w:tab w:val="clear" w:pos="8176"/>
              <w:tab w:val="right" w:pos="9026" w:leader="dot"/>
            </w:tabs>
            <w:rPr/>
          </w:pPr>
          <w:hyperlink w:anchor="__RefHeading___Toc1273115_1067777946">
            <w:r>
              <w:rPr>
                <w:webHidden/>
                <w:rStyle w:val="IndexLink"/>
                <w:rtl w:val="true"/>
              </w:rPr>
              <w:t>عصمة الإمام في الكتاب</w:t>
            </w:r>
            <w:r>
              <w:rPr>
                <w:rStyle w:val="IndexLink"/>
                <w:rtl w:val="true"/>
              </w:rPr>
              <w:tab/>
            </w:r>
            <w:r>
              <w:rPr>
                <w:rStyle w:val="IndexLink"/>
              </w:rPr>
              <w:t>385</w:t>
            </w:r>
          </w:hyperlink>
        </w:p>
        <w:p>
          <w:pPr>
            <w:pStyle w:val="Contents3"/>
            <w:tabs>
              <w:tab w:val="clear" w:pos="8459"/>
              <w:tab w:val="right" w:pos="9026" w:leader="dot"/>
            </w:tabs>
            <w:rPr/>
          </w:pPr>
          <w:hyperlink w:anchor="__RefHeading___Toc1273117_1067777946">
            <w:r>
              <w:rPr>
                <w:webHidden/>
                <w:rStyle w:val="IndexLink"/>
                <w:rtl w:val="true"/>
              </w:rPr>
              <w:t>الفصل الثاني</w:t>
            </w:r>
            <w:r>
              <w:rPr>
                <w:rStyle w:val="IndexLink"/>
                <w:rtl w:val="true"/>
              </w:rPr>
              <w:t xml:space="preserve">: </w:t>
            </w:r>
            <w:r>
              <w:rPr>
                <w:rStyle w:val="IndexLink"/>
                <w:rtl w:val="true"/>
              </w:rPr>
              <w:t xml:space="preserve">الصحابة والمرجعية العلميّة بعد رحيل النبي </w:t>
            </w:r>
            <w:r>
              <w:rPr>
                <w:rStyle w:val="IndexLink"/>
                <w:rtl w:val="true"/>
              </w:rPr>
              <w:t xml:space="preserve">- </w:t>
            </w:r>
            <w:r>
              <w:rPr>
                <w:rStyle w:val="IndexLink"/>
                <w:rtl w:val="true"/>
              </w:rPr>
              <w:t>صلى الله عليه وآله وسلم</w:t>
            </w:r>
            <w:r>
              <w:rPr>
                <w:rStyle w:val="IndexLink"/>
                <w:rtl w:val="true"/>
              </w:rPr>
              <w:tab/>
            </w:r>
            <w:r>
              <w:rPr>
                <w:rStyle w:val="IndexLink"/>
              </w:rPr>
              <w:t>388</w:t>
            </w:r>
          </w:hyperlink>
        </w:p>
        <w:p>
          <w:pPr>
            <w:pStyle w:val="Contents4"/>
            <w:tabs>
              <w:tab w:val="clear" w:pos="8176"/>
              <w:tab w:val="right" w:pos="9026" w:leader="dot"/>
            </w:tabs>
            <w:rPr/>
          </w:pPr>
          <w:hyperlink w:anchor="__RefHeading___Toc1273119_1067777946">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273121_1067777946">
            <w:r>
              <w:rPr>
                <w:webHidden/>
                <w:rStyle w:val="IndexLink"/>
              </w:rPr>
              <w:t>1</w:t>
            </w:r>
            <w:r>
              <w:rPr>
                <w:rStyle w:val="IndexLink"/>
                <w:rtl w:val="true"/>
              </w:rPr>
              <w:t xml:space="preserve">- </w:t>
            </w:r>
            <w:r>
              <w:rPr>
                <w:rStyle w:val="IndexLink"/>
                <w:rtl w:val="true"/>
              </w:rPr>
              <w:t>الإفتاء بالرأي</w:t>
            </w:r>
            <w:r>
              <w:rPr>
                <w:rStyle w:val="IndexLink"/>
                <w:rtl w:val="true"/>
              </w:rPr>
              <w:tab/>
            </w:r>
            <w:r>
              <w:rPr>
                <w:rStyle w:val="IndexLink"/>
              </w:rPr>
              <w:t>389</w:t>
            </w:r>
          </w:hyperlink>
        </w:p>
        <w:p>
          <w:pPr>
            <w:pStyle w:val="Contents4"/>
            <w:tabs>
              <w:tab w:val="clear" w:pos="8176"/>
              <w:tab w:val="right" w:pos="9026" w:leader="dot"/>
            </w:tabs>
            <w:rPr/>
          </w:pPr>
          <w:hyperlink w:anchor="__RefHeading___Toc1273123_1067777946">
            <w:r>
              <w:rPr>
                <w:webHidden/>
                <w:rStyle w:val="IndexLink"/>
              </w:rPr>
              <w:t>2</w:t>
            </w:r>
            <w:r>
              <w:rPr>
                <w:rStyle w:val="IndexLink"/>
                <w:rtl w:val="true"/>
              </w:rPr>
              <w:t xml:space="preserve">- </w:t>
            </w:r>
            <w:r>
              <w:rPr>
                <w:rStyle w:val="IndexLink"/>
                <w:rtl w:val="true"/>
              </w:rPr>
              <w:t>اعتراف الصحابة بقصور علمهم بالشريعة</w:t>
            </w:r>
            <w:r>
              <w:rPr>
                <w:rStyle w:val="IndexLink"/>
                <w:rtl w:val="true"/>
              </w:rPr>
              <w:tab/>
            </w:r>
            <w:r>
              <w:rPr>
                <w:rStyle w:val="IndexLink"/>
              </w:rPr>
              <w:t>394</w:t>
            </w:r>
          </w:hyperlink>
        </w:p>
        <w:p>
          <w:pPr>
            <w:pStyle w:val="Contents4"/>
            <w:tabs>
              <w:tab w:val="clear" w:pos="8176"/>
              <w:tab w:val="right" w:pos="9026" w:leader="dot"/>
            </w:tabs>
            <w:rPr/>
          </w:pPr>
          <w:hyperlink w:anchor="__RefHeading___Toc1273125_1067777946">
            <w:r>
              <w:rPr>
                <w:webHidden/>
                <w:rStyle w:val="IndexLink"/>
              </w:rPr>
              <w:t>3</w:t>
            </w:r>
            <w:r>
              <w:rPr>
                <w:rStyle w:val="IndexLink"/>
                <w:rtl w:val="true"/>
              </w:rPr>
              <w:t xml:space="preserve">- </w:t>
            </w:r>
            <w:r>
              <w:rPr>
                <w:rStyle w:val="IndexLink"/>
                <w:rtl w:val="true"/>
              </w:rPr>
              <w:t>قلة معرفتهم بالأحكام</w:t>
            </w:r>
            <w:r>
              <w:rPr>
                <w:rStyle w:val="IndexLink"/>
                <w:rtl w:val="true"/>
              </w:rPr>
              <w:tab/>
            </w:r>
            <w:r>
              <w:rPr>
                <w:rStyle w:val="IndexLink"/>
              </w:rPr>
              <w:t>397</w:t>
            </w:r>
          </w:hyperlink>
        </w:p>
        <w:p>
          <w:pPr>
            <w:pStyle w:val="Contents4"/>
            <w:tabs>
              <w:tab w:val="clear" w:pos="8176"/>
              <w:tab w:val="right" w:pos="9026" w:leader="dot"/>
            </w:tabs>
            <w:rPr/>
          </w:pPr>
          <w:hyperlink w:anchor="__RefHeading___Toc1273127_1067777946">
            <w:r>
              <w:rPr>
                <w:webHidden/>
                <w:rStyle w:val="IndexLink"/>
              </w:rPr>
              <w:t>4</w:t>
            </w:r>
            <w:r>
              <w:rPr>
                <w:rStyle w:val="IndexLink"/>
                <w:rtl w:val="true"/>
              </w:rPr>
              <w:t xml:space="preserve">- </w:t>
            </w:r>
            <w:r>
              <w:rPr>
                <w:rStyle w:val="IndexLink"/>
                <w:rtl w:val="true"/>
              </w:rPr>
              <w:t>اختلافهم فيما يكثر الابتلاء به</w:t>
            </w:r>
            <w:r>
              <w:rPr>
                <w:rStyle w:val="IndexLink"/>
                <w:rtl w:val="true"/>
              </w:rPr>
              <w:tab/>
            </w:r>
            <w:r>
              <w:rPr>
                <w:rStyle w:val="IndexLink"/>
              </w:rPr>
              <w:t>401</w:t>
            </w:r>
          </w:hyperlink>
        </w:p>
        <w:p>
          <w:pPr>
            <w:pStyle w:val="Contents4"/>
            <w:tabs>
              <w:tab w:val="clear" w:pos="8176"/>
              <w:tab w:val="right" w:pos="9026" w:leader="dot"/>
            </w:tabs>
            <w:rPr/>
          </w:pPr>
          <w:hyperlink w:anchor="__RefHeading___Toc1273129_1067777946">
            <w:r>
              <w:rPr>
                <w:webHidden/>
                <w:rStyle w:val="IndexLink"/>
              </w:rPr>
              <w:t>5</w:t>
            </w:r>
            <w:r>
              <w:rPr>
                <w:rStyle w:val="IndexLink"/>
                <w:rtl w:val="true"/>
              </w:rPr>
              <w:t xml:space="preserve">- </w:t>
            </w:r>
            <w:r>
              <w:rPr>
                <w:rStyle w:val="IndexLink"/>
                <w:rtl w:val="true"/>
              </w:rPr>
              <w:t>المرجع العلمي وأصناف الصحابة</w:t>
            </w:r>
            <w:r>
              <w:rPr>
                <w:rStyle w:val="IndexLink"/>
                <w:rtl w:val="true"/>
              </w:rPr>
              <w:tab/>
            </w:r>
            <w:r>
              <w:rPr>
                <w:rStyle w:val="IndexLink"/>
              </w:rPr>
              <w:t>404</w:t>
            </w:r>
          </w:hyperlink>
        </w:p>
        <w:p>
          <w:pPr>
            <w:pStyle w:val="Contents4"/>
            <w:tabs>
              <w:tab w:val="clear" w:pos="8176"/>
              <w:tab w:val="right" w:pos="9026" w:leader="dot"/>
            </w:tabs>
            <w:rPr/>
          </w:pPr>
          <w:hyperlink w:anchor="__RefHeading___Toc1273131_1067777946">
            <w:r>
              <w:rPr>
                <w:webHidden/>
                <w:rStyle w:val="IndexLink"/>
              </w:rPr>
              <w:t>6</w:t>
            </w:r>
            <w:r>
              <w:rPr>
                <w:rStyle w:val="IndexLink"/>
                <w:rtl w:val="true"/>
              </w:rPr>
              <w:t xml:space="preserve">- </w:t>
            </w:r>
            <w:r>
              <w:rPr>
                <w:rStyle w:val="IndexLink"/>
                <w:rtl w:val="true"/>
              </w:rPr>
              <w:t>المرجع العلمي وعدم تدوين الحديث و تفرق الصحابة</w:t>
            </w:r>
            <w:r>
              <w:rPr>
                <w:rStyle w:val="IndexLink"/>
                <w:rtl w:val="true"/>
              </w:rPr>
              <w:tab/>
            </w:r>
            <w:r>
              <w:rPr>
                <w:rStyle w:val="IndexLink"/>
              </w:rPr>
              <w:t>408</w:t>
            </w:r>
          </w:hyperlink>
        </w:p>
        <w:p>
          <w:pPr>
            <w:pStyle w:val="Contents3"/>
            <w:tabs>
              <w:tab w:val="clear" w:pos="8459"/>
              <w:tab w:val="right" w:pos="9026" w:leader="dot"/>
            </w:tabs>
            <w:rPr/>
          </w:pPr>
          <w:hyperlink w:anchor="__RefHeading___Toc1273133_1067777946">
            <w:r>
              <w:rPr>
                <w:webHidden/>
                <w:rStyle w:val="IndexLink"/>
                <w:rtl w:val="true"/>
              </w:rPr>
              <w:t>الفصل الثالث</w:t>
            </w:r>
            <w:r>
              <w:rPr>
                <w:rStyle w:val="IndexLink"/>
                <w:rtl w:val="true"/>
              </w:rPr>
              <w:t xml:space="preserve">: </w:t>
            </w:r>
            <w:r>
              <w:rPr>
                <w:rStyle w:val="IndexLink"/>
                <w:rtl w:val="true"/>
              </w:rPr>
              <w:t>حجّية العقل في مجالات خاصّة</w:t>
            </w:r>
            <w:r>
              <w:rPr>
                <w:rStyle w:val="IndexLink"/>
                <w:rtl w:val="true"/>
              </w:rPr>
              <w:tab/>
            </w:r>
            <w:r>
              <w:rPr>
                <w:rStyle w:val="IndexLink"/>
              </w:rPr>
              <w:t>412</w:t>
            </w:r>
          </w:hyperlink>
        </w:p>
        <w:p>
          <w:pPr>
            <w:pStyle w:val="Contents4"/>
            <w:tabs>
              <w:tab w:val="clear" w:pos="8176"/>
              <w:tab w:val="right" w:pos="9026" w:leader="dot"/>
            </w:tabs>
            <w:rPr/>
          </w:pPr>
          <w:hyperlink w:anchor="__RefHeading___Toc1273135_1067777946">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1273137_1067777946">
            <w:r>
              <w:rPr>
                <w:webHidden/>
                <w:rStyle w:val="IndexLink"/>
              </w:rPr>
              <w:t>1</w:t>
            </w:r>
            <w:r>
              <w:rPr>
                <w:rStyle w:val="IndexLink"/>
                <w:rtl w:val="true"/>
              </w:rPr>
              <w:t xml:space="preserve">- </w:t>
            </w:r>
            <w:r>
              <w:rPr>
                <w:rStyle w:val="IndexLink"/>
                <w:rtl w:val="true"/>
              </w:rPr>
              <w:t>مجال التحسين والتقبيح</w:t>
            </w:r>
            <w:r>
              <w:rPr>
                <w:rStyle w:val="IndexLink"/>
                <w:rtl w:val="true"/>
              </w:rPr>
              <w:tab/>
            </w:r>
            <w:r>
              <w:rPr>
                <w:rStyle w:val="IndexLink"/>
              </w:rPr>
              <w:t>416</w:t>
            </w:r>
          </w:hyperlink>
        </w:p>
        <w:p>
          <w:pPr>
            <w:pStyle w:val="Contents5"/>
            <w:tabs>
              <w:tab w:val="clear" w:pos="7892"/>
              <w:tab w:val="right" w:pos="9026" w:leader="dot"/>
            </w:tabs>
            <w:rPr/>
          </w:pPr>
          <w:hyperlink w:anchor="__RefHeading___Toc1273139_1067777946">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273141_1067777946">
            <w:r>
              <w:rPr>
                <w:webHidden/>
                <w:rStyle w:val="IndexLink"/>
                <w:rtl w:val="true"/>
              </w:rPr>
              <w:t>معنى درك حسن الفعل أو قبحه</w:t>
            </w:r>
            <w:r>
              <w:rPr>
                <w:rStyle w:val="IndexLink"/>
                <w:rtl w:val="true"/>
              </w:rPr>
              <w:tab/>
            </w:r>
            <w:r>
              <w:rPr>
                <w:rStyle w:val="IndexLink"/>
              </w:rPr>
              <w:t>418</w:t>
            </w:r>
          </w:hyperlink>
        </w:p>
        <w:p>
          <w:pPr>
            <w:pStyle w:val="Contents5"/>
            <w:tabs>
              <w:tab w:val="clear" w:pos="7892"/>
              <w:tab w:val="right" w:pos="9026" w:leader="dot"/>
            </w:tabs>
            <w:rPr/>
          </w:pPr>
          <w:hyperlink w:anchor="__RefHeading___Toc1273143_1067777946">
            <w:r>
              <w:rPr>
                <w:webHidden/>
                <w:rStyle w:val="IndexLink"/>
                <w:rtl w:val="true"/>
              </w:rPr>
              <w:t>الآثار المترتبة على التحسين والتقبيح</w:t>
            </w:r>
            <w:r>
              <w:rPr>
                <w:rStyle w:val="IndexLink"/>
                <w:rtl w:val="true"/>
              </w:rPr>
              <w:tab/>
            </w:r>
            <w:r>
              <w:rPr>
                <w:rStyle w:val="IndexLink"/>
              </w:rPr>
              <w:t>419</w:t>
            </w:r>
          </w:hyperlink>
        </w:p>
        <w:p>
          <w:pPr>
            <w:pStyle w:val="Contents6"/>
            <w:tabs>
              <w:tab w:val="clear" w:pos="7609"/>
              <w:tab w:val="right" w:pos="9026" w:leader="dot"/>
            </w:tabs>
            <w:rPr/>
          </w:pPr>
          <w:hyperlink w:anchor="__RefHeading___Toc1273145_1067777946">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1273147_1067777946">
            <w:r>
              <w:rPr>
                <w:webHidden/>
                <w:rStyle w:val="IndexLink"/>
                <w:rtl w:val="true"/>
              </w:rPr>
              <w:t>أ</w:t>
            </w:r>
            <w:r>
              <w:rPr>
                <w:rStyle w:val="IndexLink"/>
                <w:rtl w:val="true"/>
              </w:rPr>
              <w:t xml:space="preserve">. </w:t>
            </w:r>
            <w:r>
              <w:rPr>
                <w:rStyle w:val="IndexLink"/>
                <w:rtl w:val="true"/>
              </w:rPr>
              <w:t>أصالة البراءة من التكليف</w:t>
            </w:r>
            <w:r>
              <w:rPr>
                <w:rStyle w:val="IndexLink"/>
                <w:rtl w:val="true"/>
              </w:rPr>
              <w:tab/>
            </w:r>
            <w:r>
              <w:rPr>
                <w:rStyle w:val="IndexLink"/>
              </w:rPr>
              <w:t>419</w:t>
            </w:r>
          </w:hyperlink>
        </w:p>
        <w:p>
          <w:pPr>
            <w:pStyle w:val="Contents6"/>
            <w:tabs>
              <w:tab w:val="clear" w:pos="7609"/>
              <w:tab w:val="right" w:pos="9026" w:leader="dot"/>
            </w:tabs>
            <w:rPr/>
          </w:pPr>
          <w:hyperlink w:anchor="__RefHeading___Toc1273149_1067777946">
            <w:r>
              <w:rPr>
                <w:webHidden/>
                <w:rStyle w:val="IndexLink"/>
                <w:rtl w:val="true"/>
              </w:rPr>
              <w:t xml:space="preserve">ب </w:t>
            </w:r>
            <w:r>
              <w:rPr>
                <w:rStyle w:val="IndexLink"/>
                <w:rtl w:val="true"/>
              </w:rPr>
              <w:t xml:space="preserve">: </w:t>
            </w:r>
            <w:r>
              <w:rPr>
                <w:rStyle w:val="IndexLink"/>
                <w:rtl w:val="true"/>
              </w:rPr>
              <w:t>وجوب الاحتياط عند العلم الإجمالي</w:t>
            </w:r>
            <w:r>
              <w:rPr>
                <w:rStyle w:val="IndexLink"/>
                <w:rtl w:val="true"/>
              </w:rPr>
              <w:tab/>
            </w:r>
            <w:r>
              <w:rPr>
                <w:rStyle w:val="IndexLink"/>
              </w:rPr>
              <w:t>420</w:t>
            </w:r>
          </w:hyperlink>
        </w:p>
        <w:p>
          <w:pPr>
            <w:pStyle w:val="Contents4"/>
            <w:tabs>
              <w:tab w:val="clear" w:pos="8176"/>
              <w:tab w:val="right" w:pos="9026" w:leader="dot"/>
            </w:tabs>
            <w:rPr/>
          </w:pPr>
          <w:hyperlink w:anchor="__RefHeading___Toc1273151_1067777946">
            <w:r>
              <w:rPr>
                <w:webHidden/>
                <w:rStyle w:val="IndexLink"/>
              </w:rPr>
              <w:t>2</w:t>
            </w:r>
            <w:r>
              <w:rPr>
                <w:rStyle w:val="IndexLink"/>
                <w:rtl w:val="true"/>
              </w:rPr>
              <w:t xml:space="preserve">- </w:t>
            </w:r>
            <w:r>
              <w:rPr>
                <w:rStyle w:val="IndexLink"/>
                <w:rtl w:val="true"/>
              </w:rPr>
              <w:t>في مجال الملازمات</w:t>
            </w:r>
            <w:r>
              <w:rPr>
                <w:rStyle w:val="IndexLink"/>
                <w:rtl w:val="true"/>
              </w:rPr>
              <w:tab/>
            </w:r>
            <w:r>
              <w:rPr>
                <w:rStyle w:val="IndexLink"/>
              </w:rPr>
              <w:t>422</w:t>
            </w:r>
          </w:hyperlink>
        </w:p>
        <w:p>
          <w:pPr>
            <w:pStyle w:val="Contents4"/>
            <w:tabs>
              <w:tab w:val="clear" w:pos="8176"/>
              <w:tab w:val="right" w:pos="9026" w:leader="dot"/>
            </w:tabs>
            <w:rPr/>
          </w:pPr>
          <w:hyperlink w:anchor="__RefHeading___Toc1273153_1067777946">
            <w:r>
              <w:rPr>
                <w:webHidden/>
                <w:rStyle w:val="IndexLink"/>
              </w:rPr>
              <w:t>3</w:t>
            </w:r>
            <w:r>
              <w:rPr>
                <w:rStyle w:val="IndexLink"/>
                <w:rtl w:val="true"/>
              </w:rPr>
              <w:t xml:space="preserve">- </w:t>
            </w:r>
            <w:r>
              <w:rPr>
                <w:rStyle w:val="IndexLink"/>
                <w:rtl w:val="true"/>
              </w:rPr>
              <w:t>في مجال تنقيح المناط لا في مجال تخريجه</w:t>
            </w:r>
            <w:r>
              <w:rPr>
                <w:rStyle w:val="IndexLink"/>
                <w:rtl w:val="true"/>
              </w:rPr>
              <w:tab/>
            </w:r>
            <w:r>
              <w:rPr>
                <w:rStyle w:val="IndexLink"/>
              </w:rPr>
              <w:t>425</w:t>
            </w:r>
          </w:hyperlink>
        </w:p>
        <w:p>
          <w:pPr>
            <w:pStyle w:val="Contents4"/>
            <w:tabs>
              <w:tab w:val="clear" w:pos="8176"/>
              <w:tab w:val="right" w:pos="9026" w:leader="dot"/>
            </w:tabs>
            <w:rPr/>
          </w:pPr>
          <w:hyperlink w:anchor="__RefHeading___Toc1273155_1067777946">
            <w:r>
              <w:rPr>
                <w:webHidden/>
                <w:rStyle w:val="IndexLink"/>
              </w:rPr>
              <w:t>4</w:t>
            </w:r>
            <w:r>
              <w:rPr>
                <w:rStyle w:val="IndexLink"/>
                <w:rtl w:val="true"/>
              </w:rPr>
              <w:t xml:space="preserve">- </w:t>
            </w:r>
            <w:r>
              <w:rPr>
                <w:rStyle w:val="IndexLink"/>
                <w:rtl w:val="true"/>
              </w:rPr>
              <w:t>في مجال درك مصالح الأفعال ومفاسدها</w:t>
            </w:r>
            <w:r>
              <w:rPr>
                <w:rStyle w:val="IndexLink"/>
                <w:rtl w:val="true"/>
              </w:rPr>
              <w:tab/>
            </w:r>
            <w:r>
              <w:rPr>
                <w:rStyle w:val="IndexLink"/>
              </w:rPr>
              <w:t>426</w:t>
            </w:r>
          </w:hyperlink>
        </w:p>
        <w:p>
          <w:pPr>
            <w:pStyle w:val="Contents3"/>
            <w:tabs>
              <w:tab w:val="clear" w:pos="8459"/>
              <w:tab w:val="right" w:pos="9026" w:leader="dot"/>
            </w:tabs>
            <w:rPr/>
          </w:pPr>
          <w:hyperlink w:anchor="__RefHeading___Toc1273157_1067777946">
            <w:r>
              <w:rPr>
                <w:webHidden/>
                <w:rStyle w:val="IndexLink"/>
                <w:rtl w:val="true"/>
              </w:rPr>
              <w:t>الفصل الرابع</w:t>
            </w:r>
            <w:r>
              <w:rPr>
                <w:rStyle w:val="IndexLink"/>
                <w:rtl w:val="true"/>
              </w:rPr>
              <w:t xml:space="preserve">: </w:t>
            </w:r>
            <w:r>
              <w:rPr>
                <w:rStyle w:val="IndexLink"/>
                <w:rtl w:val="true"/>
              </w:rPr>
              <w:t>التشريع تابع للمصالح والمفاسد</w:t>
            </w:r>
            <w:r>
              <w:rPr>
                <w:rStyle w:val="IndexLink"/>
                <w:rtl w:val="true"/>
              </w:rPr>
              <w:tab/>
            </w:r>
            <w:r>
              <w:rPr>
                <w:rStyle w:val="IndexLink"/>
              </w:rPr>
              <w:t>428</w:t>
            </w:r>
          </w:hyperlink>
        </w:p>
        <w:p>
          <w:pPr>
            <w:pStyle w:val="Contents4"/>
            <w:tabs>
              <w:tab w:val="clear" w:pos="8176"/>
              <w:tab w:val="right" w:pos="9026" w:leader="dot"/>
            </w:tabs>
            <w:rPr/>
          </w:pPr>
          <w:hyperlink w:anchor="__RefHeading___Toc1273159_1067777946">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1273161_1067777946">
            <w:r>
              <w:rPr>
                <w:webHidden/>
                <w:rStyle w:val="IndexLink"/>
                <w:rtl w:val="true"/>
              </w:rPr>
              <w:t>إجابة عن سؤال</w:t>
            </w:r>
            <w:r>
              <w:rPr>
                <w:rStyle w:val="IndexLink"/>
                <w:rtl w:val="true"/>
              </w:rPr>
              <w:tab/>
            </w:r>
            <w:r>
              <w:rPr>
                <w:rStyle w:val="IndexLink"/>
              </w:rPr>
              <w:t>430</w:t>
            </w:r>
          </w:hyperlink>
        </w:p>
        <w:p>
          <w:pPr>
            <w:pStyle w:val="Contents4"/>
            <w:tabs>
              <w:tab w:val="clear" w:pos="8176"/>
              <w:tab w:val="right" w:pos="9026" w:leader="dot"/>
            </w:tabs>
            <w:rPr/>
          </w:pPr>
          <w:hyperlink w:anchor="__RefHeading___Toc1273163_1067777946">
            <w:r>
              <w:rPr>
                <w:webHidden/>
                <w:rStyle w:val="IndexLink"/>
                <w:rtl w:val="true"/>
              </w:rPr>
              <w:t>مرجّحات باب التزاحم</w:t>
            </w:r>
            <w:r>
              <w:rPr>
                <w:rStyle w:val="IndexLink"/>
                <w:rtl w:val="true"/>
              </w:rPr>
              <w:tab/>
            </w:r>
            <w:r>
              <w:rPr>
                <w:rStyle w:val="IndexLink"/>
              </w:rPr>
              <w:t>431</w:t>
            </w:r>
          </w:hyperlink>
        </w:p>
        <w:p>
          <w:pPr>
            <w:pStyle w:val="Contents5"/>
            <w:tabs>
              <w:tab w:val="clear" w:pos="7892"/>
              <w:tab w:val="right" w:pos="9026" w:leader="dot"/>
            </w:tabs>
            <w:rPr/>
          </w:pPr>
          <w:hyperlink w:anchor="__RefHeading___Toc1273165_1067777946">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273167_1067777946">
            <w:r>
              <w:rPr>
                <w:webHidden/>
                <w:rStyle w:val="IndexLink"/>
              </w:rPr>
              <w:t>1</w:t>
            </w:r>
            <w:r>
              <w:rPr>
                <w:rStyle w:val="IndexLink"/>
                <w:rtl w:val="true"/>
              </w:rPr>
              <w:t xml:space="preserve">. </w:t>
            </w:r>
            <w:r>
              <w:rPr>
                <w:rStyle w:val="IndexLink"/>
                <w:rtl w:val="true"/>
              </w:rPr>
              <w:t>تقديم ما لا بدل له على ما له بدل</w:t>
            </w:r>
            <w:r>
              <w:rPr>
                <w:rStyle w:val="IndexLink"/>
                <w:rtl w:val="true"/>
              </w:rPr>
              <w:tab/>
            </w:r>
            <w:r>
              <w:rPr>
                <w:rStyle w:val="IndexLink"/>
              </w:rPr>
              <w:t>432</w:t>
            </w:r>
          </w:hyperlink>
        </w:p>
        <w:p>
          <w:pPr>
            <w:pStyle w:val="Contents5"/>
            <w:tabs>
              <w:tab w:val="clear" w:pos="7892"/>
              <w:tab w:val="right" w:pos="9026" w:leader="dot"/>
            </w:tabs>
            <w:rPr/>
          </w:pPr>
          <w:hyperlink w:anchor="__RefHeading___Toc1273169_1067777946">
            <w:r>
              <w:rPr>
                <w:webHidden/>
                <w:rStyle w:val="IndexLink"/>
              </w:rPr>
              <w:t>2</w:t>
            </w:r>
            <w:r>
              <w:rPr>
                <w:rStyle w:val="IndexLink"/>
                <w:rtl w:val="true"/>
              </w:rPr>
              <w:t xml:space="preserve">. </w:t>
            </w:r>
            <w:r>
              <w:rPr>
                <w:rStyle w:val="IndexLink"/>
                <w:rtl w:val="true"/>
              </w:rPr>
              <w:t>تقديم المضيّق على الموسّع</w:t>
            </w:r>
            <w:r>
              <w:rPr>
                <w:rStyle w:val="IndexLink"/>
                <w:rtl w:val="true"/>
              </w:rPr>
              <w:tab/>
            </w:r>
            <w:r>
              <w:rPr>
                <w:rStyle w:val="IndexLink"/>
              </w:rPr>
              <w:t>433</w:t>
            </w:r>
          </w:hyperlink>
        </w:p>
        <w:p>
          <w:pPr>
            <w:pStyle w:val="Contents5"/>
            <w:tabs>
              <w:tab w:val="clear" w:pos="7892"/>
              <w:tab w:val="right" w:pos="9026" w:leader="dot"/>
            </w:tabs>
            <w:rPr/>
          </w:pPr>
          <w:hyperlink w:anchor="__RefHeading___Toc1273171_1067777946">
            <w:r>
              <w:rPr>
                <w:webHidden/>
                <w:rStyle w:val="IndexLink"/>
              </w:rPr>
              <w:t>3</w:t>
            </w:r>
            <w:r>
              <w:rPr>
                <w:rStyle w:val="IndexLink"/>
                <w:rtl w:val="true"/>
              </w:rPr>
              <w:t xml:space="preserve">. </w:t>
            </w:r>
            <w:r>
              <w:rPr>
                <w:rStyle w:val="IndexLink"/>
                <w:rtl w:val="true"/>
              </w:rPr>
              <w:t>تقديم الواجب التعييني على التخييري</w:t>
            </w:r>
            <w:r>
              <w:rPr>
                <w:rStyle w:val="IndexLink"/>
                <w:rtl w:val="true"/>
              </w:rPr>
              <w:tab/>
            </w:r>
            <w:r>
              <w:rPr>
                <w:rStyle w:val="IndexLink"/>
              </w:rPr>
              <w:t>433</w:t>
            </w:r>
          </w:hyperlink>
        </w:p>
        <w:p>
          <w:pPr>
            <w:pStyle w:val="Contents5"/>
            <w:tabs>
              <w:tab w:val="clear" w:pos="7892"/>
              <w:tab w:val="right" w:pos="9026" w:leader="dot"/>
            </w:tabs>
            <w:rPr/>
          </w:pPr>
          <w:hyperlink w:anchor="__RefHeading___Toc1273173_1067777946">
            <w:r>
              <w:rPr>
                <w:webHidden/>
                <w:rStyle w:val="IndexLink"/>
              </w:rPr>
              <w:t>4</w:t>
            </w:r>
            <w:r>
              <w:rPr>
                <w:rStyle w:val="IndexLink"/>
                <w:rtl w:val="true"/>
              </w:rPr>
              <w:t xml:space="preserve">. </w:t>
            </w:r>
            <w:r>
              <w:rPr>
                <w:rStyle w:val="IndexLink"/>
                <w:rtl w:val="true"/>
              </w:rPr>
              <w:t>تقديم أحد المتزاحمين على الآخر لأهميّته</w:t>
            </w:r>
            <w:r>
              <w:rPr>
                <w:rStyle w:val="IndexLink"/>
                <w:rtl w:val="true"/>
              </w:rPr>
              <w:tab/>
            </w:r>
            <w:r>
              <w:rPr>
                <w:rStyle w:val="IndexLink"/>
              </w:rPr>
              <w:t>434</w:t>
            </w:r>
          </w:hyperlink>
        </w:p>
        <w:p>
          <w:pPr>
            <w:pStyle w:val="Contents5"/>
            <w:tabs>
              <w:tab w:val="clear" w:pos="7892"/>
              <w:tab w:val="right" w:pos="9026" w:leader="dot"/>
            </w:tabs>
            <w:rPr/>
          </w:pPr>
          <w:hyperlink w:anchor="__RefHeading___Toc1273175_1067777946">
            <w:r>
              <w:rPr>
                <w:webHidden/>
                <w:rStyle w:val="IndexLink"/>
              </w:rPr>
              <w:t>5</w:t>
            </w:r>
            <w:r>
              <w:rPr>
                <w:rStyle w:val="IndexLink"/>
                <w:rtl w:val="true"/>
              </w:rPr>
              <w:t xml:space="preserve">. </w:t>
            </w:r>
            <w:r>
              <w:rPr>
                <w:rStyle w:val="IndexLink"/>
                <w:rtl w:val="true"/>
              </w:rPr>
              <w:t>سبق امتثال أحد الحكمين زماناً</w:t>
            </w:r>
            <w:r>
              <w:rPr>
                <w:rStyle w:val="IndexLink"/>
                <w:rtl w:val="true"/>
              </w:rPr>
              <w:tab/>
            </w:r>
            <w:r>
              <w:rPr>
                <w:rStyle w:val="IndexLink"/>
              </w:rPr>
              <w:t>434</w:t>
            </w:r>
          </w:hyperlink>
        </w:p>
        <w:p>
          <w:pPr>
            <w:pStyle w:val="Contents5"/>
            <w:tabs>
              <w:tab w:val="clear" w:pos="7892"/>
              <w:tab w:val="right" w:pos="9026" w:leader="dot"/>
            </w:tabs>
            <w:rPr/>
          </w:pPr>
          <w:hyperlink w:anchor="__RefHeading___Toc1273177_1067777946">
            <w:r>
              <w:rPr>
                <w:webHidden/>
                <w:rStyle w:val="IndexLink"/>
              </w:rPr>
              <w:t>6</w:t>
            </w:r>
            <w:r>
              <w:rPr>
                <w:rStyle w:val="IndexLink"/>
                <w:rtl w:val="true"/>
              </w:rPr>
              <w:t xml:space="preserve">. </w:t>
            </w:r>
            <w:r>
              <w:rPr>
                <w:rStyle w:val="IndexLink"/>
                <w:rtl w:val="true"/>
              </w:rPr>
              <w:t>تقديم الواجب المطلق على المشروط</w:t>
            </w:r>
            <w:r>
              <w:rPr>
                <w:rStyle w:val="IndexLink"/>
                <w:rtl w:val="true"/>
              </w:rPr>
              <w:tab/>
            </w:r>
            <w:r>
              <w:rPr>
                <w:rStyle w:val="IndexLink"/>
              </w:rPr>
              <w:t>434</w:t>
            </w:r>
          </w:hyperlink>
        </w:p>
        <w:p>
          <w:pPr>
            <w:pStyle w:val="Contents3"/>
            <w:tabs>
              <w:tab w:val="clear" w:pos="8459"/>
              <w:tab w:val="right" w:pos="9026" w:leader="dot"/>
            </w:tabs>
            <w:rPr/>
          </w:pPr>
          <w:hyperlink w:anchor="__RefHeading___Toc1273179_1067777946">
            <w:r>
              <w:rPr>
                <w:webHidden/>
                <w:rStyle w:val="IndexLink"/>
                <w:rtl w:val="true"/>
              </w:rPr>
              <w:t>الفصل الخامس</w:t>
            </w:r>
            <w:r>
              <w:rPr>
                <w:rStyle w:val="IndexLink"/>
                <w:rtl w:val="true"/>
              </w:rPr>
              <w:t xml:space="preserve">: </w:t>
            </w:r>
            <w:r>
              <w:rPr>
                <w:rStyle w:val="IndexLink"/>
                <w:rtl w:val="true"/>
              </w:rPr>
              <w:t>ما هو المرجع فيما لا نصّ فيه في الفقه الشيعي؟</w:t>
            </w:r>
            <w:r>
              <w:rPr>
                <w:rStyle w:val="IndexLink"/>
                <w:rtl w:val="true"/>
              </w:rPr>
              <w:tab/>
            </w:r>
            <w:r>
              <w:rPr>
                <w:rStyle w:val="IndexLink"/>
              </w:rPr>
              <w:t>436</w:t>
            </w:r>
          </w:hyperlink>
        </w:p>
        <w:p>
          <w:pPr>
            <w:pStyle w:val="Contents4"/>
            <w:tabs>
              <w:tab w:val="clear" w:pos="8176"/>
              <w:tab w:val="right" w:pos="9026" w:leader="dot"/>
            </w:tabs>
            <w:rPr/>
          </w:pPr>
          <w:hyperlink w:anchor="__RefHeading___Toc1273181_1067777946">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1273183_1067777946">
            <w:r>
              <w:rPr>
                <w:webHidden/>
                <w:rStyle w:val="IndexLink"/>
              </w:rPr>
              <w:t>1</w:t>
            </w:r>
            <w:r>
              <w:rPr>
                <w:rStyle w:val="IndexLink"/>
                <w:rtl w:val="true"/>
              </w:rPr>
              <w:t xml:space="preserve">. </w:t>
            </w:r>
            <w:r>
              <w:rPr>
                <w:rStyle w:val="IndexLink"/>
                <w:rtl w:val="true"/>
              </w:rPr>
              <w:t>أصالة البراءة</w:t>
            </w:r>
            <w:r>
              <w:rPr>
                <w:rStyle w:val="IndexLink"/>
                <w:rtl w:val="true"/>
              </w:rPr>
              <w:tab/>
            </w:r>
            <w:r>
              <w:rPr>
                <w:rStyle w:val="IndexLink"/>
              </w:rPr>
              <w:t>437</w:t>
            </w:r>
          </w:hyperlink>
        </w:p>
        <w:p>
          <w:pPr>
            <w:pStyle w:val="Contents4"/>
            <w:tabs>
              <w:tab w:val="clear" w:pos="8176"/>
              <w:tab w:val="right" w:pos="9026" w:leader="dot"/>
            </w:tabs>
            <w:rPr/>
          </w:pPr>
          <w:hyperlink w:anchor="__RefHeading___Toc1273185_1067777946">
            <w:r>
              <w:rPr>
                <w:webHidden/>
                <w:rStyle w:val="IndexLink"/>
              </w:rPr>
              <w:t>2</w:t>
            </w:r>
            <w:r>
              <w:rPr>
                <w:rStyle w:val="IndexLink"/>
                <w:rtl w:val="true"/>
              </w:rPr>
              <w:t xml:space="preserve">. </w:t>
            </w:r>
            <w:r>
              <w:rPr>
                <w:rStyle w:val="IndexLink"/>
                <w:rtl w:val="true"/>
              </w:rPr>
              <w:t>أصالة الاشتغال</w:t>
            </w:r>
            <w:r>
              <w:rPr>
                <w:rStyle w:val="IndexLink"/>
                <w:rtl w:val="true"/>
              </w:rPr>
              <w:tab/>
            </w:r>
            <w:r>
              <w:rPr>
                <w:rStyle w:val="IndexLink"/>
              </w:rPr>
              <w:t>438</w:t>
            </w:r>
          </w:hyperlink>
        </w:p>
        <w:p>
          <w:pPr>
            <w:pStyle w:val="Contents4"/>
            <w:tabs>
              <w:tab w:val="clear" w:pos="8176"/>
              <w:tab w:val="right" w:pos="9026" w:leader="dot"/>
            </w:tabs>
            <w:rPr/>
          </w:pPr>
          <w:hyperlink w:anchor="__RefHeading___Toc1273187_1067777946">
            <w:r>
              <w:rPr>
                <w:webHidden/>
                <w:rStyle w:val="IndexLink"/>
              </w:rPr>
              <w:t>3</w:t>
            </w:r>
            <w:r>
              <w:rPr>
                <w:rStyle w:val="IndexLink"/>
                <w:rtl w:val="true"/>
              </w:rPr>
              <w:t xml:space="preserve">. </w:t>
            </w:r>
            <w:r>
              <w:rPr>
                <w:rStyle w:val="IndexLink"/>
                <w:rtl w:val="true"/>
              </w:rPr>
              <w:t>أصالة التخيير</w:t>
            </w:r>
            <w:r>
              <w:rPr>
                <w:rStyle w:val="IndexLink"/>
                <w:rtl w:val="true"/>
              </w:rPr>
              <w:tab/>
            </w:r>
            <w:r>
              <w:rPr>
                <w:rStyle w:val="IndexLink"/>
              </w:rPr>
              <w:t>438</w:t>
            </w:r>
          </w:hyperlink>
        </w:p>
        <w:p>
          <w:pPr>
            <w:pStyle w:val="Contents4"/>
            <w:tabs>
              <w:tab w:val="clear" w:pos="8176"/>
              <w:tab w:val="right" w:pos="9026" w:leader="dot"/>
            </w:tabs>
            <w:rPr/>
          </w:pPr>
          <w:hyperlink w:anchor="__RefHeading___Toc1273189_1067777946">
            <w:r>
              <w:rPr>
                <w:webHidden/>
                <w:rStyle w:val="IndexLink"/>
              </w:rPr>
              <w:t>4</w:t>
            </w:r>
            <w:r>
              <w:rPr>
                <w:rStyle w:val="IndexLink"/>
                <w:rtl w:val="true"/>
              </w:rPr>
              <w:t xml:space="preserve">. </w:t>
            </w:r>
            <w:r>
              <w:rPr>
                <w:rStyle w:val="IndexLink"/>
                <w:rtl w:val="true"/>
              </w:rPr>
              <w:t>الاستصحاب</w:t>
            </w:r>
            <w:r>
              <w:rPr>
                <w:rStyle w:val="IndexLink"/>
                <w:rtl w:val="true"/>
              </w:rPr>
              <w:tab/>
            </w:r>
            <w:r>
              <w:rPr>
                <w:rStyle w:val="IndexLink"/>
              </w:rPr>
              <w:t>438</w:t>
            </w:r>
          </w:hyperlink>
        </w:p>
        <w:p>
          <w:pPr>
            <w:pStyle w:val="Contents3"/>
            <w:tabs>
              <w:tab w:val="clear" w:pos="8459"/>
              <w:tab w:val="right" w:pos="9026" w:leader="dot"/>
            </w:tabs>
            <w:rPr/>
          </w:pPr>
          <w:hyperlink w:anchor="__RefHeading___Toc1273191_1067777946">
            <w:r>
              <w:rPr>
                <w:webHidden/>
                <w:rStyle w:val="IndexLink"/>
                <w:rtl w:val="true"/>
              </w:rPr>
              <w:t>الفصل السادس</w:t>
            </w:r>
            <w:r>
              <w:rPr>
                <w:rStyle w:val="IndexLink"/>
                <w:rtl w:val="true"/>
              </w:rPr>
              <w:t xml:space="preserve">: </w:t>
            </w:r>
            <w:r>
              <w:rPr>
                <w:rStyle w:val="IndexLink"/>
                <w:rtl w:val="true"/>
              </w:rPr>
              <w:t>ما هو المرجع فيما لا نصّ فيه في الفقه السنّيّ؟</w:t>
            </w:r>
            <w:r>
              <w:rPr>
                <w:rStyle w:val="IndexLink"/>
                <w:rtl w:val="true"/>
              </w:rPr>
              <w:tab/>
            </w:r>
            <w:r>
              <w:rPr>
                <w:rStyle w:val="IndexLink"/>
              </w:rPr>
              <w:t>440</w:t>
            </w:r>
          </w:hyperlink>
        </w:p>
        <w:p>
          <w:pPr>
            <w:pStyle w:val="Contents4"/>
            <w:tabs>
              <w:tab w:val="clear" w:pos="8176"/>
              <w:tab w:val="right" w:pos="9026" w:leader="dot"/>
            </w:tabs>
            <w:rPr/>
          </w:pPr>
          <w:hyperlink w:anchor="__RefHeading___Toc1273193_1067777946">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273195_1067777946">
            <w:r>
              <w:rPr>
                <w:webHidden/>
                <w:rStyle w:val="IndexLink"/>
              </w:rPr>
              <w:t>1</w:t>
            </w:r>
            <w:r>
              <w:rPr>
                <w:rStyle w:val="IndexLink"/>
                <w:rtl w:val="true"/>
              </w:rPr>
              <w:t xml:space="preserve">- </w:t>
            </w:r>
            <w:r>
              <w:rPr>
                <w:rStyle w:val="IndexLink"/>
                <w:rtl w:val="true"/>
              </w:rPr>
              <w:t>مصادر التشريع فيما لا نصّ فيه عند أهل السنّة</w:t>
            </w:r>
            <w:r>
              <w:rPr>
                <w:rStyle w:val="IndexLink"/>
                <w:rtl w:val="true"/>
              </w:rPr>
              <w:tab/>
            </w:r>
            <w:r>
              <w:rPr>
                <w:rStyle w:val="IndexLink"/>
              </w:rPr>
              <w:t>442</w:t>
            </w:r>
          </w:hyperlink>
        </w:p>
        <w:p>
          <w:pPr>
            <w:pStyle w:val="Contents5"/>
            <w:tabs>
              <w:tab w:val="clear" w:pos="7892"/>
              <w:tab w:val="right" w:pos="9026" w:leader="dot"/>
            </w:tabs>
            <w:rPr/>
          </w:pPr>
          <w:hyperlink w:anchor="__RefHeading___Toc1273197_1067777946">
            <w:r>
              <w:rPr>
                <w:webHidden/>
                <w:rStyle w:val="IndexLink"/>
                <w:rtl w:val="true"/>
              </w:rPr>
              <w:t>القياس</w:t>
            </w:r>
            <w:r>
              <w:rPr>
                <w:rStyle w:val="IndexLink"/>
                <w:rtl w:val="true"/>
              </w:rPr>
              <w:tab/>
            </w:r>
            <w:r>
              <w:rPr>
                <w:rStyle w:val="IndexLink"/>
              </w:rPr>
              <w:t>442</w:t>
            </w:r>
          </w:hyperlink>
        </w:p>
        <w:p>
          <w:pPr>
            <w:pStyle w:val="Contents6"/>
            <w:tabs>
              <w:tab w:val="clear" w:pos="7609"/>
              <w:tab w:val="right" w:pos="9026" w:leader="dot"/>
            </w:tabs>
            <w:rPr/>
          </w:pPr>
          <w:hyperlink w:anchor="__RefHeading___Toc1273199_1067777946">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1273201_1067777946">
            <w:r>
              <w:rPr>
                <w:webHidden/>
                <w:rStyle w:val="IndexLink"/>
                <w:rtl w:val="true"/>
              </w:rPr>
              <w:t xml:space="preserve">الأوّل </w:t>
            </w:r>
            <w:r>
              <w:rPr>
                <w:rStyle w:val="IndexLink"/>
                <w:rtl w:val="true"/>
              </w:rPr>
              <w:t xml:space="preserve">: </w:t>
            </w:r>
            <w:r>
              <w:rPr>
                <w:rStyle w:val="IndexLink"/>
                <w:rtl w:val="true"/>
              </w:rPr>
              <w:t>القياس لغة واصطلاحاً</w:t>
            </w:r>
            <w:r>
              <w:rPr>
                <w:rStyle w:val="IndexLink"/>
                <w:rtl w:val="true"/>
              </w:rPr>
              <w:tab/>
            </w:r>
            <w:r>
              <w:rPr>
                <w:rStyle w:val="IndexLink"/>
              </w:rPr>
              <w:t>443</w:t>
            </w:r>
          </w:hyperlink>
        </w:p>
        <w:p>
          <w:pPr>
            <w:pStyle w:val="Contents6"/>
            <w:tabs>
              <w:tab w:val="clear" w:pos="7609"/>
              <w:tab w:val="right" w:pos="9026" w:leader="dot"/>
            </w:tabs>
            <w:rPr/>
          </w:pPr>
          <w:hyperlink w:anchor="__RefHeading___Toc1273203_1067777946">
            <w:r>
              <w:rPr>
                <w:webHidden/>
                <w:rStyle w:val="IndexLink"/>
                <w:rtl w:val="true"/>
              </w:rPr>
              <w:t xml:space="preserve">الثاني </w:t>
            </w:r>
            <w:r>
              <w:rPr>
                <w:rStyle w:val="IndexLink"/>
                <w:rtl w:val="true"/>
              </w:rPr>
              <w:t xml:space="preserve">: </w:t>
            </w:r>
            <w:r>
              <w:rPr>
                <w:rStyle w:val="IndexLink"/>
                <w:rtl w:val="true"/>
              </w:rPr>
              <w:t>أركان القياس</w:t>
            </w:r>
            <w:r>
              <w:rPr>
                <w:rStyle w:val="IndexLink"/>
                <w:rtl w:val="true"/>
              </w:rPr>
              <w:tab/>
            </w:r>
            <w:r>
              <w:rPr>
                <w:rStyle w:val="IndexLink"/>
              </w:rPr>
              <w:t>446</w:t>
            </w:r>
          </w:hyperlink>
        </w:p>
        <w:p>
          <w:pPr>
            <w:pStyle w:val="Contents6"/>
            <w:tabs>
              <w:tab w:val="clear" w:pos="7609"/>
              <w:tab w:val="right" w:pos="9026" w:leader="dot"/>
            </w:tabs>
            <w:rPr/>
          </w:pPr>
          <w:hyperlink w:anchor="__RefHeading___Toc1273205_1067777946">
            <w:r>
              <w:rPr>
                <w:webHidden/>
                <w:rStyle w:val="IndexLink"/>
                <w:rtl w:val="true"/>
              </w:rPr>
              <w:t xml:space="preserve">الثالث </w:t>
            </w:r>
            <w:r>
              <w:rPr>
                <w:rStyle w:val="IndexLink"/>
                <w:rtl w:val="true"/>
              </w:rPr>
              <w:t xml:space="preserve">: </w:t>
            </w:r>
            <w:r>
              <w:rPr>
                <w:rStyle w:val="IndexLink"/>
                <w:rtl w:val="true"/>
              </w:rPr>
              <w:t>إمكان العمل بالقياس</w:t>
            </w:r>
            <w:r>
              <w:rPr>
                <w:rStyle w:val="IndexLink"/>
                <w:rtl w:val="true"/>
              </w:rPr>
              <w:tab/>
            </w:r>
            <w:r>
              <w:rPr>
                <w:rStyle w:val="IndexLink"/>
              </w:rPr>
              <w:t>446</w:t>
            </w:r>
          </w:hyperlink>
        </w:p>
        <w:p>
          <w:pPr>
            <w:pStyle w:val="Contents6"/>
            <w:tabs>
              <w:tab w:val="clear" w:pos="7609"/>
              <w:tab w:val="right" w:pos="9026" w:leader="dot"/>
            </w:tabs>
            <w:rPr/>
          </w:pPr>
          <w:hyperlink w:anchor="__RefHeading___Toc1273207_1067777946">
            <w:r>
              <w:rPr>
                <w:webHidden/>
                <w:rStyle w:val="IndexLink"/>
                <w:rtl w:val="true"/>
              </w:rPr>
              <w:t xml:space="preserve">الرابع </w:t>
            </w:r>
            <w:r>
              <w:rPr>
                <w:rStyle w:val="IndexLink"/>
                <w:rtl w:val="true"/>
              </w:rPr>
              <w:t xml:space="preserve">: </w:t>
            </w:r>
            <w:r>
              <w:rPr>
                <w:rStyle w:val="IndexLink"/>
                <w:rtl w:val="true"/>
              </w:rPr>
              <w:t>أقسام القياس</w:t>
            </w:r>
            <w:r>
              <w:rPr>
                <w:rStyle w:val="IndexLink"/>
                <w:rtl w:val="true"/>
              </w:rPr>
              <w:tab/>
            </w:r>
            <w:r>
              <w:rPr>
                <w:rStyle w:val="IndexLink"/>
              </w:rPr>
              <w:t>447</w:t>
            </w:r>
          </w:hyperlink>
        </w:p>
        <w:p>
          <w:pPr>
            <w:pStyle w:val="Contents6"/>
            <w:tabs>
              <w:tab w:val="clear" w:pos="7609"/>
              <w:tab w:val="right" w:pos="9026" w:leader="dot"/>
            </w:tabs>
            <w:rPr/>
          </w:pPr>
          <w:hyperlink w:anchor="__RefHeading___Toc1273209_1067777946">
            <w:r>
              <w:rPr>
                <w:webHidden/>
                <w:rStyle w:val="IndexLink"/>
                <w:rtl w:val="true"/>
              </w:rPr>
              <w:t xml:space="preserve">الخامس </w:t>
            </w:r>
            <w:r>
              <w:rPr>
                <w:rStyle w:val="IndexLink"/>
                <w:rtl w:val="true"/>
              </w:rPr>
              <w:t xml:space="preserve">: </w:t>
            </w:r>
            <w:r>
              <w:rPr>
                <w:rStyle w:val="IndexLink"/>
                <w:rtl w:val="true"/>
              </w:rPr>
              <w:t>الفرق بين علّة الحكم وحكمته</w:t>
            </w:r>
            <w:r>
              <w:rPr>
                <w:rStyle w:val="IndexLink"/>
                <w:rtl w:val="true"/>
              </w:rPr>
              <w:tab/>
            </w:r>
            <w:r>
              <w:rPr>
                <w:rStyle w:val="IndexLink"/>
              </w:rPr>
              <w:t>448</w:t>
            </w:r>
          </w:hyperlink>
        </w:p>
        <w:p>
          <w:pPr>
            <w:pStyle w:val="Contents6"/>
            <w:tabs>
              <w:tab w:val="clear" w:pos="7609"/>
              <w:tab w:val="right" w:pos="9026" w:leader="dot"/>
            </w:tabs>
            <w:rPr/>
          </w:pPr>
          <w:hyperlink w:anchor="__RefHeading___Toc1273211_1067777946">
            <w:r>
              <w:rPr>
                <w:webHidden/>
                <w:rStyle w:val="IndexLink"/>
                <w:rtl w:val="true"/>
              </w:rPr>
              <w:t xml:space="preserve">السادس </w:t>
            </w:r>
            <w:r>
              <w:rPr>
                <w:rStyle w:val="IndexLink"/>
                <w:rtl w:val="true"/>
              </w:rPr>
              <w:t xml:space="preserve">: </w:t>
            </w:r>
            <w:r>
              <w:rPr>
                <w:rStyle w:val="IndexLink"/>
                <w:rtl w:val="true"/>
              </w:rPr>
              <w:t>حكم القياس في منصوص العلّة</w:t>
            </w:r>
            <w:r>
              <w:rPr>
                <w:rStyle w:val="IndexLink"/>
                <w:rtl w:val="true"/>
              </w:rPr>
              <w:tab/>
            </w:r>
            <w:r>
              <w:rPr>
                <w:rStyle w:val="IndexLink"/>
              </w:rPr>
              <w:t>449</w:t>
            </w:r>
          </w:hyperlink>
        </w:p>
        <w:p>
          <w:pPr>
            <w:pStyle w:val="Contents6"/>
            <w:tabs>
              <w:tab w:val="clear" w:pos="7609"/>
              <w:tab w:val="right" w:pos="9026" w:leader="dot"/>
            </w:tabs>
            <w:rPr/>
          </w:pPr>
          <w:hyperlink w:anchor="__RefHeading___Toc1273213_1067777946">
            <w:r>
              <w:rPr>
                <w:webHidden/>
                <w:rStyle w:val="IndexLink"/>
                <w:rtl w:val="true"/>
              </w:rPr>
              <w:t xml:space="preserve">السابع </w:t>
            </w:r>
            <w:r>
              <w:rPr>
                <w:rStyle w:val="IndexLink"/>
                <w:rtl w:val="true"/>
              </w:rPr>
              <w:t xml:space="preserve">: </w:t>
            </w:r>
            <w:r>
              <w:rPr>
                <w:rStyle w:val="IndexLink"/>
                <w:rtl w:val="true"/>
              </w:rPr>
              <w:t>قياس الأولوية</w:t>
            </w:r>
            <w:r>
              <w:rPr>
                <w:rStyle w:val="IndexLink"/>
                <w:rtl w:val="true"/>
              </w:rPr>
              <w:tab/>
            </w:r>
            <w:r>
              <w:rPr>
                <w:rStyle w:val="IndexLink"/>
              </w:rPr>
              <w:t>451</w:t>
            </w:r>
          </w:hyperlink>
        </w:p>
        <w:p>
          <w:pPr>
            <w:pStyle w:val="Contents6"/>
            <w:tabs>
              <w:tab w:val="clear" w:pos="7609"/>
              <w:tab w:val="right" w:pos="9026" w:leader="dot"/>
            </w:tabs>
            <w:rPr/>
          </w:pPr>
          <w:hyperlink w:anchor="__RefHeading___Toc1273215_1067777946">
            <w:r>
              <w:rPr>
                <w:webHidden/>
                <w:rStyle w:val="IndexLink"/>
                <w:rtl w:val="true"/>
              </w:rPr>
              <w:t xml:space="preserve">الثامن </w:t>
            </w:r>
            <w:r>
              <w:rPr>
                <w:rStyle w:val="IndexLink"/>
                <w:rtl w:val="true"/>
              </w:rPr>
              <w:t xml:space="preserve">: </w:t>
            </w:r>
            <w:r>
              <w:rPr>
                <w:rStyle w:val="IndexLink"/>
                <w:rtl w:val="true"/>
              </w:rPr>
              <w:t>تنقيح المناط</w:t>
            </w:r>
            <w:r>
              <w:rPr>
                <w:rStyle w:val="IndexLink"/>
                <w:rtl w:val="true"/>
              </w:rPr>
              <w:tab/>
            </w:r>
            <w:r>
              <w:rPr>
                <w:rStyle w:val="IndexLink"/>
              </w:rPr>
              <w:t>452</w:t>
            </w:r>
          </w:hyperlink>
        </w:p>
        <w:p>
          <w:pPr>
            <w:pStyle w:val="Contents6"/>
            <w:tabs>
              <w:tab w:val="clear" w:pos="7609"/>
              <w:tab w:val="right" w:pos="9026" w:leader="dot"/>
            </w:tabs>
            <w:rPr/>
          </w:pPr>
          <w:hyperlink w:anchor="__RefHeading___Toc1273217_1067777946">
            <w:r>
              <w:rPr>
                <w:webHidden/>
                <w:rStyle w:val="IndexLink"/>
                <w:rtl w:val="true"/>
              </w:rPr>
              <w:t xml:space="preserve">التاسع </w:t>
            </w:r>
            <w:r>
              <w:rPr>
                <w:rStyle w:val="IndexLink"/>
                <w:rtl w:val="true"/>
              </w:rPr>
              <w:t xml:space="preserve">: </w:t>
            </w:r>
            <w:r>
              <w:rPr>
                <w:rStyle w:val="IndexLink"/>
                <w:rtl w:val="true"/>
              </w:rPr>
              <w:t>المتشابهان غير المتماثلين</w:t>
            </w:r>
            <w:r>
              <w:rPr>
                <w:rStyle w:val="IndexLink"/>
                <w:rtl w:val="true"/>
              </w:rPr>
              <w:tab/>
            </w:r>
            <w:r>
              <w:rPr>
                <w:rStyle w:val="IndexLink"/>
              </w:rPr>
              <w:t>453</w:t>
            </w:r>
          </w:hyperlink>
        </w:p>
        <w:p>
          <w:pPr>
            <w:pStyle w:val="Contents6"/>
            <w:tabs>
              <w:tab w:val="clear" w:pos="7609"/>
              <w:tab w:val="right" w:pos="9026" w:leader="dot"/>
            </w:tabs>
            <w:rPr/>
          </w:pPr>
          <w:hyperlink w:anchor="__RefHeading___Toc1273219_1067777946">
            <w:r>
              <w:rPr>
                <w:webHidden/>
                <w:rStyle w:val="IndexLink"/>
                <w:rtl w:val="true"/>
              </w:rPr>
              <w:t xml:space="preserve">العاشر </w:t>
            </w:r>
            <w:r>
              <w:rPr>
                <w:rStyle w:val="IndexLink"/>
                <w:rtl w:val="true"/>
              </w:rPr>
              <w:t xml:space="preserve">: </w:t>
            </w:r>
            <w:r>
              <w:rPr>
                <w:rStyle w:val="IndexLink"/>
                <w:rtl w:val="true"/>
              </w:rPr>
              <w:t>تخريج المناط</w:t>
            </w:r>
            <w:r>
              <w:rPr>
                <w:rStyle w:val="IndexLink"/>
                <w:rtl w:val="true"/>
              </w:rPr>
              <w:tab/>
            </w:r>
            <w:r>
              <w:rPr>
                <w:rStyle w:val="IndexLink"/>
              </w:rPr>
              <w:t>454</w:t>
            </w:r>
          </w:hyperlink>
        </w:p>
        <w:p>
          <w:pPr>
            <w:pStyle w:val="Contents6"/>
            <w:tabs>
              <w:tab w:val="clear" w:pos="7609"/>
              <w:tab w:val="right" w:pos="9026" w:leader="dot"/>
            </w:tabs>
            <w:rPr/>
          </w:pPr>
          <w:hyperlink w:anchor="__RefHeading___Toc1273221_1067777946">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1273223_1067777946">
            <w:r>
              <w:rPr>
                <w:webHidden/>
                <w:rStyle w:val="IndexLink"/>
                <w:rtl w:val="true"/>
              </w:rPr>
              <w:t>تخريج المناط بالسبر والتقسيم يفيد الظنّ</w:t>
            </w:r>
            <w:r>
              <w:rPr>
                <w:rStyle w:val="IndexLink"/>
                <w:rtl w:val="true"/>
              </w:rPr>
              <w:tab/>
            </w:r>
            <w:r>
              <w:rPr>
                <w:rStyle w:val="IndexLink"/>
              </w:rPr>
              <w:t>458</w:t>
            </w:r>
          </w:hyperlink>
        </w:p>
        <w:p>
          <w:pPr>
            <w:pStyle w:val="Contents6"/>
            <w:tabs>
              <w:tab w:val="clear" w:pos="7609"/>
              <w:tab w:val="right" w:pos="9026" w:leader="dot"/>
            </w:tabs>
            <w:rPr/>
          </w:pPr>
          <w:hyperlink w:anchor="__RefHeading___Toc1273225_1067777946">
            <w:r>
              <w:rPr>
                <w:webHidden/>
                <w:rStyle w:val="IndexLink"/>
                <w:rtl w:val="true"/>
              </w:rPr>
              <w:t>اشارة</w:t>
            </w:r>
            <w:r>
              <w:rPr>
                <w:rStyle w:val="IndexLink"/>
                <w:rtl w:val="true"/>
              </w:rPr>
              <w:tab/>
            </w:r>
            <w:r>
              <w:rPr>
                <w:rStyle w:val="IndexLink"/>
              </w:rPr>
              <w:t>458</w:t>
            </w:r>
          </w:hyperlink>
        </w:p>
        <w:p>
          <w:pPr>
            <w:pStyle w:val="Contents6"/>
            <w:tabs>
              <w:tab w:val="clear" w:pos="7609"/>
              <w:tab w:val="right" w:pos="9026" w:leader="dot"/>
            </w:tabs>
            <w:rPr/>
          </w:pPr>
          <w:hyperlink w:anchor="__RefHeading___Toc1273227_1067777946">
            <w:r>
              <w:rPr>
                <w:webHidden/>
                <w:rStyle w:val="IndexLink"/>
              </w:rPr>
              <w:t>1</w:t>
            </w:r>
            <w:r>
              <w:rPr>
                <w:rStyle w:val="IndexLink"/>
                <w:rtl w:val="true"/>
              </w:rPr>
              <w:t xml:space="preserve">. </w:t>
            </w:r>
            <w:r>
              <w:rPr>
                <w:rStyle w:val="IndexLink"/>
                <w:rtl w:val="true"/>
              </w:rPr>
              <w:t>قياس الولاية في النكاح بالميراث</w:t>
            </w:r>
            <w:r>
              <w:rPr>
                <w:rStyle w:val="IndexLink"/>
                <w:rtl w:val="true"/>
              </w:rPr>
              <w:tab/>
            </w:r>
            <w:r>
              <w:rPr>
                <w:rStyle w:val="IndexLink"/>
              </w:rPr>
              <w:t>459</w:t>
            </w:r>
          </w:hyperlink>
        </w:p>
        <w:p>
          <w:pPr>
            <w:pStyle w:val="Contents6"/>
            <w:tabs>
              <w:tab w:val="clear" w:pos="7609"/>
              <w:tab w:val="right" w:pos="9026" w:leader="dot"/>
            </w:tabs>
            <w:rPr/>
          </w:pPr>
          <w:hyperlink w:anchor="__RefHeading___Toc1273229_1067777946">
            <w:r>
              <w:rPr>
                <w:webHidden/>
                <w:rStyle w:val="IndexLink"/>
              </w:rPr>
              <w:t>2</w:t>
            </w:r>
            <w:r>
              <w:rPr>
                <w:rStyle w:val="IndexLink"/>
                <w:rtl w:val="true"/>
              </w:rPr>
              <w:t xml:space="preserve">. </w:t>
            </w:r>
            <w:r>
              <w:rPr>
                <w:rStyle w:val="IndexLink"/>
                <w:rtl w:val="true"/>
              </w:rPr>
              <w:t>قياس الجهل في المهر بالبيع</w:t>
            </w:r>
            <w:r>
              <w:rPr>
                <w:rStyle w:val="IndexLink"/>
                <w:rtl w:val="true"/>
              </w:rPr>
              <w:tab/>
            </w:r>
            <w:r>
              <w:rPr>
                <w:rStyle w:val="IndexLink"/>
              </w:rPr>
              <w:t>459</w:t>
            </w:r>
          </w:hyperlink>
        </w:p>
        <w:p>
          <w:pPr>
            <w:pStyle w:val="Contents6"/>
            <w:tabs>
              <w:tab w:val="clear" w:pos="7609"/>
              <w:tab w:val="right" w:pos="9026" w:leader="dot"/>
            </w:tabs>
            <w:rPr/>
          </w:pPr>
          <w:hyperlink w:anchor="__RefHeading___Toc1273231_1067777946">
            <w:r>
              <w:rPr>
                <w:webHidden/>
                <w:rStyle w:val="IndexLink"/>
              </w:rPr>
              <w:t>3</w:t>
            </w:r>
            <w:r>
              <w:rPr>
                <w:rStyle w:val="IndexLink"/>
                <w:rtl w:val="true"/>
              </w:rPr>
              <w:t xml:space="preserve">. </w:t>
            </w:r>
            <w:r>
              <w:rPr>
                <w:rStyle w:val="IndexLink"/>
                <w:rtl w:val="true"/>
              </w:rPr>
              <w:t>قياس ضمان السارق بالغاصب</w:t>
            </w:r>
            <w:r>
              <w:rPr>
                <w:rStyle w:val="IndexLink"/>
                <w:rtl w:val="true"/>
              </w:rPr>
              <w:tab/>
            </w:r>
            <w:r>
              <w:rPr>
                <w:rStyle w:val="IndexLink"/>
              </w:rPr>
              <w:t>459</w:t>
            </w:r>
          </w:hyperlink>
        </w:p>
        <w:p>
          <w:pPr>
            <w:pStyle w:val="Contents6"/>
            <w:tabs>
              <w:tab w:val="clear" w:pos="7609"/>
              <w:tab w:val="right" w:pos="9026" w:leader="dot"/>
            </w:tabs>
            <w:rPr/>
          </w:pPr>
          <w:hyperlink w:anchor="__RefHeading___Toc1273233_1067777946">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1273235_1067777946">
            <w:r>
              <w:rPr>
                <w:webHidden/>
                <w:rStyle w:val="IndexLink"/>
                <w:rtl w:val="true"/>
              </w:rPr>
              <w:t>حصيلة البحث</w:t>
            </w:r>
            <w:r>
              <w:rPr>
                <w:rStyle w:val="IndexLink"/>
                <w:rtl w:val="true"/>
              </w:rPr>
              <w:tab/>
            </w:r>
            <w:r>
              <w:rPr>
                <w:rStyle w:val="IndexLink"/>
              </w:rPr>
              <w:t>461</w:t>
            </w:r>
          </w:hyperlink>
        </w:p>
        <w:p>
          <w:pPr>
            <w:pStyle w:val="Contents6"/>
            <w:tabs>
              <w:tab w:val="clear" w:pos="7609"/>
              <w:tab w:val="right" w:pos="9026" w:leader="dot"/>
            </w:tabs>
            <w:rPr/>
          </w:pPr>
          <w:hyperlink w:anchor="__RefHeading___Toc1273237_1067777946">
            <w:r>
              <w:rPr>
                <w:webHidden/>
                <w:rStyle w:val="IndexLink"/>
                <w:rtl w:val="true"/>
              </w:rPr>
              <w:t>الشكّ في الحجية يساوق القطع بعدمها</w:t>
            </w:r>
            <w:r>
              <w:rPr>
                <w:rStyle w:val="IndexLink"/>
                <w:rtl w:val="true"/>
              </w:rPr>
              <w:tab/>
            </w:r>
            <w:r>
              <w:rPr>
                <w:rStyle w:val="IndexLink"/>
              </w:rPr>
              <w:t>461</w:t>
            </w:r>
          </w:hyperlink>
        </w:p>
        <w:p>
          <w:pPr>
            <w:pStyle w:val="Contents6"/>
            <w:tabs>
              <w:tab w:val="clear" w:pos="7609"/>
              <w:tab w:val="right" w:pos="9026" w:leader="dot"/>
            </w:tabs>
            <w:rPr/>
          </w:pPr>
          <w:hyperlink w:anchor="__RefHeading___Toc1273239_1067777946">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1273241_1067777946">
            <w:r>
              <w:rPr>
                <w:webHidden/>
                <w:rStyle w:val="IndexLink"/>
              </w:rPr>
              <w:t>1</w:t>
            </w:r>
            <w:r>
              <w:rPr>
                <w:rStyle w:val="IndexLink"/>
                <w:rtl w:val="true"/>
              </w:rPr>
              <w:t xml:space="preserve">. </w:t>
            </w:r>
            <w:r>
              <w:rPr>
                <w:rStyle w:val="IndexLink"/>
                <w:rtl w:val="true"/>
              </w:rPr>
              <w:t>آية الاعتبار</w:t>
            </w:r>
            <w:r>
              <w:rPr>
                <w:rStyle w:val="IndexLink"/>
                <w:rtl w:val="true"/>
              </w:rPr>
              <w:tab/>
            </w:r>
            <w:r>
              <w:rPr>
                <w:rStyle w:val="IndexLink"/>
              </w:rPr>
              <w:t>464</w:t>
            </w:r>
          </w:hyperlink>
        </w:p>
        <w:p>
          <w:pPr>
            <w:pStyle w:val="Contents6"/>
            <w:tabs>
              <w:tab w:val="clear" w:pos="7609"/>
              <w:tab w:val="right" w:pos="9026" w:leader="dot"/>
            </w:tabs>
            <w:rPr/>
          </w:pPr>
          <w:hyperlink w:anchor="__RefHeading___Toc1273243_1067777946">
            <w:r>
              <w:rPr>
                <w:webHidden/>
                <w:rStyle w:val="IndexLink"/>
              </w:rPr>
              <w:t>2</w:t>
            </w:r>
            <w:r>
              <w:rPr>
                <w:rStyle w:val="IndexLink"/>
                <w:rtl w:val="true"/>
              </w:rPr>
              <w:t xml:space="preserve">. </w:t>
            </w:r>
            <w:r>
              <w:rPr>
                <w:rStyle w:val="IndexLink"/>
                <w:rtl w:val="true"/>
              </w:rPr>
              <w:t>آية الردّ إلى الله والرسول</w:t>
            </w:r>
            <w:r>
              <w:rPr>
                <w:rStyle w:val="IndexLink"/>
                <w:rtl w:val="true"/>
              </w:rPr>
              <w:tab/>
            </w:r>
            <w:r>
              <w:rPr>
                <w:rStyle w:val="IndexLink"/>
              </w:rPr>
              <w:t>466</w:t>
            </w:r>
          </w:hyperlink>
        </w:p>
        <w:p>
          <w:pPr>
            <w:pStyle w:val="Contents6"/>
            <w:tabs>
              <w:tab w:val="clear" w:pos="7609"/>
              <w:tab w:val="right" w:pos="9026" w:leader="dot"/>
            </w:tabs>
            <w:rPr/>
          </w:pPr>
          <w:hyperlink w:anchor="__RefHeading___Toc1273245_1067777946">
            <w:r>
              <w:rPr>
                <w:webHidden/>
                <w:rStyle w:val="IndexLink"/>
              </w:rPr>
              <w:t>3</w:t>
            </w:r>
            <w:r>
              <w:rPr>
                <w:rStyle w:val="IndexLink"/>
                <w:rtl w:val="true"/>
              </w:rPr>
              <w:t xml:space="preserve">. </w:t>
            </w:r>
            <w:r>
              <w:rPr>
                <w:rStyle w:val="IndexLink"/>
                <w:rtl w:val="true"/>
              </w:rPr>
              <w:t>آية الاستنباط</w:t>
            </w:r>
            <w:r>
              <w:rPr>
                <w:rStyle w:val="IndexLink"/>
                <w:rtl w:val="true"/>
              </w:rPr>
              <w:tab/>
            </w:r>
            <w:r>
              <w:rPr>
                <w:rStyle w:val="IndexLink"/>
              </w:rPr>
              <w:t>469</w:t>
            </w:r>
          </w:hyperlink>
        </w:p>
        <w:p>
          <w:pPr>
            <w:pStyle w:val="Contents6"/>
            <w:tabs>
              <w:tab w:val="clear" w:pos="7609"/>
              <w:tab w:val="right" w:pos="9026" w:leader="dot"/>
            </w:tabs>
            <w:rPr/>
          </w:pPr>
          <w:hyperlink w:anchor="__RefHeading___Toc1273247_1067777946">
            <w:r>
              <w:rPr>
                <w:webHidden/>
                <w:rStyle w:val="IndexLink"/>
              </w:rPr>
              <w:t>4</w:t>
            </w:r>
            <w:r>
              <w:rPr>
                <w:rStyle w:val="IndexLink"/>
                <w:rtl w:val="true"/>
              </w:rPr>
              <w:t xml:space="preserve">. </w:t>
            </w:r>
            <w:r>
              <w:rPr>
                <w:rStyle w:val="IndexLink"/>
                <w:rtl w:val="true"/>
              </w:rPr>
              <w:t>آية النشأة الأُولى</w:t>
            </w:r>
            <w:r>
              <w:rPr>
                <w:rStyle w:val="IndexLink"/>
                <w:rtl w:val="true"/>
              </w:rPr>
              <w:tab/>
            </w:r>
            <w:r>
              <w:rPr>
                <w:rStyle w:val="IndexLink"/>
              </w:rPr>
              <w:t>470</w:t>
            </w:r>
          </w:hyperlink>
        </w:p>
        <w:p>
          <w:pPr>
            <w:pStyle w:val="Contents6"/>
            <w:tabs>
              <w:tab w:val="clear" w:pos="7609"/>
              <w:tab w:val="right" w:pos="9026" w:leader="dot"/>
            </w:tabs>
            <w:rPr/>
          </w:pPr>
          <w:hyperlink w:anchor="__RefHeading___Toc1273249_1067777946">
            <w:r>
              <w:rPr>
                <w:webHidden/>
                <w:rStyle w:val="IndexLink"/>
              </w:rPr>
              <w:t>5</w:t>
            </w:r>
            <w:r>
              <w:rPr>
                <w:rStyle w:val="IndexLink"/>
                <w:rtl w:val="true"/>
              </w:rPr>
              <w:t xml:space="preserve">. </w:t>
            </w:r>
            <w:r>
              <w:rPr>
                <w:rStyle w:val="IndexLink"/>
                <w:rtl w:val="true"/>
              </w:rPr>
              <w:t>آية جزاء الصيد</w:t>
            </w:r>
            <w:r>
              <w:rPr>
                <w:rStyle w:val="IndexLink"/>
                <w:rtl w:val="true"/>
              </w:rPr>
              <w:tab/>
            </w:r>
            <w:r>
              <w:rPr>
                <w:rStyle w:val="IndexLink"/>
              </w:rPr>
              <w:t>472</w:t>
            </w:r>
          </w:hyperlink>
        </w:p>
        <w:p>
          <w:pPr>
            <w:pStyle w:val="Contents6"/>
            <w:tabs>
              <w:tab w:val="clear" w:pos="7609"/>
              <w:tab w:val="right" w:pos="9026" w:leader="dot"/>
            </w:tabs>
            <w:rPr/>
          </w:pPr>
          <w:hyperlink w:anchor="__RefHeading___Toc1273251_1067777946">
            <w:r>
              <w:rPr>
                <w:webHidden/>
                <w:rStyle w:val="IndexLink"/>
              </w:rPr>
              <w:t>6</w:t>
            </w:r>
            <w:r>
              <w:rPr>
                <w:rStyle w:val="IndexLink"/>
                <w:rtl w:val="true"/>
              </w:rPr>
              <w:t xml:space="preserve">. </w:t>
            </w:r>
            <w:r>
              <w:rPr>
                <w:rStyle w:val="IndexLink"/>
                <w:rtl w:val="true"/>
              </w:rPr>
              <w:t>آية القدر</w:t>
            </w:r>
            <w:r>
              <w:rPr>
                <w:rStyle w:val="IndexLink"/>
                <w:rtl w:val="true"/>
              </w:rPr>
              <w:tab/>
            </w:r>
            <w:r>
              <w:rPr>
                <w:rStyle w:val="IndexLink"/>
              </w:rPr>
              <w:t>474</w:t>
            </w:r>
          </w:hyperlink>
        </w:p>
        <w:p>
          <w:pPr>
            <w:pStyle w:val="Contents6"/>
            <w:tabs>
              <w:tab w:val="clear" w:pos="7609"/>
              <w:tab w:val="right" w:pos="9026" w:leader="dot"/>
            </w:tabs>
            <w:rPr/>
          </w:pPr>
          <w:hyperlink w:anchor="__RefHeading___Toc1273253_1067777946">
            <w:r>
              <w:rPr>
                <w:webHidden/>
                <w:rStyle w:val="IndexLink"/>
              </w:rPr>
              <w:t>7</w:t>
            </w:r>
            <w:r>
              <w:rPr>
                <w:rStyle w:val="IndexLink"/>
                <w:rtl w:val="true"/>
              </w:rPr>
              <w:t xml:space="preserve">. </w:t>
            </w:r>
            <w:r>
              <w:rPr>
                <w:rStyle w:val="IndexLink"/>
                <w:rtl w:val="true"/>
              </w:rPr>
              <w:t>آية العدل</w:t>
            </w:r>
            <w:r>
              <w:rPr>
                <w:rStyle w:val="IndexLink"/>
                <w:rtl w:val="true"/>
              </w:rPr>
              <w:tab/>
            </w:r>
            <w:r>
              <w:rPr>
                <w:rStyle w:val="IndexLink"/>
              </w:rPr>
              <w:t>474</w:t>
            </w:r>
          </w:hyperlink>
        </w:p>
        <w:p>
          <w:pPr>
            <w:pStyle w:val="Contents4"/>
            <w:tabs>
              <w:tab w:val="clear" w:pos="8176"/>
              <w:tab w:val="right" w:pos="9026" w:leader="dot"/>
            </w:tabs>
            <w:rPr/>
          </w:pPr>
          <w:hyperlink w:anchor="__RefHeading___Toc1273255_1067777946">
            <w:r>
              <w:rPr>
                <w:webHidden/>
                <w:rStyle w:val="IndexLink"/>
              </w:rPr>
              <w:t>2</w:t>
            </w:r>
            <w:r>
              <w:rPr>
                <w:rStyle w:val="IndexLink"/>
                <w:rtl w:val="true"/>
              </w:rPr>
              <w:t xml:space="preserve">. </w:t>
            </w:r>
            <w:r>
              <w:rPr>
                <w:rStyle w:val="IndexLink"/>
                <w:rtl w:val="true"/>
              </w:rPr>
              <w:t>الاستدلال بالسنّة</w:t>
            </w:r>
            <w:r>
              <w:rPr>
                <w:rStyle w:val="IndexLink"/>
                <w:rtl w:val="true"/>
              </w:rPr>
              <w:tab/>
            </w:r>
            <w:r>
              <w:rPr>
                <w:rStyle w:val="IndexLink"/>
              </w:rPr>
              <w:t>475</w:t>
            </w:r>
          </w:hyperlink>
        </w:p>
        <w:p>
          <w:pPr>
            <w:pStyle w:val="Contents5"/>
            <w:tabs>
              <w:tab w:val="clear" w:pos="7892"/>
              <w:tab w:val="right" w:pos="9026" w:leader="dot"/>
            </w:tabs>
            <w:rPr/>
          </w:pPr>
          <w:hyperlink w:anchor="__RefHeading___Toc1273257_1067777946">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1273259_1067777946">
            <w:r>
              <w:rPr>
                <w:webHidden/>
                <w:rStyle w:val="IndexLink"/>
              </w:rPr>
              <w:t>1</w:t>
            </w:r>
            <w:r>
              <w:rPr>
                <w:rStyle w:val="IndexLink"/>
                <w:rtl w:val="true"/>
              </w:rPr>
              <w:t xml:space="preserve">. </w:t>
            </w:r>
            <w:r>
              <w:rPr>
                <w:rStyle w:val="IndexLink"/>
                <w:rtl w:val="true"/>
              </w:rPr>
              <w:t>حديث معاذ بن جبل</w:t>
            </w:r>
            <w:r>
              <w:rPr>
                <w:rStyle w:val="IndexLink"/>
                <w:rtl w:val="true"/>
              </w:rPr>
              <w:tab/>
            </w:r>
            <w:r>
              <w:rPr>
                <w:rStyle w:val="IndexLink"/>
              </w:rPr>
              <w:t>475</w:t>
            </w:r>
          </w:hyperlink>
        </w:p>
        <w:p>
          <w:pPr>
            <w:pStyle w:val="Contents6"/>
            <w:tabs>
              <w:tab w:val="clear" w:pos="7609"/>
              <w:tab w:val="right" w:pos="9026" w:leader="dot"/>
            </w:tabs>
            <w:rPr/>
          </w:pPr>
          <w:hyperlink w:anchor="__RefHeading___Toc1273261_1067777946">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1273263_1067777946">
            <w:r>
              <w:rPr>
                <w:webHidden/>
                <w:rStyle w:val="IndexLink"/>
                <w:rtl w:val="true"/>
              </w:rPr>
              <w:t>الصور الأُخرى للحديث</w:t>
            </w:r>
            <w:r>
              <w:rPr>
                <w:rStyle w:val="IndexLink"/>
                <w:rtl w:val="true"/>
              </w:rPr>
              <w:tab/>
            </w:r>
            <w:r>
              <w:rPr>
                <w:rStyle w:val="IndexLink"/>
              </w:rPr>
              <w:t>481</w:t>
            </w:r>
          </w:hyperlink>
        </w:p>
        <w:p>
          <w:pPr>
            <w:pStyle w:val="Contents5"/>
            <w:tabs>
              <w:tab w:val="clear" w:pos="7892"/>
              <w:tab w:val="right" w:pos="9026" w:leader="dot"/>
            </w:tabs>
            <w:rPr/>
          </w:pPr>
          <w:hyperlink w:anchor="__RefHeading___Toc1273265_1067777946">
            <w:r>
              <w:rPr>
                <w:webHidden/>
                <w:rStyle w:val="IndexLink"/>
              </w:rPr>
              <w:t>2</w:t>
            </w:r>
            <w:r>
              <w:rPr>
                <w:rStyle w:val="IndexLink"/>
                <w:rtl w:val="true"/>
              </w:rPr>
              <w:t xml:space="preserve">. </w:t>
            </w:r>
            <w:r>
              <w:rPr>
                <w:rStyle w:val="IndexLink"/>
                <w:rtl w:val="true"/>
              </w:rPr>
              <w:t>حديث عمر</w:t>
            </w:r>
            <w:r>
              <w:rPr>
                <w:rStyle w:val="IndexLink"/>
                <w:rtl w:val="true"/>
              </w:rPr>
              <w:tab/>
            </w:r>
            <w:r>
              <w:rPr>
                <w:rStyle w:val="IndexLink"/>
              </w:rPr>
              <w:t>484</w:t>
            </w:r>
          </w:hyperlink>
        </w:p>
        <w:p>
          <w:pPr>
            <w:pStyle w:val="Contents5"/>
            <w:tabs>
              <w:tab w:val="clear" w:pos="7892"/>
              <w:tab w:val="right" w:pos="9026" w:leader="dot"/>
            </w:tabs>
            <w:rPr/>
          </w:pPr>
          <w:hyperlink w:anchor="__RefHeading___Toc1273267_1067777946">
            <w:r>
              <w:rPr>
                <w:webHidden/>
                <w:rStyle w:val="IndexLink"/>
              </w:rPr>
              <w:t>3</w:t>
            </w:r>
            <w:r>
              <w:rPr>
                <w:rStyle w:val="IndexLink"/>
                <w:rtl w:val="true"/>
              </w:rPr>
              <w:t xml:space="preserve">. </w:t>
            </w:r>
            <w:r>
              <w:rPr>
                <w:rStyle w:val="IndexLink"/>
                <w:rtl w:val="true"/>
              </w:rPr>
              <w:t>حديث ابن عباس</w:t>
            </w:r>
            <w:r>
              <w:rPr>
                <w:rStyle w:val="IndexLink"/>
                <w:rtl w:val="true"/>
              </w:rPr>
              <w:tab/>
            </w:r>
            <w:r>
              <w:rPr>
                <w:rStyle w:val="IndexLink"/>
              </w:rPr>
              <w:t>485</w:t>
            </w:r>
          </w:hyperlink>
        </w:p>
        <w:p>
          <w:pPr>
            <w:pStyle w:val="Contents5"/>
            <w:tabs>
              <w:tab w:val="clear" w:pos="7892"/>
              <w:tab w:val="right" w:pos="9026" w:leader="dot"/>
            </w:tabs>
            <w:rPr/>
          </w:pPr>
          <w:hyperlink w:anchor="__RefHeading___Toc1273269_1067777946">
            <w:r>
              <w:rPr>
                <w:webHidden/>
                <w:rStyle w:val="IndexLink"/>
              </w:rPr>
              <w:t>4</w:t>
            </w:r>
            <w:r>
              <w:rPr>
                <w:rStyle w:val="IndexLink"/>
                <w:rtl w:val="true"/>
              </w:rPr>
              <w:t xml:space="preserve">. </w:t>
            </w:r>
            <w:r>
              <w:rPr>
                <w:rStyle w:val="IndexLink"/>
                <w:rtl w:val="true"/>
              </w:rPr>
              <w:t>حديث الأعرابي</w:t>
            </w:r>
            <w:r>
              <w:rPr>
                <w:rStyle w:val="IndexLink"/>
                <w:rtl w:val="true"/>
              </w:rPr>
              <w:tab/>
            </w:r>
            <w:r>
              <w:rPr>
                <w:rStyle w:val="IndexLink"/>
              </w:rPr>
              <w:t>487</w:t>
            </w:r>
          </w:hyperlink>
        </w:p>
        <w:p>
          <w:pPr>
            <w:pStyle w:val="Contents5"/>
            <w:tabs>
              <w:tab w:val="clear" w:pos="7892"/>
              <w:tab w:val="right" w:pos="9026" w:leader="dot"/>
            </w:tabs>
            <w:rPr/>
          </w:pPr>
          <w:hyperlink w:anchor="__RefHeading___Toc1273271_1067777946">
            <w:r>
              <w:rPr>
                <w:webHidden/>
                <w:rStyle w:val="IndexLink"/>
              </w:rPr>
              <w:t>3</w:t>
            </w:r>
            <w:r>
              <w:rPr>
                <w:rStyle w:val="IndexLink"/>
                <w:rtl w:val="true"/>
              </w:rPr>
              <w:t xml:space="preserve">. </w:t>
            </w:r>
            <w:r>
              <w:rPr>
                <w:rStyle w:val="IndexLink"/>
                <w:rtl w:val="true"/>
              </w:rPr>
              <w:t>الاستدلال بإجماع الصحابة</w:t>
            </w:r>
            <w:r>
              <w:rPr>
                <w:rStyle w:val="IndexLink"/>
                <w:rtl w:val="true"/>
              </w:rPr>
              <w:tab/>
            </w:r>
            <w:r>
              <w:rPr>
                <w:rStyle w:val="IndexLink"/>
              </w:rPr>
              <w:t>489</w:t>
            </w:r>
          </w:hyperlink>
        </w:p>
        <w:p>
          <w:pPr>
            <w:pStyle w:val="Contents6"/>
            <w:tabs>
              <w:tab w:val="clear" w:pos="7609"/>
              <w:tab w:val="right" w:pos="9026" w:leader="dot"/>
            </w:tabs>
            <w:rPr/>
          </w:pPr>
          <w:hyperlink w:anchor="__RefHeading___Toc1273273_1067777946">
            <w:r>
              <w:rPr>
                <w:webHidden/>
                <w:rStyle w:val="IndexLink"/>
                <w:rtl w:val="true"/>
              </w:rPr>
              <w:t>اشارة</w:t>
            </w:r>
            <w:r>
              <w:rPr>
                <w:rStyle w:val="IndexLink"/>
                <w:rtl w:val="true"/>
              </w:rPr>
              <w:tab/>
            </w:r>
            <w:r>
              <w:rPr>
                <w:rStyle w:val="IndexLink"/>
              </w:rPr>
              <w:t>489</w:t>
            </w:r>
          </w:hyperlink>
        </w:p>
        <w:p>
          <w:pPr>
            <w:pStyle w:val="Contents6"/>
            <w:tabs>
              <w:tab w:val="clear" w:pos="7609"/>
              <w:tab w:val="right" w:pos="9026" w:leader="dot"/>
            </w:tabs>
            <w:rPr/>
          </w:pPr>
          <w:hyperlink w:anchor="__RefHeading___Toc1273275_1067777946">
            <w:r>
              <w:rPr>
                <w:webHidden/>
                <w:rStyle w:val="IndexLink"/>
                <w:rtl w:val="true"/>
              </w:rPr>
              <w:t>عمل الصحابة بالرأي</w:t>
            </w:r>
            <w:r>
              <w:rPr>
                <w:rStyle w:val="IndexLink"/>
                <w:rtl w:val="true"/>
              </w:rPr>
              <w:tab/>
            </w:r>
            <w:r>
              <w:rPr>
                <w:rStyle w:val="IndexLink"/>
              </w:rPr>
              <w:t>492</w:t>
            </w:r>
          </w:hyperlink>
        </w:p>
        <w:p>
          <w:pPr>
            <w:pStyle w:val="Contents5"/>
            <w:tabs>
              <w:tab w:val="clear" w:pos="7892"/>
              <w:tab w:val="right" w:pos="9026" w:leader="dot"/>
            </w:tabs>
            <w:rPr/>
          </w:pPr>
          <w:hyperlink w:anchor="__RefHeading___Toc1273277_1067777946">
            <w:r>
              <w:rPr>
                <w:webHidden/>
                <w:rStyle w:val="IndexLink"/>
              </w:rPr>
              <w:t>4</w:t>
            </w:r>
            <w:r>
              <w:rPr>
                <w:rStyle w:val="IndexLink"/>
                <w:rtl w:val="true"/>
              </w:rPr>
              <w:t xml:space="preserve">. </w:t>
            </w:r>
            <w:r>
              <w:rPr>
                <w:rStyle w:val="IndexLink"/>
                <w:rtl w:val="true"/>
              </w:rPr>
              <w:t>الاستدلال بدليل العقل</w:t>
            </w:r>
            <w:r>
              <w:rPr>
                <w:rStyle w:val="IndexLink"/>
                <w:rtl w:val="true"/>
              </w:rPr>
              <w:tab/>
            </w:r>
            <w:r>
              <w:rPr>
                <w:rStyle w:val="IndexLink"/>
              </w:rPr>
              <w:t>494</w:t>
            </w:r>
          </w:hyperlink>
        </w:p>
        <w:p>
          <w:pPr>
            <w:pStyle w:val="Contents6"/>
            <w:tabs>
              <w:tab w:val="clear" w:pos="7609"/>
              <w:tab w:val="right" w:pos="9026" w:leader="dot"/>
            </w:tabs>
            <w:rPr/>
          </w:pPr>
          <w:hyperlink w:anchor="__RefHeading___Toc1273279_1067777946">
            <w:r>
              <w:rPr>
                <w:webHidden/>
                <w:rStyle w:val="IndexLink"/>
                <w:rtl w:val="true"/>
              </w:rPr>
              <w:t>اشارة</w:t>
            </w:r>
            <w:r>
              <w:rPr>
                <w:rStyle w:val="IndexLink"/>
                <w:rtl w:val="true"/>
              </w:rPr>
              <w:tab/>
            </w:r>
            <w:r>
              <w:rPr>
                <w:rStyle w:val="IndexLink"/>
              </w:rPr>
              <w:t>494</w:t>
            </w:r>
          </w:hyperlink>
        </w:p>
        <w:p>
          <w:pPr>
            <w:pStyle w:val="Contents6"/>
            <w:tabs>
              <w:tab w:val="clear" w:pos="7609"/>
              <w:tab w:val="right" w:pos="9026" w:leader="dot"/>
            </w:tabs>
            <w:rPr/>
          </w:pPr>
          <w:hyperlink w:anchor="__RefHeading___Toc1273281_1067777946">
            <w:r>
              <w:rPr>
                <w:webHidden/>
                <w:rStyle w:val="IndexLink"/>
                <w:rtl w:val="true"/>
              </w:rPr>
              <w:t>الآن حصحص الحقّ</w:t>
            </w:r>
            <w:r>
              <w:rPr>
                <w:rStyle w:val="IndexLink"/>
                <w:rtl w:val="true"/>
              </w:rPr>
              <w:tab/>
            </w:r>
            <w:r>
              <w:rPr>
                <w:rStyle w:val="IndexLink"/>
              </w:rPr>
              <w:t>499</w:t>
            </w:r>
          </w:hyperlink>
        </w:p>
        <w:p>
          <w:pPr>
            <w:pStyle w:val="Contents6"/>
            <w:tabs>
              <w:tab w:val="clear" w:pos="7609"/>
              <w:tab w:val="right" w:pos="9026" w:leader="dot"/>
            </w:tabs>
            <w:rPr/>
          </w:pPr>
          <w:hyperlink w:anchor="__RefHeading___Toc1273283_1067777946">
            <w:r>
              <w:rPr>
                <w:webHidden/>
                <w:rStyle w:val="IndexLink"/>
                <w:rtl w:val="true"/>
              </w:rPr>
              <w:t xml:space="preserve">القياس في كلمات أئمّة أهل البيت </w:t>
            </w:r>
            <w:r>
              <w:rPr>
                <w:rStyle w:val="IndexLink"/>
                <w:rtl w:val="true"/>
              </w:rPr>
              <w:t xml:space="preserve">- </w:t>
            </w:r>
            <w:r>
              <w:rPr>
                <w:rStyle w:val="IndexLink"/>
                <w:rtl w:val="true"/>
              </w:rPr>
              <w:t xml:space="preserve">عليهم السلام </w:t>
            </w:r>
            <w:r>
              <w:rPr>
                <w:rStyle w:val="IndexLink"/>
                <w:rtl w:val="true"/>
              </w:rPr>
              <w:t>:</w:t>
              <w:tab/>
            </w:r>
            <w:r>
              <w:rPr>
                <w:rStyle w:val="IndexLink"/>
              </w:rPr>
              <w:t>499</w:t>
            </w:r>
          </w:hyperlink>
        </w:p>
        <w:p>
          <w:pPr>
            <w:pStyle w:val="Contents6"/>
            <w:tabs>
              <w:tab w:val="clear" w:pos="7609"/>
              <w:tab w:val="right" w:pos="9026" w:leader="dot"/>
            </w:tabs>
            <w:rPr/>
          </w:pPr>
          <w:hyperlink w:anchor="__RefHeading___Toc1273285_1067777946">
            <w:r>
              <w:rPr>
                <w:webHidden/>
                <w:rStyle w:val="IndexLink"/>
                <w:rtl w:val="true"/>
              </w:rPr>
              <w:t>القياس في كلمات الصحابة والتابعين</w:t>
            </w:r>
            <w:r>
              <w:rPr>
                <w:rStyle w:val="IndexLink"/>
                <w:rtl w:val="true"/>
              </w:rPr>
              <w:tab/>
            </w:r>
            <w:r>
              <w:rPr>
                <w:rStyle w:val="IndexLink"/>
              </w:rPr>
              <w:t>501</w:t>
            </w:r>
          </w:hyperlink>
        </w:p>
        <w:p>
          <w:pPr>
            <w:pStyle w:val="Contents4"/>
            <w:tabs>
              <w:tab w:val="clear" w:pos="8176"/>
              <w:tab w:val="right" w:pos="9026" w:leader="dot"/>
            </w:tabs>
            <w:rPr/>
          </w:pPr>
          <w:hyperlink w:anchor="__RefHeading___Toc1273287_1067777946">
            <w:r>
              <w:rPr>
                <w:webHidden/>
                <w:rStyle w:val="IndexLink"/>
              </w:rPr>
              <w:t>2</w:t>
            </w:r>
            <w:r>
              <w:rPr>
                <w:rStyle w:val="IndexLink"/>
                <w:rtl w:val="true"/>
              </w:rPr>
              <w:t xml:space="preserve">- </w:t>
            </w:r>
            <w:r>
              <w:rPr>
                <w:rStyle w:val="IndexLink"/>
                <w:rtl w:val="true"/>
              </w:rPr>
              <w:t>مصادر التشريع فيما لا نصّ فيه عند أهل السنّة</w:t>
            </w:r>
            <w:r>
              <w:rPr>
                <w:rStyle w:val="IndexLink"/>
                <w:rtl w:val="true"/>
              </w:rPr>
              <w:tab/>
            </w:r>
            <w:r>
              <w:rPr>
                <w:rStyle w:val="IndexLink"/>
              </w:rPr>
              <w:t>504</w:t>
            </w:r>
          </w:hyperlink>
        </w:p>
        <w:p>
          <w:pPr>
            <w:pStyle w:val="Contents5"/>
            <w:tabs>
              <w:tab w:val="clear" w:pos="7892"/>
              <w:tab w:val="right" w:pos="9026" w:leader="dot"/>
            </w:tabs>
            <w:rPr/>
          </w:pPr>
          <w:hyperlink w:anchor="__RefHeading___Toc1273289_1067777946">
            <w:r>
              <w:rPr>
                <w:webHidden/>
                <w:rStyle w:val="IndexLink"/>
                <w:rtl w:val="true"/>
              </w:rPr>
              <w:t>الاستحسان</w:t>
            </w:r>
            <w:r>
              <w:rPr>
                <w:rStyle w:val="IndexLink"/>
                <w:rtl w:val="true"/>
              </w:rPr>
              <w:tab/>
            </w:r>
            <w:r>
              <w:rPr>
                <w:rStyle w:val="IndexLink"/>
              </w:rPr>
              <w:t>504</w:t>
            </w:r>
          </w:hyperlink>
        </w:p>
        <w:p>
          <w:pPr>
            <w:pStyle w:val="Contents5"/>
            <w:tabs>
              <w:tab w:val="clear" w:pos="7892"/>
              <w:tab w:val="right" w:pos="9026" w:leader="dot"/>
            </w:tabs>
            <w:rPr/>
          </w:pPr>
          <w:hyperlink w:anchor="__RefHeading___Toc1273291_1067777946">
            <w:r>
              <w:rPr>
                <w:webHidden/>
                <w:rStyle w:val="IndexLink"/>
                <w:rtl w:val="true"/>
              </w:rPr>
              <w:t xml:space="preserve">الأوّل </w:t>
            </w:r>
            <w:r>
              <w:rPr>
                <w:rStyle w:val="IndexLink"/>
                <w:rtl w:val="true"/>
              </w:rPr>
              <w:t xml:space="preserve">: </w:t>
            </w:r>
            <w:r>
              <w:rPr>
                <w:rStyle w:val="IndexLink"/>
                <w:rtl w:val="true"/>
              </w:rPr>
              <w:t>العمل بالرأي والظن</w:t>
            </w:r>
            <w:r>
              <w:rPr>
                <w:rStyle w:val="IndexLink"/>
                <w:rtl w:val="true"/>
              </w:rPr>
              <w:tab/>
            </w:r>
            <w:r>
              <w:rPr>
                <w:rStyle w:val="IndexLink"/>
              </w:rPr>
              <w:t>505</w:t>
            </w:r>
          </w:hyperlink>
        </w:p>
        <w:p>
          <w:pPr>
            <w:pStyle w:val="Contents5"/>
            <w:tabs>
              <w:tab w:val="clear" w:pos="7892"/>
              <w:tab w:val="right" w:pos="9026" w:leader="dot"/>
            </w:tabs>
            <w:rPr/>
          </w:pPr>
          <w:hyperlink w:anchor="__RefHeading___Toc1273293_1067777946">
            <w:r>
              <w:rPr>
                <w:webHidden/>
                <w:rStyle w:val="IndexLink"/>
                <w:rtl w:val="true"/>
              </w:rPr>
              <w:t xml:space="preserve">الثاني </w:t>
            </w:r>
            <w:r>
              <w:rPr>
                <w:rStyle w:val="IndexLink"/>
                <w:rtl w:val="true"/>
              </w:rPr>
              <w:t xml:space="preserve">: </w:t>
            </w:r>
            <w:r>
              <w:rPr>
                <w:rStyle w:val="IndexLink"/>
                <w:rtl w:val="true"/>
              </w:rPr>
              <w:t>العدول من قياس إلى قياس أقوى منه</w:t>
            </w:r>
            <w:r>
              <w:rPr>
                <w:rStyle w:val="IndexLink"/>
                <w:rtl w:val="true"/>
              </w:rPr>
              <w:tab/>
            </w:r>
            <w:r>
              <w:rPr>
                <w:rStyle w:val="IndexLink"/>
              </w:rPr>
              <w:t>506</w:t>
            </w:r>
          </w:hyperlink>
        </w:p>
        <w:p>
          <w:pPr>
            <w:pStyle w:val="Contents5"/>
            <w:tabs>
              <w:tab w:val="clear" w:pos="7892"/>
              <w:tab w:val="right" w:pos="9026" w:leader="dot"/>
            </w:tabs>
            <w:rPr/>
          </w:pPr>
          <w:hyperlink w:anchor="__RefHeading___Toc1273295_1067777946">
            <w:r>
              <w:rPr>
                <w:webHidden/>
                <w:rStyle w:val="IndexLink"/>
                <w:rtl w:val="true"/>
              </w:rPr>
              <w:t xml:space="preserve">الثالث </w:t>
            </w:r>
            <w:r>
              <w:rPr>
                <w:rStyle w:val="IndexLink"/>
                <w:rtl w:val="true"/>
              </w:rPr>
              <w:t xml:space="preserve">: </w:t>
            </w:r>
            <w:r>
              <w:rPr>
                <w:rStyle w:val="IndexLink"/>
                <w:rtl w:val="true"/>
              </w:rPr>
              <w:t>العدول من مقتضى قياس جلي إلى قياس خفي</w:t>
            </w:r>
            <w:r>
              <w:rPr>
                <w:rStyle w:val="IndexLink"/>
                <w:rtl w:val="true"/>
              </w:rPr>
              <w:tab/>
            </w:r>
            <w:r>
              <w:rPr>
                <w:rStyle w:val="IndexLink"/>
              </w:rPr>
              <w:t>507</w:t>
            </w:r>
          </w:hyperlink>
        </w:p>
        <w:p>
          <w:pPr>
            <w:pStyle w:val="Contents5"/>
            <w:tabs>
              <w:tab w:val="clear" w:pos="7892"/>
              <w:tab w:val="right" w:pos="9026" w:leader="dot"/>
            </w:tabs>
            <w:rPr/>
          </w:pPr>
          <w:hyperlink w:anchor="__RefHeading___Toc1273297_1067777946">
            <w:r>
              <w:rPr>
                <w:webHidden/>
                <w:rStyle w:val="IndexLink"/>
                <w:rtl w:val="true"/>
              </w:rPr>
              <w:t xml:space="preserve">الرابع </w:t>
            </w:r>
            <w:r>
              <w:rPr>
                <w:rStyle w:val="IndexLink"/>
                <w:rtl w:val="true"/>
              </w:rPr>
              <w:t xml:space="preserve">: </w:t>
            </w:r>
            <w:r>
              <w:rPr>
                <w:rStyle w:val="IndexLink"/>
                <w:rtl w:val="true"/>
              </w:rPr>
              <w:t>العدول من مقتضى القياس بدليل</w:t>
            </w:r>
            <w:r>
              <w:rPr>
                <w:rStyle w:val="IndexLink"/>
                <w:rtl w:val="true"/>
              </w:rPr>
              <w:tab/>
            </w:r>
            <w:r>
              <w:rPr>
                <w:rStyle w:val="IndexLink"/>
              </w:rPr>
              <w:t>509</w:t>
            </w:r>
          </w:hyperlink>
        </w:p>
        <w:p>
          <w:pPr>
            <w:pStyle w:val="Contents5"/>
            <w:tabs>
              <w:tab w:val="clear" w:pos="7892"/>
              <w:tab w:val="right" w:pos="9026" w:leader="dot"/>
            </w:tabs>
            <w:rPr/>
          </w:pPr>
          <w:hyperlink w:anchor="__RefHeading___Toc1273299_1067777946">
            <w:r>
              <w:rPr>
                <w:webHidden/>
                <w:rStyle w:val="IndexLink"/>
                <w:rtl w:val="true"/>
              </w:rPr>
              <w:t xml:space="preserve">الخامس </w:t>
            </w:r>
            <w:r>
              <w:rPr>
                <w:rStyle w:val="IndexLink"/>
                <w:rtl w:val="true"/>
              </w:rPr>
              <w:t xml:space="preserve">: </w:t>
            </w:r>
            <w:r>
              <w:rPr>
                <w:rStyle w:val="IndexLink"/>
                <w:rtl w:val="true"/>
              </w:rPr>
              <w:t>الاستحسان والعمل بأقوى الدليلين</w:t>
            </w:r>
            <w:r>
              <w:rPr>
                <w:rStyle w:val="IndexLink"/>
                <w:rtl w:val="true"/>
              </w:rPr>
              <w:tab/>
            </w:r>
            <w:r>
              <w:rPr>
                <w:rStyle w:val="IndexLink"/>
              </w:rPr>
              <w:t>511</w:t>
            </w:r>
          </w:hyperlink>
        </w:p>
        <w:p>
          <w:pPr>
            <w:pStyle w:val="Contents5"/>
            <w:tabs>
              <w:tab w:val="clear" w:pos="7892"/>
              <w:tab w:val="right" w:pos="9026" w:leader="dot"/>
            </w:tabs>
            <w:rPr/>
          </w:pPr>
          <w:hyperlink w:anchor="__RefHeading___Toc1273301_1067777946">
            <w:r>
              <w:rPr>
                <w:webHidden/>
                <w:rStyle w:val="IndexLink"/>
                <w:rtl w:val="true"/>
              </w:rPr>
              <w:t xml:space="preserve">السادس </w:t>
            </w:r>
            <w:r>
              <w:rPr>
                <w:rStyle w:val="IndexLink"/>
                <w:rtl w:val="true"/>
              </w:rPr>
              <w:t xml:space="preserve">: </w:t>
            </w:r>
            <w:r>
              <w:rPr>
                <w:rStyle w:val="IndexLink"/>
                <w:rtl w:val="true"/>
              </w:rPr>
              <w:t>الاستحسان والأخذ بالعرف</w:t>
            </w:r>
            <w:r>
              <w:rPr>
                <w:rStyle w:val="IndexLink"/>
                <w:rtl w:val="true"/>
              </w:rPr>
              <w:tab/>
            </w:r>
            <w:r>
              <w:rPr>
                <w:rStyle w:val="IndexLink"/>
              </w:rPr>
              <w:t>511</w:t>
            </w:r>
          </w:hyperlink>
        </w:p>
        <w:p>
          <w:pPr>
            <w:pStyle w:val="Contents5"/>
            <w:tabs>
              <w:tab w:val="clear" w:pos="7892"/>
              <w:tab w:val="right" w:pos="9026" w:leader="dot"/>
            </w:tabs>
            <w:rPr/>
          </w:pPr>
          <w:hyperlink w:anchor="__RefHeading___Toc1273303_1067777946">
            <w:r>
              <w:rPr>
                <w:webHidden/>
                <w:rStyle w:val="IndexLink"/>
                <w:rtl w:val="true"/>
              </w:rPr>
              <w:t xml:space="preserve">السابع </w:t>
            </w:r>
            <w:r>
              <w:rPr>
                <w:rStyle w:val="IndexLink"/>
                <w:rtl w:val="true"/>
              </w:rPr>
              <w:t xml:space="preserve">: </w:t>
            </w:r>
            <w:r>
              <w:rPr>
                <w:rStyle w:val="IndexLink"/>
                <w:rtl w:val="true"/>
              </w:rPr>
              <w:t>الاستحسان والمصلحة</w:t>
            </w:r>
            <w:r>
              <w:rPr>
                <w:rStyle w:val="IndexLink"/>
                <w:rtl w:val="true"/>
              </w:rPr>
              <w:tab/>
            </w:r>
            <w:r>
              <w:rPr>
                <w:rStyle w:val="IndexLink"/>
              </w:rPr>
              <w:t>512</w:t>
            </w:r>
          </w:hyperlink>
        </w:p>
        <w:p>
          <w:pPr>
            <w:pStyle w:val="Contents5"/>
            <w:tabs>
              <w:tab w:val="clear" w:pos="7892"/>
              <w:tab w:val="right" w:pos="9026" w:leader="dot"/>
            </w:tabs>
            <w:rPr/>
          </w:pPr>
          <w:hyperlink w:anchor="__RefHeading___Toc1273305_1067777946">
            <w:r>
              <w:rPr>
                <w:webHidden/>
                <w:rStyle w:val="IndexLink"/>
                <w:rtl w:val="true"/>
              </w:rPr>
              <w:t xml:space="preserve">الثامن </w:t>
            </w:r>
            <w:r>
              <w:rPr>
                <w:rStyle w:val="IndexLink"/>
                <w:rtl w:val="true"/>
              </w:rPr>
              <w:t xml:space="preserve">: </w:t>
            </w:r>
            <w:r>
              <w:rPr>
                <w:rStyle w:val="IndexLink"/>
                <w:rtl w:val="true"/>
              </w:rPr>
              <w:t>العدول عن مقتضى الدليل إلى ما يستحسنه المجتهد</w:t>
            </w:r>
            <w:r>
              <w:rPr>
                <w:rStyle w:val="IndexLink"/>
                <w:rtl w:val="true"/>
              </w:rPr>
              <w:tab/>
            </w:r>
            <w:r>
              <w:rPr>
                <w:rStyle w:val="IndexLink"/>
              </w:rPr>
              <w:t>513</w:t>
            </w:r>
          </w:hyperlink>
        </w:p>
        <w:p>
          <w:pPr>
            <w:pStyle w:val="Contents6"/>
            <w:tabs>
              <w:tab w:val="clear" w:pos="7609"/>
              <w:tab w:val="right" w:pos="9026" w:leader="dot"/>
            </w:tabs>
            <w:rPr/>
          </w:pPr>
          <w:hyperlink w:anchor="__RefHeading___Toc1273307_1067777946">
            <w:r>
              <w:rPr>
                <w:webHidden/>
                <w:rStyle w:val="IndexLink"/>
                <w:rtl w:val="true"/>
              </w:rPr>
              <w:t>اشارة</w:t>
            </w:r>
            <w:r>
              <w:rPr>
                <w:rStyle w:val="IndexLink"/>
                <w:rtl w:val="true"/>
              </w:rPr>
              <w:tab/>
            </w:r>
            <w:r>
              <w:rPr>
                <w:rStyle w:val="IndexLink"/>
              </w:rPr>
              <w:t>513</w:t>
            </w:r>
          </w:hyperlink>
        </w:p>
        <w:p>
          <w:pPr>
            <w:pStyle w:val="Contents6"/>
            <w:tabs>
              <w:tab w:val="clear" w:pos="7609"/>
              <w:tab w:val="right" w:pos="9026" w:leader="dot"/>
            </w:tabs>
            <w:rPr/>
          </w:pPr>
          <w:hyperlink w:anchor="__RefHeading___Toc1273309_1067777946">
            <w:r>
              <w:rPr>
                <w:webHidden/>
                <w:rStyle w:val="IndexLink"/>
                <w:rtl w:val="true"/>
              </w:rPr>
              <w:t>الاستدلال على حجّية الاستحسان</w:t>
            </w:r>
            <w:r>
              <w:rPr>
                <w:rStyle w:val="IndexLink"/>
                <w:rtl w:val="true"/>
              </w:rPr>
              <w:tab/>
            </w:r>
            <w:r>
              <w:rPr>
                <w:rStyle w:val="IndexLink"/>
              </w:rPr>
              <w:t>516</w:t>
            </w:r>
          </w:hyperlink>
        </w:p>
        <w:p>
          <w:pPr>
            <w:pStyle w:val="Contents6"/>
            <w:tabs>
              <w:tab w:val="clear" w:pos="7609"/>
              <w:tab w:val="right" w:pos="9026" w:leader="dot"/>
            </w:tabs>
            <w:rPr/>
          </w:pPr>
          <w:hyperlink w:anchor="__RefHeading___Toc1273311_1067777946">
            <w:r>
              <w:rPr>
                <w:webHidden/>
                <w:rStyle w:val="IndexLink"/>
                <w:rtl w:val="true"/>
              </w:rPr>
              <w:t>الاستدلال بالكتاب والسنّة</w:t>
            </w:r>
            <w:r>
              <w:rPr>
                <w:rStyle w:val="IndexLink"/>
                <w:rtl w:val="true"/>
              </w:rPr>
              <w:tab/>
            </w:r>
            <w:r>
              <w:rPr>
                <w:rStyle w:val="IndexLink"/>
              </w:rPr>
              <w:t>516</w:t>
            </w:r>
          </w:hyperlink>
        </w:p>
        <w:p>
          <w:pPr>
            <w:pStyle w:val="Contents6"/>
            <w:tabs>
              <w:tab w:val="clear" w:pos="7609"/>
              <w:tab w:val="right" w:pos="9026" w:leader="dot"/>
            </w:tabs>
            <w:rPr/>
          </w:pPr>
          <w:hyperlink w:anchor="__RefHeading___Toc1273313_1067777946">
            <w:r>
              <w:rPr>
                <w:webHidden/>
                <w:rStyle w:val="IndexLink"/>
                <w:rtl w:val="true"/>
              </w:rPr>
              <w:t>الاستدلال بالإجماع</w:t>
            </w:r>
            <w:r>
              <w:rPr>
                <w:rStyle w:val="IndexLink"/>
                <w:rtl w:val="true"/>
              </w:rPr>
              <w:tab/>
            </w:r>
            <w:r>
              <w:rPr>
                <w:rStyle w:val="IndexLink"/>
              </w:rPr>
              <w:t>518</w:t>
            </w:r>
          </w:hyperlink>
        </w:p>
        <w:p>
          <w:pPr>
            <w:pStyle w:val="Contents6"/>
            <w:tabs>
              <w:tab w:val="clear" w:pos="7609"/>
              <w:tab w:val="right" w:pos="9026" w:leader="dot"/>
            </w:tabs>
            <w:rPr/>
          </w:pPr>
          <w:hyperlink w:anchor="__RefHeading___Toc1273315_1067777946">
            <w:r>
              <w:rPr>
                <w:webHidden/>
                <w:rStyle w:val="IndexLink"/>
                <w:rtl w:val="true"/>
              </w:rPr>
              <w:t xml:space="preserve">بقي هنا أمر </w:t>
            </w:r>
            <w:r>
              <w:rPr>
                <w:rStyle w:val="IndexLink"/>
                <w:rtl w:val="true"/>
              </w:rPr>
              <w:t>:</w:t>
              <w:tab/>
            </w:r>
            <w:r>
              <w:rPr>
                <w:rStyle w:val="IndexLink"/>
              </w:rPr>
              <w:t>518</w:t>
            </w:r>
          </w:hyperlink>
        </w:p>
        <w:p>
          <w:pPr>
            <w:pStyle w:val="Contents4"/>
            <w:tabs>
              <w:tab w:val="clear" w:pos="8176"/>
              <w:tab w:val="right" w:pos="9026" w:leader="dot"/>
            </w:tabs>
            <w:rPr/>
          </w:pPr>
          <w:hyperlink w:anchor="__RefHeading___Toc1273317_1067777946">
            <w:r>
              <w:rPr>
                <w:webHidden/>
                <w:rStyle w:val="IndexLink"/>
              </w:rPr>
              <w:t>3</w:t>
            </w:r>
            <w:r>
              <w:rPr>
                <w:rStyle w:val="IndexLink"/>
                <w:rtl w:val="true"/>
              </w:rPr>
              <w:t xml:space="preserve">- </w:t>
            </w:r>
            <w:r>
              <w:rPr>
                <w:rStyle w:val="IndexLink"/>
                <w:rtl w:val="true"/>
              </w:rPr>
              <w:t>مصادر التشريع فيما لا نصّ فيه عند أهل السنّة</w:t>
            </w:r>
            <w:r>
              <w:rPr>
                <w:rStyle w:val="IndexLink"/>
                <w:rtl w:val="true"/>
              </w:rPr>
              <w:tab/>
            </w:r>
            <w:r>
              <w:rPr>
                <w:rStyle w:val="IndexLink"/>
              </w:rPr>
              <w:t>520</w:t>
            </w:r>
          </w:hyperlink>
        </w:p>
        <w:p>
          <w:pPr>
            <w:pStyle w:val="Contents5"/>
            <w:tabs>
              <w:tab w:val="clear" w:pos="7892"/>
              <w:tab w:val="right" w:pos="9026" w:leader="dot"/>
            </w:tabs>
            <w:rPr/>
          </w:pPr>
          <w:hyperlink w:anchor="__RefHeading___Toc1273319_1067777946">
            <w:r>
              <w:rPr>
                <w:webHidden/>
                <w:rStyle w:val="IndexLink"/>
                <w:rtl w:val="true"/>
              </w:rPr>
              <w:t>الاستصلاح أو المصالح المرسلة</w:t>
            </w:r>
            <w:r>
              <w:rPr>
                <w:rStyle w:val="IndexLink"/>
                <w:rtl w:val="true"/>
              </w:rPr>
              <w:tab/>
            </w:r>
            <w:r>
              <w:rPr>
                <w:rStyle w:val="IndexLink"/>
              </w:rPr>
              <w:t>520</w:t>
            </w:r>
          </w:hyperlink>
        </w:p>
        <w:p>
          <w:pPr>
            <w:pStyle w:val="Contents6"/>
            <w:tabs>
              <w:tab w:val="clear" w:pos="7609"/>
              <w:tab w:val="right" w:pos="9026" w:leader="dot"/>
            </w:tabs>
            <w:rPr/>
          </w:pPr>
          <w:hyperlink w:anchor="__RefHeading___Toc1273321_1067777946">
            <w:r>
              <w:rPr>
                <w:webHidden/>
                <w:rStyle w:val="IndexLink"/>
                <w:rtl w:val="true"/>
              </w:rPr>
              <w:t>اشارة</w:t>
            </w:r>
            <w:r>
              <w:rPr>
                <w:rStyle w:val="IndexLink"/>
                <w:rtl w:val="true"/>
              </w:rPr>
              <w:tab/>
            </w:r>
            <w:r>
              <w:rPr>
                <w:rStyle w:val="IndexLink"/>
              </w:rPr>
              <w:t>520</w:t>
            </w:r>
          </w:hyperlink>
        </w:p>
        <w:p>
          <w:pPr>
            <w:pStyle w:val="Contents6"/>
            <w:tabs>
              <w:tab w:val="clear" w:pos="7609"/>
              <w:tab w:val="right" w:pos="9026" w:leader="dot"/>
            </w:tabs>
            <w:rPr/>
          </w:pPr>
          <w:hyperlink w:anchor="__RefHeading___Toc1273323_1067777946">
            <w:r>
              <w:rPr>
                <w:webHidden/>
                <w:rStyle w:val="IndexLink"/>
                <w:rtl w:val="true"/>
              </w:rPr>
              <w:t xml:space="preserve">الأوّل </w:t>
            </w:r>
            <w:r>
              <w:rPr>
                <w:rStyle w:val="IndexLink"/>
                <w:rtl w:val="true"/>
              </w:rPr>
              <w:t xml:space="preserve">: </w:t>
            </w:r>
            <w:r>
              <w:rPr>
                <w:rStyle w:val="IndexLink"/>
                <w:rtl w:val="true"/>
              </w:rPr>
              <w:t>تقديم المصلحة على النصّ ، ونبذ الآخر</w:t>
            </w:r>
            <w:r>
              <w:rPr>
                <w:rStyle w:val="IndexLink"/>
                <w:rtl w:val="true"/>
              </w:rPr>
              <w:tab/>
            </w:r>
            <w:r>
              <w:rPr>
                <w:rStyle w:val="IndexLink"/>
              </w:rPr>
              <w:t>523</w:t>
            </w:r>
          </w:hyperlink>
        </w:p>
        <w:p>
          <w:pPr>
            <w:pStyle w:val="Contents6"/>
            <w:tabs>
              <w:tab w:val="clear" w:pos="7609"/>
              <w:tab w:val="right" w:pos="9026" w:leader="dot"/>
            </w:tabs>
            <w:rPr/>
          </w:pPr>
          <w:hyperlink w:anchor="__RefHeading___Toc1273325_1067777946">
            <w:r>
              <w:rPr>
                <w:webHidden/>
                <w:rStyle w:val="IndexLink"/>
                <w:rtl w:val="true"/>
              </w:rPr>
              <w:t xml:space="preserve">الثاني </w:t>
            </w:r>
            <w:r>
              <w:rPr>
                <w:rStyle w:val="IndexLink"/>
                <w:rtl w:val="true"/>
              </w:rPr>
              <w:t xml:space="preserve">: </w:t>
            </w:r>
            <w:r>
              <w:rPr>
                <w:rStyle w:val="IndexLink"/>
                <w:rtl w:val="true"/>
              </w:rPr>
              <w:t>تقييد النصّ بالمصلحة</w:t>
            </w:r>
            <w:r>
              <w:rPr>
                <w:rStyle w:val="IndexLink"/>
                <w:rtl w:val="true"/>
              </w:rPr>
              <w:tab/>
            </w:r>
            <w:r>
              <w:rPr>
                <w:rStyle w:val="IndexLink"/>
              </w:rPr>
              <w:t>524</w:t>
            </w:r>
          </w:hyperlink>
        </w:p>
        <w:p>
          <w:pPr>
            <w:pStyle w:val="Contents6"/>
            <w:tabs>
              <w:tab w:val="clear" w:pos="7609"/>
              <w:tab w:val="right" w:pos="9026" w:leader="dot"/>
            </w:tabs>
            <w:rPr/>
          </w:pPr>
          <w:hyperlink w:anchor="__RefHeading___Toc1273327_1067777946">
            <w:r>
              <w:rPr>
                <w:webHidden/>
                <w:rStyle w:val="IndexLink"/>
                <w:rtl w:val="true"/>
              </w:rPr>
              <w:t xml:space="preserve">الثالث </w:t>
            </w:r>
            <w:r>
              <w:rPr>
                <w:rStyle w:val="IndexLink"/>
                <w:rtl w:val="true"/>
              </w:rPr>
              <w:t xml:space="preserve">: </w:t>
            </w:r>
            <w:r>
              <w:rPr>
                <w:rStyle w:val="IndexLink"/>
                <w:rtl w:val="true"/>
              </w:rPr>
              <w:t>إنشاء الحكم فيما لا نصّ فيه على وفق المصلحة</w:t>
            </w:r>
            <w:r>
              <w:rPr>
                <w:rStyle w:val="IndexLink"/>
                <w:rtl w:val="true"/>
              </w:rPr>
              <w:tab/>
            </w:r>
            <w:r>
              <w:rPr>
                <w:rStyle w:val="IndexLink"/>
              </w:rPr>
              <w:t>526</w:t>
            </w:r>
          </w:hyperlink>
        </w:p>
        <w:p>
          <w:pPr>
            <w:pStyle w:val="Contents5"/>
            <w:tabs>
              <w:tab w:val="clear" w:pos="7892"/>
              <w:tab w:val="right" w:pos="9026" w:leader="dot"/>
            </w:tabs>
            <w:rPr/>
          </w:pPr>
          <w:hyperlink w:anchor="__RefHeading___Toc1273329_1067777946">
            <w:r>
              <w:rPr>
                <w:webHidden/>
                <w:rStyle w:val="IndexLink"/>
                <w:rtl w:val="true"/>
              </w:rPr>
              <w:t xml:space="preserve">وحصيلة البحث </w:t>
            </w:r>
            <w:r>
              <w:rPr>
                <w:rStyle w:val="IndexLink"/>
                <w:rtl w:val="true"/>
              </w:rPr>
              <w:t>:</w:t>
              <w:tab/>
            </w:r>
            <w:r>
              <w:rPr>
                <w:rStyle w:val="IndexLink"/>
              </w:rPr>
              <w:t>533</w:t>
            </w:r>
          </w:hyperlink>
        </w:p>
        <w:p>
          <w:pPr>
            <w:pStyle w:val="Contents4"/>
            <w:tabs>
              <w:tab w:val="clear" w:pos="8176"/>
              <w:tab w:val="right" w:pos="9026" w:leader="dot"/>
            </w:tabs>
            <w:rPr/>
          </w:pPr>
          <w:hyperlink w:anchor="__RefHeading___Toc1273331_1067777946">
            <w:r>
              <w:rPr>
                <w:webHidden/>
                <w:rStyle w:val="IndexLink"/>
              </w:rPr>
              <w:t>4</w:t>
            </w:r>
            <w:r>
              <w:rPr>
                <w:rStyle w:val="IndexLink"/>
                <w:rtl w:val="true"/>
              </w:rPr>
              <w:t xml:space="preserve">- </w:t>
            </w:r>
            <w:r>
              <w:rPr>
                <w:rStyle w:val="IndexLink"/>
                <w:rtl w:val="true"/>
              </w:rPr>
              <w:t>مصادر التشريع فيما لا نصّ فيه عند أهل السنّة</w:t>
            </w:r>
            <w:r>
              <w:rPr>
                <w:rStyle w:val="IndexLink"/>
                <w:rtl w:val="true"/>
              </w:rPr>
              <w:tab/>
            </w:r>
            <w:r>
              <w:rPr>
                <w:rStyle w:val="IndexLink"/>
              </w:rPr>
              <w:t>535</w:t>
            </w:r>
          </w:hyperlink>
        </w:p>
        <w:p>
          <w:pPr>
            <w:pStyle w:val="Contents5"/>
            <w:tabs>
              <w:tab w:val="clear" w:pos="7892"/>
              <w:tab w:val="right" w:pos="9026" w:leader="dot"/>
            </w:tabs>
            <w:rPr/>
          </w:pPr>
          <w:hyperlink w:anchor="__RefHeading___Toc1273333_1067777946">
            <w:r>
              <w:rPr>
                <w:webHidden/>
                <w:rStyle w:val="IndexLink"/>
                <w:rtl w:val="true"/>
              </w:rPr>
              <w:t>سدّ الذرائع</w:t>
            </w:r>
            <w:r>
              <w:rPr>
                <w:rStyle w:val="IndexLink"/>
                <w:rtl w:val="true"/>
              </w:rPr>
              <w:tab/>
            </w:r>
            <w:r>
              <w:rPr>
                <w:rStyle w:val="IndexLink"/>
              </w:rPr>
              <w:t>535</w:t>
            </w:r>
          </w:hyperlink>
        </w:p>
        <w:p>
          <w:pPr>
            <w:pStyle w:val="Contents5"/>
            <w:tabs>
              <w:tab w:val="clear" w:pos="7892"/>
              <w:tab w:val="right" w:pos="9026" w:leader="dot"/>
            </w:tabs>
            <w:rPr/>
          </w:pPr>
          <w:hyperlink w:anchor="__RefHeading___Toc1273335_1067777946">
            <w:r>
              <w:rPr>
                <w:webHidden/>
                <w:rStyle w:val="IndexLink"/>
              </w:rPr>
              <w:t>1</w:t>
            </w:r>
            <w:r>
              <w:rPr>
                <w:rStyle w:val="IndexLink"/>
                <w:rtl w:val="true"/>
              </w:rPr>
              <w:t xml:space="preserve">. </w:t>
            </w:r>
            <w:r>
              <w:rPr>
                <w:rStyle w:val="IndexLink"/>
                <w:rtl w:val="true"/>
              </w:rPr>
              <w:t>سدّ الذرائع لغة واصطلاحاً</w:t>
            </w:r>
            <w:r>
              <w:rPr>
                <w:rStyle w:val="IndexLink"/>
                <w:rtl w:val="true"/>
              </w:rPr>
              <w:tab/>
            </w:r>
            <w:r>
              <w:rPr>
                <w:rStyle w:val="IndexLink"/>
              </w:rPr>
              <w:t>535</w:t>
            </w:r>
          </w:hyperlink>
        </w:p>
        <w:p>
          <w:pPr>
            <w:pStyle w:val="Contents5"/>
            <w:tabs>
              <w:tab w:val="clear" w:pos="7892"/>
              <w:tab w:val="right" w:pos="9026" w:leader="dot"/>
            </w:tabs>
            <w:rPr/>
          </w:pPr>
          <w:hyperlink w:anchor="__RefHeading___Toc1273337_1067777946">
            <w:r>
              <w:rPr>
                <w:webHidden/>
                <w:rStyle w:val="IndexLink"/>
              </w:rPr>
              <w:t>2</w:t>
            </w:r>
            <w:r>
              <w:rPr>
                <w:rStyle w:val="IndexLink"/>
                <w:rtl w:val="true"/>
              </w:rPr>
              <w:t xml:space="preserve">. </w:t>
            </w:r>
            <w:r>
              <w:rPr>
                <w:rStyle w:val="IndexLink"/>
                <w:rtl w:val="true"/>
              </w:rPr>
              <w:t>سدّ الذرائع من مصادر التشريع مستقلاً</w:t>
            </w:r>
            <w:r>
              <w:rPr>
                <w:rStyle w:val="IndexLink"/>
                <w:rtl w:val="true"/>
              </w:rPr>
              <w:tab/>
            </w:r>
            <w:r>
              <w:rPr>
                <w:rStyle w:val="IndexLink"/>
              </w:rPr>
              <w:t>536</w:t>
            </w:r>
          </w:hyperlink>
        </w:p>
        <w:p>
          <w:pPr>
            <w:pStyle w:val="Contents5"/>
            <w:tabs>
              <w:tab w:val="clear" w:pos="7892"/>
              <w:tab w:val="right" w:pos="9026" w:leader="dot"/>
            </w:tabs>
            <w:rPr/>
          </w:pPr>
          <w:hyperlink w:anchor="__RefHeading___Toc1273339_1067777946">
            <w:r>
              <w:rPr>
                <w:webHidden/>
                <w:rStyle w:val="IndexLink"/>
              </w:rPr>
              <w:t>3</w:t>
            </w:r>
            <w:r>
              <w:rPr>
                <w:rStyle w:val="IndexLink"/>
                <w:rtl w:val="true"/>
              </w:rPr>
              <w:t xml:space="preserve">. </w:t>
            </w:r>
            <w:r>
              <w:rPr>
                <w:rStyle w:val="IndexLink"/>
                <w:rtl w:val="true"/>
              </w:rPr>
              <w:t>تعريفه وأقسامه</w:t>
            </w:r>
            <w:r>
              <w:rPr>
                <w:rStyle w:val="IndexLink"/>
                <w:rtl w:val="true"/>
              </w:rPr>
              <w:tab/>
            </w:r>
            <w:r>
              <w:rPr>
                <w:rStyle w:val="IndexLink"/>
              </w:rPr>
              <w:t>536</w:t>
            </w:r>
          </w:hyperlink>
        </w:p>
        <w:p>
          <w:pPr>
            <w:pStyle w:val="Contents6"/>
            <w:tabs>
              <w:tab w:val="clear" w:pos="7609"/>
              <w:tab w:val="right" w:pos="9026" w:leader="dot"/>
            </w:tabs>
            <w:rPr/>
          </w:pPr>
          <w:hyperlink w:anchor="__RefHeading___Toc1273341_1067777946">
            <w:r>
              <w:rPr>
                <w:webHidden/>
                <w:rStyle w:val="IndexLink"/>
                <w:rtl w:val="true"/>
              </w:rPr>
              <w:t>اشارة</w:t>
            </w:r>
            <w:r>
              <w:rPr>
                <w:rStyle w:val="IndexLink"/>
                <w:rtl w:val="true"/>
              </w:rPr>
              <w:tab/>
            </w:r>
            <w:r>
              <w:rPr>
                <w:rStyle w:val="IndexLink"/>
              </w:rPr>
              <w:t>536</w:t>
            </w:r>
          </w:hyperlink>
        </w:p>
        <w:p>
          <w:pPr>
            <w:pStyle w:val="Contents6"/>
            <w:tabs>
              <w:tab w:val="clear" w:pos="7609"/>
              <w:tab w:val="right" w:pos="9026" w:leader="dot"/>
            </w:tabs>
            <w:rPr/>
          </w:pPr>
          <w:hyperlink w:anchor="__RefHeading___Toc1273343_1067777946">
            <w:r>
              <w:rPr>
                <w:webHidden/>
                <w:rStyle w:val="IndexLink"/>
                <w:rtl w:val="true"/>
              </w:rPr>
              <w:t>أدلّة القاعدة</w:t>
            </w:r>
            <w:r>
              <w:rPr>
                <w:rStyle w:val="IndexLink"/>
                <w:rtl w:val="true"/>
              </w:rPr>
              <w:tab/>
            </w:r>
            <w:r>
              <w:rPr>
                <w:rStyle w:val="IndexLink"/>
              </w:rPr>
              <w:t>538</w:t>
            </w:r>
          </w:hyperlink>
        </w:p>
        <w:p>
          <w:pPr>
            <w:pStyle w:val="Contents6"/>
            <w:tabs>
              <w:tab w:val="clear" w:pos="7609"/>
              <w:tab w:val="right" w:pos="9026" w:leader="dot"/>
            </w:tabs>
            <w:rPr/>
          </w:pPr>
          <w:hyperlink w:anchor="__RefHeading___Toc1273345_1067777946">
            <w:r>
              <w:rPr>
                <w:webHidden/>
                <w:rStyle w:val="IndexLink"/>
                <w:rtl w:val="true"/>
              </w:rPr>
              <w:t>الاستدلال بآيات أربع من الكتاب</w:t>
            </w:r>
            <w:r>
              <w:rPr>
                <w:rStyle w:val="IndexLink"/>
                <w:rtl w:val="true"/>
              </w:rPr>
              <w:tab/>
            </w:r>
            <w:r>
              <w:rPr>
                <w:rStyle w:val="IndexLink"/>
              </w:rPr>
              <w:t>538</w:t>
            </w:r>
          </w:hyperlink>
        </w:p>
        <w:p>
          <w:pPr>
            <w:pStyle w:val="Contents6"/>
            <w:tabs>
              <w:tab w:val="clear" w:pos="7609"/>
              <w:tab w:val="right" w:pos="9026" w:leader="dot"/>
            </w:tabs>
            <w:rPr/>
          </w:pPr>
          <w:hyperlink w:anchor="__RefHeading___Toc1273347_1067777946">
            <w:r>
              <w:rPr>
                <w:webHidden/>
                <w:rStyle w:val="IndexLink"/>
              </w:rPr>
              <w:t>1</w:t>
            </w:r>
            <w:r>
              <w:rPr>
                <w:rStyle w:val="IndexLink"/>
                <w:rtl w:val="true"/>
              </w:rPr>
              <w:t xml:space="preserve">. </w:t>
            </w:r>
            <w:r>
              <w:rPr>
                <w:rStyle w:val="IndexLink"/>
                <w:rtl w:val="true"/>
              </w:rPr>
              <w:t>آية النهي عن سبّ الآلهة</w:t>
            </w:r>
            <w:r>
              <w:rPr>
                <w:rStyle w:val="IndexLink"/>
                <w:rtl w:val="true"/>
              </w:rPr>
              <w:tab/>
            </w:r>
            <w:r>
              <w:rPr>
                <w:rStyle w:val="IndexLink"/>
              </w:rPr>
              <w:t>538</w:t>
            </w:r>
          </w:hyperlink>
        </w:p>
        <w:p>
          <w:pPr>
            <w:pStyle w:val="Contents6"/>
            <w:tabs>
              <w:tab w:val="clear" w:pos="7609"/>
              <w:tab w:val="right" w:pos="9026" w:leader="dot"/>
            </w:tabs>
            <w:rPr/>
          </w:pPr>
          <w:hyperlink w:anchor="__RefHeading___Toc1273349_1067777946">
            <w:r>
              <w:rPr>
                <w:webHidden/>
                <w:rStyle w:val="IndexLink"/>
              </w:rPr>
              <w:t>2</w:t>
            </w:r>
            <w:r>
              <w:rPr>
                <w:rStyle w:val="IndexLink"/>
                <w:rtl w:val="true"/>
              </w:rPr>
              <w:t xml:space="preserve">. </w:t>
            </w:r>
            <w:r>
              <w:rPr>
                <w:rStyle w:val="IndexLink"/>
                <w:rtl w:val="true"/>
              </w:rPr>
              <w:t xml:space="preserve">آية النهي عن القول ب </w:t>
            </w:r>
            <w:r>
              <w:rPr>
                <w:rStyle w:val="IndexLink"/>
                <w:rtl w:val="true"/>
              </w:rPr>
              <w:t>«</w:t>
            </w:r>
            <w:r>
              <w:rPr>
                <w:rStyle w:val="IndexLink"/>
                <w:rtl w:val="true"/>
              </w:rPr>
              <w:t>راعنا</w:t>
            </w:r>
            <w:r>
              <w:rPr>
                <w:rStyle w:val="IndexLink"/>
                <w:rtl w:val="true"/>
              </w:rPr>
              <w:t>»</w:t>
              <w:tab/>
            </w:r>
            <w:r>
              <w:rPr>
                <w:rStyle w:val="IndexLink"/>
              </w:rPr>
              <w:t>539</w:t>
            </w:r>
          </w:hyperlink>
        </w:p>
        <w:p>
          <w:pPr>
            <w:pStyle w:val="Contents6"/>
            <w:tabs>
              <w:tab w:val="clear" w:pos="7609"/>
              <w:tab w:val="right" w:pos="9026" w:leader="dot"/>
            </w:tabs>
            <w:rPr/>
          </w:pPr>
          <w:hyperlink w:anchor="__RefHeading___Toc1273351_1067777946">
            <w:r>
              <w:rPr>
                <w:webHidden/>
                <w:rStyle w:val="IndexLink"/>
              </w:rPr>
              <w:t>3</w:t>
            </w:r>
            <w:r>
              <w:rPr>
                <w:rStyle w:val="IndexLink"/>
                <w:rtl w:val="true"/>
              </w:rPr>
              <w:t xml:space="preserve">. </w:t>
            </w:r>
            <w:r>
              <w:rPr>
                <w:rStyle w:val="IndexLink"/>
                <w:rtl w:val="true"/>
              </w:rPr>
              <w:t>آية النهي عن حيازة الحيتان</w:t>
            </w:r>
            <w:r>
              <w:rPr>
                <w:rStyle w:val="IndexLink"/>
                <w:rtl w:val="true"/>
              </w:rPr>
              <w:tab/>
            </w:r>
            <w:r>
              <w:rPr>
                <w:rStyle w:val="IndexLink"/>
              </w:rPr>
              <w:t>539</w:t>
            </w:r>
          </w:hyperlink>
        </w:p>
        <w:p>
          <w:pPr>
            <w:pStyle w:val="Contents6"/>
            <w:tabs>
              <w:tab w:val="clear" w:pos="7609"/>
              <w:tab w:val="right" w:pos="9026" w:leader="dot"/>
            </w:tabs>
            <w:rPr/>
          </w:pPr>
          <w:hyperlink w:anchor="__RefHeading___Toc1273353_1067777946">
            <w:r>
              <w:rPr>
                <w:webHidden/>
                <w:rStyle w:val="IndexLink"/>
              </w:rPr>
              <w:t>4</w:t>
            </w:r>
            <w:r>
              <w:rPr>
                <w:rStyle w:val="IndexLink"/>
                <w:rtl w:val="true"/>
              </w:rPr>
              <w:t xml:space="preserve">. </w:t>
            </w:r>
            <w:r>
              <w:rPr>
                <w:rStyle w:val="IndexLink"/>
                <w:rtl w:val="true"/>
              </w:rPr>
              <w:t>آية النهي عن التقرب من الشجرة</w:t>
            </w:r>
            <w:r>
              <w:rPr>
                <w:rStyle w:val="IndexLink"/>
                <w:rtl w:val="true"/>
              </w:rPr>
              <w:tab/>
            </w:r>
            <w:r>
              <w:rPr>
                <w:rStyle w:val="IndexLink"/>
              </w:rPr>
              <w:t>540</w:t>
            </w:r>
          </w:hyperlink>
        </w:p>
        <w:p>
          <w:pPr>
            <w:pStyle w:val="Contents6"/>
            <w:tabs>
              <w:tab w:val="clear" w:pos="7609"/>
              <w:tab w:val="right" w:pos="9026" w:leader="dot"/>
            </w:tabs>
            <w:rPr/>
          </w:pPr>
          <w:hyperlink w:anchor="__RefHeading___Toc1273355_1067777946">
            <w:r>
              <w:rPr>
                <w:webHidden/>
                <w:rStyle w:val="IndexLink"/>
                <w:rtl w:val="true"/>
              </w:rPr>
              <w:t>اشارة</w:t>
            </w:r>
            <w:r>
              <w:rPr>
                <w:rStyle w:val="IndexLink"/>
                <w:rtl w:val="true"/>
              </w:rPr>
              <w:tab/>
            </w:r>
            <w:r>
              <w:rPr>
                <w:rStyle w:val="IndexLink"/>
              </w:rPr>
              <w:t>540</w:t>
            </w:r>
          </w:hyperlink>
        </w:p>
        <w:p>
          <w:pPr>
            <w:pStyle w:val="Contents6"/>
            <w:tabs>
              <w:tab w:val="clear" w:pos="7609"/>
              <w:tab w:val="right" w:pos="9026" w:leader="dot"/>
            </w:tabs>
            <w:rPr/>
          </w:pPr>
          <w:hyperlink w:anchor="__RefHeading___Toc1273357_1067777946">
            <w:r>
              <w:rPr>
                <w:webHidden/>
                <w:rStyle w:val="IndexLink"/>
                <w:rtl w:val="true"/>
              </w:rPr>
              <w:t>الاستدلال بالسنّة</w:t>
            </w:r>
            <w:r>
              <w:rPr>
                <w:rStyle w:val="IndexLink"/>
                <w:rtl w:val="true"/>
              </w:rPr>
              <w:tab/>
            </w:r>
            <w:r>
              <w:rPr>
                <w:rStyle w:val="IndexLink"/>
              </w:rPr>
              <w:t>540</w:t>
            </w:r>
          </w:hyperlink>
        </w:p>
        <w:p>
          <w:pPr>
            <w:pStyle w:val="Contents6"/>
            <w:tabs>
              <w:tab w:val="clear" w:pos="7609"/>
              <w:tab w:val="right" w:pos="9026" w:leader="dot"/>
            </w:tabs>
            <w:rPr/>
          </w:pPr>
          <w:hyperlink w:anchor="__RefHeading___Toc1273359_1067777946">
            <w:r>
              <w:rPr>
                <w:webHidden/>
                <w:rStyle w:val="IndexLink"/>
                <w:rtl w:val="true"/>
              </w:rPr>
              <w:t>مناقشة حديث معاذ</w:t>
            </w:r>
            <w:r>
              <w:rPr>
                <w:rStyle w:val="IndexLink"/>
                <w:rtl w:val="true"/>
              </w:rPr>
              <w:tab/>
            </w:r>
            <w:r>
              <w:rPr>
                <w:rStyle w:val="IndexLink"/>
              </w:rPr>
              <w:t>540</w:t>
            </w:r>
          </w:hyperlink>
        </w:p>
        <w:p>
          <w:pPr>
            <w:pStyle w:val="Contents6"/>
            <w:tabs>
              <w:tab w:val="clear" w:pos="7609"/>
              <w:tab w:val="right" w:pos="9026" w:leader="dot"/>
            </w:tabs>
            <w:rPr/>
          </w:pPr>
          <w:hyperlink w:anchor="__RefHeading___Toc1273361_1067777946">
            <w:r>
              <w:rPr>
                <w:webHidden/>
                <w:rStyle w:val="IndexLink"/>
                <w:rtl w:val="true"/>
              </w:rPr>
              <w:t>الاستدلال بالإجماع</w:t>
            </w:r>
            <w:r>
              <w:rPr>
                <w:rStyle w:val="IndexLink"/>
                <w:rtl w:val="true"/>
              </w:rPr>
              <w:tab/>
            </w:r>
            <w:r>
              <w:rPr>
                <w:rStyle w:val="IndexLink"/>
              </w:rPr>
              <w:t>541</w:t>
            </w:r>
          </w:hyperlink>
        </w:p>
        <w:p>
          <w:pPr>
            <w:pStyle w:val="Contents6"/>
            <w:tabs>
              <w:tab w:val="clear" w:pos="7609"/>
              <w:tab w:val="right" w:pos="9026" w:leader="dot"/>
            </w:tabs>
            <w:rPr/>
          </w:pPr>
          <w:hyperlink w:anchor="__RefHeading___Toc1273363_1067777946">
            <w:r>
              <w:rPr>
                <w:webHidden/>
                <w:rStyle w:val="IndexLink"/>
                <w:rtl w:val="true"/>
              </w:rPr>
              <w:t>الاستدلال بالعقل</w:t>
            </w:r>
            <w:r>
              <w:rPr>
                <w:rStyle w:val="IndexLink"/>
                <w:rtl w:val="true"/>
              </w:rPr>
              <w:tab/>
            </w:r>
            <w:r>
              <w:rPr>
                <w:rStyle w:val="IndexLink"/>
              </w:rPr>
              <w:t>541</w:t>
            </w:r>
          </w:hyperlink>
        </w:p>
        <w:p>
          <w:pPr>
            <w:pStyle w:val="Contents6"/>
            <w:tabs>
              <w:tab w:val="clear" w:pos="7609"/>
              <w:tab w:val="right" w:pos="9026" w:leader="dot"/>
            </w:tabs>
            <w:rPr/>
          </w:pPr>
          <w:hyperlink w:anchor="__RefHeading___Toc1273365_1067777946">
            <w:r>
              <w:rPr>
                <w:webHidden/>
                <w:rStyle w:val="IndexLink"/>
                <w:rtl w:val="true"/>
              </w:rPr>
              <w:t>اشارة</w:t>
            </w:r>
            <w:r>
              <w:rPr>
                <w:rStyle w:val="IndexLink"/>
                <w:rtl w:val="true"/>
              </w:rPr>
              <w:tab/>
            </w:r>
            <w:r>
              <w:rPr>
                <w:rStyle w:val="IndexLink"/>
              </w:rPr>
              <w:t>541</w:t>
            </w:r>
          </w:hyperlink>
        </w:p>
        <w:p>
          <w:pPr>
            <w:pStyle w:val="Contents6"/>
            <w:tabs>
              <w:tab w:val="clear" w:pos="7609"/>
              <w:tab w:val="right" w:pos="9026" w:leader="dot"/>
            </w:tabs>
            <w:rPr/>
          </w:pPr>
          <w:hyperlink w:anchor="__RefHeading___Toc1273367_1067777946">
            <w:r>
              <w:rPr>
                <w:webHidden/>
                <w:rStyle w:val="IndexLink"/>
              </w:rPr>
              <w:t>1</w:t>
            </w:r>
            <w:r>
              <w:rPr>
                <w:rStyle w:val="IndexLink"/>
                <w:rtl w:val="true"/>
              </w:rPr>
              <w:t xml:space="preserve">. </w:t>
            </w:r>
            <w:r>
              <w:rPr>
                <w:rStyle w:val="IndexLink"/>
                <w:rtl w:val="true"/>
              </w:rPr>
              <w:t>مكانة القاعدة في علم الأُصول</w:t>
            </w:r>
            <w:r>
              <w:rPr>
                <w:rStyle w:val="IndexLink"/>
                <w:rtl w:val="true"/>
              </w:rPr>
              <w:tab/>
            </w:r>
            <w:r>
              <w:rPr>
                <w:rStyle w:val="IndexLink"/>
              </w:rPr>
              <w:t>542</w:t>
            </w:r>
          </w:hyperlink>
        </w:p>
        <w:p>
          <w:pPr>
            <w:pStyle w:val="Contents6"/>
            <w:tabs>
              <w:tab w:val="clear" w:pos="7609"/>
              <w:tab w:val="right" w:pos="9026" w:leader="dot"/>
            </w:tabs>
            <w:rPr/>
          </w:pPr>
          <w:hyperlink w:anchor="__RefHeading___Toc1273369_1067777946">
            <w:r>
              <w:rPr>
                <w:webHidden/>
                <w:rStyle w:val="IndexLink"/>
              </w:rPr>
              <w:t>2</w:t>
            </w:r>
            <w:r>
              <w:rPr>
                <w:rStyle w:val="IndexLink"/>
                <w:rtl w:val="true"/>
              </w:rPr>
              <w:t xml:space="preserve">. </w:t>
            </w:r>
            <w:r>
              <w:rPr>
                <w:rStyle w:val="IndexLink"/>
                <w:rtl w:val="true"/>
              </w:rPr>
              <w:t>دراسة بعض الفروع المبنية عليها</w:t>
            </w:r>
            <w:r>
              <w:rPr>
                <w:rStyle w:val="IndexLink"/>
                <w:rtl w:val="true"/>
              </w:rPr>
              <w:tab/>
            </w:r>
            <w:r>
              <w:rPr>
                <w:rStyle w:val="IndexLink"/>
              </w:rPr>
              <w:t>543</w:t>
            </w:r>
          </w:hyperlink>
        </w:p>
        <w:p>
          <w:pPr>
            <w:pStyle w:val="Contents6"/>
            <w:tabs>
              <w:tab w:val="clear" w:pos="7609"/>
              <w:tab w:val="right" w:pos="9026" w:leader="dot"/>
            </w:tabs>
            <w:rPr/>
          </w:pPr>
          <w:hyperlink w:anchor="__RefHeading___Toc1273371_1067777946">
            <w:r>
              <w:rPr>
                <w:webHidden/>
                <w:rStyle w:val="IndexLink"/>
                <w:rtl w:val="true"/>
              </w:rPr>
              <w:t>حصيلة البحث</w:t>
            </w:r>
            <w:r>
              <w:rPr>
                <w:rStyle w:val="IndexLink"/>
                <w:rtl w:val="true"/>
              </w:rPr>
              <w:tab/>
            </w:r>
            <w:r>
              <w:rPr>
                <w:rStyle w:val="IndexLink"/>
              </w:rPr>
              <w:t>545</w:t>
            </w:r>
          </w:hyperlink>
        </w:p>
        <w:p>
          <w:pPr>
            <w:pStyle w:val="Contents6"/>
            <w:tabs>
              <w:tab w:val="clear" w:pos="7609"/>
              <w:tab w:val="right" w:pos="9026" w:leader="dot"/>
            </w:tabs>
            <w:rPr/>
          </w:pPr>
          <w:hyperlink w:anchor="__RefHeading___Toc1273373_1067777946">
            <w:r>
              <w:rPr>
                <w:webHidden/>
                <w:rStyle w:val="IndexLink"/>
              </w:rPr>
              <w:t>5</w:t>
            </w:r>
            <w:r>
              <w:rPr>
                <w:rStyle w:val="IndexLink"/>
                <w:rtl w:val="true"/>
              </w:rPr>
              <w:t xml:space="preserve">- </w:t>
            </w:r>
            <w:r>
              <w:rPr>
                <w:rStyle w:val="IndexLink"/>
                <w:rtl w:val="true"/>
              </w:rPr>
              <w:t>مصادر التشريع فيما لا نصّ فيه عند أهل السنّة</w:t>
            </w:r>
            <w:r>
              <w:rPr>
                <w:rStyle w:val="IndexLink"/>
                <w:rtl w:val="true"/>
              </w:rPr>
              <w:tab/>
            </w:r>
            <w:r>
              <w:rPr>
                <w:rStyle w:val="IndexLink"/>
              </w:rPr>
              <w:t>546</w:t>
            </w:r>
          </w:hyperlink>
        </w:p>
        <w:p>
          <w:pPr>
            <w:pStyle w:val="Contents6"/>
            <w:tabs>
              <w:tab w:val="clear" w:pos="7609"/>
              <w:tab w:val="right" w:pos="9026" w:leader="dot"/>
            </w:tabs>
            <w:rPr/>
          </w:pPr>
          <w:hyperlink w:anchor="__RefHeading___Toc1273375_1067777946">
            <w:r>
              <w:rPr>
                <w:webHidden/>
                <w:rStyle w:val="IndexLink"/>
                <w:rtl w:val="true"/>
              </w:rPr>
              <w:t>الحيل</w:t>
            </w:r>
            <w:r>
              <w:rPr>
                <w:rStyle w:val="IndexLink"/>
                <w:rtl w:val="true"/>
              </w:rPr>
              <w:t>(</w:t>
            </w:r>
            <w:r>
              <w:rPr>
                <w:rStyle w:val="IndexLink"/>
                <w:rtl w:val="true"/>
              </w:rPr>
              <w:t>فتح الذرائع</w:t>
            </w:r>
            <w:r>
              <w:rPr>
                <w:rStyle w:val="IndexLink"/>
                <w:rtl w:val="true"/>
              </w:rPr>
              <w:t>)</w:t>
              <w:tab/>
            </w:r>
            <w:r>
              <w:rPr>
                <w:rStyle w:val="IndexLink"/>
              </w:rPr>
              <w:t>546</w:t>
            </w:r>
          </w:hyperlink>
        </w:p>
        <w:p>
          <w:pPr>
            <w:pStyle w:val="Contents6"/>
            <w:tabs>
              <w:tab w:val="clear" w:pos="7609"/>
              <w:tab w:val="right" w:pos="9026" w:leader="dot"/>
            </w:tabs>
            <w:rPr/>
          </w:pPr>
          <w:hyperlink w:anchor="__RefHeading___Toc1273377_1067777946">
            <w:r>
              <w:rPr>
                <w:webHidden/>
                <w:rStyle w:val="IndexLink"/>
                <w:rtl w:val="true"/>
              </w:rPr>
              <w:t xml:space="preserve">وقد استدلّ المثبتون لها بالكتاب والسنّة </w:t>
            </w:r>
            <w:r>
              <w:rPr>
                <w:rStyle w:val="IndexLink"/>
                <w:rtl w:val="true"/>
              </w:rPr>
              <w:t>:</w:t>
              <w:tab/>
            </w:r>
            <w:r>
              <w:rPr>
                <w:rStyle w:val="IndexLink"/>
              </w:rPr>
              <w:t>548</w:t>
            </w:r>
          </w:hyperlink>
        </w:p>
        <w:p>
          <w:pPr>
            <w:pStyle w:val="Contents6"/>
            <w:tabs>
              <w:tab w:val="clear" w:pos="7609"/>
              <w:tab w:val="right" w:pos="9026" w:leader="dot"/>
            </w:tabs>
            <w:rPr/>
          </w:pPr>
          <w:hyperlink w:anchor="__RefHeading___Toc1273379_1067777946">
            <w:r>
              <w:rPr>
                <w:webHidden/>
                <w:rStyle w:val="IndexLink"/>
                <w:rtl w:val="true"/>
              </w:rPr>
              <w:t xml:space="preserve">الاستدلال بالكتاب </w:t>
            </w:r>
            <w:r>
              <w:rPr>
                <w:rStyle w:val="IndexLink"/>
                <w:rtl w:val="true"/>
              </w:rPr>
              <w:t>:</w:t>
              <w:tab/>
            </w:r>
            <w:r>
              <w:rPr>
                <w:rStyle w:val="IndexLink"/>
              </w:rPr>
              <w:t>548</w:t>
            </w:r>
          </w:hyperlink>
        </w:p>
        <w:p>
          <w:pPr>
            <w:pStyle w:val="Contents6"/>
            <w:tabs>
              <w:tab w:val="clear" w:pos="7609"/>
              <w:tab w:val="right" w:pos="9026" w:leader="dot"/>
            </w:tabs>
            <w:rPr/>
          </w:pPr>
          <w:hyperlink w:anchor="__RefHeading___Toc1273381_1067777946">
            <w:r>
              <w:rPr>
                <w:webHidden/>
                <w:rStyle w:val="IndexLink"/>
                <w:rtl w:val="true"/>
              </w:rPr>
              <w:t>الاستدلال بالسنّة</w:t>
            </w:r>
            <w:r>
              <w:rPr>
                <w:rStyle w:val="IndexLink"/>
                <w:rtl w:val="true"/>
              </w:rPr>
              <w:tab/>
            </w:r>
            <w:r>
              <w:rPr>
                <w:rStyle w:val="IndexLink"/>
              </w:rPr>
              <w:t>550</w:t>
            </w:r>
          </w:hyperlink>
        </w:p>
        <w:p>
          <w:pPr>
            <w:pStyle w:val="Contents6"/>
            <w:tabs>
              <w:tab w:val="clear" w:pos="7609"/>
              <w:tab w:val="right" w:pos="9026" w:leader="dot"/>
            </w:tabs>
            <w:rPr/>
          </w:pPr>
          <w:hyperlink w:anchor="__RefHeading___Toc1273383_1067777946">
            <w:r>
              <w:rPr>
                <w:webHidden/>
                <w:rStyle w:val="IndexLink"/>
                <w:rtl w:val="true"/>
              </w:rPr>
              <w:t xml:space="preserve">القول الحاسم في فتح الذرائع </w:t>
            </w:r>
            <w:r>
              <w:rPr>
                <w:rStyle w:val="IndexLink"/>
                <w:rtl w:val="true"/>
              </w:rPr>
              <w:t>(</w:t>
            </w:r>
            <w:r>
              <w:rPr>
                <w:rStyle w:val="IndexLink"/>
                <w:rtl w:val="true"/>
              </w:rPr>
              <w:t>الحيل</w:t>
            </w:r>
            <w:r>
              <w:rPr>
                <w:rStyle w:val="IndexLink"/>
                <w:rtl w:val="true"/>
              </w:rPr>
              <w:t>)</w:t>
              <w:tab/>
            </w:r>
            <w:r>
              <w:rPr>
                <w:rStyle w:val="IndexLink"/>
              </w:rPr>
              <w:t>551</w:t>
            </w:r>
          </w:hyperlink>
        </w:p>
        <w:p>
          <w:pPr>
            <w:pStyle w:val="Contents6"/>
            <w:tabs>
              <w:tab w:val="clear" w:pos="7609"/>
              <w:tab w:val="right" w:pos="9026" w:leader="dot"/>
            </w:tabs>
            <w:rPr/>
          </w:pPr>
          <w:hyperlink w:anchor="__RefHeading___Toc1273385_1067777946">
            <w:r>
              <w:rPr>
                <w:webHidden/>
                <w:rStyle w:val="IndexLink"/>
              </w:rPr>
              <w:t>6</w:t>
            </w:r>
            <w:r>
              <w:rPr>
                <w:rStyle w:val="IndexLink"/>
                <w:rtl w:val="true"/>
              </w:rPr>
              <w:t xml:space="preserve">- </w:t>
            </w:r>
            <w:r>
              <w:rPr>
                <w:rStyle w:val="IndexLink"/>
                <w:rtl w:val="true"/>
              </w:rPr>
              <w:t>مصادر التشريع فيما لا نصّ فيه عند أهل السنّة</w:t>
            </w:r>
            <w:r>
              <w:rPr>
                <w:rStyle w:val="IndexLink"/>
                <w:rtl w:val="true"/>
              </w:rPr>
              <w:tab/>
            </w:r>
            <w:r>
              <w:rPr>
                <w:rStyle w:val="IndexLink"/>
              </w:rPr>
              <w:t>556</w:t>
            </w:r>
          </w:hyperlink>
        </w:p>
        <w:p>
          <w:pPr>
            <w:pStyle w:val="Contents6"/>
            <w:tabs>
              <w:tab w:val="clear" w:pos="7609"/>
              <w:tab w:val="right" w:pos="9026" w:leader="dot"/>
            </w:tabs>
            <w:rPr/>
          </w:pPr>
          <w:hyperlink w:anchor="__RefHeading___Toc1273387_1067777946">
            <w:r>
              <w:rPr>
                <w:webHidden/>
                <w:rStyle w:val="IndexLink"/>
                <w:rtl w:val="true"/>
              </w:rPr>
              <w:t>قول الصحابي</w:t>
            </w:r>
            <w:r>
              <w:rPr>
                <w:rStyle w:val="IndexLink"/>
                <w:rtl w:val="true"/>
              </w:rPr>
              <w:tab/>
            </w:r>
            <w:r>
              <w:rPr>
                <w:rStyle w:val="IndexLink"/>
              </w:rPr>
              <w:t>556</w:t>
            </w:r>
          </w:hyperlink>
        </w:p>
        <w:p>
          <w:pPr>
            <w:pStyle w:val="Contents6"/>
            <w:tabs>
              <w:tab w:val="clear" w:pos="7609"/>
              <w:tab w:val="right" w:pos="9026" w:leader="dot"/>
            </w:tabs>
            <w:rPr/>
          </w:pPr>
          <w:hyperlink w:anchor="__RefHeading___Toc1273389_1067777946">
            <w:r>
              <w:rPr>
                <w:webHidden/>
                <w:rStyle w:val="IndexLink"/>
                <w:rtl w:val="true"/>
              </w:rPr>
              <w:t xml:space="preserve">فينحصر النزاع في الموارد الثلاثة التالية </w:t>
            </w:r>
            <w:r>
              <w:rPr>
                <w:rStyle w:val="IndexLink"/>
                <w:rtl w:val="true"/>
              </w:rPr>
              <w:t>:</w:t>
              <w:tab/>
            </w:r>
            <w:r>
              <w:rPr>
                <w:rStyle w:val="IndexLink"/>
              </w:rPr>
              <w:t>557</w:t>
            </w:r>
          </w:hyperlink>
        </w:p>
        <w:p>
          <w:pPr>
            <w:pStyle w:val="Contents6"/>
            <w:tabs>
              <w:tab w:val="clear" w:pos="7609"/>
              <w:tab w:val="right" w:pos="9026" w:leader="dot"/>
            </w:tabs>
            <w:rPr/>
          </w:pPr>
          <w:hyperlink w:anchor="__RefHeading___Toc1273391_1067777946">
            <w:r>
              <w:rPr>
                <w:webHidden/>
                <w:rStyle w:val="IndexLink"/>
                <w:rtl w:val="true"/>
              </w:rPr>
              <w:t>اشارة</w:t>
            </w:r>
            <w:r>
              <w:rPr>
                <w:rStyle w:val="IndexLink"/>
                <w:rtl w:val="true"/>
              </w:rPr>
              <w:tab/>
            </w:r>
            <w:r>
              <w:rPr>
                <w:rStyle w:val="IndexLink"/>
              </w:rPr>
              <w:t>557</w:t>
            </w:r>
          </w:hyperlink>
        </w:p>
        <w:p>
          <w:pPr>
            <w:pStyle w:val="Contents6"/>
            <w:tabs>
              <w:tab w:val="clear" w:pos="7609"/>
              <w:tab w:val="right" w:pos="9026" w:leader="dot"/>
            </w:tabs>
            <w:rPr/>
          </w:pPr>
          <w:hyperlink w:anchor="__RefHeading___Toc1273393_1067777946">
            <w:r>
              <w:rPr>
                <w:webHidden/>
                <w:rStyle w:val="IndexLink"/>
              </w:rPr>
              <w:t>1</w:t>
            </w:r>
            <w:r>
              <w:rPr>
                <w:rStyle w:val="IndexLink"/>
                <w:rtl w:val="true"/>
              </w:rPr>
              <w:t xml:space="preserve">. </w:t>
            </w:r>
            <w:r>
              <w:rPr>
                <w:rStyle w:val="IndexLink"/>
                <w:rtl w:val="true"/>
              </w:rPr>
              <w:t>قول الصحابي</w:t>
            </w:r>
            <w:r>
              <w:rPr>
                <w:rStyle w:val="IndexLink"/>
                <w:rtl w:val="true"/>
              </w:rPr>
              <w:tab/>
            </w:r>
            <w:r>
              <w:rPr>
                <w:rStyle w:val="IndexLink"/>
              </w:rPr>
              <w:t>558</w:t>
            </w:r>
          </w:hyperlink>
        </w:p>
        <w:p>
          <w:pPr>
            <w:pStyle w:val="Contents6"/>
            <w:tabs>
              <w:tab w:val="clear" w:pos="7609"/>
              <w:tab w:val="right" w:pos="9026" w:leader="dot"/>
            </w:tabs>
            <w:rPr/>
          </w:pPr>
          <w:hyperlink w:anchor="__RefHeading___Toc1273395_1067777946">
            <w:r>
              <w:rPr>
                <w:webHidden/>
                <w:rStyle w:val="IndexLink"/>
              </w:rPr>
              <w:t>2</w:t>
            </w:r>
            <w:r>
              <w:rPr>
                <w:rStyle w:val="IndexLink"/>
                <w:rtl w:val="true"/>
              </w:rPr>
              <w:t xml:space="preserve">. </w:t>
            </w:r>
            <w:r>
              <w:rPr>
                <w:rStyle w:val="IndexLink"/>
                <w:rtl w:val="true"/>
              </w:rPr>
              <w:t>رأي الصحابي</w:t>
            </w:r>
            <w:r>
              <w:rPr>
                <w:rStyle w:val="IndexLink"/>
                <w:rtl w:val="true"/>
              </w:rPr>
              <w:tab/>
            </w:r>
            <w:r>
              <w:rPr>
                <w:rStyle w:val="IndexLink"/>
              </w:rPr>
              <w:t>558</w:t>
            </w:r>
          </w:hyperlink>
        </w:p>
        <w:p>
          <w:pPr>
            <w:pStyle w:val="Contents6"/>
            <w:tabs>
              <w:tab w:val="clear" w:pos="7609"/>
              <w:tab w:val="right" w:pos="9026" w:leader="dot"/>
            </w:tabs>
            <w:rPr/>
          </w:pPr>
          <w:hyperlink w:anchor="__RefHeading___Toc1273397_1067777946">
            <w:r>
              <w:rPr>
                <w:webHidden/>
                <w:rStyle w:val="IndexLink"/>
              </w:rPr>
              <w:t>3</w:t>
            </w:r>
            <w:r>
              <w:rPr>
                <w:rStyle w:val="IndexLink"/>
                <w:rtl w:val="true"/>
              </w:rPr>
              <w:t xml:space="preserve">. </w:t>
            </w:r>
            <w:r>
              <w:rPr>
                <w:rStyle w:val="IndexLink"/>
                <w:rtl w:val="true"/>
              </w:rPr>
              <w:t>قوله المردّد بين النقل والرأي</w:t>
            </w:r>
            <w:r>
              <w:rPr>
                <w:rStyle w:val="IndexLink"/>
                <w:rtl w:val="true"/>
              </w:rPr>
              <w:tab/>
            </w:r>
            <w:r>
              <w:rPr>
                <w:rStyle w:val="IndexLink"/>
              </w:rPr>
              <w:t>558</w:t>
            </w:r>
          </w:hyperlink>
        </w:p>
        <w:p>
          <w:pPr>
            <w:pStyle w:val="Contents6"/>
            <w:tabs>
              <w:tab w:val="clear" w:pos="7609"/>
              <w:tab w:val="right" w:pos="9026" w:leader="dot"/>
            </w:tabs>
            <w:rPr/>
          </w:pPr>
          <w:hyperlink w:anchor="__RefHeading___Toc1273399_1067777946">
            <w:r>
              <w:rPr>
                <w:webHidden/>
                <w:rStyle w:val="IndexLink"/>
                <w:rtl w:val="true"/>
              </w:rPr>
              <w:t>اشارة</w:t>
            </w:r>
            <w:r>
              <w:rPr>
                <w:rStyle w:val="IndexLink"/>
                <w:rtl w:val="true"/>
              </w:rPr>
              <w:tab/>
            </w:r>
            <w:r>
              <w:rPr>
                <w:rStyle w:val="IndexLink"/>
              </w:rPr>
              <w:t>558</w:t>
            </w:r>
          </w:hyperlink>
        </w:p>
        <w:p>
          <w:pPr>
            <w:pStyle w:val="Contents6"/>
            <w:tabs>
              <w:tab w:val="clear" w:pos="7609"/>
              <w:tab w:val="right" w:pos="9026" w:leader="dot"/>
            </w:tabs>
            <w:rPr/>
          </w:pPr>
          <w:hyperlink w:anchor="__RefHeading___Toc1273401_1067777946">
            <w:r>
              <w:rPr>
                <w:webHidden/>
                <w:rStyle w:val="IndexLink"/>
              </w:rPr>
              <w:t>1</w:t>
            </w:r>
            <w:r>
              <w:rPr>
                <w:rStyle w:val="IndexLink"/>
                <w:rtl w:val="true"/>
              </w:rPr>
              <w:t xml:space="preserve">. </w:t>
            </w:r>
            <w:r>
              <w:rPr>
                <w:rStyle w:val="IndexLink"/>
                <w:rtl w:val="true"/>
              </w:rPr>
              <w:t>الحجّة هو قول الصحابي لا رأيه</w:t>
            </w:r>
            <w:r>
              <w:rPr>
                <w:rStyle w:val="IndexLink"/>
                <w:rtl w:val="true"/>
              </w:rPr>
              <w:tab/>
            </w:r>
            <w:r>
              <w:rPr>
                <w:rStyle w:val="IndexLink"/>
              </w:rPr>
              <w:t>559</w:t>
            </w:r>
          </w:hyperlink>
        </w:p>
        <w:p>
          <w:pPr>
            <w:pStyle w:val="Contents6"/>
            <w:tabs>
              <w:tab w:val="clear" w:pos="7609"/>
              <w:tab w:val="right" w:pos="9026" w:leader="dot"/>
            </w:tabs>
            <w:rPr/>
          </w:pPr>
          <w:hyperlink w:anchor="__RefHeading___Toc1273403_1067777946">
            <w:r>
              <w:rPr>
                <w:webHidden/>
                <w:rStyle w:val="IndexLink"/>
                <w:rtl w:val="true"/>
              </w:rPr>
              <w:t>اشارة</w:t>
            </w:r>
            <w:r>
              <w:rPr>
                <w:rStyle w:val="IndexLink"/>
                <w:rtl w:val="true"/>
              </w:rPr>
              <w:tab/>
            </w:r>
            <w:r>
              <w:rPr>
                <w:rStyle w:val="IndexLink"/>
              </w:rPr>
              <w:t>559</w:t>
            </w:r>
          </w:hyperlink>
        </w:p>
        <w:p>
          <w:pPr>
            <w:pStyle w:val="Contents6"/>
            <w:tabs>
              <w:tab w:val="clear" w:pos="7609"/>
              <w:tab w:val="right" w:pos="9026" w:leader="dot"/>
            </w:tabs>
            <w:rPr/>
          </w:pPr>
          <w:hyperlink w:anchor="__RefHeading___Toc1273405_1067777946">
            <w:r>
              <w:rPr>
                <w:webHidden/>
                <w:rStyle w:val="IndexLink"/>
                <w:rtl w:val="true"/>
              </w:rPr>
              <w:t xml:space="preserve">يلاحظ على كلامه بوجوه </w:t>
            </w:r>
            <w:r>
              <w:rPr>
                <w:rStyle w:val="IndexLink"/>
                <w:rtl w:val="true"/>
              </w:rPr>
              <w:t>:</w:t>
              <w:tab/>
            </w:r>
            <w:r>
              <w:rPr>
                <w:rStyle w:val="IndexLink"/>
              </w:rPr>
              <w:t>559</w:t>
            </w:r>
          </w:hyperlink>
        </w:p>
        <w:p>
          <w:pPr>
            <w:pStyle w:val="Contents6"/>
            <w:tabs>
              <w:tab w:val="clear" w:pos="7609"/>
              <w:tab w:val="right" w:pos="9026" w:leader="dot"/>
            </w:tabs>
            <w:rPr/>
          </w:pPr>
          <w:hyperlink w:anchor="__RefHeading___Toc1273407_1067777946">
            <w:r>
              <w:rPr>
                <w:webHidden/>
                <w:rStyle w:val="IndexLink"/>
                <w:rtl w:val="true"/>
              </w:rPr>
              <w:t xml:space="preserve">يلاحظ عليه بأمرين </w:t>
            </w:r>
            <w:r>
              <w:rPr>
                <w:rStyle w:val="IndexLink"/>
                <w:rtl w:val="true"/>
              </w:rPr>
              <w:t>:</w:t>
              <w:tab/>
            </w:r>
            <w:r>
              <w:rPr>
                <w:rStyle w:val="IndexLink"/>
              </w:rPr>
              <w:t>561</w:t>
            </w:r>
          </w:hyperlink>
        </w:p>
        <w:p>
          <w:pPr>
            <w:pStyle w:val="Contents6"/>
            <w:tabs>
              <w:tab w:val="clear" w:pos="7609"/>
              <w:tab w:val="right" w:pos="9026" w:leader="dot"/>
            </w:tabs>
            <w:rPr/>
          </w:pPr>
          <w:hyperlink w:anchor="__RefHeading___Toc1273409_1067777946">
            <w:r>
              <w:rPr>
                <w:webHidden/>
                <w:rStyle w:val="IndexLink"/>
              </w:rPr>
              <w:t>2</w:t>
            </w:r>
            <w:r>
              <w:rPr>
                <w:rStyle w:val="IndexLink"/>
                <w:rtl w:val="true"/>
              </w:rPr>
              <w:t xml:space="preserve">. </w:t>
            </w:r>
            <w:r>
              <w:rPr>
                <w:rStyle w:val="IndexLink"/>
                <w:rtl w:val="true"/>
              </w:rPr>
              <w:t>الحجّة هو الأعم من القول والرأي</w:t>
            </w:r>
            <w:r>
              <w:rPr>
                <w:rStyle w:val="IndexLink"/>
                <w:rtl w:val="true"/>
              </w:rPr>
              <w:tab/>
            </w:r>
            <w:r>
              <w:rPr>
                <w:rStyle w:val="IndexLink"/>
              </w:rPr>
              <w:t>562</w:t>
            </w:r>
          </w:hyperlink>
        </w:p>
        <w:p>
          <w:pPr>
            <w:pStyle w:val="Contents6"/>
            <w:tabs>
              <w:tab w:val="clear" w:pos="7609"/>
              <w:tab w:val="right" w:pos="9026" w:leader="dot"/>
            </w:tabs>
            <w:rPr/>
          </w:pPr>
          <w:hyperlink w:anchor="__RefHeading___Toc1273411_1067777946">
            <w:r>
              <w:rPr>
                <w:webHidden/>
                <w:rStyle w:val="IndexLink"/>
                <w:rtl w:val="true"/>
              </w:rPr>
              <w:t>اشارة</w:t>
            </w:r>
            <w:r>
              <w:rPr>
                <w:rStyle w:val="IndexLink"/>
                <w:rtl w:val="true"/>
              </w:rPr>
              <w:tab/>
            </w:r>
            <w:r>
              <w:rPr>
                <w:rStyle w:val="IndexLink"/>
              </w:rPr>
              <w:t>562</w:t>
            </w:r>
          </w:hyperlink>
        </w:p>
        <w:p>
          <w:pPr>
            <w:pStyle w:val="Contents6"/>
            <w:tabs>
              <w:tab w:val="clear" w:pos="7609"/>
              <w:tab w:val="right" w:pos="9026" w:leader="dot"/>
            </w:tabs>
            <w:rPr/>
          </w:pPr>
          <w:hyperlink w:anchor="__RefHeading___Toc1273413_1067777946">
            <w:r>
              <w:rPr>
                <w:webHidden/>
                <w:rStyle w:val="IndexLink"/>
                <w:rtl w:val="true"/>
              </w:rPr>
              <w:t>الدليل الأوّل</w:t>
            </w:r>
            <w:r>
              <w:rPr>
                <w:rStyle w:val="IndexLink"/>
                <w:rtl w:val="true"/>
              </w:rPr>
              <w:tab/>
            </w:r>
            <w:r>
              <w:rPr>
                <w:rStyle w:val="IndexLink"/>
              </w:rPr>
              <w:t>562</w:t>
            </w:r>
          </w:hyperlink>
        </w:p>
        <w:p>
          <w:pPr>
            <w:pStyle w:val="Contents6"/>
            <w:tabs>
              <w:tab w:val="clear" w:pos="7609"/>
              <w:tab w:val="right" w:pos="9026" w:leader="dot"/>
            </w:tabs>
            <w:rPr/>
          </w:pPr>
          <w:hyperlink w:anchor="__RefHeading___Toc1273415_1067777946">
            <w:r>
              <w:rPr>
                <w:webHidden/>
                <w:rStyle w:val="IndexLink"/>
                <w:rtl w:val="true"/>
              </w:rPr>
              <w:t>اشارة</w:t>
            </w:r>
            <w:r>
              <w:rPr>
                <w:rStyle w:val="IndexLink"/>
                <w:rtl w:val="true"/>
              </w:rPr>
              <w:tab/>
            </w:r>
            <w:r>
              <w:rPr>
                <w:rStyle w:val="IndexLink"/>
              </w:rPr>
              <w:t>562</w:t>
            </w:r>
          </w:hyperlink>
        </w:p>
        <w:p>
          <w:pPr>
            <w:pStyle w:val="Contents6"/>
            <w:tabs>
              <w:tab w:val="clear" w:pos="7609"/>
              <w:tab w:val="right" w:pos="9026" w:leader="dot"/>
            </w:tabs>
            <w:rPr/>
          </w:pPr>
          <w:hyperlink w:anchor="__RefHeading___Toc1273417_1067777946">
            <w:r>
              <w:rPr>
                <w:webHidden/>
                <w:rStyle w:val="IndexLink"/>
                <w:rtl w:val="true"/>
              </w:rPr>
              <w:t xml:space="preserve">أقول </w:t>
            </w:r>
            <w:r>
              <w:rPr>
                <w:rStyle w:val="IndexLink"/>
                <w:rtl w:val="true"/>
              </w:rPr>
              <w:t xml:space="preserve">: </w:t>
            </w:r>
            <w:r>
              <w:rPr>
                <w:rStyle w:val="IndexLink"/>
                <w:rtl w:val="true"/>
              </w:rPr>
              <w:t xml:space="preserve">يلاحظ عليه بوجوه </w:t>
            </w:r>
            <w:r>
              <w:rPr>
                <w:rStyle w:val="IndexLink"/>
                <w:rtl w:val="true"/>
              </w:rPr>
              <w:t>:</w:t>
              <w:tab/>
            </w:r>
            <w:r>
              <w:rPr>
                <w:rStyle w:val="IndexLink"/>
              </w:rPr>
              <w:t>563</w:t>
            </w:r>
          </w:hyperlink>
        </w:p>
        <w:p>
          <w:pPr>
            <w:pStyle w:val="Contents6"/>
            <w:tabs>
              <w:tab w:val="clear" w:pos="7609"/>
              <w:tab w:val="right" w:pos="9026" w:leader="dot"/>
            </w:tabs>
            <w:rPr/>
          </w:pPr>
          <w:hyperlink w:anchor="__RefHeading___Toc1273419_1067777946">
            <w:r>
              <w:rPr>
                <w:webHidden/>
                <w:rStyle w:val="IndexLink"/>
                <w:rtl w:val="true"/>
              </w:rPr>
              <w:t>الدليل الثاني</w:t>
            </w:r>
            <w:r>
              <w:rPr>
                <w:rStyle w:val="IndexLink"/>
                <w:rtl w:val="true"/>
              </w:rPr>
              <w:tab/>
            </w:r>
            <w:r>
              <w:rPr>
                <w:rStyle w:val="IndexLink"/>
              </w:rPr>
              <w:t>563</w:t>
            </w:r>
          </w:hyperlink>
        </w:p>
        <w:p>
          <w:pPr>
            <w:pStyle w:val="Contents6"/>
            <w:tabs>
              <w:tab w:val="clear" w:pos="7609"/>
              <w:tab w:val="right" w:pos="9026" w:leader="dot"/>
            </w:tabs>
            <w:rPr/>
          </w:pPr>
          <w:hyperlink w:anchor="__RefHeading___Toc1273421_1067777946">
            <w:r>
              <w:rPr>
                <w:webHidden/>
                <w:rStyle w:val="IndexLink"/>
                <w:rtl w:val="true"/>
              </w:rPr>
              <w:t>اشارة</w:t>
            </w:r>
            <w:r>
              <w:rPr>
                <w:rStyle w:val="IndexLink"/>
                <w:rtl w:val="true"/>
              </w:rPr>
              <w:tab/>
            </w:r>
            <w:r>
              <w:rPr>
                <w:rStyle w:val="IndexLink"/>
              </w:rPr>
              <w:t>563</w:t>
            </w:r>
          </w:hyperlink>
        </w:p>
        <w:p>
          <w:pPr>
            <w:pStyle w:val="Contents6"/>
            <w:tabs>
              <w:tab w:val="clear" w:pos="7609"/>
              <w:tab w:val="right" w:pos="9026" w:leader="dot"/>
            </w:tabs>
            <w:rPr/>
          </w:pPr>
          <w:hyperlink w:anchor="__RefHeading___Toc1273423_1067777946">
            <w:r>
              <w:rPr>
                <w:webHidden/>
                <w:rStyle w:val="IndexLink"/>
                <w:rtl w:val="true"/>
              </w:rPr>
              <w:t>وجود المخالفة بين الصحابة</w:t>
            </w:r>
            <w:r>
              <w:rPr>
                <w:rStyle w:val="IndexLink"/>
                <w:rtl w:val="true"/>
              </w:rPr>
              <w:tab/>
            </w:r>
            <w:r>
              <w:rPr>
                <w:rStyle w:val="IndexLink"/>
              </w:rPr>
              <w:t>564</w:t>
            </w:r>
          </w:hyperlink>
        </w:p>
        <w:p>
          <w:pPr>
            <w:pStyle w:val="Contents6"/>
            <w:tabs>
              <w:tab w:val="clear" w:pos="7609"/>
              <w:tab w:val="right" w:pos="9026" w:leader="dot"/>
            </w:tabs>
            <w:rPr/>
          </w:pPr>
          <w:hyperlink w:anchor="__RefHeading___Toc1273425_1067777946">
            <w:r>
              <w:rPr>
                <w:webHidden/>
                <w:rStyle w:val="IndexLink"/>
                <w:rtl w:val="true"/>
              </w:rPr>
              <w:t>اجتهاد الصحابي بين الردّ والقبول</w:t>
            </w:r>
            <w:r>
              <w:rPr>
                <w:rStyle w:val="IndexLink"/>
                <w:rtl w:val="true"/>
              </w:rPr>
              <w:tab/>
            </w:r>
            <w:r>
              <w:rPr>
                <w:rStyle w:val="IndexLink"/>
              </w:rPr>
              <w:t>565</w:t>
            </w:r>
          </w:hyperlink>
        </w:p>
        <w:p>
          <w:pPr>
            <w:pStyle w:val="Contents6"/>
            <w:tabs>
              <w:tab w:val="clear" w:pos="7609"/>
              <w:tab w:val="right" w:pos="9026" w:leader="dot"/>
            </w:tabs>
            <w:rPr/>
          </w:pPr>
          <w:hyperlink w:anchor="__RefHeading___Toc1273427_1067777946">
            <w:r>
              <w:rPr>
                <w:webHidden/>
                <w:rStyle w:val="IndexLink"/>
                <w:rtl w:val="true"/>
              </w:rPr>
              <w:t>أحاديث الاقتداء بالصحابة</w:t>
            </w:r>
            <w:r>
              <w:rPr>
                <w:rStyle w:val="IndexLink"/>
                <w:rtl w:val="true"/>
              </w:rPr>
              <w:tab/>
            </w:r>
            <w:r>
              <w:rPr>
                <w:rStyle w:val="IndexLink"/>
              </w:rPr>
              <w:t>566</w:t>
            </w:r>
          </w:hyperlink>
        </w:p>
        <w:p>
          <w:pPr>
            <w:pStyle w:val="Contents6"/>
            <w:tabs>
              <w:tab w:val="clear" w:pos="7609"/>
              <w:tab w:val="right" w:pos="9026" w:leader="dot"/>
            </w:tabs>
            <w:rPr/>
          </w:pPr>
          <w:hyperlink w:anchor="__RefHeading___Toc1273429_1067777946">
            <w:r>
              <w:rPr>
                <w:webHidden/>
                <w:rStyle w:val="IndexLink"/>
                <w:rtl w:val="true"/>
              </w:rPr>
              <w:t>رؤيا الصحابي والتشريع</w:t>
            </w:r>
            <w:r>
              <w:rPr>
                <w:rStyle w:val="IndexLink"/>
                <w:rtl w:val="true"/>
              </w:rPr>
              <w:tab/>
            </w:r>
            <w:r>
              <w:rPr>
                <w:rStyle w:val="IndexLink"/>
              </w:rPr>
              <w:t>570</w:t>
            </w:r>
          </w:hyperlink>
        </w:p>
        <w:p>
          <w:pPr>
            <w:pStyle w:val="Contents6"/>
            <w:tabs>
              <w:tab w:val="clear" w:pos="7609"/>
              <w:tab w:val="right" w:pos="9026" w:leader="dot"/>
            </w:tabs>
            <w:rPr/>
          </w:pPr>
          <w:hyperlink w:anchor="__RefHeading___Toc1273431_1067777946">
            <w:r>
              <w:rPr>
                <w:webHidden/>
                <w:rStyle w:val="IndexLink"/>
                <w:rtl w:val="true"/>
              </w:rPr>
              <w:t>عود إلى بدء</w:t>
            </w:r>
            <w:r>
              <w:rPr>
                <w:rStyle w:val="IndexLink"/>
                <w:rtl w:val="true"/>
              </w:rPr>
              <w:tab/>
            </w:r>
            <w:r>
              <w:rPr>
                <w:rStyle w:val="IndexLink"/>
              </w:rPr>
              <w:t>573</w:t>
            </w:r>
          </w:hyperlink>
        </w:p>
        <w:p>
          <w:pPr>
            <w:pStyle w:val="Contents6"/>
            <w:tabs>
              <w:tab w:val="clear" w:pos="7609"/>
              <w:tab w:val="right" w:pos="9026" w:leader="dot"/>
            </w:tabs>
            <w:rPr/>
          </w:pPr>
          <w:hyperlink w:anchor="__RefHeading___Toc1273433_1067777946">
            <w:r>
              <w:rPr>
                <w:webHidden/>
                <w:rStyle w:val="IndexLink"/>
                <w:rtl w:val="true"/>
              </w:rPr>
              <w:t>أيّ الفريقين أحقّ بالأمن؟</w:t>
            </w:r>
            <w:r>
              <w:rPr>
                <w:rStyle w:val="IndexLink"/>
                <w:rtl w:val="true"/>
              </w:rPr>
              <w:tab/>
            </w:r>
            <w:r>
              <w:rPr>
                <w:rStyle w:val="IndexLink"/>
              </w:rPr>
              <w:t>584</w:t>
            </w:r>
          </w:hyperlink>
        </w:p>
        <w:p>
          <w:pPr>
            <w:pStyle w:val="Contents6"/>
            <w:tabs>
              <w:tab w:val="clear" w:pos="7609"/>
              <w:tab w:val="right" w:pos="9026" w:leader="dot"/>
            </w:tabs>
            <w:rPr/>
          </w:pPr>
          <w:hyperlink w:anchor="__RefHeading___Toc1273435_1067777946">
            <w:r>
              <w:rPr>
                <w:webHidden/>
                <w:rStyle w:val="IndexLink"/>
              </w:rPr>
              <w:t>7</w:t>
            </w:r>
            <w:r>
              <w:rPr>
                <w:rStyle w:val="IndexLink"/>
                <w:rtl w:val="true"/>
              </w:rPr>
              <w:t xml:space="preserve">- </w:t>
            </w:r>
            <w:r>
              <w:rPr>
                <w:rStyle w:val="IndexLink"/>
                <w:rtl w:val="true"/>
              </w:rPr>
              <w:t>مصادر التشريع فيما لا نصّ فيه عند أهل السنّة</w:t>
            </w:r>
            <w:r>
              <w:rPr>
                <w:rStyle w:val="IndexLink"/>
                <w:rtl w:val="true"/>
              </w:rPr>
              <w:tab/>
            </w:r>
            <w:r>
              <w:rPr>
                <w:rStyle w:val="IndexLink"/>
              </w:rPr>
              <w:t>587</w:t>
            </w:r>
          </w:hyperlink>
        </w:p>
        <w:p>
          <w:pPr>
            <w:pStyle w:val="Contents6"/>
            <w:tabs>
              <w:tab w:val="clear" w:pos="7609"/>
              <w:tab w:val="right" w:pos="9026" w:leader="dot"/>
            </w:tabs>
            <w:rPr/>
          </w:pPr>
          <w:hyperlink w:anchor="__RefHeading___Toc1273437_1067777946">
            <w:r>
              <w:rPr>
                <w:webHidden/>
                <w:rStyle w:val="IndexLink"/>
                <w:rtl w:val="true"/>
              </w:rPr>
              <w:t>إجماع أهل المدينة</w:t>
            </w:r>
            <w:r>
              <w:rPr>
                <w:rStyle w:val="IndexLink"/>
                <w:rtl w:val="true"/>
              </w:rPr>
              <w:tab/>
            </w:r>
            <w:r>
              <w:rPr>
                <w:rStyle w:val="IndexLink"/>
              </w:rPr>
              <w:t>587</w:t>
            </w:r>
          </w:hyperlink>
        </w:p>
        <w:p>
          <w:pPr>
            <w:pStyle w:val="Contents6"/>
            <w:tabs>
              <w:tab w:val="clear" w:pos="7609"/>
              <w:tab w:val="right" w:pos="9026" w:leader="dot"/>
            </w:tabs>
            <w:rPr/>
          </w:pPr>
          <w:hyperlink w:anchor="__RefHeading___Toc1273439_1067777946">
            <w:r>
              <w:rPr>
                <w:webHidden/>
                <w:rStyle w:val="IndexLink"/>
                <w:rtl w:val="true"/>
              </w:rPr>
              <w:t>رسالة مالك إلى الليث بن سعد</w:t>
            </w:r>
            <w:r>
              <w:rPr>
                <w:rStyle w:val="IndexLink"/>
                <w:rtl w:val="true"/>
              </w:rPr>
              <w:tab/>
            </w:r>
            <w:r>
              <w:rPr>
                <w:rStyle w:val="IndexLink"/>
              </w:rPr>
              <w:t>589</w:t>
            </w:r>
          </w:hyperlink>
        </w:p>
        <w:p>
          <w:pPr>
            <w:pStyle w:val="Contents6"/>
            <w:tabs>
              <w:tab w:val="clear" w:pos="7609"/>
              <w:tab w:val="right" w:pos="9026" w:leader="dot"/>
            </w:tabs>
            <w:rPr/>
          </w:pPr>
          <w:hyperlink w:anchor="__RefHeading___Toc1273441_1067777946">
            <w:r>
              <w:rPr>
                <w:webHidden/>
                <w:rStyle w:val="IndexLink"/>
              </w:rPr>
              <w:t>8</w:t>
            </w:r>
            <w:r>
              <w:rPr>
                <w:rStyle w:val="IndexLink"/>
                <w:rtl w:val="true"/>
              </w:rPr>
              <w:t xml:space="preserve">- </w:t>
            </w:r>
            <w:r>
              <w:rPr>
                <w:rStyle w:val="IndexLink"/>
                <w:rtl w:val="true"/>
              </w:rPr>
              <w:t>مصادر التشريع فيما لا نصّ فيه عند أهل السنّة</w:t>
            </w:r>
            <w:r>
              <w:rPr>
                <w:rStyle w:val="IndexLink"/>
                <w:rtl w:val="true"/>
              </w:rPr>
              <w:tab/>
            </w:r>
            <w:r>
              <w:rPr>
                <w:rStyle w:val="IndexLink"/>
              </w:rPr>
              <w:t>593</w:t>
            </w:r>
          </w:hyperlink>
        </w:p>
        <w:p>
          <w:pPr>
            <w:pStyle w:val="Contents6"/>
            <w:tabs>
              <w:tab w:val="clear" w:pos="7609"/>
              <w:tab w:val="right" w:pos="9026" w:leader="dot"/>
            </w:tabs>
            <w:rPr/>
          </w:pPr>
          <w:hyperlink w:anchor="__RefHeading___Toc1273443_1067777946">
            <w:r>
              <w:rPr>
                <w:webHidden/>
                <w:rStyle w:val="IndexLink"/>
                <w:rtl w:val="true"/>
              </w:rPr>
              <w:t>إجماع العترة</w:t>
            </w:r>
            <w:r>
              <w:rPr>
                <w:rStyle w:val="IndexLink"/>
                <w:rtl w:val="true"/>
              </w:rPr>
              <w:tab/>
            </w:r>
            <w:r>
              <w:rPr>
                <w:rStyle w:val="IndexLink"/>
              </w:rPr>
              <w:t>593</w:t>
            </w:r>
          </w:hyperlink>
        </w:p>
        <w:p>
          <w:pPr>
            <w:pStyle w:val="Contents3"/>
            <w:tabs>
              <w:tab w:val="clear" w:pos="8459"/>
              <w:tab w:val="right" w:pos="9026" w:leader="dot"/>
            </w:tabs>
            <w:rPr/>
          </w:pPr>
          <w:hyperlink w:anchor="__RefHeading___Toc1273445_1067777946">
            <w:r>
              <w:rPr>
                <w:webHidden/>
                <w:rStyle w:val="IndexLink"/>
                <w:rtl w:val="true"/>
              </w:rPr>
              <w:t>الفصل السابع</w:t>
            </w:r>
            <w:r>
              <w:rPr>
                <w:rStyle w:val="IndexLink"/>
                <w:rtl w:val="true"/>
              </w:rPr>
              <w:t xml:space="preserve">: </w:t>
            </w:r>
            <w:r>
              <w:rPr>
                <w:rStyle w:val="IndexLink"/>
                <w:rtl w:val="true"/>
              </w:rPr>
              <w:t>هل الإجماع أصل برأسه أو حاك عن الدليل؟</w:t>
            </w:r>
            <w:r>
              <w:rPr>
                <w:rStyle w:val="IndexLink"/>
                <w:rtl w:val="true"/>
              </w:rPr>
              <w:tab/>
            </w:r>
            <w:r>
              <w:rPr>
                <w:rStyle w:val="IndexLink"/>
              </w:rPr>
              <w:t>600</w:t>
            </w:r>
          </w:hyperlink>
        </w:p>
        <w:p>
          <w:pPr>
            <w:pStyle w:val="Contents4"/>
            <w:tabs>
              <w:tab w:val="clear" w:pos="8176"/>
              <w:tab w:val="right" w:pos="9026" w:leader="dot"/>
            </w:tabs>
            <w:rPr/>
          </w:pPr>
          <w:hyperlink w:anchor="__RefHeading___Toc1273447_1067777946">
            <w:r>
              <w:rPr>
                <w:webHidden/>
                <w:rStyle w:val="IndexLink"/>
                <w:rtl w:val="true"/>
              </w:rPr>
              <w:t>اشارة</w:t>
            </w:r>
            <w:r>
              <w:rPr>
                <w:rStyle w:val="IndexLink"/>
                <w:rtl w:val="true"/>
              </w:rPr>
              <w:tab/>
            </w:r>
            <w:r>
              <w:rPr>
                <w:rStyle w:val="IndexLink"/>
              </w:rPr>
              <w:t>600</w:t>
            </w:r>
          </w:hyperlink>
        </w:p>
        <w:p>
          <w:pPr>
            <w:pStyle w:val="Contents4"/>
            <w:tabs>
              <w:tab w:val="clear" w:pos="8176"/>
              <w:tab w:val="right" w:pos="9026" w:leader="dot"/>
            </w:tabs>
            <w:rPr/>
          </w:pPr>
          <w:hyperlink w:anchor="__RefHeading___Toc1273449_1067777946">
            <w:r>
              <w:rPr>
                <w:webHidden/>
                <w:rStyle w:val="IndexLink"/>
                <w:rtl w:val="true"/>
              </w:rPr>
              <w:t xml:space="preserve">الأوّل </w:t>
            </w:r>
            <w:r>
              <w:rPr>
                <w:rStyle w:val="IndexLink"/>
                <w:rtl w:val="true"/>
              </w:rPr>
              <w:t xml:space="preserve">: </w:t>
            </w:r>
            <w:r>
              <w:rPr>
                <w:rStyle w:val="IndexLink"/>
                <w:rtl w:val="true"/>
              </w:rPr>
              <w:t>مكانة الإجماع المحصّل عند الشيعة</w:t>
            </w:r>
            <w:r>
              <w:rPr>
                <w:rStyle w:val="IndexLink"/>
                <w:rtl w:val="true"/>
              </w:rPr>
              <w:tab/>
            </w:r>
            <w:r>
              <w:rPr>
                <w:rStyle w:val="IndexLink"/>
              </w:rPr>
              <w:t>601</w:t>
            </w:r>
          </w:hyperlink>
        </w:p>
        <w:p>
          <w:pPr>
            <w:pStyle w:val="Contents5"/>
            <w:tabs>
              <w:tab w:val="clear" w:pos="7892"/>
              <w:tab w:val="right" w:pos="9026" w:leader="dot"/>
            </w:tabs>
            <w:rPr/>
          </w:pPr>
          <w:hyperlink w:anchor="__RefHeading___Toc1273451_1067777946">
            <w:r>
              <w:rPr>
                <w:webHidden/>
                <w:rStyle w:val="IndexLink"/>
                <w:rtl w:val="true"/>
              </w:rPr>
              <w:t>اشارة</w:t>
            </w:r>
            <w:r>
              <w:rPr>
                <w:rStyle w:val="IndexLink"/>
                <w:rtl w:val="true"/>
              </w:rPr>
              <w:tab/>
            </w:r>
            <w:r>
              <w:rPr>
                <w:rStyle w:val="IndexLink"/>
              </w:rPr>
              <w:t>601</w:t>
            </w:r>
          </w:hyperlink>
        </w:p>
        <w:p>
          <w:pPr>
            <w:pStyle w:val="Contents5"/>
            <w:tabs>
              <w:tab w:val="clear" w:pos="7892"/>
              <w:tab w:val="right" w:pos="9026" w:leader="dot"/>
            </w:tabs>
            <w:rPr/>
          </w:pPr>
          <w:hyperlink w:anchor="__RefHeading___Toc1273453_1067777946">
            <w:r>
              <w:rPr>
                <w:webHidden/>
                <w:rStyle w:val="IndexLink"/>
                <w:rtl w:val="true"/>
              </w:rPr>
              <w:t xml:space="preserve">الف </w:t>
            </w:r>
            <w:r>
              <w:rPr>
                <w:rStyle w:val="IndexLink"/>
                <w:rtl w:val="true"/>
              </w:rPr>
              <w:t xml:space="preserve">: </w:t>
            </w:r>
            <w:r>
              <w:rPr>
                <w:rStyle w:val="IndexLink"/>
                <w:rtl w:val="true"/>
              </w:rPr>
              <w:t>تراكم الظنون مورث لليقين</w:t>
            </w:r>
            <w:r>
              <w:rPr>
                <w:rStyle w:val="IndexLink"/>
                <w:rtl w:val="true"/>
              </w:rPr>
              <w:tab/>
            </w:r>
            <w:r>
              <w:rPr>
                <w:rStyle w:val="IndexLink"/>
              </w:rPr>
              <w:t>602</w:t>
            </w:r>
          </w:hyperlink>
        </w:p>
        <w:p>
          <w:pPr>
            <w:pStyle w:val="Contents5"/>
            <w:tabs>
              <w:tab w:val="clear" w:pos="7892"/>
              <w:tab w:val="right" w:pos="9026" w:leader="dot"/>
            </w:tabs>
            <w:rPr/>
          </w:pPr>
          <w:hyperlink w:anchor="__RefHeading___Toc1273455_1067777946">
            <w:r>
              <w:rPr>
                <w:webHidden/>
                <w:rStyle w:val="IndexLink"/>
                <w:rtl w:val="true"/>
              </w:rPr>
              <w:t xml:space="preserve">ب </w:t>
            </w:r>
            <w:r>
              <w:rPr>
                <w:rStyle w:val="IndexLink"/>
                <w:rtl w:val="true"/>
              </w:rPr>
              <w:t xml:space="preserve">: </w:t>
            </w:r>
            <w:r>
              <w:rPr>
                <w:rStyle w:val="IndexLink"/>
                <w:rtl w:val="true"/>
              </w:rPr>
              <w:t>الاتّفاق كاشف عن دليل معتبر</w:t>
            </w:r>
            <w:r>
              <w:rPr>
                <w:rStyle w:val="IndexLink"/>
                <w:rtl w:val="true"/>
              </w:rPr>
              <w:tab/>
            </w:r>
            <w:r>
              <w:rPr>
                <w:rStyle w:val="IndexLink"/>
              </w:rPr>
              <w:t>602</w:t>
            </w:r>
          </w:hyperlink>
        </w:p>
        <w:p>
          <w:pPr>
            <w:pStyle w:val="Contents4"/>
            <w:tabs>
              <w:tab w:val="clear" w:pos="8176"/>
              <w:tab w:val="right" w:pos="9026" w:leader="dot"/>
            </w:tabs>
            <w:rPr/>
          </w:pPr>
          <w:hyperlink w:anchor="__RefHeading___Toc1273457_1067777946">
            <w:r>
              <w:rPr>
                <w:webHidden/>
                <w:rStyle w:val="IndexLink"/>
                <w:rtl w:val="true"/>
              </w:rPr>
              <w:t xml:space="preserve">الثاني </w:t>
            </w:r>
            <w:r>
              <w:rPr>
                <w:rStyle w:val="IndexLink"/>
                <w:rtl w:val="true"/>
              </w:rPr>
              <w:t xml:space="preserve">: </w:t>
            </w:r>
            <w:r>
              <w:rPr>
                <w:rStyle w:val="IndexLink"/>
                <w:rtl w:val="true"/>
              </w:rPr>
              <w:t>الإجماع أصل برأسه عند السنّة</w:t>
            </w:r>
            <w:r>
              <w:rPr>
                <w:rStyle w:val="IndexLink"/>
                <w:rtl w:val="true"/>
              </w:rPr>
              <w:tab/>
            </w:r>
            <w:r>
              <w:rPr>
                <w:rStyle w:val="IndexLink"/>
              </w:rPr>
              <w:t>603</w:t>
            </w:r>
          </w:hyperlink>
        </w:p>
        <w:p>
          <w:pPr>
            <w:pStyle w:val="Contents3"/>
            <w:tabs>
              <w:tab w:val="clear" w:pos="8459"/>
              <w:tab w:val="right" w:pos="9026" w:leader="dot"/>
            </w:tabs>
            <w:rPr/>
          </w:pPr>
          <w:hyperlink w:anchor="__RefHeading___Toc1273459_1067777946">
            <w:r>
              <w:rPr>
                <w:webHidden/>
                <w:rStyle w:val="IndexLink"/>
                <w:rtl w:val="true"/>
              </w:rPr>
              <w:t>الفصل الثامن</w:t>
            </w:r>
            <w:r>
              <w:rPr>
                <w:rStyle w:val="IndexLink"/>
                <w:rtl w:val="true"/>
              </w:rPr>
              <w:t xml:space="preserve">: </w:t>
            </w:r>
            <w:r>
              <w:rPr>
                <w:rStyle w:val="IndexLink"/>
                <w:rtl w:val="true"/>
              </w:rPr>
              <w:t>الخلاف في مسألة التخطئة والتصويب</w:t>
            </w:r>
            <w:r>
              <w:rPr>
                <w:rStyle w:val="IndexLink"/>
                <w:rtl w:val="true"/>
              </w:rPr>
              <w:tab/>
            </w:r>
            <w:r>
              <w:rPr>
                <w:rStyle w:val="IndexLink"/>
              </w:rPr>
              <w:t>606</w:t>
            </w:r>
          </w:hyperlink>
        </w:p>
        <w:p>
          <w:pPr>
            <w:pStyle w:val="Contents4"/>
            <w:tabs>
              <w:tab w:val="clear" w:pos="8176"/>
              <w:tab w:val="right" w:pos="9026" w:leader="dot"/>
            </w:tabs>
            <w:rPr/>
          </w:pPr>
          <w:hyperlink w:anchor="__RefHeading___Toc1273461_1067777946">
            <w:r>
              <w:rPr>
                <w:webHidden/>
                <w:rStyle w:val="IndexLink"/>
                <w:rtl w:val="true"/>
              </w:rPr>
              <w:t>اشارة</w:t>
            </w:r>
            <w:r>
              <w:rPr>
                <w:rStyle w:val="IndexLink"/>
                <w:rtl w:val="true"/>
              </w:rPr>
              <w:tab/>
            </w:r>
            <w:r>
              <w:rPr>
                <w:rStyle w:val="IndexLink"/>
              </w:rPr>
              <w:t>606</w:t>
            </w:r>
          </w:hyperlink>
        </w:p>
        <w:p>
          <w:pPr>
            <w:pStyle w:val="Contents4"/>
            <w:tabs>
              <w:tab w:val="clear" w:pos="8176"/>
              <w:tab w:val="right" w:pos="9026" w:leader="dot"/>
            </w:tabs>
            <w:rPr/>
          </w:pPr>
          <w:hyperlink w:anchor="__RefHeading___Toc1273463_1067777946">
            <w:r>
              <w:rPr>
                <w:webHidden/>
                <w:rStyle w:val="IndexLink"/>
                <w:rtl w:val="true"/>
              </w:rPr>
              <w:t>قول ثالث في التصويب</w:t>
            </w:r>
            <w:r>
              <w:rPr>
                <w:rStyle w:val="IndexLink"/>
                <w:rtl w:val="true"/>
              </w:rPr>
              <w:tab/>
            </w:r>
            <w:r>
              <w:rPr>
                <w:rStyle w:val="IndexLink"/>
              </w:rPr>
              <w:t>608</w:t>
            </w:r>
          </w:hyperlink>
        </w:p>
        <w:p>
          <w:pPr>
            <w:pStyle w:val="Contents3"/>
            <w:tabs>
              <w:tab w:val="clear" w:pos="8459"/>
              <w:tab w:val="right" w:pos="9026" w:leader="dot"/>
            </w:tabs>
            <w:rPr/>
          </w:pPr>
          <w:hyperlink w:anchor="__RefHeading___Toc1273465_1067777946">
            <w:r>
              <w:rPr>
                <w:webHidden/>
                <w:rStyle w:val="IndexLink"/>
                <w:rtl w:val="true"/>
              </w:rPr>
              <w:t>الفصل التاسع</w:t>
            </w:r>
            <w:r>
              <w:rPr>
                <w:rStyle w:val="IndexLink"/>
                <w:rtl w:val="true"/>
              </w:rPr>
              <w:t xml:space="preserve">: </w:t>
            </w:r>
            <w:r>
              <w:rPr>
                <w:rStyle w:val="IndexLink"/>
                <w:rtl w:val="true"/>
              </w:rPr>
              <w:t>انفتاح باب الاجتهاد عند الشيعة وانسداده عند السنّة</w:t>
            </w:r>
            <w:r>
              <w:rPr>
                <w:rStyle w:val="IndexLink"/>
                <w:rtl w:val="true"/>
              </w:rPr>
              <w:tab/>
            </w:r>
            <w:r>
              <w:rPr>
                <w:rStyle w:val="IndexLink"/>
              </w:rPr>
              <w:t>612</w:t>
            </w:r>
          </w:hyperlink>
        </w:p>
        <w:p>
          <w:pPr>
            <w:pStyle w:val="Contents4"/>
            <w:tabs>
              <w:tab w:val="clear" w:pos="8176"/>
              <w:tab w:val="right" w:pos="9026" w:leader="dot"/>
            </w:tabs>
            <w:rPr/>
          </w:pPr>
          <w:hyperlink w:anchor="__RefHeading___Toc1273467_1067777946">
            <w:r>
              <w:rPr>
                <w:webHidden/>
                <w:rStyle w:val="IndexLink"/>
              </w:rPr>
              <w:t>1</w:t>
            </w:r>
            <w:r>
              <w:rPr>
                <w:rStyle w:val="IndexLink"/>
                <w:rtl w:val="true"/>
              </w:rPr>
              <w:t xml:space="preserve">. </w:t>
            </w:r>
            <w:r>
              <w:rPr>
                <w:rStyle w:val="IndexLink"/>
                <w:rtl w:val="true"/>
              </w:rPr>
              <w:t>الاجتهاد لغة واصطلاحاً</w:t>
            </w:r>
            <w:r>
              <w:rPr>
                <w:rStyle w:val="IndexLink"/>
                <w:rtl w:val="true"/>
              </w:rPr>
              <w:tab/>
            </w:r>
            <w:r>
              <w:rPr>
                <w:rStyle w:val="IndexLink"/>
              </w:rPr>
              <w:t>612</w:t>
            </w:r>
          </w:hyperlink>
        </w:p>
        <w:p>
          <w:pPr>
            <w:pStyle w:val="Contents4"/>
            <w:tabs>
              <w:tab w:val="clear" w:pos="8176"/>
              <w:tab w:val="right" w:pos="9026" w:leader="dot"/>
            </w:tabs>
            <w:rPr/>
          </w:pPr>
          <w:hyperlink w:anchor="__RefHeading___Toc1273469_1067777946">
            <w:r>
              <w:rPr>
                <w:webHidden/>
                <w:rStyle w:val="IndexLink"/>
              </w:rPr>
              <w:t>2</w:t>
            </w:r>
            <w:r>
              <w:rPr>
                <w:rStyle w:val="IndexLink"/>
                <w:rtl w:val="true"/>
              </w:rPr>
              <w:t xml:space="preserve">. </w:t>
            </w:r>
            <w:r>
              <w:rPr>
                <w:rStyle w:val="IndexLink"/>
                <w:rtl w:val="true"/>
              </w:rPr>
              <w:t>الاجتهاد المطلق والاجتهاد في مذهب خاص</w:t>
            </w:r>
            <w:r>
              <w:rPr>
                <w:rStyle w:val="IndexLink"/>
                <w:rtl w:val="true"/>
              </w:rPr>
              <w:tab/>
            </w:r>
            <w:r>
              <w:rPr>
                <w:rStyle w:val="IndexLink"/>
              </w:rPr>
              <w:t>613</w:t>
            </w:r>
          </w:hyperlink>
        </w:p>
        <w:p>
          <w:pPr>
            <w:pStyle w:val="Contents4"/>
            <w:tabs>
              <w:tab w:val="clear" w:pos="8176"/>
              <w:tab w:val="right" w:pos="9026" w:leader="dot"/>
            </w:tabs>
            <w:rPr/>
          </w:pPr>
          <w:hyperlink w:anchor="__RefHeading___Toc1273471_1067777946">
            <w:r>
              <w:rPr>
                <w:webHidden/>
                <w:rStyle w:val="IndexLink"/>
              </w:rPr>
              <w:t>3</w:t>
            </w:r>
            <w:r>
              <w:rPr>
                <w:rStyle w:val="IndexLink"/>
                <w:rtl w:val="true"/>
              </w:rPr>
              <w:t xml:space="preserve">. </w:t>
            </w:r>
            <w:r>
              <w:rPr>
                <w:rStyle w:val="IndexLink"/>
                <w:rtl w:val="true"/>
              </w:rPr>
              <w:t>لزوم فتح باب الاجتهاد</w:t>
            </w:r>
            <w:r>
              <w:rPr>
                <w:rStyle w:val="IndexLink"/>
                <w:rtl w:val="true"/>
              </w:rPr>
              <w:tab/>
            </w:r>
            <w:r>
              <w:rPr>
                <w:rStyle w:val="IndexLink"/>
              </w:rPr>
              <w:t>614</w:t>
            </w:r>
          </w:hyperlink>
        </w:p>
        <w:p>
          <w:pPr>
            <w:pStyle w:val="Contents4"/>
            <w:tabs>
              <w:tab w:val="clear" w:pos="8176"/>
              <w:tab w:val="right" w:pos="9026" w:leader="dot"/>
            </w:tabs>
            <w:rPr/>
          </w:pPr>
          <w:hyperlink w:anchor="__RefHeading___Toc1273473_1067777946">
            <w:r>
              <w:rPr>
                <w:webHidden/>
                <w:rStyle w:val="IndexLink"/>
              </w:rPr>
              <w:t>4</w:t>
            </w:r>
            <w:r>
              <w:rPr>
                <w:rStyle w:val="IndexLink"/>
                <w:rtl w:val="true"/>
              </w:rPr>
              <w:t xml:space="preserve">. </w:t>
            </w:r>
            <w:r>
              <w:rPr>
                <w:rStyle w:val="IndexLink"/>
                <w:rtl w:val="true"/>
              </w:rPr>
              <w:t>ما هي العوامل التي سببت الإغلاق؟</w:t>
            </w:r>
            <w:r>
              <w:rPr>
                <w:rStyle w:val="IndexLink"/>
                <w:rtl w:val="true"/>
              </w:rPr>
              <w:tab/>
            </w:r>
            <w:r>
              <w:rPr>
                <w:rStyle w:val="IndexLink"/>
              </w:rPr>
              <w:t>619</w:t>
            </w:r>
          </w:hyperlink>
        </w:p>
        <w:p>
          <w:pPr>
            <w:pStyle w:val="Contents5"/>
            <w:tabs>
              <w:tab w:val="clear" w:pos="7892"/>
              <w:tab w:val="right" w:pos="9026" w:leader="dot"/>
            </w:tabs>
            <w:rPr/>
          </w:pPr>
          <w:hyperlink w:anchor="__RefHeading___Toc1273475_1067777946">
            <w:r>
              <w:rPr>
                <w:webHidden/>
                <w:rStyle w:val="IndexLink"/>
                <w:rtl w:val="true"/>
              </w:rPr>
              <w:t>اشارة</w:t>
            </w:r>
            <w:r>
              <w:rPr>
                <w:rStyle w:val="IndexLink"/>
                <w:rtl w:val="true"/>
              </w:rPr>
              <w:tab/>
            </w:r>
            <w:r>
              <w:rPr>
                <w:rStyle w:val="IndexLink"/>
              </w:rPr>
              <w:t>619</w:t>
            </w:r>
          </w:hyperlink>
        </w:p>
        <w:p>
          <w:pPr>
            <w:pStyle w:val="Contents5"/>
            <w:tabs>
              <w:tab w:val="clear" w:pos="7892"/>
              <w:tab w:val="right" w:pos="9026" w:leader="dot"/>
            </w:tabs>
            <w:rPr/>
          </w:pPr>
          <w:hyperlink w:anchor="__RefHeading___Toc1273477_1067777946">
            <w:r>
              <w:rPr>
                <w:webHidden/>
                <w:rStyle w:val="IndexLink"/>
                <w:rtl w:val="true"/>
              </w:rPr>
              <w:t>أ</w:t>
            </w:r>
            <w:r>
              <w:rPr>
                <w:rStyle w:val="IndexLink"/>
                <w:rtl w:val="true"/>
              </w:rPr>
              <w:t xml:space="preserve">. </w:t>
            </w:r>
            <w:r>
              <w:rPr>
                <w:rStyle w:val="IndexLink"/>
                <w:rtl w:val="true"/>
              </w:rPr>
              <w:t>التعصّب المذهبي</w:t>
            </w:r>
            <w:r>
              <w:rPr>
                <w:rStyle w:val="IndexLink"/>
                <w:rtl w:val="true"/>
              </w:rPr>
              <w:tab/>
            </w:r>
            <w:r>
              <w:rPr>
                <w:rStyle w:val="IndexLink"/>
              </w:rPr>
              <w:t>619</w:t>
            </w:r>
          </w:hyperlink>
        </w:p>
        <w:p>
          <w:pPr>
            <w:pStyle w:val="Contents5"/>
            <w:tabs>
              <w:tab w:val="clear" w:pos="7892"/>
              <w:tab w:val="right" w:pos="9026" w:leader="dot"/>
            </w:tabs>
            <w:rPr/>
          </w:pPr>
          <w:hyperlink w:anchor="__RefHeading___Toc1273479_1067777946">
            <w:r>
              <w:rPr>
                <w:webHidden/>
                <w:rStyle w:val="IndexLink"/>
                <w:rtl w:val="true"/>
              </w:rPr>
              <w:t>ب</w:t>
            </w:r>
            <w:r>
              <w:rPr>
                <w:rStyle w:val="IndexLink"/>
                <w:rtl w:val="true"/>
              </w:rPr>
              <w:t xml:space="preserve">. </w:t>
            </w:r>
            <w:r>
              <w:rPr>
                <w:rStyle w:val="IndexLink"/>
                <w:rtl w:val="true"/>
              </w:rPr>
              <w:t>ولاية القضاء</w:t>
            </w:r>
            <w:r>
              <w:rPr>
                <w:rStyle w:val="IndexLink"/>
                <w:rtl w:val="true"/>
              </w:rPr>
              <w:tab/>
            </w:r>
            <w:r>
              <w:rPr>
                <w:rStyle w:val="IndexLink"/>
              </w:rPr>
              <w:t>619</w:t>
            </w:r>
          </w:hyperlink>
        </w:p>
        <w:p>
          <w:pPr>
            <w:pStyle w:val="Contents5"/>
            <w:tabs>
              <w:tab w:val="clear" w:pos="7892"/>
              <w:tab w:val="right" w:pos="9026" w:leader="dot"/>
            </w:tabs>
            <w:rPr/>
          </w:pPr>
          <w:hyperlink w:anchor="__RefHeading___Toc1273481_1067777946">
            <w:r>
              <w:rPr>
                <w:webHidden/>
                <w:rStyle w:val="IndexLink"/>
                <w:rtl w:val="true"/>
              </w:rPr>
              <w:t>ج</w:t>
            </w:r>
            <w:r>
              <w:rPr>
                <w:rStyle w:val="IndexLink"/>
                <w:rtl w:val="true"/>
              </w:rPr>
              <w:t xml:space="preserve">. </w:t>
            </w:r>
            <w:r>
              <w:rPr>
                <w:rStyle w:val="IndexLink"/>
                <w:rtl w:val="true"/>
              </w:rPr>
              <w:t>تدوين المذاهب</w:t>
            </w:r>
            <w:r>
              <w:rPr>
                <w:rStyle w:val="IndexLink"/>
                <w:rtl w:val="true"/>
              </w:rPr>
              <w:tab/>
            </w:r>
            <w:r>
              <w:rPr>
                <w:rStyle w:val="IndexLink"/>
              </w:rPr>
              <w:t>620</w:t>
            </w:r>
          </w:hyperlink>
        </w:p>
        <w:p>
          <w:pPr>
            <w:pStyle w:val="Contents4"/>
            <w:tabs>
              <w:tab w:val="clear" w:pos="8176"/>
              <w:tab w:val="right" w:pos="9026" w:leader="dot"/>
            </w:tabs>
            <w:rPr/>
          </w:pPr>
          <w:hyperlink w:anchor="__RefHeading___Toc1273483_1067777946">
            <w:r>
              <w:rPr>
                <w:webHidden/>
                <w:rStyle w:val="IndexLink"/>
              </w:rPr>
              <w:t>5</w:t>
            </w:r>
            <w:r>
              <w:rPr>
                <w:rStyle w:val="IndexLink"/>
                <w:rtl w:val="true"/>
              </w:rPr>
              <w:t xml:space="preserve">. </w:t>
            </w:r>
            <w:r>
              <w:rPr>
                <w:rStyle w:val="IndexLink"/>
                <w:rtl w:val="true"/>
              </w:rPr>
              <w:t>اجتهاد الشيعة اجتهاد مطلق</w:t>
            </w:r>
            <w:r>
              <w:rPr>
                <w:rStyle w:val="IndexLink"/>
                <w:rtl w:val="true"/>
              </w:rPr>
              <w:tab/>
            </w:r>
            <w:r>
              <w:rPr>
                <w:rStyle w:val="IndexLink"/>
              </w:rPr>
              <w:t>623</w:t>
            </w:r>
          </w:hyperlink>
        </w:p>
        <w:p>
          <w:pPr>
            <w:pStyle w:val="Contents4"/>
            <w:tabs>
              <w:tab w:val="clear" w:pos="8176"/>
              <w:tab w:val="right" w:pos="9026" w:leader="dot"/>
            </w:tabs>
            <w:rPr/>
          </w:pPr>
          <w:hyperlink w:anchor="__RefHeading___Toc1273485_1067777946">
            <w:r>
              <w:rPr>
                <w:webHidden/>
                <w:rStyle w:val="IndexLink"/>
                <w:rtl w:val="true"/>
              </w:rPr>
              <w:t xml:space="preserve">يلاحظ عليه بأمرين </w:t>
            </w:r>
            <w:r>
              <w:rPr>
                <w:rStyle w:val="IndexLink"/>
                <w:rtl w:val="true"/>
              </w:rPr>
              <w:t>:</w:t>
              <w:tab/>
            </w:r>
            <w:r>
              <w:rPr>
                <w:rStyle w:val="IndexLink"/>
              </w:rPr>
              <w:t>623</w:t>
            </w:r>
          </w:hyperlink>
        </w:p>
        <w:p>
          <w:pPr>
            <w:pStyle w:val="Contents2"/>
            <w:tabs>
              <w:tab w:val="clear" w:pos="8743"/>
              <w:tab w:val="right" w:pos="9026" w:leader="dot"/>
            </w:tabs>
            <w:rPr/>
          </w:pPr>
          <w:hyperlink w:anchor="__RefHeading___Toc1273487_1067777946">
            <w:r>
              <w:rPr>
                <w:webHidden/>
                <w:rStyle w:val="IndexLink"/>
                <w:rtl w:val="true"/>
              </w:rPr>
              <w:t>فهرس محتويات الكتاب</w:t>
            </w:r>
            <w:r>
              <w:rPr>
                <w:rStyle w:val="IndexLink"/>
                <w:rtl w:val="true"/>
              </w:rPr>
              <w:tab/>
            </w:r>
            <w:r>
              <w:rPr>
                <w:rStyle w:val="IndexLink"/>
              </w:rPr>
              <w:t>625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55_105172"/>
      <w:bookmarkStart w:id="1" w:name="pg10155_105172"/>
      <w:bookmarkEnd w:id="1"/>
    </w:p>
    <w:p>
      <w:pPr>
        <w:pStyle w:val="Heading2"/>
        <w:numPr>
          <w:ilvl w:val="1"/>
          <w:numId w:val="1"/>
        </w:numPr>
        <w:rPr/>
      </w:pPr>
      <w:bookmarkStart w:id="2" w:name="pg10155_105172"/>
      <w:bookmarkStart w:id="3" w:name="__RefHeading___Toc1272651_1067777946"/>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السبحاني التبريزي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في مسائل دام فيها الخلاف</w:t>
      </w:r>
    </w:p>
    <w:p>
      <w:pPr>
        <w:pStyle w:val="BookText"/>
        <w:rPr/>
      </w:pPr>
      <w:r>
        <w:rPr>
          <w:rFonts w:ascii="Amiri" w:hAnsi="Amiri" w:eastAsia="Amiri" w:cs="Amiri"/>
          <w:color w:val="111111"/>
          <w:sz w:val="28"/>
          <w:sz w:val="28"/>
          <w:szCs w:val="28"/>
          <w:rtl w:val="true"/>
          <w:lang w:bidi="ar-SA"/>
        </w:rPr>
        <w:t>تاليف جعفر السبحاني</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موسسة الامام الصادق ع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تطبيقي</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الامام الصادق 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BP169/7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8 1381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297/324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19943</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2653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الانصاف</w:t>
      </w:r>
    </w:p>
    <w:p>
      <w:pPr>
        <w:pStyle w:val="BookText"/>
        <w:rPr/>
      </w:pPr>
      <w:r>
        <w:rPr>
          <w:rFonts w:ascii="Amiri" w:hAnsi="Amiri" w:eastAsia="Amiri" w:cs="Amiri"/>
          <w:color w:val="111111"/>
          <w:sz w:val="28"/>
          <w:sz w:val="28"/>
          <w:szCs w:val="28"/>
          <w:rtl w:val="true"/>
          <w:lang w:bidi="ar-SA"/>
        </w:rPr>
        <w:t>في مسائل دام فيها</w:t>
      </w:r>
    </w:p>
    <w:p>
      <w:pPr>
        <w:pStyle w:val="BookText"/>
        <w:rPr/>
      </w:pPr>
      <w:r>
        <w:rPr>
          <w:rFonts w:ascii="IRNazanin" w:hAnsi="IRNazanin" w:eastAsia="IRNazanin"/>
          <w:color w:val="111111"/>
          <w:sz w:val="28"/>
          <w:sz w:val="28"/>
          <w:szCs w:val="28"/>
          <w:rtl w:val="true"/>
          <w:lang w:bidi="fa-IR"/>
        </w:rPr>
        <w:t>الخلاف</w:t>
      </w:r>
    </w:p>
    <w:p>
      <w:pPr>
        <w:pStyle w:val="BookText"/>
        <w:rPr/>
      </w:pPr>
      <w:r>
        <w:rPr>
          <w:rFonts w:ascii="IRNazanin" w:hAnsi="IRNazanin" w:eastAsia="IRNazanin"/>
          <w:color w:val="111111"/>
          <w:sz w:val="28"/>
          <w:sz w:val="28"/>
          <w:szCs w:val="28"/>
          <w:rtl w:val="true"/>
          <w:lang w:bidi="fa-IR"/>
        </w:rPr>
        <w:t>دراسات فقهیة موجزة في مسائل احتدم</w:t>
      </w:r>
    </w:p>
    <w:p>
      <w:pPr>
        <w:pStyle w:val="BookText"/>
        <w:rPr/>
      </w:pPr>
      <w:r>
        <w:rPr>
          <w:rFonts w:ascii="IRNazanin" w:hAnsi="IRNazanin" w:eastAsia="IRNazanin"/>
          <w:color w:val="111111"/>
          <w:sz w:val="28"/>
          <w:sz w:val="28"/>
          <w:szCs w:val="28"/>
          <w:rtl w:val="true"/>
          <w:lang w:bidi="fa-IR"/>
        </w:rPr>
        <w:t>فیها النقاش عبر القرون</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الفقیه المحقق آیة الله</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مؤسسة الإمام الصادق علیه السلام </w:t>
      </w:r>
      <w:bookmarkStart w:id="7" w:name="pg10155_10517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272655_1067777946"/>
      <w:bookmarkStart w:id="9" w:name="_Toc3"/>
      <w:bookmarkEnd w:id="8"/>
      <w:r>
        <w:rPr>
          <w:rtl w:val="true"/>
        </w:rPr>
        <w:t>المسائل الخلافيّة و دورها في الاستنباط</w:t>
      </w:r>
      <w:bookmarkEnd w:id="9"/>
    </w:p>
    <w:p>
      <w:pPr>
        <w:pStyle w:val="BookText"/>
        <w:rPr/>
      </w:pPr>
      <w:r>
        <w:rPr>
          <w:rFonts w:ascii="Amiri" w:hAnsi="Amiri" w:eastAsia="Amiri" w:cs="Amiri"/>
          <w:color w:val="111111"/>
          <w:sz w:val="28"/>
          <w:sz w:val="28"/>
          <w:szCs w:val="28"/>
          <w:rtl w:val="true"/>
          <w:lang w:bidi="ar-SA"/>
        </w:rPr>
        <w:t>الحمد لله الّذي هدانا لهذا وما كنّا لنهتدي لو لا أن هدانا الله ، والصلاة والسلام على أفضل خليقته وأشرف بريّته أبي القاسم محمد ، وعلى خلفائه المبشّرين المعصومين ، الموصوفين بكلّ جميل ، ما تعاقب جيل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 عدم محاباة العلماء بعضهم لبعض من أعظم مزايا هذه الأُمّة الّتي أعظم الله بها عليهم النعمة ، حيث حفظهم عن وَصْمة محاباة أهل الكتابين ، المؤدِّية إلى تحريف ما فيهما ، واندراس تينك الملّتين ، فلم يتركوا لقائل قولاً فيه أدنى دخل إلاّ بيّنوه ، ولفاعل فعلاً فيه تحريف إلاّ قوّموه ، حتّى اتّضحت الآراء ، وانعدمت الأهواء ، ودامت الشريعة الواضحة البيضاء على امتلاء الآفاق بأضوائها ، وشفاء القلوب بها من أدوائها ، مأمونة من التحريف ، مصونة عن التصحيف</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يُشيد بالوحدة ، واتّفاق الكلمة والاعتصام بالعروة الوثقى ، </w:t>
      </w:r>
    </w:p>
    <w:p>
      <w:pPr>
        <w:pStyle w:val="BookText"/>
        <w:rPr/>
      </w:pPr>
      <w:r>
        <w:rPr>
          <w:rFonts w:ascii="Amiri" w:hAnsi="Amiri" w:eastAsia="Amiri" w:cs="Amiri"/>
          <w:color w:val="111111"/>
          <w:sz w:val="28"/>
          <w:sz w:val="28"/>
          <w:szCs w:val="28"/>
          <w:rtl w:val="true"/>
          <w:lang w:bidi="ar-SA"/>
        </w:rPr>
        <w:t xml:space="preserve">ورفض التشتّت والتفرّق ، ويندِّد بالاختلاف والفرقة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فهذا المقطع من الآية الكريمة بإيجازها يتكفّل بيان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يأمر بتوحيد الكلمة والاعتصام بحبل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يزجر عن التفرّق والتشتّت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الأمران من الوضوح بمرتبة لا يختلف فيهما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الاعتراف بذلك كلّه فاختلاف الكلمة إنّما يضرّ إذا كان صادراً عن ميول وأهواء ، فهذا هو الّذي نزل الكتاب بذمّه في غير واحدة من آياته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وَكانُوا شِيَعاً لَسْتَ مِنْهُمْ فِي شَيْءٍ</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فهؤلاء اختلفوا بعد ما تمّت عليهم الحجة وبانت لهم الحقيقة ، فهذا النوع من الاختلاف آية الأنانية أمام الخضوع للحقائق الراهنة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الاختلاف موضوعياً نابعاً عن حبِّ تحرّي الحقيقة وكشف الواقع ، فهذا أمر ممدوح ، وأساس للوصول إلى الحقائق المستورة ، وإرساء لقواعد العلم ودعائمه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الاختلاف بين الفقهاء أشبه بالخلاف الّذي وقع بين نبيّين كريمين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واحدة حكاها سبحانه في كتابه العزيز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وَداوُدَ وَسُلَيْمانَ إِذْ يَحْكُمانِ فِي الْحَرْثِ إِذْ نَفَشَتْ فِيهِ غَنَمُ الْقَوْمِ </w:t>
      </w:r>
    </w:p>
    <w:p>
      <w:pPr>
        <w:pStyle w:val="BookText"/>
        <w:rPr/>
      </w:pPr>
      <w:r>
        <w:rPr>
          <w:rFonts w:ascii="Amiri" w:hAnsi="Amiri" w:eastAsia="Amiri" w:cs="Amiri"/>
          <w:color w:val="111111"/>
          <w:sz w:val="28"/>
          <w:sz w:val="28"/>
          <w:szCs w:val="28"/>
          <w:rtl w:val="true"/>
          <w:lang w:bidi="ar-SA"/>
        </w:rPr>
        <w:t xml:space="preserve">وَكُنَّا لِحُكْمِهِمْ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سُلَيْمانَ وَكُلًّا آتَيْنا حُكْماً وَعِلْماً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وكما آتى سبحانه لكلّ منهما حكماً وعلماً ، فقد آتى لكلّ فقيه ربّاني فهماً وعلماً ، يدفعه روح البحث العلمي إلى إجراء المزيد من الدقّة والفحص في الأدلّة المتوفّرة بين يديه ، بُغية الوصول إلى الواقع ، وهذا العمل بطبيعته يورث الاختلاف وتعدّد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نجم الاختلاف في الشريعة بعد رحيل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واتّسعت شقّته في القرن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اهتمّ كثير من العلماء منذ وقت مبكر بالمسائل الخلافية وصنّفوا فيها كتباً عديدة ، جمعوا فيها آراء الفقهاء في مسائل خلافية إلى أن عادت معرفة العلم بالخلافيات علماً برأسه وأساساً لصحّة الاجتهاد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الأقوال في المسألة نصف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فيما يلي أسماء بعض الكتب الّتي أُلّفت في الخلافيات ، فمن السنَّة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أقوال الفقهاء السابقين في مختلف أبوابه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فيه البويطي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الربيع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الإمام الشافعي ، وقد ضمَّ فصولاً عديدة في اختلاف أبي حنيفة وابن أبي ليلى ، واختلاف أبي حنيفة والأوزاعي ، واختلاف الشافعي مع محمد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إسحاق الكوسج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تضمنت اختلاف الإمام أحمد مع معاصريه كابن راهويه وغيره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الإمام أبي عبد الله محمد بن نصر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بتحقيق الدكتور محمد طاهر حكيم ، ط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الإمام أبي بكر محمد بن المنذر النيسابوري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الإمام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كتابه اختلاف مالك والأوزاعي والثوري والشافعي وأبي حنيفة مع أبي يوسف ومحمد بن الحسن ثم أبي ثور ، وذكر بعض فقهاء الصحابة والتابعين وأتباعهم إلى المائة الثالثة ، ولم يذكر فيه أحمد بن حنبل ، وحكي انّه سئل عن سبب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أحمد فقيهاً وانّما كان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لعب بالكتاب طوارق الحدثان ولم يبق منه إلاّ القليل يبتدأ بكتاب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 فالبيوع والصرف والسلم والمزارعة والمساقاة والغصب والضمان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والمطبوع من الكتاب مجلد واحد يشتمل على هذه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الإمام أبي جعفر أحمد بن محمد الطحاوي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واختصره الإمام أبو بكر أحمد بن علي الجصّاص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ونشره الدكتور محمد صغير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محمد الباهلي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بكر أحمد بن الحسين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فيه أدلّة الحنفية وانتصر لمذهب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وطبعت بتحقيق مشهور بن حسن آل 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المظفر يحيى بن محمد بن هبيرة الحنبلي </w:t>
      </w:r>
    </w:p>
    <w:p>
      <w:pPr>
        <w:pStyle w:val="BookText"/>
        <w:rPr/>
      </w:pP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عشرة كاملة ذكرناها لإيقاف القارئ على أهمية معرفة الخلافيات وعناية الفقهاء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لدى السنّة وأمّا الشيعة فهي بدورها قد اهتمّت بهذا العلم أيضاً منذ عصر مبكِّر وألّفت فيه كتباً ، نذكر منها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عمر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يتشيّع ، حسن المذهب ، يلزم التقية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اختلاف أهل المدينة والكوفة في الشفعة والصدقة والعمرى والرقبى والوديعة والعارية والبضاعة والمضاربة والغصب والسرقة والحدود والشهادات ، وعلى نسق كتب الفقه ما يبقى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حنيفة نعمان بن أحمد المصري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ابن خلّكان عن ابن زولاق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ينتصر فيه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أُصول المذاهب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أحال المصنّف إليها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الشريف المرتضى وفاءً لجده الناصر على الرغم من اختلاف المذهب بينهما ، ويتجلّى فيه روح التفاهم والتسالم بين عالمين إماميّ وزيديّ ، وهو لا يقتصر على المسائل الخلافية بين الإمامية والزيدية ، بل يحتوي جلّ الخلافات الفقهية على مستوى المذاهب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مرتّب على ترتيب كتب الفقه ، وقد صرح فيه بأنّه ألّفه بعد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وناظر فيه المخالفين </w:t>
      </w:r>
    </w:p>
    <w:p>
      <w:pPr>
        <w:pStyle w:val="BookText"/>
        <w:rPr/>
      </w:pPr>
      <w:r>
        <w:rPr>
          <w:rFonts w:ascii="Amiri" w:hAnsi="Amiri" w:eastAsia="Amiri" w:cs="Amiri"/>
          <w:color w:val="111111"/>
          <w:sz w:val="28"/>
          <w:sz w:val="28"/>
          <w:szCs w:val="28"/>
          <w:rtl w:val="true"/>
          <w:lang w:bidi="ar-SA"/>
        </w:rPr>
        <w:t>جميعاً ، وقد طبع مراراً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المؤتلف من المختلف بين أئمة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أمين الإسلام فضل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لخّص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ونشر في ثلاثة أجزاء ، وأثبت هو في ذلك الكتاب انّ الخلاف بين الشيعة والسنّة في المسائل الفقهية ليس على نحو التباين ، بل كثيراً ما يوافق الشيعة مذهباً ويخالف مذهباً آخر ، وهذا هو الأمر السائد في معظم المسائل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المذاهب الخمسة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تقي الدين الحسن بن علي بن داود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الرجال المشهور برجال ابن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حسن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مشحون بنقل أدلّة الفقهاء على اختلاف مذاهبهم ، وقد طبع قديماً ، ويطبع حالياً طبعة جديدة محقّقة من قبل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صدر منه أكثر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وهو أفضل ما أُلّف في الفقه المقارَن نقلاً وتحقيقاً ، يذكر آراء العلماء برحابة صدر ويناقش فيها ، والكتاب من حسنات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قديماً وحديثا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وهو يختص ببيان اختلافات خصوص الشيعة في المسائل الفقهية ، وقد طبع طبعات عديدة محقّقة</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ما يمكن أن يذكر في المقام ، ولعلّك تلمس بما ذكرناه اهتمام </w:t>
      </w:r>
    </w:p>
    <w:p>
      <w:pPr>
        <w:pStyle w:val="BookText"/>
        <w:rPr/>
      </w:pPr>
      <w:r>
        <w:rPr>
          <w:rFonts w:ascii="Amiri" w:hAnsi="Amiri" w:eastAsia="Amiri" w:cs="Amiri"/>
          <w:color w:val="111111"/>
          <w:sz w:val="28"/>
          <w:sz w:val="28"/>
          <w:szCs w:val="28"/>
          <w:rtl w:val="true"/>
          <w:lang w:bidi="ar-SA"/>
        </w:rPr>
        <w:t>العلماء بالخلافيات ، وجدير بالذكر انّ الخلاف بين العلماء كان مرافقاً في الغالب برعاية أدب الخلاف وأُسلوب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البحث الموجز أوقفك على وجود الاختلاف في المسائل الفقهية في عصر الصحابة والتابعين والفقهاء إلى يومنا هذا ، إلاّ أنّ الكلام في أسباب الاختلاف ودوافعه ، فهناك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الحافز لاختلاف فقهاء السنّة فيما بينهم ، فقد ذكر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أسباب الاختلاف بين فقهاء السنّة ، أُمور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الألفاظ بين هذه الطرق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بين أن يكون اللفظ عامّاً يراد به الخاص ، أو خاصّاً يراد به العام ، أو عامّاً يراد به العام ، أو خاصّاً يراد به الخاص ، أو يكون له دليل خطاب ، أو لا يكون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الّذي في الألفاظ ، وذلك إمّا في اللفظ المفرد كلفظ القرء الّذي يطلق على الأطهار وعلى الحيض ، وكذلك لفظ الأمر الذي يحمل على الوجوب أو الندب ، ولفظ النهي الذي يحمل على التحريم أو الكراهية ، وإمّا في اللفظ المركب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أن يعود على الفاسق فقط ، ويحتمل أن يعود على الفاسق والشاهد ، فتكون التوبة رافعة للفسق ومجيزة شهادة القاذف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اللفظ بين حمله على الحقيقة أو حمله على نوع من أنواع المجاز ،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الحذف ، وإمّا الزيادة ، وإمّا التقديم ، وإمّا التأخير وإمّا تردده على الحقيقة أو الاستعارة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اللفظ تارة وتقييده تارة ، مثل إطلاق الرقبة في العتق تارة ، وتقييدها بالإيمان تارة</w:t>
      </w:r>
      <w:r>
        <w:rPr>
          <w:rFonts w:eastAsia="Amiri" w:cs="Amiri" w:ascii="Amiri" w:hAnsi="Amiri"/>
          <w:color w:val="111111"/>
          <w:sz w:val="28"/>
          <w:szCs w:val="28"/>
          <w:rtl w:val="true"/>
          <w:lang w:bidi="ar-SA"/>
        </w:rPr>
        <w:t xml:space="preserve">. </w:t>
      </w:r>
      <w:bookmarkStart w:id="10" w:name="pg10155_105183"/>
    </w:p>
    <w:p>
      <w:pPr>
        <w:pStyle w:val="BookText"/>
        <w:rPr/>
      </w:pPr>
      <w:bookmarkEnd w:id="10"/>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في الشيئين في جميع أصناف الألفاظ الّتي يتلقى منها الشرع ، الأحكام بعضها مع بعض ، وكذلك التعارض الّذي يأتي في الأفعال أو في الإقرارات ، أو تعارض القياسات أنفسها ، أو التعارض الّذي يتركب من هذه الأصناف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معارضة القول للفعل أو للإقرار أو للقياس ، ومعارضة الفعل للإقرار أو للقياس ، ومعارضة الإقرار للقياس</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الحافز للاختلاف بين الفقهين السني والشيعي؟ وهذا هو الذي نبحث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هذه الأُمور الستة هي أسباب الاختلاف بين فقهاء أهل السنّة ، لكن أسباب الاختلاف بين الفقهين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 والشيعي ترجع إلى الاختلاف في الكبريات أي حجّية أُمور يأتي الكلام عنها ، لا إلى الصغريات الّتي ذكرها ابن رشد ، ولعلّنا نستقصي في خاتمة المطاف الأُمور الّتي وسعت الشقةَ بين الفقهين ، ولكن نكتفي هنا ببيان سبب واحد</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272657_1067777946"/>
      <w:bookmarkStart w:id="12" w:name="_Toc4"/>
      <w:bookmarkEnd w:id="11"/>
      <w:r>
        <w:rPr>
          <w:rtl w:val="true"/>
        </w:rPr>
        <w:t>الإعراض عن أحاديث العترة الطاهرة</w:t>
      </w:r>
      <w:bookmarkEnd w:id="12"/>
    </w:p>
    <w:p>
      <w:pPr>
        <w:pStyle w:val="BookText"/>
        <w:rPr/>
      </w:pPr>
      <w:r>
        <w:rPr>
          <w:rFonts w:ascii="Amiri" w:hAnsi="Amiri" w:eastAsia="Amiri" w:cs="Amiri"/>
          <w:color w:val="111111"/>
          <w:sz w:val="28"/>
          <w:sz w:val="28"/>
          <w:szCs w:val="28"/>
          <w:rtl w:val="true"/>
          <w:lang w:bidi="ar-SA"/>
        </w:rPr>
        <w:t xml:space="preserve">إنّ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بتنصيص النبي قرناء الكتاب وأعداله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ما إن تمسّكتم بهما لن تضلّوا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متواتر أو متضافر ، رواه الفريقان ، أخرجه مسلم في صحيحه والترمذي في سننه وأحمد في مسنده إلى غير ذلك من المصادر المتوفّرة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فعلى ذلك قولهم حجة قاطعة ، مصون من الخطأ كالكتاب العزيز بحكم انّهما عِدْلان وصنوان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يركز على أنّ المرجع العلمي بعد رحيل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الكتاب والعترة ، وانّ قول العترة قول الرسول وكلامه ، وبقولهم تحفظ السنّة عبر القرون ، غير أنّ أصحاب المذاهب الأربعة وغيرهم تلقّوا روايات أهل البيت فتاوى خاصة لهم ، فلم يعتبروها حجّة شرعية على الجميع ، وهذا النوع من التفسير لأحاديثهم مخالف لحديث الثقلين أوّلاً وكلامهم ثانياً ، فإنّهم يعتبرون كل ما يروون ، سنّة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كابر عن كابر إلى أن يصل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النجاشي ينقل في ترجمة محمد بن عذافر الصيرفي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الحكم بن عتيبة عند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يسأله ، وكان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مكرِماً ، فاختلفا في شيء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بني قم فأخرج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كتاباً مدروجاً عظيماً ، ففتحه وجعل ينظر حتّى أخرج المسألة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خط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الحكم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اذهب أنت وسلمة بن كهيل وأبو المقدام حيث شئتم يميناً وشمالاً ، فو الله لا تجدون العلم أوثق منه عند قوم كان ينزل عليهم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هذه مكانة أحاديث أئمة أهل البيت وأنّهم حفظة السنّة وعيبة علم الرسول ، فلا حجّة للسنّيّ في الإعراض عن أحاديثهم والالتجاء إلى قواعد ، كالقياس والاستحسان والمصالح المرسلة وسد الذرائع وفتحها وقول الصحابي إلى غير ذلك من القواعد الّتي ألجأهم إلى تأسيسها وإرسائها قلّة النصوص النبويّة في </w:t>
      </w:r>
    </w:p>
    <w:p>
      <w:pPr>
        <w:pStyle w:val="BookText"/>
        <w:rPr/>
      </w:pPr>
      <w:r>
        <w:rPr>
          <w:rFonts w:ascii="Amiri" w:hAnsi="Amiri" w:eastAsia="Amiri" w:cs="Amiri"/>
          <w:color w:val="111111"/>
          <w:sz w:val="28"/>
          <w:sz w:val="28"/>
          <w:szCs w:val="28"/>
          <w:rtl w:val="true"/>
          <w:lang w:bidi="ar-SA"/>
        </w:rPr>
        <w:t>الشريعة والأحكام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لو رجعوا إلى أحاديث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فيما لم يرد فيه نصّ في الكتاب والسنّة النبويّة لاستغنوا عن إرساء هذه القواعد والعمل بالظنون الّتي لا تغني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رواه البخاري وغيره أن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بصدد التصريح باسم من يشغل منصّة الحكم ومرجعية الأحكام في أُخريات أيامه ، لكن حال بعضهم دون تحقيق أُمنيّة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في كتاب العلم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 ، وعندنا كتاب الله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وكَثُرَ اللَّغَط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 ولا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عباس يقول ، إنَّ الرزيّة كلّ الرزيّة ما حال بين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كتابه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والحقّ أنّها كانت رزيّة ليس فوقها رزيّة ، فإنّ الحيلولة بين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وأُمنيّته الكبرى ، وهو طريح الفراش ، فرّقت المسلمين ، وشتتت شملهم إلى يومنا هذا ، وظهرت خلافات على كافة الأصعدة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يميط الستر عن وجه الحقيقة ، هو ما رواه ابن أبي الحديد عن أحمد بن أبي طاهر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مُسنداً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في أوّل خلافته ، وقد أُلقي له صاعٌ من تمر على خَصَفة ، فدعاني إلى الأكل ، فأكلت تمرة واحدة ، </w:t>
      </w:r>
    </w:p>
    <w:p>
      <w:pPr>
        <w:pStyle w:val="BookText"/>
        <w:rPr/>
      </w:pPr>
      <w:r>
        <w:rPr>
          <w:rFonts w:ascii="Amiri" w:hAnsi="Amiri" w:eastAsia="Amiri" w:cs="Amiri"/>
          <w:color w:val="111111"/>
          <w:sz w:val="28"/>
          <w:sz w:val="28"/>
          <w:szCs w:val="28"/>
          <w:rtl w:val="true"/>
          <w:lang w:bidi="ar-SA"/>
        </w:rPr>
        <w:t>وأقبل يأكل حتّى أتى عليه ، ثم شرب من جَرّ كان عنده ، واستلقى على مِرفقة له ، وطفق يحمد الله ، يكرر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يا عبد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 ابن عمك؟ فظننته يعني عبد الله بن جعفر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يلعب مع أترابه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أعنِ ذلك ، إنّما عنيتُ عظيمَكم أهلَ البيت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يمتح بالغَرْب </w:t>
      </w:r>
      <w:r>
        <w:rPr>
          <w:rStyle w:val="FootnoteAnchor"/>
          <w:rtl w:val="true"/>
        </w:rPr>
        <w:footnoteReference w:id="12"/>
      </w:r>
      <w:r>
        <w:rPr>
          <w:rFonts w:ascii="Amiri" w:hAnsi="Amiri" w:eastAsia="Amiri" w:cs="Amiri"/>
          <w:color w:val="111111"/>
          <w:sz w:val="28"/>
          <w:sz w:val="28"/>
          <w:szCs w:val="28"/>
          <w:rtl w:val="true"/>
          <w:lang w:bidi="ar-SA"/>
        </w:rPr>
        <w:t>على نخيلات من فلان ، وهو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عليك دماء البُدن إن كتمتنيها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في نفسه شيء من أمر الخلافة؟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أيزعم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وأزيدك ، سألت أبي عمّا يدّعيه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 ذَرْوٌ </w:t>
      </w:r>
      <w:r>
        <w:rPr>
          <w:rStyle w:val="FootnoteAnchor"/>
          <w:rtl w:val="true"/>
        </w:rPr>
        <w:footnoteReference w:id="13"/>
      </w:r>
      <w:r>
        <w:rPr>
          <w:rFonts w:ascii="Amiri" w:hAnsi="Amiri" w:eastAsia="Amiri" w:cs="Amiri"/>
          <w:color w:val="111111"/>
          <w:sz w:val="28"/>
          <w:sz w:val="28"/>
          <w:szCs w:val="28"/>
          <w:rtl w:val="true"/>
          <w:lang w:bidi="ar-SA"/>
        </w:rPr>
        <w:t>من قول لا يثبتُ حُجّة ، ولا يقطع عذراً ، ولقد كان يربَع في أمره وقتاً ما ، ولقد أراد في مرضه أن يصرّح باسمه ، فمنعتُ من ذلك إشفاقاً وحيطة على الإسلام ، لا ورب هذه البنيّة لا تجتمع عليه قريش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وليها لانتقضت عليه العرب من أقطارها ، فعلم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علمت ما في نفسه ، فأمسك ، وأبى الله إلاّ إمضاء ما حتم</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من يريد رأب الصدع وتقليل الشُّقّة بين الفقهين ، فيلزمه الرجوع إلى روايات أئمة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بطرق صحيحة ، مضافاً إلى ما بين يديه من الروايات الواردة عن طريق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الله تعالى يلمّ بذلك الشّعَث والتفرّق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الختام نود أن نشير إلى خطوة كبيرة في مجال التقريب بين المذاهب قام بها صاحب الفضيلة الأُستاذ الأكبر الشيخ محمود شلتوت شيخ الجامع الأزهر في شأن جواز التعبد بمذهب الشيعة الإمامية الاثني عشرية عند ما سُئل عن جواز التعبد به ، فأجاب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الإسلام لا يوجب على أحد من أتباعه اتباعَ مذهب معيّن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مسلم الحق في أن يقلد بادئ ذي بدء أيَّ مذهب من المذاهب المنقولة نقلاً صحيحاً والمدونة أحكامها في كتبها الخاصة ، ولمن قلّد مذهباً من هذه المذاهب أن ينتقل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مذهب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حرج عليه في شيء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مذهب الجعفرية المعروفة بمذهب الشيعة الإمامية الاثنا عشرية مذهب يجوز التعبد به شرعاً كسائر مذاهب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للمسلمين أن يعرفوا ذلك ، وأن يتخلّصوا من العصبية ، بغير الحق لمذاهب معينة ، فما كان دين الله وما كان شريعته بتابعة لمذهب ، أو مقصورة على مذهب ، فالكلّ مجتهدون مقبولون عند الله تعالى ، يجوز لمن ليس أهلاً للنظر والاجتهاد تقليدهم والعمل بما يقررونه في فقههم ، ولا فرق في ذلك بين العبادات والمعاملات</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نسأله سبحانه أن يجمع كلمة المسلمين ويلمّ شعثهم</w:t>
      </w:r>
    </w:p>
    <w:p>
      <w:pPr>
        <w:pStyle w:val="BookText"/>
        <w:rPr/>
      </w:pPr>
      <w:r>
        <w:rPr>
          <w:rFonts w:ascii="Amiri" w:hAnsi="Amiri" w:eastAsia="Amiri" w:cs="Amiri"/>
          <w:color w:val="111111"/>
          <w:sz w:val="28"/>
          <w:sz w:val="28"/>
          <w:szCs w:val="28"/>
          <w:rtl w:val="true"/>
          <w:lang w:bidi="ar-SA"/>
        </w:rPr>
        <w:t>بمنّه وكرمه</w:t>
      </w:r>
    </w:p>
    <w:p>
      <w:pPr>
        <w:pStyle w:val="BookText"/>
        <w:rPr/>
      </w:pPr>
      <w:r>
        <w:rPr>
          <w:rFonts w:ascii="Amiri" w:hAnsi="Amiri" w:eastAsia="Amiri" w:cs="Amiri"/>
          <w:color w:val="111111"/>
          <w:sz w:val="28"/>
          <w:sz w:val="28"/>
          <w:szCs w:val="28"/>
          <w:rtl w:val="true"/>
          <w:lang w:bidi="ar-SA"/>
        </w:rPr>
        <w:t>جعفر السبحاني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bookmarkStart w:id="13" w:name="pg10155_105188"/>
    </w:p>
    <w:p>
      <w:pPr>
        <w:pStyle w:val="Heading2"/>
        <w:numPr>
          <w:ilvl w:val="1"/>
          <w:numId w:val="1"/>
        </w:numPr>
        <w:rPr/>
      </w:pPr>
      <w:bookmarkStart w:id="14" w:name="__RefHeading___Toc1272659_1067777946"/>
      <w:bookmarkStart w:id="15" w:name="_Toc5"/>
      <w:bookmarkEnd w:id="13"/>
      <w:bookmarkEnd w:id="14"/>
      <w:r>
        <w:rPr/>
        <w:t>13</w:t>
      </w:r>
      <w:r>
        <w:rPr>
          <w:rtl w:val="true"/>
        </w:rPr>
        <w:t xml:space="preserve">- </w:t>
      </w:r>
      <w:r>
        <w:rPr>
          <w:rtl w:val="true"/>
        </w:rPr>
        <w:t>الخمس في الكتاب والسنّة</w:t>
      </w:r>
      <w:bookmarkEnd w:id="1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272661_1067777946"/>
      <w:bookmarkStart w:id="17" w:name="_Toc6"/>
      <w:bookmarkEnd w:id="16"/>
      <w:r>
        <w:rPr>
          <w:rtl w:val="true"/>
        </w:rPr>
        <w:t>اشارة</w:t>
      </w:r>
      <w:bookmarkEnd w:id="1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0155_105190"/>
      <w:bookmarkStart w:id="19" w:name="pg10155_105190"/>
      <w:bookmarkEnd w:id="19"/>
    </w:p>
    <w:p>
      <w:pPr>
        <w:pStyle w:val="BookText"/>
        <w:rPr/>
      </w:pPr>
      <w:bookmarkStart w:id="20" w:name="pg10155_105190"/>
      <w:bookmarkEnd w:id="20"/>
      <w:r>
        <w:rPr>
          <w:rFonts w:ascii="Amiri" w:hAnsi="Amiri" w:eastAsia="Amiri" w:cs="Amiri"/>
          <w:color w:val="111111"/>
          <w:sz w:val="28"/>
          <w:sz w:val="28"/>
          <w:szCs w:val="28"/>
          <w:rtl w:val="true"/>
          <w:lang w:bidi="ar-SA"/>
        </w:rPr>
        <w:t xml:space="preserve">الخمس في الكتاب والسنّة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الأصل في ضريبة الخمس هو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لا شك أنّ الآية نزلت في مورد خاص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الفرقان ، يوم التقى الجمعان وهو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 لكن الكلام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عام لكلّ ما يفوز به الإنسان في حياته ، أو خاص بما يظفر به في الحرب من السلب والنهب؟</w:t>
      </w:r>
    </w:p>
    <w:p>
      <w:pPr>
        <w:pStyle w:val="BookText"/>
        <w:rPr/>
      </w:pPr>
      <w:r>
        <w:rPr>
          <w:rFonts w:ascii="Amiri" w:hAnsi="Amiri" w:eastAsia="Amiri" w:cs="Amiri"/>
          <w:color w:val="111111"/>
          <w:sz w:val="28"/>
          <w:sz w:val="28"/>
          <w:szCs w:val="28"/>
          <w:rtl w:val="true"/>
          <w:lang w:bidi="ar-SA"/>
        </w:rPr>
        <w:t>وعلى فرض كونه عامّاً فهل المورد مخصّص أو لا؟</w:t>
      </w:r>
    </w:p>
    <w:p>
      <w:pPr>
        <w:pStyle w:val="BookText"/>
        <w:rPr/>
      </w:pPr>
      <w:r>
        <w:rPr>
          <w:rFonts w:ascii="Amiri" w:hAnsi="Amiri" w:eastAsia="Amiri" w:cs="Amiri"/>
          <w:color w:val="111111"/>
          <w:sz w:val="28"/>
          <w:sz w:val="28"/>
          <w:szCs w:val="28"/>
          <w:rtl w:val="true"/>
          <w:lang w:bidi="ar-SA"/>
        </w:rPr>
        <w:t xml:space="preserve">فيقع الكلام في مقامين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272663_1067777946"/>
      <w:bookmarkStart w:id="22" w:name="_Toc7"/>
      <w:bookmarkEnd w:id="21"/>
      <w:r>
        <w:rPr>
          <w:rtl w:val="true"/>
        </w:rPr>
        <w:t xml:space="preserve">الأوّل </w:t>
      </w:r>
      <w:r>
        <w:rPr>
          <w:rtl w:val="true"/>
        </w:rPr>
        <w:t xml:space="preserve">: </w:t>
      </w:r>
      <w:r>
        <w:rPr>
          <w:rtl w:val="true"/>
        </w:rPr>
        <w:t>الغنيمة مطلق ما يفوز به الإنسان</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من أئمّة اللغة أنّه في الأصل أعم ممّا يظفر به الإنسان في ساحات </w:t>
      </w:r>
    </w:p>
    <w:p>
      <w:pPr>
        <w:pStyle w:val="BookText"/>
        <w:rPr/>
      </w:pPr>
      <w:r>
        <w:rPr>
          <w:rFonts w:ascii="Amiri" w:hAnsi="Amiri" w:eastAsia="Amiri" w:cs="Amiri"/>
          <w:color w:val="111111"/>
          <w:sz w:val="28"/>
          <w:sz w:val="28"/>
          <w:szCs w:val="28"/>
          <w:rtl w:val="true"/>
          <w:lang w:bidi="ar-SA"/>
        </w:rPr>
        <w:t xml:space="preserve">الحرب ، بل هو لغة لكلّ ما يفوز به الإنسان ، وإليك بعض كلماتهم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بالشيء في غير مشقة ، والاغتنام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انتهاز الغنم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 والاغتنام انتهاز الغنم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إصابته والظفر به ، ثم استعمل في كل مظفور به من جهة العِدَى وغيرهم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غَنِمْتُمْ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يُغنم وجمعه مغانم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صحيح واحد يدلّ على إفادة شيء لم يملك من قبل ثمّ يختص بما أُخذ من المشركين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لمن رهنه ، له غُنمه وعليه غُرمه ، 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ونماؤه وفاضل قيمته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لا بمشقّة ، وأغنمه كذا تغنيماً نفله إيّاه ، واغتنمه وتغنّمه ، عدّه غنيمة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والغنم بالضم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 لمن رهنه ، له غُنْمه وعليه غرمه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غنمه أي زيادته ونماؤه وفاضل قيمته ، والغنم الفوز بالشيء بلا مشقة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غنيمة في الحرب أو غيرها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الغُنم يستعمل مقابل الغرم وهو الضرر ، فيكون معناه بمقتضى المقابلة هو النفع ، ومن القواعد الفقهية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بالغرم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انّ من ينال نفع شيء يتحمّل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هذه القاعدة هو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يغلق الرهن من صاحبه الذي رهنه ، له غنمه وعليه غرمه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غنمه زيادته ، وغرمه هلاكه ونقصه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وهذه النصوص تعرب عن أنّ المادّة لم توضع لما يفوز به الإنسان في الحروب ، بل معناها أوسع من ذلك وإن كان يغلب استعمالها في العصور المتأخّرة عن نزول القرآن في ما يظفر به في ساحة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نجد أنّ المادة استعملت في مطلق ما يفوز به الإنسان في الذكر الحكيم 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استعمل القرآن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يفوز به الإنسان وإن لم يكن عن طريق القتال ، بل كان عن طريق العمل العادي الدنيوي أو الأُخروي ، إذ يقول سبحانه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w:t>
      </w:r>
    </w:p>
    <w:p>
      <w:pPr>
        <w:pStyle w:val="BookText"/>
        <w:rPr/>
      </w:pPr>
      <w:r>
        <w:rPr>
          <w:rFonts w:ascii="Amiri" w:hAnsi="Amiri" w:eastAsia="Amiri" w:cs="Amiri"/>
          <w:color w:val="111111"/>
          <w:sz w:val="28"/>
          <w:sz w:val="28"/>
          <w:szCs w:val="28"/>
          <w:rtl w:val="true"/>
          <w:lang w:bidi="ar-SA"/>
        </w:rPr>
        <w:t>إِلَيْكُمُ السَّلامَ لَسْتَ مُؤْمِناً تَبْتَغُونَ عَرَضَ الْحَياةِ الدُّنْيا فَعِنْدَ اللهِ مَغانِمُ كَثِيرَةٌ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والمراد بالمغانم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أجر الآخرة ، بدليل مقابلته لعرض الحياة الدنيا ، فيدل على أنّ لفظ المَغْنم لا يختصّ بالأُمور والأشياء التي يحصل عليها الإنسان في هذه الدنيا أو في ساحات الحرب فقط ، بل هو عام لكلّ مكسب وفائدة وإن كان أُخرويّاً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وردت هذه اللفظة في الأحاديث وأُريد منها مطلق الفائدة الحاصلة للمرء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ماجة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اجعلها مغنماً ولا تجعلها مغرما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وفي مسند أحمد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غنيمة مجالس الذكر الجنّة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وفي وصف شهر رمضان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غنم للمؤمن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وفي نهاية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الشتاء الغنيمة الباردة ، سمّاه غنيمة لما فيه من الأجر والثواب</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بان ممّا نقلناه من كلمات أئمّة اللغة وموارد استعمال تلك المادة في الكتاب والسنّة ، أنّ العرب تستعملها في كل مورد يفوز به الإنسان ، من جهة العدى وغيرهم ، وإنّما صار حقيقة متشرعة في الأعصار المتأخّرة في خصوص ما </w:t>
      </w:r>
      <w:bookmarkStart w:id="23" w:name="pg10155_105194"/>
    </w:p>
    <w:p>
      <w:pPr>
        <w:pStyle w:val="BookText"/>
        <w:rPr/>
      </w:pPr>
      <w:bookmarkEnd w:id="23"/>
      <w:r>
        <w:rPr>
          <w:rFonts w:ascii="Amiri" w:hAnsi="Amiri" w:eastAsia="Amiri" w:cs="Amiri"/>
          <w:color w:val="111111"/>
          <w:sz w:val="28"/>
          <w:sz w:val="28"/>
          <w:szCs w:val="28"/>
          <w:rtl w:val="true"/>
          <w:lang w:bidi="ar-SA"/>
        </w:rPr>
        <w:t>يفوز به الإنسان في ساحة الحرب ، ونزلت الآية في أوّل حرب خاضها المسلمون تحت لواء رسول الله ، ولم يكن الاستعمال إلاّ تطبيقاً للمعنى الكلّي على مورد خاص</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272665_1067777946"/>
      <w:bookmarkStart w:id="25" w:name="_Toc8"/>
      <w:bookmarkEnd w:id="24"/>
      <w:r>
        <w:rPr>
          <w:rtl w:val="true"/>
        </w:rPr>
        <w:t xml:space="preserve">الثاني </w:t>
      </w:r>
      <w:r>
        <w:rPr>
          <w:rtl w:val="true"/>
        </w:rPr>
        <w:t xml:space="preserve">: </w:t>
      </w:r>
      <w:r>
        <w:rPr>
          <w:rtl w:val="true"/>
        </w:rPr>
        <w:t>المورد غير مخصّص</w:t>
      </w:r>
      <w:bookmarkEnd w:id="25"/>
    </w:p>
    <w:p>
      <w:pPr>
        <w:pStyle w:val="Heading4"/>
        <w:numPr>
          <w:ilvl w:val="3"/>
          <w:numId w:val="1"/>
        </w:numPr>
        <w:rPr/>
      </w:pPr>
      <w:bookmarkStart w:id="26" w:name="__RefHeading___Toc1272667_1067777946"/>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إذا كان مفهوم اللفظ عامّاً يشمل كافّة ما يفوز به الإنسان ، فلا يكون وروده في مورد خاص ، مخصّصاً لمفهومه ومضيّقاً لعمومه ، فإذا وقفنا على أنّ التشريع الإسلامي فرض الخمس في الركاز والكنز والسيوب أوّلاً ، وأرباح المكاسب ثانياً ، فيكون ذلك التشريع مؤكّداً لإطلاق الآية ، ولا يكون وروده في الغنائم الحربية رافعاً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ما ورد في السنّة من الروايات في الموردين </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272669_1067777946"/>
      <w:bookmarkStart w:id="29" w:name="_Toc10"/>
      <w:bookmarkEnd w:id="28"/>
      <w:r>
        <w:rPr/>
        <w:t>1</w:t>
      </w:r>
      <w:r>
        <w:rPr>
          <w:rtl w:val="true"/>
        </w:rPr>
        <w:t xml:space="preserve">. </w:t>
      </w:r>
      <w:r>
        <w:rPr>
          <w:rtl w:val="true"/>
        </w:rPr>
        <w:t>وجوب الخمس في الركاز من باب الغنيمة</w:t>
      </w:r>
      <w:bookmarkEnd w:id="29"/>
    </w:p>
    <w:p>
      <w:pPr>
        <w:pStyle w:val="Heading5"/>
        <w:numPr>
          <w:ilvl w:val="4"/>
          <w:numId w:val="1"/>
        </w:numPr>
        <w:rPr/>
      </w:pPr>
      <w:bookmarkStart w:id="30" w:name="__RefHeading___Toc1272671_1067777946"/>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اتّفقت السنّة على أنّ في الركاز الخمس وإنّما اختلفوا في المعادن ، فالواجب هو الخمس لدى الحنفية والمالكية ، وربع العشر عند الشافعية والحنابلة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استدلّت الحنفية على وجوب الخمس في المعادن بالكتاب والسنّة والقياس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المعدن غنيمة ، لأنّه كان في محلّه من الأرض في أيدي الكفرة ، وقد استولى عليه المسلمون عنوة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العجماء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هدر لا شيء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والبئر جبار والمعدن جبار ، وفي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والركاز يشمل المعدن والكنز ، لأنّه من الركز </w:t>
      </w:r>
    </w:p>
    <w:p>
      <w:pPr>
        <w:pStyle w:val="BookText"/>
        <w:rPr/>
      </w:pPr>
      <w:r>
        <w:rPr>
          <w:rFonts w:ascii="Amiri" w:hAnsi="Amiri" w:eastAsia="Amiri" w:cs="Amiri"/>
          <w:color w:val="111111"/>
          <w:sz w:val="28"/>
          <w:sz w:val="28"/>
          <w:szCs w:val="28"/>
          <w:rtl w:val="true"/>
          <w:lang w:bidi="ar-SA"/>
        </w:rPr>
        <w:t>أي المركوز ، سواء من الخالق أو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قياس المعدن على الكنز الجاهلي ، بجامع ثبوت معنى الغنيمة في كلّ منهما ، فيجب الخمس فيهما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ترى أنّ الحنفية تستدلّ على وجوب الخمس في المعادن بآية الغنيمة ولا تصلح للاستدلال إلاّ أن يراد بها المعنى اللغوي لا المعنى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جاء في ثنايا الاستدلال بأنّ المعدن غنيمة ، لأنّه كان في محلّه من الأرض في أيدي الكفرة وقد استولى عليه المسلمون عنوة ، غير تام ، بل الظاهر انّ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تلك الحيثية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يتوجّه عليه إشكالان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وجوب الخمس في المعادن التي لم تكن عليها يد الكفر ، كما في الصحارى الخالية عن أيّة سلطة عبر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 بين كونها حقيقة في خصوص ما يفوز به الإنسان في ساحة الحرب أو مطلق ما يفوز به الإنسان ، وأمّا الفوز بالشيء بعد مرور قرن أو قرون على الحرب فهو ممّا لم يقل به أحد ، ومن الواضح انّ أكثر المعادن التي عليها يد الدولة الإسلامية أو آحاد الناس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تضافرت الروايات عن طريق أهل السنّة على وجوب الخمس في الأُمور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لفيف من الصحابة كابن عباس وأبي هريرة وجابر وعبادة بن الصامت وأنس بن مالك ، وجوب الخمس في الركاز والكنز والسيوب ، وإليك قسماً ممّا روي في هذا المجال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مسند أحمد وسنن ابن ماجة 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الركاز ، الخمس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صحيحي مسلم والبخاري 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العجماء جرحها جبار ، والمعدن جبار ، وفي الركاز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يوسف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أهل الجاهلية إذا عطبَ الرجل في قُلَيب جعلوا القليب عَقَله ، وإذا قتلته دابة جعلوها عقله ، وإذا قتله معدن جعلوه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سائل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العجماء جبار ، والمعدن جبار ، والبئر جبار ، وفي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الركاز يا رسول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والفضة الذي خلقه الله في الأرض يوم خلقت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السائمة جبار ، والجُبّ جبار ، والمعدن جبار ، وفي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العادي</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بن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32" w:name="pg10155_105197"/>
    </w:p>
    <w:p>
      <w:pPr>
        <w:pStyle w:val="BookText"/>
        <w:rPr/>
      </w:pPr>
      <w:bookmarkEnd w:id="32"/>
      <w:r>
        <w:rPr>
          <w:rFonts w:ascii="Amiri" w:hAnsi="Amiri" w:eastAsia="Amiri" w:cs="Amiri"/>
          <w:color w:val="111111"/>
          <w:sz w:val="28"/>
          <w:sz w:val="28"/>
          <w:szCs w:val="28"/>
          <w:rtl w:val="true"/>
          <w:lang w:bidi="ar-SA"/>
        </w:rPr>
        <w:t>المعدن جبار ، والبئر جبار ، والعجماء جرحها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من الأنعام وغيرها ، والجبار هو الهدر الذي لا يُغرم ، وقضى في الركاز الخمس</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فدخل صاحب لنا إلى خربة يقضي حاجته فتناول لبنة ليستطيب بها فانهارت عليه تبرا ، فأخذها فأتى بها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فوزنها فإذا مائتا درهم 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ركاز وفيه الخمس</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مزينة سأل رسول الله مسائل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فالكنز نجده في الخرب وفي الآرام؟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 وفي الركاز الخمس</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نهاية اللغة ولسان العرب وتاج العروس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لوائل 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السيوب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من الذهب والفضة تَسيب في المعدن ، أي تتكوّن فيه وتظهر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سيب ،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يريد النبي بالسيب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المدفون في الجاهلية ، أو المعدن لأنّه من فضل الله تعالى وعطائه لمن أصابه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Heading5"/>
        <w:numPr>
          <w:ilvl w:val="4"/>
          <w:numId w:val="1"/>
        </w:numPr>
        <w:rPr/>
      </w:pPr>
      <w:bookmarkStart w:id="33" w:name="__RefHeading___Toc1272673_1067777946"/>
      <w:bookmarkStart w:id="34" w:name="_Toc12"/>
      <w:bookmarkEnd w:id="33"/>
      <w:r>
        <w:rPr>
          <w:rtl w:val="true"/>
        </w:rPr>
        <w:t>تفسير ألفاظ الأحاديث</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المنفلتة من صاحبها ، فما أصابت في انفلاتها فلا غرم على </w:t>
      </w:r>
      <w:bookmarkStart w:id="35" w:name="pg10155_105198"/>
    </w:p>
    <w:p>
      <w:pPr>
        <w:pStyle w:val="BookText"/>
        <w:rPr/>
      </w:pPr>
      <w:bookmarkEnd w:id="35"/>
      <w:r>
        <w:rPr>
          <w:rFonts w:ascii="Amiri" w:hAnsi="Amiri" w:eastAsia="Amiri" w:cs="Amiri"/>
          <w:color w:val="111111"/>
          <w:sz w:val="28"/>
          <w:sz w:val="28"/>
          <w:szCs w:val="28"/>
          <w:rtl w:val="true"/>
          <w:lang w:bidi="ar-SA"/>
        </w:rPr>
        <w:t xml:space="preserve">صاحبها ، والمعدن جبار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احتفر الرجل معدناً فوقع فيه انسان فلا غرم عليه ، وكذلك البئر إذا احتفرها الرجل للسبيل فوقع فيها إنسان فلا غرم على صاحبها ، وفي الركاز الخمس ، والركاز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من دفن أهل الجاهلية ، فمن وجد ركازاً أدّى منه الخمس إلى السلطان وما بقي له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والآرام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وهي حجارة تجمع وتنصب في المفازة يُهتدى بها ، واحدها إرَم كعنب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عادة الجاهلية أنّهم إذا وجدوا شيئاً في طريقهم لا يمكنهم استصحابه ، تركوا عليه حجارة يعرفونه بها حتى إذا عادوا أخذوه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معاجم اللغة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ركَزَه يركُزُه رَكزاً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ذهب وفضة تخرج من الأرض ، أو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الركزة ، كأنّه ركز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جواهر الأرض المركوزة فيها ، وجمع الركزة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الروايات تعرب عن وجود ضريبة غير الزكاة ، هي الخمس ، وعليه كلام أبي يوسف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نصّه </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272675_1067777946"/>
      <w:bookmarkStart w:id="37" w:name="_Toc13"/>
      <w:bookmarkEnd w:id="36"/>
      <w:r>
        <w:rPr>
          <w:rtl w:val="true"/>
        </w:rPr>
        <w:t>كلام أبي يوسف في المعدن والركاز</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أُصيب من المعادن من قليل أو كثير ، الخمس ، ولو أنّ رجلاً أصاب في معدن أقل من وزن مائتي درهم فضّة أو أقل من وزن عشرين مثقالاً ذهباً فإنّ فيه الخمس ، وليس هذا على موضع الزكاة إنّما هو على </w:t>
      </w:r>
    </w:p>
    <w:p>
      <w:pPr>
        <w:pStyle w:val="BookText"/>
        <w:rPr/>
      </w:pPr>
      <w:r>
        <w:rPr>
          <w:rFonts w:ascii="IRNazanin" w:hAnsi="IRNazanin" w:eastAsia="IRNazanin"/>
          <w:color w:val="111111"/>
          <w:sz w:val="28"/>
          <w:sz w:val="28"/>
          <w:szCs w:val="28"/>
          <w:rtl w:val="true"/>
          <w:lang w:bidi="fa-IR"/>
        </w:rPr>
        <w:t xml:space="preserve">موضع الغنائم </w:t>
      </w:r>
      <w:r>
        <w:rPr>
          <w:rStyle w:val="FootnoteAnchor"/>
          <w:rtl w:val="true"/>
        </w:rPr>
        <w:footnoteReference w:id="43"/>
      </w:r>
      <w:r>
        <w:rPr>
          <w:rFonts w:ascii="Amiri" w:hAnsi="Amiri" w:eastAsia="Amiri" w:cs="Amiri"/>
          <w:color w:val="111111"/>
          <w:sz w:val="28"/>
          <w:sz w:val="28"/>
          <w:szCs w:val="28"/>
          <w:rtl w:val="true"/>
          <w:lang w:bidi="ar-SA"/>
        </w:rPr>
        <w:t xml:space="preserve">، وليس في تراب ذلك شيء إنّما الخمس في الذهب الخالص والفضة الخالصة والحديد والنحاس والرصاص ، ولا يحسب لمن استخرج ذلك من نفقته عليه شيء ، وقد تكون النفقة تستغرق ذلك كلّه فلا يجب إذن فيه خمس عليه ، وفيه الخمس حين يفرغ من تصفيته قليلاً كان أو كثيراً ، ولا يحسب له من نفقته شيء من ذلك ، وما استخرج من المعادن سوى ذلك من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الياقوت والفيروزج والكحل والزئبق والكبريت والمغرّة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خمس في شيء </w:t>
      </w:r>
      <w:r>
        <w:rPr>
          <w:rStyle w:val="FootnoteAnchor"/>
          <w:rtl w:val="true"/>
        </w:rPr>
        <w:footnoteReference w:id="44"/>
      </w:r>
      <w:r>
        <w:rPr>
          <w:rFonts w:ascii="Amiri" w:hAnsi="Amiri" w:eastAsia="Amiri" w:cs="Amiri"/>
          <w:color w:val="111111"/>
          <w:sz w:val="28"/>
          <w:sz w:val="28"/>
          <w:szCs w:val="28"/>
          <w:rtl w:val="true"/>
          <w:lang w:bidi="ar-SA"/>
        </w:rPr>
        <w:t>من ذلك ، إنّما ذلك كلّه بمنزلة الطين والتراب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الذي أصاب شيئاً من الذهب أو الفضة أو الحديد أو الرصاص أو النحاس ، كان عليه دين فادح لم يُبطل ذلك الخمس عنه ، ألا ترى لو أنّ جنداً من الأجناد أصابوا غنيمة من أهل الحرب خُمِّسَت ولم ينظر أعليهم دين أم لا ، ولو كان عليهم دين لم يمنع ذلك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الركاز فهو الذهب والفضة الذي خلقه الله عزّ وجلّ في الأرض يوم خلقت ، فيه أيضاً الخمس ، فمن أصاب كنزاً عاديّاً في غير ملك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ذهب أو فضة أو جوهر أو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الخمس وأربعة أخماسه للذي أصابه وهو بمنزلة الغنيمة يغنمها القوم فتخمَّس وما بقي فلهم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حربياً وجد في دار الإسلام ركازاً وكان قد دخل بأمان ، نزع ذلك كلّه منه ولا يكون له منه شيء ، وإن كان ذمّياً أُخذ منه الخمس كما يؤخذ من </w:t>
      </w:r>
    </w:p>
    <w:p>
      <w:pPr>
        <w:pStyle w:val="BookText"/>
        <w:rPr/>
      </w:pPr>
      <w:r>
        <w:rPr>
          <w:rFonts w:ascii="Amiri" w:hAnsi="Amiri" w:eastAsia="Amiri" w:cs="Amiri"/>
          <w:color w:val="111111"/>
          <w:sz w:val="28"/>
          <w:sz w:val="28"/>
          <w:szCs w:val="28"/>
          <w:rtl w:val="true"/>
          <w:lang w:bidi="ar-SA"/>
        </w:rPr>
        <w:t>المسلم ، وسلِّم له أربعة أخماسه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المكاتب يجد ركازاً في دار الإسلام فهو له بعد الخمس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إنّ الناظر في فتاوى العلماء وروايات الواردة في وجوب الخمس في الركاز الذي هو الكنز عند الحجازيين والمعدن عند أهل العراق يقف على أنّ إيجابه من باب انّه فوز بالشيء بلا بذل جهد ، كالغنائم المأخوذة في الغزوات ، وهذا يعرب عن أنّ مدلول الآية أوسع ممّا يتصوّر في بدء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الأثير ناقلاً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لا اختلاف فيه عندنا والذي سمعت أهل العلم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الركاز إنّما هو دفن يوجد من دفن الجاهلية ، ما لم يطلب بمال ولم يتكلّف فيه نفقة ، ولا كبير عمل ولا مئونة ، فأمّا ما طلب بمال ، وتكلّف فيه كبير عمل فأصيب مرة وأخطئ مرة ، فليس بركاز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والركاز عند أهل الحجاز كنز الجاهلية ودفنها ، لأنّ صاحبه ركزه في الأرض ، أي أثبته وهو عند أهل العراق ، المعدن ، لأنّ الله تعالى ركزه في الأرض ركزاً ، والحديث إنّما جاء في التفسير الأوّل منهما ، وهو الكنز الجاهلي على ما فسّره الحسن وإنّما كان فيه الخمس لكثرة نفعه وسهولة أخذه ، والأصل فيه أنّ ما خفت كلفته كثر الواجب فيه ، وما ثقلت كلفته قلّ الواجب فيه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w:t>
      </w:r>
      <w:r>
        <w:rPr>
          <w:rStyle w:val="FootnoteAnchor"/>
          <w:rtl w:val="true"/>
        </w:rPr>
        <w:footnoteReference w:id="46"/>
      </w:r>
      <w:r>
        <w:rPr>
          <w:rFonts w:ascii="Amiri" w:hAnsi="Amiri" w:eastAsia="Amiri" w:cs="Amiri"/>
          <w:color w:val="111111"/>
          <w:sz w:val="28"/>
          <w:sz w:val="28"/>
          <w:szCs w:val="28"/>
          <w:rtl w:val="true"/>
          <w:lang w:bidi="ar-SA"/>
        </w:rPr>
        <w:t xml:space="preserve">ذلك ما رواه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عبد المطلب سنّ في الجاهلية خمس سنن أجراها الله له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كنزاً فأخرج منه الخمس وتصدّق به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Style w:val="FootnoteAnchor"/>
          <w:rtl w:val="true"/>
        </w:rPr>
        <w:footnoteReference w:id="47"/>
      </w:r>
      <w:bookmarkStart w:id="38" w:name="pg10155_105201"/>
    </w:p>
    <w:p>
      <w:pPr>
        <w:pStyle w:val="BookText"/>
        <w:rPr/>
      </w:pPr>
      <w:bookmarkEnd w:id="38"/>
      <w:r>
        <w:rPr>
          <w:rFonts w:ascii="Amiri" w:hAnsi="Amiri" w:eastAsia="Amiri" w:cs="Amiri"/>
          <w:color w:val="111111"/>
          <w:sz w:val="28"/>
          <w:sz w:val="28"/>
          <w:szCs w:val="28"/>
          <w:rtl w:val="true"/>
          <w:lang w:bidi="ar-SA"/>
        </w:rPr>
        <w:t xml:space="preserve">ترى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الكنز من مصاديق الغنيمة الواردة في الآية المباركة ، وهذا يعرب عن سعة مفهوم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الشيعة الإمامية عمّمتها إلى أرباح المكاسب ولكن السنّة خصصتها بالركاز والكنز والمعدن ، وسيوافيك ما يدلّ على وجوب الخمس في أرباح المكاسب في روايات أهل السنّة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272677_1067777946"/>
      <w:bookmarkStart w:id="40" w:name="_Toc14"/>
      <w:bookmarkEnd w:id="39"/>
      <w:r>
        <w:rPr/>
        <w:t>2</w:t>
      </w:r>
      <w:r>
        <w:rPr>
          <w:rtl w:val="true"/>
        </w:rPr>
        <w:t xml:space="preserve">. </w:t>
      </w:r>
      <w:r>
        <w:rPr>
          <w:rtl w:val="true"/>
        </w:rPr>
        <w:t>الخمس في أرباح المكاسب</w:t>
      </w:r>
      <w:bookmarkEnd w:id="40"/>
    </w:p>
    <w:p>
      <w:pPr>
        <w:pStyle w:val="Heading5"/>
        <w:numPr>
          <w:ilvl w:val="4"/>
          <w:numId w:val="1"/>
        </w:numPr>
        <w:rPr/>
      </w:pPr>
      <w:bookmarkStart w:id="41" w:name="__RefHeading___Toc1272679_1067777946"/>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هذا هو بيت القصيد في المقام ، والهدف من عنوان المسألة هو إثبات ذلك ، حيث يظهر من غير واحد من الروايات أنّ النبيّ الأكرم أمر بإخراج الخمس من مطلق ما يغنمه الإنسان من أرباح المكاسب وغيرها ، وإليك بعض ما ورد في المقام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وفد عبد القيس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وبينك المشركين وإنّا لا نصل إليك إلاّ في شهر الحرام ، فَمُرْنا بأمر فصل ، إنْ عملنا به دخلنا الجنة وندعو إليه مَن وراءنا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آمركم بأربع وأنهاكم عن أربع ؛ آمركم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بالإيمان بالله ، وهل تدرون ما الإيمان؟ شهادة أن لا إله إلاّ الله ، وإقام الصلاة ، وإيتاء الزكاة ، وتعطوا الخمس من المغنم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يطلب من بني عبد القيس أن يدفعوا غنائم الحرب كيف وهم لا يستطيعون الخروج من حيّهم في غير الأشهر الحرم ، خوفاً من </w:t>
      </w:r>
    </w:p>
    <w:p>
      <w:pPr>
        <w:pStyle w:val="BookText"/>
        <w:rPr/>
      </w:pP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قصد المغنم بمعناه الحقيقي في لغة العرب وهو ما يفوزون به فعليهم أن يعطوا خمس ما يربحون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كتب ومواثيق ، كتبها النبيّ وفرض فيها الخمس على أصحابها وستتبيّن بعد الفراغ من نقلها ، دلالتها على الخمس في الأرباح وإن لم تكن غنيمة حربية ، 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لعمرو بن حزم حين بعثه إلى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النبي رسول الله لعمرو بن حزم حين بعثه إلى اليمن ، أمره بتقوى الله في أمره كلّه ، وأن يأخذ من المغانم خمس الله ، وما كتب على المؤمنين من الصدقة من العقار عُشر ما سقى البعل وسقت السماء ، ونصف العُشر ممّا سقى الغرب</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والبعل ما سُقِيَ بعروقه ،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إلى شرحبيل بن عبد كلال ، وحارث بن عبد كلال ، ونعيم بن عبد كلال قيل ذي رعين ، ومعافر وهمدان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فقد رجع رسولكم وأعطيتم من المغانم خمس الله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إلى سعد هُذيم من قضاعة ، وإلى جذام كتاباً واحداً يعلّمهم فرائض الصدقة ، ويأمرهم أن يدفعوا الصدقة والخمس إلى رسوليه أُبيّ وعنبسة أو من أرسلاه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للفُجَيع ومن تبعه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محمد النبيّ للفجيع ، ومن تبعه وأسلمَ وأقام الصلاةَ وآتى الزكاة وأطاع الله ورسوله وأعطى من المغانم خمس الله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لجنادة الأزدي وقومه ومن تبعه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أقاموا الصلاة وآتوا الزكاة وأطاعوا الله ورسوله وأعطوا من المغانم خمس الله وسهم النبي وفارقوا المشركين ، فإنّ لهم ذمّة الله وذمّة محمد بن عبد الله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لجهينة بن زيد فيما 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بطون الأرض وسهولها وتلاع الأودية وظهورها ، على أن ترعوا نباتها وتشربوا ماءها ، على أن تؤدّوا الخمس</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لملوك حمير فيما 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وآتيتم الزكاة ، وأعطيتم من المغانم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 وسهم النبي وصفيّه وما كتب الله على المؤمنين من الصدقة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لبني ثعلبة بن عامر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منهم وأقام الصلاة وآتى الزكاة وأعطى خمس المغنم وسهم النبي والصفي</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إلى بعض أفخاذ جهينة </w:t>
      </w:r>
      <w:r>
        <w:rPr>
          <w:rFonts w:eastAsia="Amiri" w:cs="Amiri" w:ascii="Amiri" w:hAnsi="Amiri"/>
          <w:color w:val="111111"/>
          <w:sz w:val="28"/>
          <w:szCs w:val="28"/>
          <w:rtl w:val="true"/>
          <w:lang w:bidi="ar-SA"/>
        </w:rPr>
        <w:t>:</w:t>
      </w:r>
      <w:bookmarkStart w:id="43" w:name="pg10155_105204"/>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منهم وأقام الصلاة وآتى الزكاة وأطاع الله ورسوله وأعطى من الغنائم الخمس</w:t>
      </w:r>
      <w:r>
        <w:rPr>
          <w:rFonts w:eastAsia="Amiri" w:cs="Amiri" w:ascii="Amiri" w:hAnsi="Amiri"/>
          <w:color w:val="111111"/>
          <w:sz w:val="28"/>
          <w:szCs w:val="28"/>
          <w:rtl w:val="true"/>
          <w:lang w:bidi="ar-SA"/>
        </w:rPr>
        <w:t xml:space="preserve">». </w:t>
      </w:r>
      <w:r>
        <w:rPr>
          <w:rStyle w:val="FootnoteAnchor"/>
          <w:rtl w:val="true"/>
        </w:rPr>
        <w:footnoteReference w:id="55"/>
      </w:r>
    </w:p>
    <w:p>
      <w:pPr>
        <w:pStyle w:val="Heading5"/>
        <w:numPr>
          <w:ilvl w:val="4"/>
          <w:numId w:val="1"/>
        </w:numPr>
        <w:rPr/>
      </w:pPr>
      <w:bookmarkStart w:id="44" w:name="__RefHeading___Toc1272681_1067777946"/>
      <w:bookmarkStart w:id="45" w:name="_Toc16"/>
      <w:bookmarkEnd w:id="44"/>
      <w:r>
        <w:rPr>
          <w:rtl w:val="true"/>
        </w:rPr>
        <w:t>إيضاح الاستدلال بهذه المكاتيب</w:t>
      </w:r>
      <w:bookmarkEnd w:id="45"/>
    </w:p>
    <w:p>
      <w:pPr>
        <w:pStyle w:val="BookText"/>
        <w:rPr/>
      </w:pPr>
      <w:r>
        <w:rPr>
          <w:rFonts w:ascii="Amiri" w:hAnsi="Amiri" w:eastAsia="Amiri" w:cs="Amiri"/>
          <w:color w:val="111111"/>
          <w:sz w:val="28"/>
          <w:sz w:val="28"/>
          <w:szCs w:val="28"/>
          <w:rtl w:val="true"/>
          <w:lang w:bidi="ar-SA"/>
        </w:rPr>
        <w:t xml:space="preserve">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الرسائل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يطلب منهم أن يدفعوا خمس غنائم الحرب التي اشتركوا فيها ، بل كان يطلب ما استحقّ في أموالهم من خمس وصدقة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كان يطلب منهم الخمس دون أن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الحرب واكتساب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الحاكم الإسلامي أو نائبه هما اللّذان يليان بعد الفتح قبض جميع غنائم الحرب وتقسيمها بعد استخراج الخمس منها ، ولا يَملِك أحد من الغزاة عدا سلب القتيل شيئاً ممّا سلب وإلاّ كان سارقاً مغلاّ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إعلان الحرب وإخراج خمس الغنائم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شئون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يعني طلبه الخمس من الناس وتأكيده في كتاب بعد كتاب ، وفي عهد بعد عهد؟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فيتبيّن أنّ ما كان يطلبه لم يكن مرتبطاً بغنائم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أنّه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بالغنيمة في هذه الرسائل هو ما كان يحصل الناس عليه في الجاهلية عن طريق النهب ، كيف وقد نهى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النهب والنهبى بشدّة ، ففي كتاب الفتن باب النهي عن النُّهبة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انتهب نهبة فليس منّا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النهبة لا تَحِلّ</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وفي صحيح البخاري ومسند أحمد عن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ننهب</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وفي سنن أبي داود ، باب النهي عن النهبى ، عن رجل من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الناس حاجة شديدة وجهدٌ ، وأصابوا غنماً فانتهبوها ، فإنّ قدورنا لتغلي ، إذ جاء رسول الله 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قوسه فأكفأ قدورنا بقوسه ، ثمّ جعل يُرمِّل اللحم بالتراب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النُّهبة ليست بأحلَّ من الميتة</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وعن عبد الله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النهبى والمثلة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إلى غير ذلك من الأحاديث التي وردت في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النُّهبة والنهبى عند العرب تساوق الغنيمة والمغنم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يستعمل في أخذ مال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النهب مسموحاً به في الدين ، وإذا لم تكن الحروب التي تُخاض بغير إذن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 لم تكن الغنيمة في هذه الوثائق غير ما يفوز به الناس من غير طريق القتال بل من طريق الكسب وما شابهه ، ولا محيص حينئذ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بالخمس الذي كان يطلبه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خمس أرباح الكسب والفوائد الحاصلة للإنسان من غير طريق القتال أو النهب الممنوع في الدين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الغنائم المطلوب في هذه الرسائل النبويّة أداء خمسها إمّا أن </w:t>
      </w:r>
    </w:p>
    <w:p>
      <w:pPr>
        <w:pStyle w:val="BookText"/>
        <w:rPr/>
      </w:pPr>
      <w:r>
        <w:rPr>
          <w:rFonts w:ascii="Amiri" w:hAnsi="Amiri" w:eastAsia="Amiri" w:cs="Amiri"/>
          <w:color w:val="111111"/>
          <w:sz w:val="28"/>
          <w:sz w:val="28"/>
          <w:szCs w:val="28"/>
          <w:rtl w:val="true"/>
          <w:lang w:bidi="ar-SA"/>
        </w:rPr>
        <w:t>يراد بها ما يُستولى عليه من طريق النهب والإغارة ، أو ما يستولى عليه من طريق محاربة بصورة الجهاد ، أو ما يستولى عليه من طريق الكسب والكد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ممنوع ، بنصّ الأحاديث السابقة فلا معنى أن يطلب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النهبة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يكون أمر الغنائم بيد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 فهو الذي يأخذ كل الغنائم ويضرب لكلّ من الفارس والراجل ما له من الأسهم بعد أن يستخرج الخمس بنفسه من تلك الغنائم ، فلا معنى لأن يطلبه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الغزاة ، فيكون الثالث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ذلك ، فقد كتب أحد الشيعة إلى 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الخمس أعَلى جميع ما يستفيد الرجل من قليل وكثير من جميع الضروب وعلى الصنّاع وكيف ذلك؟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المئونة</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وفي هذه الإجابة القصيرة يظهر تأييد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 السائل ، ويتضمّن ذكر الكيفية التي يجب أن تراعى في أداء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علي ابن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وكلاء الإمام الجواد والإمام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أمرتني بالقيام بأمرك ، وأخذ حقّك ، فأعلمت مواليك بذلك فقال لي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حقّه؟ فلم أدر ما أُجيبه؟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 شيء؟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أمتعتهم وصنائعهم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والتاجر عليه ، والصانع بيده؟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مئونتهم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إلى غير ذلك من الأحاديث والأخبار المرويّة عن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شمول الخمس لكلّ مكسب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سؤالاً وهو إذا كان إخراج الخمس من أرباح المكاسب فريضة إلهية فلما ذا كان أمراً متروكاً قبل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الأخبار الدالة عليه مروية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وعمّن بعدهما من الأئمّة ، بل أكثرها مروية عن الإمامين الجواد والهادي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من الأئمة المتأخّرين ، فهل كان هذا الحكم مهجوراً عند الفريقين بعد عصر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هو انّه قد عرفت تضافر الروايات النبوية على وجوب الخمس في كلّ ما يربح الرجل ويفوز ، وأمّا عدم قيام الخلفاء به فلأجل عدم وقوفهم على هذا التشريع ، كما أنّ عدم قيام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المهمة على رءوس الأشهاد لأجل تفشّي الفقر بين المسلمين يوم ذاك ، والناس كانوا حديثي عهد بالإسلام ، وكانت المصلحة تقتضي تأخير إجراء التشريع إلى الأعصار اللاحقة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عصر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فيه بعض الروايات ثمّ وردت تترى إلى عصر الجوادين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فلأجل تكدّس الأموال بين المسلمين ، الأمر الذي اقتضى الإجهار بالحكم ودعوة الشيعة إلى العمل به ، وإلاّ فأصل تشريع الخمس كان في عصر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bookmarkStart w:id="46" w:name="pg10155_105208"/>
    </w:p>
    <w:p>
      <w:pPr>
        <w:pStyle w:val="Heading2"/>
        <w:numPr>
          <w:ilvl w:val="1"/>
          <w:numId w:val="1"/>
        </w:numPr>
        <w:rPr/>
      </w:pPr>
      <w:bookmarkStart w:id="47" w:name="__RefHeading___Toc1272683_1067777946"/>
      <w:bookmarkStart w:id="48" w:name="_Toc17"/>
      <w:bookmarkEnd w:id="46"/>
      <w:bookmarkEnd w:id="47"/>
      <w:r>
        <w:rPr/>
        <w:t>14</w:t>
      </w:r>
      <w:r>
        <w:rPr>
          <w:rtl w:val="true"/>
        </w:rPr>
        <w:t xml:space="preserve">- </w:t>
      </w:r>
      <w:r>
        <w:rPr>
          <w:rtl w:val="true"/>
        </w:rPr>
        <w:t>مواضع الخمس في القرآن الكريم</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1272685_1067777946"/>
      <w:bookmarkStart w:id="50" w:name="_Toc18"/>
      <w:bookmarkEnd w:id="49"/>
      <w:r>
        <w:rPr>
          <w:rtl w:val="true"/>
        </w:rPr>
        <w:t>اشارة</w:t>
      </w:r>
      <w:bookmarkEnd w:id="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0155_105210"/>
      <w:bookmarkStart w:id="52" w:name="pg10155_105210"/>
      <w:bookmarkEnd w:id="52"/>
    </w:p>
    <w:p>
      <w:pPr>
        <w:pStyle w:val="Heading3"/>
        <w:numPr>
          <w:ilvl w:val="2"/>
          <w:numId w:val="1"/>
        </w:numPr>
        <w:rPr/>
      </w:pPr>
      <w:bookmarkStart w:id="53" w:name="pg10155_105210"/>
      <w:bookmarkStart w:id="54" w:name="__RefHeading___Toc1272687_1067777946"/>
      <w:bookmarkStart w:id="55" w:name="_Toc19"/>
      <w:bookmarkEnd w:id="53"/>
      <w:bookmarkEnd w:id="54"/>
      <w:r>
        <w:rPr>
          <w:rtl w:val="true"/>
        </w:rPr>
        <w:t>مواضع الخمس في القرآن الكريم</w:t>
      </w:r>
      <w:bookmarkEnd w:id="55"/>
    </w:p>
    <w:p>
      <w:pPr>
        <w:pStyle w:val="BookText"/>
        <w:rPr/>
      </w:pPr>
      <w:r>
        <w:rPr>
          <w:rFonts w:ascii="Amiri" w:hAnsi="Amiri" w:eastAsia="Amiri" w:cs="Amiri"/>
          <w:color w:val="111111"/>
          <w:sz w:val="28"/>
          <w:sz w:val="28"/>
          <w:szCs w:val="28"/>
          <w:rtl w:val="true"/>
          <w:lang w:bidi="ar-SA"/>
        </w:rPr>
        <w:t xml:space="preserve">يُقسَّم الخمس حسب تنصيص الآية على ستة أسهم ، فيفرق على مواضعها الواردة في الآية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غير أنّه يطيب لي تعيين المراد من 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القرابة والوشيجة النسبية ، ويتعيّن فرده ، بتعيين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يختلف حسب اختلاف مورد الاستعمال ، ويستعان في تعيينه بالقرائن الموجودة في الكلام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المذكورون في الآية ، أو ما دلّ عليها سياق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وَالَّذِينَ آمَنُوا أَنْ يَسْتَغْفِرُوا لِلْمُشْرِكِينَ وَلَوْ كانُوا أُولِي قُرْبى</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والمراد أقرباء المذكورين في الآية ، أي النبيّ والمؤمنين لتقدّم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فَاعْدِلُوا وَلَوْ كانَ ذا قُرْبى</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والمراد أقرباء المخاطبين في الآية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فَاعْدِلُوا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أُولُوا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والمراد أقرباء من يقسم ماله أعني الميّت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أُريد من ذي القربى في هذه الآيات الثلاث ، مطلق القريب دون أقرباء النبي خاصة ، لما عرفت من القرائن بخلاف الآيتين التاليتين ، فإنّ المراد ، أقرباء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في الآيتين قرابة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ذكره وعدم صلاحية السياق إلاّ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آية الخمس من سورة الأنفال المتقدّم ذكرها ، فقد اتّفق المفسّرون على أنّ المراد من ذي القربى قرابة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فسدس الخمس لذي القربى وهو حكم خالد ثابت غير منسوخ إلى يوم القيامة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الأسداس الثلاثة الباقية فهي للأصناف الثلاثة المذكورة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المراد مطلق اليتامى والمساكين وأبناء السبيل ، أو يتامى آل محمّد ومساكينهم وأبناء سبيلهم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من ذوي القربى على الخصوص؟ والسياق هنا وإن لم يقتض الالتزام بأحدهما ، إلاّ أنّ السنّة الشريفة الواردة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اقتضت الأخير كما يأتي في البحث التالي</w:t>
      </w:r>
      <w:r>
        <w:rPr>
          <w:rFonts w:eastAsia="Amiri" w:cs="Amiri" w:ascii="Amiri" w:hAnsi="Amiri"/>
          <w:color w:val="111111"/>
          <w:sz w:val="28"/>
          <w:szCs w:val="28"/>
          <w:rtl w:val="true"/>
          <w:lang w:bidi="ar-SA"/>
        </w:rPr>
        <w:t xml:space="preserve">. </w:t>
      </w:r>
      <w:bookmarkStart w:id="56" w:name="pg10155_105212"/>
    </w:p>
    <w:p>
      <w:pPr>
        <w:pStyle w:val="Heading3"/>
        <w:numPr>
          <w:ilvl w:val="2"/>
          <w:numId w:val="1"/>
        </w:numPr>
        <w:rPr/>
      </w:pPr>
      <w:bookmarkStart w:id="57" w:name="__RefHeading___Toc1272689_1067777946"/>
      <w:bookmarkStart w:id="58" w:name="_Toc20"/>
      <w:bookmarkEnd w:id="56"/>
      <w:bookmarkEnd w:id="57"/>
      <w:r>
        <w:rPr>
          <w:rtl w:val="true"/>
        </w:rPr>
        <w:t>مواضع الخمس في السنّة</w:t>
      </w:r>
      <w:bookmarkEnd w:id="58"/>
    </w:p>
    <w:p>
      <w:pPr>
        <w:pStyle w:val="BookText"/>
        <w:rPr/>
      </w:pPr>
      <w:r>
        <w:rPr>
          <w:rFonts w:ascii="Amiri" w:hAnsi="Amiri" w:eastAsia="Amiri" w:cs="Amiri"/>
          <w:color w:val="111111"/>
          <w:sz w:val="28"/>
          <w:sz w:val="28"/>
          <w:szCs w:val="28"/>
          <w:rtl w:val="true"/>
          <w:lang w:bidi="ar-SA"/>
        </w:rPr>
        <w:t xml:space="preserve">وأمّا السنّة فهي أيضاً تدعم ما هو مفاد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الخمس على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وللرسول سهمان وسهم لأقاربه حتى قبض</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إنّ السهم الوارد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وسهم لأقاربه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آخر عن ثلاثة أسهم من الخمس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وللرسول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معناه سهم لله ، وسهمان للرسول ، أي سهم لنفس الرسول 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الأسهم الثلاثة في الخمس ومن لأقاربه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والمساكين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عليه الإمامية في تقسيم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أبي العالية الرياحي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يؤتى بالغنيمة فيقسمها على خمسة ، فتكون أربعة أخماس لمن شهدها ، ثمّ يأخذ الخمس فيضرب بيده فيه فيأخذ منه الذي قبض كفّه ، فيجعله للكعبة وهو سهم الله ، ثمّ يقسّم ما بقي على خمسة أسهم ، فيكون سهم للرسول وسهم لذي القربى وسهم لليتامى وسهم للمساكين وسهم لابن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جعله للكعبة فهو سهم الله</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جعله للكعبة كان لتجسيد السهام وتفكيكها ، وربّما خالفه كما روى </w:t>
      </w:r>
    </w:p>
    <w:p>
      <w:pPr>
        <w:pStyle w:val="BookText"/>
        <w:rPr/>
      </w:pPr>
      <w:r>
        <w:rPr>
          <w:rFonts w:ascii="Amiri" w:hAnsi="Amiri" w:eastAsia="Amiri" w:cs="Amiri"/>
          <w:color w:val="111111"/>
          <w:sz w:val="28"/>
          <w:sz w:val="28"/>
          <w:szCs w:val="28"/>
          <w:rtl w:val="true"/>
          <w:lang w:bidi="ar-SA"/>
        </w:rPr>
        <w:t xml:space="preserve">عطاء بن أبي رباح </w:t>
      </w:r>
      <w:r>
        <w:rPr>
          <w:rStyle w:val="FootnoteAnchor"/>
          <w:rtl w:val="true"/>
        </w:rPr>
        <w:footnoteReference w:id="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الله ، وخمس رسوله واحد ،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منه ويعطي منه ويضعه حيث شاء ويصنع به ما شاء</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والمراد من كون سهمهما واحداً ، كون أمره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الأسهم الأُخر ، فإنّ مواضعها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المراد ممّا رواه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نبيّ الله إذا اغتنم غنيمة جعلت أخماساً ، فكان خمس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ويقسّم المسلمون 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الأخماس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الخمس الذي جعل لله ولرسوله ، لرسوله ، ولذوي القربى واليتامى والمساكين وابن السبيل ، فكان هذا الخُمْس خمسة أخماس خمس لله ولرسوله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فالمراد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السهمين كان بيد الرسول ولذا جعلهما سهماً واحداً ، بخلاف السهام الأُخر ، وإلاّ فالخبر مخالف لتنصيص القرآن الكريم ، لتصريحه بأنّ الخمس يقسم أسداساً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تخصيص بعض سهام الخمس بذي القربى ومن جاء بعدهم من اليتامى والمساكين وابن السبيل ، فلأجل الروايات الدالة على أنّه لا تحل لهم الصدقة فجعل لهم خمس الخمس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لهم الصدقة فجعل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الخُمْسِ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أنّ في بني هاشم الفقراء فجعل لهم الخُمْس مكان الصدقة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59" w:name="pg10155_105214"/>
    </w:p>
    <w:p>
      <w:pPr>
        <w:pStyle w:val="BookText"/>
        <w:rPr/>
      </w:pPr>
      <w:bookmarkEnd w:id="59"/>
      <w:r>
        <w:rPr>
          <w:rFonts w:ascii="Amiri" w:hAnsi="Amiri" w:eastAsia="Amiri" w:cs="Amiri"/>
          <w:color w:val="111111"/>
          <w:sz w:val="28"/>
          <w:sz w:val="28"/>
          <w:szCs w:val="28"/>
          <w:rtl w:val="true"/>
          <w:lang w:bidi="ar-SA"/>
        </w:rPr>
        <w:t xml:space="preserve">تضافرت الروايات عن أئمّة أهل البيت أنّ السهام الأربعة من الخمس ، لآل محمد صلى الله عليه وآله و </w:t>
      </w:r>
      <w:r>
        <w:rPr>
          <w:rStyle w:val="FootnoteAnchor"/>
          <w:rtl w:val="true"/>
        </w:rPr>
        <w:footnoteReference w:id="76"/>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سدس الخمس لذي القربى والأسداس الثلاثة الباقية ، للطوائف الثلاث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يستفاد من الكتاب والسنّة ، غير أنّ الاجتهاد لعب دوراً كبيراً في تحويل الخمس عن أصحابه ، وإليك ما ذهبت إليه المذاهب الأربعة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272691_1067777946"/>
      <w:bookmarkStart w:id="61" w:name="_Toc21"/>
      <w:bookmarkEnd w:id="60"/>
      <w:r>
        <w:rPr>
          <w:rtl w:val="true"/>
        </w:rPr>
        <w:t>إسقاط حقّ ذي القربى بعد رحيل النبي صلى الله عليه وآله وسلم</w:t>
      </w:r>
      <w:bookmarkEnd w:id="61"/>
    </w:p>
    <w:p>
      <w:pPr>
        <w:pStyle w:val="BookText"/>
        <w:rPr/>
      </w:pPr>
      <w:r>
        <w:rPr>
          <w:rFonts w:ascii="Amiri" w:hAnsi="Amiri" w:eastAsia="Amiri" w:cs="Amiri"/>
          <w:color w:val="111111"/>
          <w:sz w:val="28"/>
          <w:sz w:val="28"/>
          <w:szCs w:val="28"/>
          <w:rtl w:val="true"/>
          <w:lang w:bidi="ar-SA"/>
        </w:rPr>
        <w:t xml:space="preserve">اتّفق أكثر فقهاء المذاهب تبعاً لأسلافهم على إسقاط سهم ذوي القربى من خمس الغنائم وغيره ، وإليك كلماتهم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الشافعية والحنابلة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الغنيمة ، وهي الخمس ، إلى خمسة أسهم ، واحد منها سهم الرسول ، ويصرف على مصالح المسلمين ، وواحد يعطى لذوي القربى ، وهم من انتسب إلى هاشم بالابوّة من غير فرق بين الأغنياء والفقراء ، والثلاثة الباقية تنفق على اليتامى والمساكين وأبناء السبيل ، سواء أكانوا من بني هاشم أو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سهم الرسول سقط بموته ، أمّا ذوو القربى فهم كغيرهم من الفقراء يعطون لفقرهم لا لقرابتهم من الرسول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أمر الخمس إلى الإمام يصرفه حسبما يراه من المصلحة</w:t>
      </w:r>
      <w:r>
        <w:rPr>
          <w:rFonts w:eastAsia="Amiri" w:cs="Amiri" w:ascii="Amiri" w:hAnsi="Amiri"/>
          <w:color w:val="111111"/>
          <w:sz w:val="28"/>
          <w:szCs w:val="28"/>
          <w:rtl w:val="true"/>
          <w:lang w:bidi="ar-SA"/>
        </w:rPr>
        <w:t xml:space="preserve">. </w:t>
      </w:r>
      <w:bookmarkStart w:id="62" w:name="pg10155_105215"/>
    </w:p>
    <w:p>
      <w:pPr>
        <w:pStyle w:val="BookText"/>
        <w:rPr/>
      </w:pPr>
      <w:bookmarkEnd w:id="62"/>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سهم الله وسهم الرسول وسهم ذوي القربى يفوّض أمرها إلى الإمام أو نائبه ، يضعها في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والأسهم الثلاثة الباقية تعطى لأيتام بني هاشم ومساكينهم وأبناء سبيلهم ، ولا يشاركهم فيها غيرهم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وفي هامش المغني لابن قدامة بعد ما روى أنّ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الخمس على ثلاثة أسهم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قول أصحاب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حنيفة وجماعته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الخمس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والمساكين وابن السبيل ، وأسقطوا سهم رسول الله بموته ، وسهم قرابته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والخمس واحد يجعلان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يضعه الإمام حيث أراه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قاله أبو حنيفة مخالف لظاهر الآية ، فإنّ الله تعالى سمّى لرسوله وقرابته شيئاً وجعل لهما في الخمس حقّاً كما سمّى الأصناف الثلاثة الباقية ، فمن خالف ذلك فقد خالف نصّ الكتاب ، وأمّا جعل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ذي القربى في سبيل الله ، فقد ذكر لأحمد فسكت وحرّك رأسه ولم يذهب إليه ، ورأى أنّ قول ابن عباس ومن وافقه أولى ، لموافقته كتاب الله وسنّة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Style w:val="FootnoteAnchor"/>
          <w:rtl w:val="true"/>
        </w:rPr>
        <w:footnoteReference w:id="78"/>
      </w:r>
    </w:p>
    <w:p>
      <w:pPr>
        <w:pStyle w:val="Heading3"/>
        <w:numPr>
          <w:ilvl w:val="2"/>
          <w:numId w:val="1"/>
        </w:numPr>
        <w:rPr/>
      </w:pPr>
      <w:bookmarkStart w:id="63" w:name="__RefHeading___Toc1272693_1067777946"/>
      <w:bookmarkStart w:id="64" w:name="_Toc22"/>
      <w:bookmarkEnd w:id="63"/>
      <w:r>
        <w:rPr>
          <w:rtl w:val="true"/>
        </w:rPr>
        <w:t>إسقاط سهم ذي القربى اجتهاد تجاه النص</w:t>
      </w:r>
      <w:bookmarkEnd w:id="6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الخلفاء بعد النبيّ الأكرم اجتهدوا تجاه النص في موارد منها إسقاط سهم ذي القربى من الخمس ، وذلك أنّ الله سبحانه وتعالى جعل لهم سهماً ، </w:t>
      </w:r>
    </w:p>
    <w:p>
      <w:pPr>
        <w:pStyle w:val="BookText"/>
        <w:rPr/>
      </w:pPr>
      <w:r>
        <w:rPr>
          <w:rFonts w:ascii="Amiri" w:hAnsi="Amiri" w:eastAsia="Amiri" w:cs="Amiri"/>
          <w:color w:val="111111"/>
          <w:sz w:val="28"/>
          <w:sz w:val="28"/>
          <w:szCs w:val="28"/>
          <w:rtl w:val="true"/>
          <w:lang w:bidi="ar-SA"/>
        </w:rPr>
        <w:t xml:space="preserve">وافترض أداءه نصاً في الذكر الحكيم والفرقان العظيم يتلوه المسلمون آناء الليل وأطراف النهار ، وهو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وقد أجمع أهل القبلة كافّة على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يختصّ بسهم من الخمس ويخص أقاربه بسهم آخر منه ، وأنّه لم يَعْهَد بتغيير ذلك إلى أحد حتى قبضه الله إليه وانتقاله إلى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 الآية فأسقط سهم النبيّ وسهم ذي القربى بموت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ومنع بني هاشم من الخمس ، وجعلهم كغيرهم من يتامى المسلمين ومساكينهم وأبناء السبيل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على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ولرسوله ، سهمان ، وسهم لأقاربه حتى قبض ، فأجرى أبو بكر الخمس على ثلاثة ، وكذلك روي عن عمر ومن بعده من الخلفاء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أبا بكر منع بني هاشم الخمس</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أرسلت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 ميراثها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أفاء الله عليه بالمدينة وفدك وما بقي من خمس خيبر ، فأبى أبو بكر أن يدفع إلى فاطمة منها شيئاً ، فوجدت فاطمة على أبي بكر في ذلك ، فهجرته فلم تكلّمه حتى توفّيت ، وعاشت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 فلمّا توفّيت دفنها زوجها علي ليلاً ولم يؤذن بها أبا بكر ، </w:t>
      </w:r>
    </w:p>
    <w:p>
      <w:pPr>
        <w:pStyle w:val="BookText"/>
        <w:rPr/>
      </w:pPr>
      <w:r>
        <w:rPr>
          <w:rFonts w:ascii="Amiri" w:hAnsi="Amiri" w:eastAsia="Amiri" w:cs="Amiri"/>
          <w:color w:val="111111"/>
          <w:sz w:val="28"/>
          <w:sz w:val="28"/>
          <w:szCs w:val="28"/>
          <w:rtl w:val="true"/>
          <w:lang w:bidi="ar-SA"/>
        </w:rPr>
        <w:t>وصلّى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وفي صحيح مسلم عن يزيد بن هرمز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نجدة بن عامر الحروري الخارجي إلى ابن عباس قال ابن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ابن عباس حين قرأ الكتاب وحينَ كتب جوابه 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لا أن أردّه عن نتن يقع فيه ما كتبت إليه ، ولا نعمة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سألتني عن سهم ذي القربى الذين ذكرهم الله من هم؟ وإنّا كنّا نرى أنّ قرابة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 فأبى ذلك علينا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وأخرجه الإمام أحمد من حديث ابن عباس في أواخر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من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كثير من أصحاب المسانيد بطرق كلها صحيحة ، وهذا هو مذهب أهل البيت المتواتر عن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الكثير من أئمّة الجمهور أخذوا برأي الخليفتين فلم يجعلوا لذي القربى نصيباً من الخمس خاصّاً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مالك بن أنس فقد جعله بأجمعه مفوّضاً إلى رأي الإمام يجعله حيث يشاء في مصالح المسلمين ، لا حقّ فيه لذي قربى ولا ليتيم ولا لمسكين ولا لابن سبيل مطلقاً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حنيفة وأصحابه فقد أسقطوا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سهمه وسهم ذي قرباه ، وقسموه بين مطلق اليتامى والمساكين وابن السبيل على السواء ، لا فرق </w:t>
      </w:r>
    </w:p>
    <w:p>
      <w:pPr>
        <w:pStyle w:val="BookText"/>
        <w:rPr/>
      </w:pPr>
      <w:r>
        <w:rPr>
          <w:rFonts w:ascii="Amiri" w:hAnsi="Amiri" w:eastAsia="Amiri" w:cs="Amiri"/>
          <w:color w:val="111111"/>
          <w:sz w:val="28"/>
          <w:sz w:val="28"/>
          <w:szCs w:val="28"/>
          <w:rtl w:val="true"/>
          <w:lang w:bidi="ar-SA"/>
        </w:rPr>
        <w:t>عندهم بين الهاشميين وغيرهم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والشافعي جعله خمسة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إلى ما كان يصرف إليه من مصالح المسلمين كعُدَّة الغزاة من الخيل والسلاح والكراع ونحو ذلك ، وسهماً لذوي القربى من بني هاشم وبني المطلب دون بني عبد شمس وبني نوفل يقسم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والباقي للفرق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والمساكين وابن السبيل مطلقاً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إلى هنا خرجنا بالنتيجة التالية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الخمس يقسم على ستة أسهم ، الثلاثة الأُولى ، أمرها بيد الإمام يتولاّها حسب ما رأى من المصلحة ، والثلاثة الأُخرى ، للأيتام والمساكين وأبناء السبيل من آل النبيّ الأكرم لا مطلقهم</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0155_105220"/>
      <w:bookmarkStart w:id="66" w:name="pg10155_105220"/>
      <w:bookmarkEnd w:id="66"/>
    </w:p>
    <w:p>
      <w:pPr>
        <w:pStyle w:val="Heading2"/>
        <w:numPr>
          <w:ilvl w:val="1"/>
          <w:numId w:val="1"/>
        </w:numPr>
        <w:rPr/>
      </w:pPr>
      <w:bookmarkStart w:id="67" w:name="pg10155_105220"/>
      <w:bookmarkStart w:id="68" w:name="__RefHeading___Toc1272695_1067777946"/>
      <w:bookmarkStart w:id="69" w:name="_Toc23"/>
      <w:bookmarkEnd w:id="67"/>
      <w:bookmarkEnd w:id="68"/>
      <w:r>
        <w:rPr/>
        <w:t>15</w:t>
      </w:r>
      <w:r>
        <w:rPr>
          <w:rtl w:val="true"/>
        </w:rPr>
        <w:t xml:space="preserve">- </w:t>
      </w:r>
      <w:r>
        <w:rPr>
          <w:rtl w:val="true"/>
        </w:rPr>
        <w:t>الإشهاد على الطلاق</w:t>
      </w:r>
      <w:bookmarkEnd w:id="6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1272697_1067777946"/>
      <w:bookmarkStart w:id="71" w:name="_Toc24"/>
      <w:bookmarkEnd w:id="70"/>
      <w:r>
        <w:rPr>
          <w:rtl w:val="true"/>
        </w:rPr>
        <w:t>اشارة</w:t>
      </w:r>
      <w:bookmarkEnd w:id="7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0155_105222"/>
      <w:bookmarkStart w:id="73" w:name="pg10155_105222"/>
      <w:bookmarkEnd w:id="73"/>
    </w:p>
    <w:p>
      <w:pPr>
        <w:pStyle w:val="Heading3"/>
        <w:numPr>
          <w:ilvl w:val="2"/>
          <w:numId w:val="1"/>
        </w:numPr>
        <w:rPr/>
      </w:pPr>
      <w:bookmarkStart w:id="74" w:name="pg10155_105222"/>
      <w:bookmarkStart w:id="75" w:name="__RefHeading___Toc1272699_1067777946"/>
      <w:bookmarkStart w:id="76" w:name="_Toc25"/>
      <w:bookmarkEnd w:id="74"/>
      <w:bookmarkEnd w:id="75"/>
      <w:r>
        <w:rPr>
          <w:rtl w:val="true"/>
        </w:rPr>
        <w:t>الإشهاد على الطلاق</w:t>
      </w:r>
      <w:bookmarkEnd w:id="76"/>
    </w:p>
    <w:p>
      <w:pPr>
        <w:pStyle w:val="BookText"/>
        <w:rPr/>
      </w:pPr>
      <w:r>
        <w:rPr>
          <w:rFonts w:ascii="Amiri" w:hAnsi="Amiri" w:eastAsia="Amiri" w:cs="Amiri"/>
          <w:color w:val="111111"/>
          <w:sz w:val="28"/>
          <w:sz w:val="28"/>
          <w:szCs w:val="28"/>
          <w:rtl w:val="true"/>
          <w:lang w:bidi="ar-SA"/>
        </w:rPr>
        <w:t xml:space="preserve">وممّا انفردت به الإماميّة ،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شهادة عدلين شرط في وقوع الطلاق ، ومتى فُقِد لم يقع الطلاق ، وخالف باقي الفقهاء في ذلك</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طلاق لم يحضره شاهدان مسلمان عدلان وإن تكاملت سائر الشروط ، فإنّه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جميع الفقهاء ولم يعتبر أحد منهم الشهادة</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قال سيد 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جمهور الفقهاء من السلف والخلف إلى انّ الطلاق يقع بدون إشهاد لانّ الطلاق من حقوق الرجل ولا يحتاج إلى بيّنة كي يباشر حقّه ولم يرد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الصحابة ما يدلّ على مشروعية الإشهاد ، وخالف في ذلك فقهاء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ذهب إلى وجوب الإشهاد واشتراطه لصحته من الصحابة أمير المؤمنين علي بن أبي طالب وعمر 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التابعين الإمام محمّد الباقر والإمام جعفر الصادق ، وبنوهما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عطاء وابن جُريح وابن سيرين</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كلامه من التهافت فأين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يرد عن النبي ولا عن </w:t>
      </w:r>
    </w:p>
    <w:p>
      <w:pPr>
        <w:pStyle w:val="BookText"/>
        <w:rPr/>
      </w:pPr>
      <w:r>
        <w:rPr>
          <w:rFonts w:ascii="Amiri" w:hAnsi="Amiri" w:eastAsia="Amiri" w:cs="Amiri"/>
          <w:color w:val="111111"/>
          <w:sz w:val="28"/>
          <w:sz w:val="28"/>
          <w:szCs w:val="28"/>
          <w:rtl w:val="true"/>
          <w:lang w:bidi="ar-SA"/>
        </w:rPr>
        <w:t>الصحابة ما يدلّ على مشروعية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ذهب إلى وجوب الإشهاد واشتراطه لصحّته من الصحابة أمير المؤمنين علي بن أبي طالب وعمران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ليسا من الصحابة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نعثر على عنوان للموضوع في الكتب الفقهية لأهل السنّة وانّما تقف على آرائهم في كتب التفسير عند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 أَوْ فارِقُوهُنَّ بِمَعْرُوفٍ وَأَشْهِدُوا ذَوَيْ عَدْلٍ مِنْكُمْ وَأَقِيمُوا الشَّهادَةَ لِلَّهِ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بين من يجعله قيداً للطلاق والرجعة ، ومن يخصّه قيداً للرجعة المستفادة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عن السدّي أنّه فسّر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بالرجعة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أشهدوا على الإمساك إن أمسكتموهنّ وذلك هو الرجعة ، وأُخرى بها وبالطلاق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الطلاق وعند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فسّرها بالطلاق والرجعة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الرزاق 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بالشهود ، والطلاق بالشهود ، والمراجعة بالشهود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عمران بن حصين عن رجل طلّق ولم يشهد ، وراجع ولم يشهد؟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طلّق في بدعة وارتجع في غير سنّة ، فليشهد على طلاقه ومراجعته وليستغفر الله</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بالإشهاد على الطلاق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الرجعة ، والظاهر رجوعه إلى الرجعة لا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الإشهاد مندوب إليه </w:t>
      </w:r>
    </w:p>
    <w:p>
      <w:pPr>
        <w:pStyle w:val="BookText"/>
        <w:rPr/>
      </w:pPr>
      <w:r>
        <w:rPr>
          <w:rFonts w:ascii="Amiri" w:hAnsi="Amiri" w:eastAsia="Amiri" w:cs="Amiri"/>
          <w:color w:val="111111"/>
          <w:sz w:val="28"/>
          <w:sz w:val="28"/>
          <w:szCs w:val="28"/>
          <w:rtl w:val="true"/>
          <w:lang w:bidi="ar-SA"/>
        </w:rPr>
        <w:t xml:space="preserve">عند أبي حنيفة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الشافعي واجب في الرجعة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وقال الآلوسي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الرجعة إن اخترتموها أو الفرقة إن اخترتموها تبرّياً عن الريبة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تدلّ الآية تدلّ بوضوح على لزوم الإشهاد في صحّة الطلاق وتقرير الدلالة ، 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راجعاً إلى الطلاق ، 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طلقتم النساء فطلقوهن لعدتهنّ وأشهدوا ، أو أن يكون راجعاً إلى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فارِقُوهُنَّ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إلى الرجعة التي عبر تعالى عنها بالإمساك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يرجع ذلك إلى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هاهنا شيئاً يوقع ويفعل ، وإنّما هو العدول عن الرجعة ، وإنّما يكون مفارقاً لها بأن لا يراجعها فتبين بالطلاق السابق ، على أنّ أحداً لا يوجب في هذه الفرقة الشهادة وظاهر الأمر يقتضي الوجوب ، ولا يجوز أن يرجع الأمر بالشهادة إلى الرجعة ، لأنّ أحداً لا يوجب فيها الإشهاد وإنّما هو مستحب فيها ، فثبت انّ الأمر بالإشهاد راجع إلى الطلاق</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إلى غير ذلك من الكلمات الواردة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أصحر بالحقيقة عالمان جليلان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القاضي المصري ، والشيخ أبو زهرة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الآيتين من أوّل سورة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من سياق </w:t>
      </w:r>
    </w:p>
    <w:p>
      <w:pPr>
        <w:pStyle w:val="BookText"/>
        <w:rPr/>
      </w:pPr>
      <w:r>
        <w:rPr>
          <w:rFonts w:ascii="Amiri" w:hAnsi="Amiri" w:eastAsia="Amiri" w:cs="Amiri"/>
          <w:color w:val="111111"/>
          <w:sz w:val="28"/>
          <w:sz w:val="28"/>
          <w:szCs w:val="28"/>
          <w:rtl w:val="true"/>
          <w:lang w:bidi="ar-SA"/>
        </w:rPr>
        <w:t xml:space="preserve">الآيتين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الطلاق وإلى الرجعة معاً ، والأمر للوجوب ، لأنّه مدلوله الحقيقي ، ولا ينصرف إلى غير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بقرينة ، ولا قرينة هنا تصرفه عن الوجوب ، بل القرائن هنا تؤيّد حمله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أشهد على طلاقه ، فقد أتى بالطلاق على الوجه المأمور به ، ومن أشهد على الرجعة فكذلك ، ومن لم يفعل فقد تعدّى حدود الله الذي حدّه له فوقع عمله باطلاً ، لا يترتّب عليه أيُّ أثر من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وذهب الشيعة إلى وجوب الإشهاد في الطلاق وأنّه ركن من أركانه ، ولم يوجبوه في الرجعة والتفريق بينهما غريب لا دليل عليه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وقال 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فقهاء الشيعة الإمامية الاثنا عشرية والإسماعيلية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الطلاق لا يقع من غير إشهاد عدلين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الطلاق وإنشائه في سورة الطلاق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وَأَشْهِدُوا ذَوَيْ عَدْلٍ مِنْكُمْ وَأَقِيمُوا الشَّهادَةَ لِلَّهِ ذلِكُمْ يُوعَظُ بِهِ مَنْ كانَ يُؤْمِنُ بِاللهِ وَالْيَوْمِ الْآخِرِ 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فهذا الأمر بالشهادة جاء بعد ذكر إنشاء الطلاق وجواز الرجعة ، فكان المناسب أن يكون راجعاً إليه ، وإنّ تعليل الإشهاد بأنّه يوعظ به من كان يؤمن بالله واليوم الآخر يرشّح ذلك ويقوّيه ، لأنّ حضور الشهود العدول لا يخلو من موعظة حسنة يزجونها إلى الزوجين ، فيكون لهما مخرج من الطلاق الذي هو أبغض الحلال إلى الله سبحانه وتعالى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لو كان لنا أن نختار للمعمول به في مصر لاخترنا هذا الرأي ، فيشترط لوقوع الطلاق حضور شاهدين عدلين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وهذه النصوص تعرب عن كون القوم بين من يقول برجوع الإشهاد إلى الرجعة وحدها ، وبين من يقول برجوعه إليها وإلى الطلاق ، ولم يقل أحد من السنّة برجوعه إلى الطلاق وحده إلاّ ما عرفته من كلام أبي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فاللازم علينا بعد نقل النص ، التدبّر والاهتداء بكتاب الله إلى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فَأَمْسِكُوهُنَّ بِمَعْرُوفٍ أَوْ فارِقُوهُنَّ بِمَعْرُوفٍ وَأَشْهِدُوا ذَوَيْ عَدْلٍ مِنْكُمْ وَأَقِيمُوا الشَّهادَةَ لِلَّهِ ذلِكُمْ يُوعَظُ بِهِ مَنْ كانَ يُؤْمِنُ بِاللهِ وَالْيَوْمِ الْآخِرِ وَمَنْ يَتَّقِ اللهَ يَجْعَلْ لَهُ مَخْرَجاً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إنّ المراد من بلوغهنّ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اقترابهنّ من آخر زمان العدة وإشرافهنّ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بإمساكهنّ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على سبيل الاستعارة ، كما أنّ المراد بمفارقتهنّ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تركهنّ ليخرجن من العدّة ويبنّ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 كسائر الأوامر الواردة في الشرع ولا يعدل عنه إلى غيره إلاّ بدليل ، إنّما الكلام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احتمالات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قيداً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قيداً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بِمَعْرُوفٍ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قيداً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فارِقُوهُنَّ بِمَعْرُوفٍ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يقل أحد برجوع القيد إلى الأخير فالأمر يدور بين رجوعه إلى الأوّل أو </w:t>
      </w:r>
    </w:p>
    <w:p>
      <w:pPr>
        <w:pStyle w:val="BookText"/>
        <w:rPr/>
      </w:pPr>
      <w:r>
        <w:rPr>
          <w:rFonts w:ascii="Amiri" w:hAnsi="Amiri" w:eastAsia="Amiri" w:cs="Amiri"/>
          <w:color w:val="111111"/>
          <w:sz w:val="28"/>
          <w:sz w:val="28"/>
          <w:szCs w:val="28"/>
          <w:rtl w:val="true"/>
          <w:lang w:bidi="ar-SA"/>
        </w:rPr>
        <w:t xml:space="preserve">الثاني ، والظاهر رجوعه إلى الأوّل ، وذلك لأنّ السورة بصدد بيان أحكام الطلاق وقد افتتحت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للطلاق عدّة أحكام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الطلاق لعدّتهنّ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إحصاء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خروجهنّ من بيوتهنّ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الزوج بين الإمساك والمفارقة عند اقتراب عدّتهنّ من الانتهاء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إشهاد ذوَي عدل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المسترابة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لا تحيض وهي في سن من تحيض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أُولات الأحمال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لاحظت مجموع آيات السورة من أوّلها إلى الآية السابعة تجد أنّها بصدد بيان أحكام الطلاق ، لأنّه المقصود الأصلي ، لا الرجوع المستفاد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تبعا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المرويّ عن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طلّقت امرأتي بعد ما طهرت من محيضها قبل أن أُجامعها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أشهدت رجلين ذوَي عدل كما أمرك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 طلاقك ليس بشيء</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وروى بكير بن أعين عن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طلّقها في استقبال عدّتها طاهراً من غير جماع ، ولم يشهد على ذلك رجلين عدلين ، فليس طلاقه إيّاها بطلاق</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وروى الفضلاء من أصحاب الإمام الباقر الصادق كزرارة ومحمد بن مسلم ، وبريد ، وفضيل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طلقها في استقبال عدتها طاهراً من غير جماع ولم يشهد على ذلك رجلين عدلين فليس طلاقه إياها بطلاق</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وروى محمد بن الفضيل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ليس بقياس كقياسك وقياس أصحابك ، إنّ الله أمر في كتابه بالطلاق وأكّد فيه بشاهدين ولم يرض بهما إلاّ عدلين ، وأمر في كتابه التزويج وأهمله بلا شهود ، فأتيتم بشاهدين فيما أبطل الله ، وأبطلتم شاهدين فيما أكّد الله عزّ وجلّ ، وأجزتم طلاق المجنون والسكران ، ثم ذكر حكم تظليل المحرم</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أن يشهدوا عند الطلاق وعند الرجعة شاهدي عدل حتى لا تجحد المرأة المراجعة بعد انقضاء العدّة ولا الرجل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وأشهدوا على الطلاق صيانة لدينكم ، وهو المروي عن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أليق بالظاهر ، لأنّا إذا حملناه على الطلاق كان أمراً يقتضي الوجوب وهو من شرائط الطلاق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راجع إلى المراجعة ، حمله على الندب</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ومن عجيب الأمر حمل الأمر على الإشهاد في الآية على الندب قال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عند الرجعة إن اخترتموها أو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فارِقُوهُنَّ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اخترتموها تبرياً عن الريبة وقطعاً للنزاع ، وهذا أمر ندب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في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للوجوب في الرجعة</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المتبادر من الأمر هو الوجوب ، وقد قلنا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المقرر عند العقلاء الذي أنفذه الشارع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أمر المولى لا يترك بلا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إمّا العمل بالأمر أو قيام الدليل على كونه مندوباً ، وعلى ضوء ذلك فالأمر في المقام للوجوب خصوصاً بالنسبة إلى حكمة التشريع الذي ذكره وهو قوله تبرياً عن الريبة وقطعاً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اتّفقت الأُمّة على كون الإشهاد عند البيع أمراً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أحمد محمد شاكر ، القاضي الشرعي بمصر كتب كتاباً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الطلاق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وأهدى نسخة منه مشفوعة برسالة إلى العلامة الكبير الشيخ محمد حسين كاشف الغطاء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ذهبت إلى اشتراط حضور شاهدين حين الطلاق ، وإنّه إذا حصل الطلاق في غير حضرة الشاهدين لم يكن طلاقاً ولم يعتد به ، وهذا القول وإن كان مخالفاً للمذاهب الأربعة المعروفة إلاّ أنّه يؤيّده الدليل ويوافق مذهب أئمّة أهل البيت والشيعة الإمامية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أيضاً إلى اشتراط حضور شاهدين حين المراجعة ، وهو يوافق أحد القولين للإمام الشافعي ويخالف مذهب أهل البيت والشيعة ، واستغربت </w:t>
      </w:r>
      <w:r>
        <w:rPr>
          <w:rStyle w:val="FootnoteAnchor"/>
          <w:rtl w:val="true"/>
        </w:rPr>
        <w:footnoteReference w:id="103"/>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قولهم أن يفرقوا بينهما والدليل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إليه العلاّمة كاشف الغطاء برسالة جوابية بيّن فيها وجه التفريق بينهما ، وإليك نص ما يهمنا من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تمعن النظر هنا في الآيات الكريمة كما هي عادتك من الإمعان في غير هذا المقام ، وإلاّ لما كان يخفى عليك أنّ السورة الشريفة مسوقة لبيان خصوص الطلاق وأحكامه حتى أنّها قد سمّيت بسورة الطلاق ، وابتدأ الكلام في صدرها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لزوم وقوع الطلاق في صدر العدّة أي لا يكون في طهر المواقعة ، ولا في الحيض ، ولزوم إحصاء العدّة ، وعدم إخراجهنّ من البيوت ، ثمّ استطرد إلى ذكر الرجعة في خلال بيان أحكام الطلاق حيث قال 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أشرفن على الخروج من العدّة ، فلكم إمساكهنّ بالرجعة أو تركهنّ على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تتمة أحكام الطلاق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الطلاق الذي سيق الكلام كلّه لبيان أحكامه ويستهجن عوده إلى الرجعة التي لم تذكر إلاّ تبعاً واستطراداً ، ألا ترى لو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العالم وجب عليك احترامه واكرامه وأن تستقبله سواء جاء وحده أو مع خادمه أو رفيقه ، ويجب المشايعة وحسن الموادعة ، فانّك لا تفهم من هذا الكلام إلاّ وجوب المشايعة والموادعة للعالم لا له ولخادمه ورفيقه ، وإن تأخّرا عنه ، وهذا لعمري حسب القواعد العربية والذوق السليم جلي واضح لم يكن ليخفى عليك وأنت خريت العربية لو لا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وللغفلات تعرض للأريب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من حيث لفظ الدليل وسياق الآية الكريمة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ما هو أدقّ وأحقّ بالاعتبار من حيث الحكمة الشرعية والفلسفة </w:t>
      </w:r>
    </w:p>
    <w:p>
      <w:pPr>
        <w:pStyle w:val="BookText"/>
        <w:rPr/>
      </w:pPr>
      <w:r>
        <w:rPr>
          <w:rFonts w:ascii="Amiri" w:hAnsi="Amiri" w:eastAsia="Amiri" w:cs="Amiri"/>
          <w:color w:val="111111"/>
          <w:sz w:val="28"/>
          <w:sz w:val="28"/>
          <w:szCs w:val="28"/>
          <w:rtl w:val="true"/>
          <w:lang w:bidi="ar-SA"/>
        </w:rPr>
        <w:t>الإسلامية وشموخ مقامها وبعد نظرها في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من المعلوم أنّه ما من حلال أبغض إلى الله سبحانه من الطلاق ، ودين الإسلام كما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يرغب في أي نوع من أنواع الفرقة لا سيما في العائلة والأُسرة ، وعلى الأخص في الزيجة بعد ما أفضى كل منهما إلى الآخر بما أفضى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فالشارع بحكمته العالية يريد تقليل وقوع الطلاق والفرقة ، فكثّر قيوده وشروطه على القاعدة المعروفة من أنّ الشيء إذا كثرت قيوده ، عزّ أو قلّ وجوده ، فاعتبر الشاهدين العدلين للضبط أوّلاً وللتأخير والأناة ثانياً ، وعسى إلى أن يحضر الشاهدان أو يحضر الزوجان أو أحدهما عندهما يحصل الندم ويعودان إلى الألفة كما أُشير إليه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تَدْرِي 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حكمة عميقة في اعتبار الشاهدين ، لا شكّ أنّها ملحوظة للشارع الحكيم مضافاً إلى الفوائد الأُخر ، وهذا كلّه بعكس قضية الرجوع فإنّ الشارع يريد التعجيل به ، ولعلّ للتأخير آفات فلم يوجب في الرجعة أيّ شرط من الشروط</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وتصح عندنا معشر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دلّ عليها من قول أو فعل أو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فيها صيغة خاصة كما يشترط في الطلاق ؛ كل ذلك تسهيلاً لوقوع هذا الأمر المحبوب للشارع الرحيم بعباده والرغبة الأكيدة في ألفتهم وعدم تفرّقهم ، وكيف لا يكفي في الرجعة حتى الإشارة ولمسها ووضع يده عليها بقصد الرجوع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المطلّقة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معشر الإمامية لا تزال زوجة إلى أن تخرج من العدّة ، ولذا ترثه ويرثها ، وتغسّله ويغسّلها ، وتجب عليه نفقتها ، ولا يجوز أن يتزوّج بأُختها ، وبالخامسة ، إلى غير ذلك من أحكام الزوجية</w:t>
      </w:r>
      <w:r>
        <w:rPr>
          <w:rFonts w:eastAsia="Amiri" w:cs="Amiri" w:ascii="Amiri" w:hAnsi="Amiri"/>
          <w:color w:val="111111"/>
          <w:sz w:val="28"/>
          <w:szCs w:val="28"/>
          <w:rtl w:val="true"/>
          <w:lang w:bidi="ar-SA"/>
        </w:rPr>
        <w:t xml:space="preserve">. </w:t>
      </w:r>
      <w:r>
        <w:rPr>
          <w:rStyle w:val="FootnoteAnchor"/>
          <w:rtl w:val="true"/>
        </w:rPr>
        <w:footnoteReference w:id="104"/>
      </w:r>
      <w:bookmarkStart w:id="77" w:name="pg10155_105232"/>
    </w:p>
    <w:p>
      <w:pPr>
        <w:pStyle w:val="Heading2"/>
        <w:numPr>
          <w:ilvl w:val="1"/>
          <w:numId w:val="1"/>
        </w:numPr>
        <w:rPr/>
      </w:pPr>
      <w:bookmarkStart w:id="78" w:name="__RefHeading___Toc1272701_1067777946"/>
      <w:bookmarkStart w:id="79" w:name="_Toc26"/>
      <w:bookmarkEnd w:id="77"/>
      <w:bookmarkEnd w:id="78"/>
      <w:r>
        <w:rPr/>
        <w:t>16</w:t>
      </w:r>
      <w:r>
        <w:rPr>
          <w:rtl w:val="true"/>
        </w:rPr>
        <w:t xml:space="preserve">- </w:t>
      </w:r>
      <w:r>
        <w:rPr>
          <w:rtl w:val="true"/>
        </w:rPr>
        <w:t>الطلاق ثلاثاً بصيغة أو ثلاث صيغ في مجلس واحد</w:t>
      </w:r>
      <w:bookmarkEnd w:id="7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272703_1067777946"/>
      <w:bookmarkStart w:id="81" w:name="_Toc27"/>
      <w:bookmarkEnd w:id="80"/>
      <w:r>
        <w:rPr>
          <w:rtl w:val="true"/>
        </w:rPr>
        <w:t>اشارة</w:t>
      </w:r>
      <w:bookmarkEnd w:id="8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0155_105234"/>
      <w:bookmarkStart w:id="83" w:name="pg10155_105234"/>
      <w:bookmarkEnd w:id="83"/>
    </w:p>
    <w:p>
      <w:pPr>
        <w:pStyle w:val="Heading3"/>
        <w:numPr>
          <w:ilvl w:val="2"/>
          <w:numId w:val="1"/>
        </w:numPr>
        <w:rPr/>
      </w:pPr>
      <w:bookmarkStart w:id="84" w:name="pg10155_105234"/>
      <w:bookmarkStart w:id="85" w:name="__RefHeading___Toc1272705_1067777946"/>
      <w:bookmarkStart w:id="86" w:name="_Toc28"/>
      <w:bookmarkEnd w:id="84"/>
      <w:bookmarkEnd w:id="85"/>
      <w:r>
        <w:rPr>
          <w:rtl w:val="true"/>
        </w:rPr>
        <w:t>الطلاق ثلاثاً بصيغة أو ثلاث صيغ في مجلس واحد</w:t>
      </w:r>
      <w:bookmarkEnd w:id="86"/>
    </w:p>
    <w:p>
      <w:pPr>
        <w:pStyle w:val="BookText"/>
        <w:rPr/>
      </w:pPr>
      <w:r>
        <w:rPr>
          <w:rFonts w:ascii="Amiri" w:hAnsi="Amiri" w:eastAsia="Amiri" w:cs="Amiri"/>
          <w:color w:val="111111"/>
          <w:sz w:val="28"/>
          <w:sz w:val="28"/>
          <w:szCs w:val="28"/>
          <w:rtl w:val="true"/>
          <w:lang w:bidi="ar-SA"/>
        </w:rPr>
        <w:t xml:space="preserve">من المسائل التي أوجبت انغلاقاً وعنفاً في الحياة ، وأدّت إلى تمزيق الأُسر وتقطيع صلات الأرحام في كثير من البلاد ، مسألة تصحيح الطلاق ثلاثاً دفعة واحدة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 أو يكرّره ثلاث دفعات ويقول في مجلس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أنتِ طالق ،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تحسب ثلاث تطليقات حقيقية وتحرم المطلّقة على زوجها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الطلاق عند أكثر أهل السنّة غير مشروط بشروط عائقة عن التسرّع إلى الطلاق ، ككونها غير حائض ، أو في غير طهر المواقعة ، أو لزوم حضور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يتغلّب الغيظ على الزوج ويمتلكه الغضب فيطلّقها ثلاثاً في مجلس واحد ، ثمّ يندم على عمله ندامة شديدة فتضيق عليه الأرض بما رحبت ويتطلّب المَخْلَص من أثره السيّئ ، ولا يجد عند أئمّة المذاهب الأربعة والدعاة إليها مخلصاً فيقعد ملوماً محسوراً ، ولا يزيده السؤال والفحص إلاّ نفوراً من الفقه والفتوى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إغلاق باب الاجتهاد وإقفاله بوجه الأُمّة ، ومنع المفكرين من استنباط الأحكام من الكتاب والسنّة دون التزام برأي إمام خاص ، أثار مشاكل كثيرة في مسائل لها صلة بالأُسرة ، يقول الكاتب محمد حامد الفقي رئيس جماعة أنصار </w:t>
      </w:r>
    </w:p>
    <w:p>
      <w:pPr>
        <w:pStyle w:val="BookText"/>
        <w:rPr/>
      </w:pPr>
      <w:r>
        <w:rPr>
          <w:rFonts w:ascii="Amiri" w:hAnsi="Amiri" w:eastAsia="Amiri" w:cs="Amiri"/>
          <w:color w:val="111111"/>
          <w:sz w:val="28"/>
          <w:sz w:val="28"/>
          <w:szCs w:val="28"/>
          <w:rtl w:val="true"/>
          <w:lang w:bidi="ar-SA"/>
        </w:rPr>
        <w:t xml:space="preserve">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رابطة الأُسرة التي وثّقها الله برباط الزوجية وهَتْ وكادت أن تنفصم عروتها ، بلى قد انفصمت في كثير من الطبقات وكان منشأ ذلك ، ما استنّه الناس في الزواج من سنن سيئة وما شدّد الفقهاء قديماً وحديثاً في الطلاق حتّى جعلوه أشبه بالعبث واللعب </w:t>
      </w:r>
      <w:r>
        <w:rPr>
          <w:rStyle w:val="FootnoteAnchor"/>
          <w:rtl w:val="true"/>
        </w:rPr>
        <w:footnoteReference w:id="105"/>
      </w:r>
      <w:r>
        <w:rPr>
          <w:rFonts w:ascii="Amiri" w:hAnsi="Amiri" w:eastAsia="Amiri" w:cs="Amiri"/>
          <w:color w:val="111111"/>
          <w:sz w:val="28"/>
          <w:sz w:val="28"/>
          <w:szCs w:val="28"/>
          <w:rtl w:val="true"/>
          <w:lang w:bidi="ar-SA"/>
        </w:rPr>
        <w:t>أو بالآصار والأغلال ، وكم لمست فيما عرض لي في حياتي الوعظية ، شقاء كثير من الأزواج الذين أوقعهم سوء حظهم في مشكل من مشاكل الطلاق فيطلبون حلها عند أحد أُولئك الجامدين فلا يزيدها إلاّ تعقيداً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وليس الفقّي هو المشتكي الوحيد من إغلاق باب الاجتهاد ، والتعبّد بحرفية المذاهب الأربعة ، بل هو أحد مَن ضم صوته إلى صوت أحمد محمد شاكر عضو المحكمة العليا الشرعية حيث لمس خطورة الموقف ، التي سبّبت إحلال القوانين الوضعية مكان الأحكام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شاكر كاتب الفتوى لدى شيخه الشيخ محمد العباس المهدي مفتي الديار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امرأة شابة ، حُكم على زوجها بالسجن مدّة طويلة ، وهي تخشى الفتنة وتريد عرض أمرها على المفتي يرى لها رأياً في الطلاق من زوجها لتتزوج من غيره ، وليس في مذهب الإمام أبي حنيفة حلٌّ لمثل هذه المعضلة إلاّ الصبر والانتظار فصرفها الوالد معتذراً آسفاً متألِّماً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عرض الأمر على شيخه المفتي ، واقترح عليه اقتباس بعض الأحكام من </w:t>
      </w:r>
    </w:p>
    <w:p>
      <w:pPr>
        <w:pStyle w:val="BookText"/>
        <w:rPr/>
      </w:pPr>
      <w:r>
        <w:rPr>
          <w:rFonts w:ascii="Amiri" w:hAnsi="Amiri" w:eastAsia="Amiri" w:cs="Amiri"/>
          <w:color w:val="111111"/>
          <w:sz w:val="28"/>
          <w:sz w:val="28"/>
          <w:szCs w:val="28"/>
          <w:rtl w:val="true"/>
          <w:lang w:bidi="ar-SA"/>
        </w:rPr>
        <w:t xml:space="preserve">مذهب الإمام مالك في مثل هذه المشاكل ، فأبى الشيخ كلّ الإباء واستنكر هذا الرأي أشدّ استنكار ، وكان بين الأُستاذ وتلميذه جدال جادّ في هذا الشأن لم يؤثر على ما كان بينهما من مودة وعطف ، وما زال الأُستاذ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برأيه ، معتقداً صحّته وفائدته للناس</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ولو كان والد الشيخ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مطلعاً على فقه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لهم في هذه المشاكل المستعصية حلولاً واضحة مأخوذة من الكتاب والسنّة ، لاقترح على أُستاذه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الفقهاء ، وقد تتلمذ على يده الأئمّة الأربعة إمّا مباشرة أو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أغلب المشاكل التي واجهت الشيخ في المحاكم هي إعسار الزوج ، وإضراره بالزوجة ، وغيبته الطويلة وما ضاهاها ، ولم يكن في فقه الإمام أبي حنيفة حلولاً لها ، مع أنّ هذه المشاكل مطروحة في الفقه الإمامي بأوضح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بوالد الشيخ أن يقترح كسر طوق التقليد والرجوع إلى الكتاب والسنّة لاستنباط الأحكام الشرعية من دون التزام برأي إمام دون إمام ، وهذا هو الحجر الأساس لحلّ هذه المعضلات ، ولم يزل الفقه الإمامي منادياً بهذا الأصل عبر القرون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نعلم علماً قاطعاً بأنّ الإسلام دين سهل وسمح ، وليس فيه حرج وهذا يدفع الدعاة المخلصين إلى دراسة المسألة من جديد دراسة حرّة بعيدة عن أبحاث الجامدين الذين أغلقوا باب الاجتهاد في الأحكام الشرعية أمام وجوههم ، وعن أبحاث أصحاب الهوى الهدّامين الذين يريدون تجريد الأُمم من الإسلام ، حتى </w:t>
      </w:r>
    </w:p>
    <w:p>
      <w:pPr>
        <w:pStyle w:val="BookText"/>
        <w:rPr/>
      </w:pPr>
      <w:r>
        <w:rPr>
          <w:rFonts w:ascii="Amiri" w:hAnsi="Amiri" w:eastAsia="Amiri" w:cs="Amiri"/>
          <w:color w:val="111111"/>
          <w:sz w:val="28"/>
          <w:sz w:val="28"/>
          <w:szCs w:val="28"/>
          <w:rtl w:val="true"/>
          <w:lang w:bidi="ar-SA"/>
        </w:rPr>
        <w:t>ينظروا إلى المسألة ويتطلبوا حكمها من الكتاب والسنّة ، متجرّدين عن كلّ رأي مسبق فلعلّ الله يحدث بعد ذلك أمراً ، وربّما تفك العقدة ويجد المفتي مَخلصاً من هذا المضيق الذي أوجده تقليد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نقل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ثلاثاً بلفظ واحد ، كان مبدعاً ووقعت واحدة عند تكامل الشروط عند أكثر أصحابنا ، وفيهم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شيء أصلاً وبه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الظاهر ، وحكى الطحاوي عن محمد بن إسحاق أنّه تقع واحدة كما قلناه ، ورُوي أنّ ابن عباس وطاوساً كانا يذهبان إلى ما يقوله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ثنتين أو ثلاثاً في طهر لم يجامعها فيه ، دفعة أو متفرّقة كان ذلك مباحاً غير محذور ووقع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في الصحابة عبد الرحمن بن عوف ، ورووه عن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التابعين ابن سيرين ، وفي الفقهاء أحمد وإسحاق وأبو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في طهر واحد ثنتين أو ثلاثاً دفعة واحدة ، أو متفرقة ، فعل محرّماً وعصى وأثم ، ذهب إليه في الصحابة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 ، وابن عمر ، وابن مسعود ، وابن عباس ، وفي الفقهاء أبو حنيفة وأصحابه ومالك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واقع</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فقهاء الأمصار على أنّ الطلاق بلفظ الثلاث حكمه حكم الطلقة الثالثة ، وقال أهل الظاهر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الواحدة ولا تأثير للفظ في ذلك</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وقال عبد الرحمن الجزيري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الرجل الحرُّ ثلاث طلقات ، فإذا طلّق الرجل زوجته ثلاثاً دفعة واحدة ، بأن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 لزمه ما نطق به من العدد في المذاهب الأربعة وهو رأي الجمهور ، وخالفهم في ذلك بعض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كطاوس وعكرمة وابن إسحاق وعلى رأسهم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وقد بين فتاوى الجمهور ، الفقيه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وهبة الزحيلي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فقهاء المذاهب الأربعة والظاهرية على أنّه إذا قال الرجل لغير المدخول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الثلاث ، لأنّ الجميع صادف الزوجية ، فوقع الجميع ، كما لو قال ذلك للمدخول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واتّفقوا أيضاً على أنّه إن قال الزوج لامرأته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 أنت طالق ،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وتخلل فصل بينها ، وقعت الثلاث سواء أقصد التأكيد أم لا ، لأنّه خلاف الظاهر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التأكيد صدق ديانة ،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يتخلل فصل ، فإن قصد تأكيد الطلقة الأُولى بالأخيرتين ، فتقع واحدة ، لأنّ التأكيد في الكلام معهود لغة وشرعاً ، وإن قصد استئنافاً أو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يقصد تأكيداً ولا استئنافاً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الثلاث عملاً بظاهر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تُطلَّق ثلاثاً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ثمّ طالق ، ثم طالق ، أو عطف بالواو أو بالفاء</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آراء جمهور فقهاء السنّة ، وقد خالفهم جماعة من الصحابة والتابعين ذكر أسماء غير واحد منهم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ذهبت طائفة من أهل العلم إلى أنّ الطلاق لا يتبع الطلاق بل يقع 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ذلك صاحب البحر عن أبي موسى ورواية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وطاوس وعطاء وجابر بن زيد والهادي والقاسم والباقر والناصر وأحمد بن عيسى ، وعبد الله بن موسى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عن زيد بن علي وإليه ذهب جماعة من المتأخرين منهم ابن تيمية وابن القيم وجماعة من المحقّقين ، وقد نقله ابن مغيث في كتاب الوثائق عن محمد بن وضاح ، ونُقل الفتوى بذلك عن جماعة من مشايخ قرطبة كمحمد بن بقي ومحمد بن عبد السلام وغيرهما ، ونقله ابن المنذر عن أصحاب ابن عباس كعطاء وطاوس وعمر بن دينار وحكاه ابن مغيث أيضاً في ذلك الكتاب عن علي رضي الله عنه وابن مسعود وعبد الرحمن بن عوف والزبير</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إلى غير ذلك من نظائر تلك الكلمات التي تعرب عن اتّفاق جمهور الفقهاء بعد عصر التابعين على نفوذ ذلك الطلاق محتجّين بما تسمع ، ورائدهم في ذلك تنفيذ عمر بن الخطاب ، الطلاق الثلاث بمرأى ومسمع من الصحابة ، ولكن لو دلّ الكتاب والسنّة على خلافه فالأخذ بما دلّ متعيّن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وتبيين الحق يتم ضمن أُمور </w:t>
      </w:r>
      <w:r>
        <w:rPr>
          <w:rFonts w:eastAsia="Amiri" w:cs="Amiri" w:ascii="Amiri" w:hAnsi="Amiri"/>
          <w:color w:val="111111"/>
          <w:sz w:val="28"/>
          <w:szCs w:val="28"/>
          <w:rtl w:val="true"/>
          <w:lang w:bidi="ar-SA"/>
        </w:rPr>
        <w:t xml:space="preserve">: </w:t>
      </w:r>
      <w:bookmarkStart w:id="87" w:name="pg10155_105240"/>
    </w:p>
    <w:p>
      <w:pPr>
        <w:pStyle w:val="Heading3"/>
        <w:numPr>
          <w:ilvl w:val="2"/>
          <w:numId w:val="1"/>
        </w:numPr>
        <w:rPr/>
      </w:pPr>
      <w:bookmarkStart w:id="88" w:name="__RefHeading___Toc1272707_1067777946"/>
      <w:bookmarkStart w:id="89" w:name="_Toc29"/>
      <w:bookmarkEnd w:id="87"/>
      <w:bookmarkEnd w:id="88"/>
      <w:r>
        <w:rPr>
          <w:rtl w:val="true"/>
        </w:rPr>
        <w:t>دراسة الآيات الواردة في المقام</w:t>
      </w:r>
      <w:bookmarkEnd w:id="89"/>
    </w:p>
    <w:p>
      <w:pPr>
        <w:pStyle w:val="Heading4"/>
        <w:numPr>
          <w:ilvl w:val="3"/>
          <w:numId w:val="1"/>
        </w:numPr>
        <w:rPr/>
      </w:pPr>
      <w:bookmarkStart w:id="90" w:name="__RefHeading___Toc1272709_1067777946"/>
      <w:bookmarkStart w:id="91" w:name="_Toc30"/>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جامعة لا يُؤدَّى حقّها إلاّ بمقال ، وهي صريحة في أنّ الحقوق بينهما متبادلة ، فما من عمل تعمله المرأة للرجل إلاّ وعلى الرجل عمل يقابله ،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حقل المعاشرة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متماثلان في الحقوق والأعمال ، فلا تسعد الحياة إلاّ باحترام كل من الزوجين للآخر ، وقيام كلّ منهما بواجباته ، فعلى المرأة القيام بتدبير المنزل وإنجاز الأعمال فيه ، وعلى الرجل السعي والكسب خارجه ، هذا هو الأصل الثابت في حياة الزوجين والذي تؤيدها الفطرة ، وقد قسّم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بين ابنته فاطمة وزوجها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الذي ذكرناه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فَإِمْساكٌ بِمَعْرُوفٍ أَوْ تَسْرِيحٌ بِإِحْسانٍ وَلا يَحِلُّ لَكُمْ أَنْ تَأْخُذُوا مِمَّا آتَيْتُمُوهُنَّ شَيْئاً إِلاَّ أَنْ يَخافا أَلاَّ يُقِيما </w:t>
      </w:r>
    </w:p>
    <w:p>
      <w:pPr>
        <w:pStyle w:val="BookText"/>
        <w:rPr/>
      </w:pPr>
      <w:r>
        <w:rPr>
          <w:rFonts w:ascii="Amiri" w:hAnsi="Amiri" w:eastAsia="Amiri" w:cs="Amiri"/>
          <w:color w:val="111111"/>
          <w:sz w:val="28"/>
          <w:sz w:val="28"/>
          <w:szCs w:val="28"/>
          <w:rtl w:val="true"/>
          <w:lang w:bidi="ar-SA"/>
        </w:rPr>
        <w:t>حُدُودَ اللهِ فَإِنْ خِفْتُمْ أَلاَّ يُقِيما حُدُودَ اللهِ فَلا جُناحَ عَلَيْهِما فِيمَا افْتَدَتْ بِهِ تِلْكَ حُدُودُ اللهِ فَلا تَعْتَدُوها وَمَنْ يَتَعَدَّ حُدُودَ اللهِ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كان للعرب في الجاهلية طلاق وعدّة مقدرة للمطلقة ، ورجعة للمطلِّق أثناء العدة ، ولكن لم يكن للطلاق عدد معيّن ، فربما طلّق الرجل امرأته مائة مرة وراجعها ، وتكون المرأة بذلك أُلعوبة بيد الرجل يضارّها بالطلاق والرجوع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أقربك أبداً ، ومع ذلك تبقين في عصمتي ، ولا تستطيعين الزواج من غيري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أُطلّقك ، حتى إذا قرب انقضاء العدة راجعتُكِ ، ثمّ طلقتُكِ ، وهكذا أبداً ، فشكته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أي أنّ الطلاق الذي شرع الله فيه الرجوع هو الطلاق الأوّل والثاني فقط وأمّا الطلاق الثالث فلا يحلّ الرجوع بعده حتّى تنكح زوجاً غير المطلق ، فعندئذ لو طلّقها فيحلّ للأوّل نكاحها ، هذا هو مفهوم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وَتِلْكَ حُدُودُ اللهِ يُبَيِّنُها لِقَوْمٍ يَعْلَمُونَ</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طَلَّقْتُمُ النِّساءَ فَبَلَغْنَ أَجَلَهُنَّ فَأَمْسِكُوهُنَ </w:t>
      </w:r>
    </w:p>
    <w:p>
      <w:pPr>
        <w:pStyle w:val="BookText"/>
        <w:rPr/>
      </w:pPr>
      <w:r>
        <w:rPr>
          <w:rFonts w:ascii="Amiri" w:hAnsi="Amiri" w:eastAsia="Amiri" w:cs="Amiri"/>
          <w:color w:val="111111"/>
          <w:sz w:val="28"/>
          <w:sz w:val="28"/>
          <w:szCs w:val="28"/>
          <w:rtl w:val="true"/>
          <w:lang w:bidi="ar-SA"/>
        </w:rPr>
        <w:t xml:space="preserve">بِمَعْرُوفٍ أَوْ سَرِّحُوهُنَّ بِمَعْرُوفٍ وَلا تُمْسِكُوهُنَّ ضِراراً لِتَعْتَدُوا وَمَنْ يَفْعَلْ ذلِكَ فَقَدْ ظَلَمَ نَفْسَهُ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جئنا بمجموع الآيات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موضع الاستدلال هو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للاستشهاد بها في ثنايا البحث وقبل الخوض في الاستدلال نشير إلى نكات في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الدفعة للدلالة على الواحد في الفعل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السرح وهو الإطلاق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الماشية في 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أطلقها لترعى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الإمساك هو إرجاعها إلى عصمة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لها لتنقضي عدتها في كل طلاق أو الطلاق الثالث الذي هو أيضاً نوع من 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في معنى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التسريح الذي هو خلاف الإمساك قابل للانطباق على الأمرين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التعرض لها حتّى تنقضي عدّتها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يرجع إليها ثمّ يطلقها طلقة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للمفسّرين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رأيان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ناظر إلى عدم التعرض لها حتّى تنقضي عدّتها ، ويمكن تقريب </w:t>
      </w:r>
    </w:p>
    <w:p>
      <w:pPr>
        <w:pStyle w:val="BookText"/>
        <w:rPr/>
      </w:pPr>
      <w:r>
        <w:rPr>
          <w:rFonts w:ascii="Amiri" w:hAnsi="Amiri" w:eastAsia="Amiri" w:cs="Amiri"/>
          <w:color w:val="111111"/>
          <w:sz w:val="28"/>
          <w:sz w:val="28"/>
          <w:szCs w:val="28"/>
          <w:rtl w:val="true"/>
          <w:lang w:bidi="ar-SA"/>
        </w:rPr>
        <w:t xml:space="preserve">هذا القول بالوجوه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التسريح بالمعروف في الآية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به ترك الرجعة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النِّساءَ فَبَلَغْنَ أَجَلَهُنَّ فَأَمْسِكُوهُنَّ بِمَعْرُوفٍ أَوْ سَرِّحُوهُنَّ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حمل الثانية أيضاً على ترك الرجعة وإن اختلفا في التعبير حيث إنّ التعبير في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سَرِّحُوهُنَّ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المعروف والإحسان بمعنى واحد ، كما عبّر عن ترك الرجعة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فارِقُوهُنَّ بِمَعْرُوفٍ</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فالأولى تفسير الجميع بترك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التطليقة الثالثة مذكورة بعد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وعندئذ فلا محيص من تفسير الجملة بترك الرجعة ، حتّى لا يلزم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يفسّر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بالطلاق الثالث وإلاّ يلزم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طلاقاً رابعاً ولا طلاق رابع في الإسلام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الطلاق الثالث ، لا ترك الرجعة بعد الطلاق الثاني ومعنى الآية انّ الزوج بعد ما طلّق زوجته مرّتين يجب أن يفكر في أمر زوجته أكثر ممّا مضى حتّى يقف على أنّه ليس له بعد الطلقتين إلاّ أحد أمرين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الإمساك بمعروف والاستمرار معها ، أو التسريح بإحسان بالتطليقة الثالثة التي لا رجوع بعدها أبداً إلاّ في ظرف خاص أشار إليها في الآية التالية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التطليق الثالث الذي لا رجوع فيه ويكون التسريح بالمقام متحقّقاً في الطلاق الثالث على هذا القول لا بترك الرجعة كما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ذكرناه هو عصارة القولين ولكلّ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الوجوه التي ذُكرت تأييداً للقول الأوّل فالثاني والثالث قابلان للدفع ، أمّا الثاني فلأنّه لا مانع من ذكر الشيء أوّلاً 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التفصيل ثانياً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بيان تفصيلي للتسريح بعد البيان الإجمالي ، والتفصيل مشتمل على ما لم يشتمل عليه الإجمال من تحريمها عليه حتّى تنكح زوجاً غيره ، فلو طلّقها الزوج الثاني باختياره فلا جناح عليهما بالعقد الجديد ان ظنّا أن يقيما حدود الله ، فأين هذه التفاصيل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دفع الوجه الثالث ، لأنّ 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الطلقة الثالثة لا يلزم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طلاقاً رابعاً ، بل يكون تفسيراً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روايات الفريقين تؤيد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رزين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الثالثة؟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الثوري وغيره عن إسماعيل بن سميع عن أبي رزين مثله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وقد عزا الطبرسي القول الأوّل إلى أبي جعفر وأبي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روى السيد البحراني في تفسير البرهان روايات ست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فالوجه الثاني والثالث قابل للإجابة ، وأمّا الوجه الأوّل ، فالإجابة عنه واضحة ، وذلك لأنّ التسريح في الموارد الثلاثة بمعنى الإطلاق وإنّما الاختلاف في المصداق فلا مانع من أن يكون المحقّق له في المقام هو الطلاق وفي الآيتين هو ترك الرجعة والاختلاف في المصداق لا يوجب اختلافاً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تفسير ما بقي من الآية ،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وهذه الفقرة من الآية ناظرة إلى 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يحلّ للزوج أن يأخذ من الزوجة شيئاً ممّا آتاها إذا أراد طلاقها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لَكُمْ أَنْ تَأْخُذُوا مِمَّا آتَيْتُمُوهُنَّ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أَرَدْتُمُ اسْتِبْدالَ زَوْجٍ مَكانَ زَوْجٍ وَآتَيْتُمْ إِحْداهُنَّ قِنْطاراً فَلا تَأْخُذُوا مِنْهُ شَيْئاً أَتَأْخُذُونَهُ بُهْتاناً وَإِثْماً مُبِيناً</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استثنى من عدم جواز الأخذ صورة خاصة ، وهي أنّ </w:t>
      </w:r>
    </w:p>
    <w:p>
      <w:pPr>
        <w:pStyle w:val="BookText"/>
        <w:rPr/>
      </w:pPr>
      <w:r>
        <w:rPr>
          <w:rFonts w:ascii="Amiri" w:hAnsi="Amiri" w:eastAsia="Amiri" w:cs="Amiri"/>
          <w:color w:val="111111"/>
          <w:sz w:val="28"/>
          <w:sz w:val="28"/>
          <w:szCs w:val="28"/>
          <w:rtl w:val="true"/>
          <w:lang w:bidi="ar-SA"/>
        </w:rPr>
        <w:t xml:space="preserve">تكون الزوجة كارهة للزوج ولا تُطيق عشرته بحيث يؤدي نفورها منه إلى معصية الله في التقصير بحقوق الزوج وقد يخاف الزوج أيضاً أن يقابلها بالإساءة أكثر ممّا تستحقّ ، ففي هذه الحال يجوز لها أن تطلب الطلاق من الزوج وتعوضه عنه بما يرضيه ، كما يجوز له أن يأخذ ما افتدت به نفسها ، وإليه يشير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خِفْتُمْ أَلاَّ يُقِيما حُدُودَ اللهِ فَلا جُناحَ عَلَيْهِما فِيمَا افْتَدَتْ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تمّ تفسير 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وإليك تفسير الآية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وَتِلْكَ حُدُودُ اللهِ يُبَيِّنُها لِقَوْمٍ يَعْلَمُونَ</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ومحصل الآية انّ من طلّق زوجته ثلاث مرات فلا تحلّ له حتّى تنكح زوجاً غيره نكاحاً صحيحاً ، ثمّ إذا فارقها بموت أو طلاق وانقضت عدّتها جاز للأوّل أن يعقد عليها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للمحلل شروطاً مذكورة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الرابعة ،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النِّساءَ فَبَلَغْنَ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واضحة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ارتأينا ذكره بشأن تفسير الآيات ، ونرجع الآن إلى صلب البحث وهو حكم الطلاق ثلاثاً ، فنقول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تعرّفت على مفاد الآية ، فاعلم أنّ الكتاب والسنّة يدلاّن على بطلان الطلاق ثلاثاً ، وأنّه يجب أن يكون الطلاق واحدة بعد الأُخرى ، يتخلّل بينهما رجوع </w:t>
      </w:r>
      <w:bookmarkStart w:id="92" w:name="pg10155_105247"/>
    </w:p>
    <w:p>
      <w:pPr>
        <w:pStyle w:val="BookText"/>
        <w:rPr/>
      </w:pPr>
      <w:bookmarkEnd w:id="92"/>
      <w:r>
        <w:rPr>
          <w:rFonts w:ascii="Amiri" w:hAnsi="Amiri" w:eastAsia="Amiri" w:cs="Amiri"/>
          <w:color w:val="111111"/>
          <w:sz w:val="28"/>
          <w:sz w:val="28"/>
          <w:szCs w:val="28"/>
          <w:rtl w:val="true"/>
          <w:lang w:bidi="ar-SA"/>
        </w:rPr>
        <w:t>أو نكاح ، فلو طلّق ثلاثاً مرّة واحدة ، أو كرّر الصيغة فلا يقع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احتسابها طلاقاً واحداً ، فهو وإن كان حقّاً ، لكنّه خارج عن موضوع بحثنا ، وإليك الاستدلال عن طريق الكتاب أوّلاً والسنّة ثانياً </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272711_1067777946"/>
      <w:bookmarkStart w:id="94" w:name="_Toc31"/>
      <w:bookmarkEnd w:id="93"/>
      <w:r>
        <w:rPr>
          <w:rtl w:val="true"/>
        </w:rPr>
        <w:t xml:space="preserve">أوّلاً </w:t>
      </w:r>
      <w:r>
        <w:rPr>
          <w:rtl w:val="true"/>
        </w:rPr>
        <w:t xml:space="preserve">: </w:t>
      </w:r>
      <w:r>
        <w:rPr>
          <w:rtl w:val="true"/>
        </w:rPr>
        <w:t xml:space="preserve">الاستدلال عن طريق الكتاب بوجوه </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الحكم يشمل كافّة أقسام الطلاق وانّ التفريق بين الطلقات ليس من خصيصة طلاق دون طلاق ، بل طبيعة الطلاق تلازم ذلك الطلاق ، لأنّ الألف واللام إذا لم يكونا للمعهود أفاد الاستغراق ، فصار تقدير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الطلاق مرّتان ، ومرّة ثالثة ، ولو قال هكذا لأفاد انّ الطلاق المشروع متفرّق ، لأنّ المرّات لا تكون إلاّ بعد تفرّق بالإجماع</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مرّتان ظاهر في لزوم وقوعه مرّة بعد أُخرى لا دفعة واحدة وإلاّ يصير مرّة ودفعة ، ولأجل ذلك عبّر سبحانه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كيفية الفعل وانّه الواحد منه ، كما أنّ الدفعة والكرّة والنزلة ، مثل المرّة ، وزناً ومعنىً واعتباراً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 فلو قال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 لم يطلِّق زوجته مرة بعد أُخرى ، ولم يطلّق مرّتين ، بل هو طلاق واحد ،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يصير سبباً لتكرّره ، وتشهد بذلك فروع فقهية لم يقل أحد من الفقهاء فيها بالتكرار بضم عدد فوق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اعتبر في اللعان شهادات أربع ، فلا تجزي عنها شهادة واحدة </w:t>
      </w:r>
    </w:p>
    <w:p>
      <w:pPr>
        <w:pStyle w:val="BookText"/>
        <w:rPr/>
      </w:pPr>
      <w:r>
        <w:rPr>
          <w:rFonts w:ascii="Amiri" w:hAnsi="Amiri" w:eastAsia="Amiri" w:cs="Amiri"/>
          <w:color w:val="111111"/>
          <w:sz w:val="28"/>
          <w:sz w:val="28"/>
          <w:szCs w:val="28"/>
          <w:rtl w:val="true"/>
          <w:lang w:bidi="ar-SA"/>
        </w:rPr>
        <w:t xml:space="preserve">مشفوعة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وفصول الأذان المأخوذة فيها التثنية ، لا يتأتّى التكرار فيها بقراءة واحدة وإردافها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حلف في القسامة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بالله خمسين يميناً أنّ هذا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يميناً واحداً ، ولو قال المقرّ بالزنا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أُقرّ أربع مرّات أنّي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واحداً ، ويحتاج إلى إقرارات ثلاث ، إلى غير ذلك من الموارد التي لا يكفي فيها العدد عن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المقياس الكلي في كلّ مورد اعتبر فيه العدد كرمي الجمرات السبع فلا يجزي عنه رمي الحصيات مرة واحدة ، وكتكبيرات صلاة العيدين الخمس أو السبع المتوالية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القراءة لا تتأتى بتكبيرة واحدة بعدها قول المصلي خمساً أو سبعاً ، وكصلاة التسبيح </w:t>
      </w:r>
      <w:r>
        <w:rPr>
          <w:rStyle w:val="FootnoteAnchor"/>
          <w:rtl w:val="true"/>
        </w:rPr>
        <w:footnoteReference w:id="125"/>
      </w:r>
      <w:r>
        <w:rPr>
          <w:rFonts w:ascii="Amiri" w:hAnsi="Amiri" w:eastAsia="Amiri" w:cs="Amiri"/>
          <w:color w:val="111111"/>
          <w:sz w:val="28"/>
          <w:sz w:val="28"/>
          <w:szCs w:val="28"/>
          <w:rtl w:val="true"/>
          <w:lang w:bidi="ar-SA"/>
        </w:rPr>
        <w:t>وقد أخذ في تسبيحاتها العدد عشراً وخمسة عشر فلا تجزي عنها تسبيحة واحدة مردوفة بقوله عشراً أو خمسة عشر ، وهذه كلّها ممّا 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من تردّد في ذلك غير ابن حزم ، فزعم انّه ربما يستعمل في غير ذلك المعنى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معناه مرّة بعد مرّة فخطأ ، بل هذه الآية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نُؤْتِها أَجْرَها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مضاعفاً معاً ، وهذه الآية أيضاً تعليم لما دون الثلاث من الطلاق</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يلاحظ على ما ذكره ،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بمعنى مضاعفاً ، لأجل وجود القرينة ولولاها لحمل على المعنى الحقيقي ، وذلك لأنّه سبحانه يخاطب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بخطابين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النَّبِيِّ مَنْ يَأْتِ مِنْكُنَّ بِفاحِشَةٍ مُبَيِّنَةٍ يُضاعَفْ لَهَا </w:t>
      </w:r>
    </w:p>
    <w:p>
      <w:pPr>
        <w:pStyle w:val="BookText"/>
        <w:rPr/>
      </w:pPr>
      <w:r>
        <w:rPr>
          <w:rFonts w:ascii="Amiri" w:hAnsi="Amiri" w:eastAsia="Amiri" w:cs="Amiri"/>
          <w:color w:val="111111"/>
          <w:sz w:val="28"/>
          <w:sz w:val="28"/>
          <w:szCs w:val="28"/>
          <w:rtl w:val="true"/>
          <w:lang w:bidi="ar-SA"/>
        </w:rPr>
        <w:t>الْعَذابُ ضِعْفَيْنِ وَكانَ ذلِكَ عَلَى اللهِ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يَقْنُتْ مِنْكُنَّ لِلَّهِ وَرَسُولِهِ وَتَعْمَلْ صالِحاً نُؤْتِها أَجْرَها مَرَّتَيْنِ وَأَعْتَدْنا لَها رِزْقاً كَرِيماً</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فقوله في الآية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 لَهَا الْعَذابُ 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نُؤْتِها أَجْرَها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إيتاء الأجر المضاعف لا الأجر بعد الأجر ، فلا يكون استعماله مرّتين في المضاعف فيها دليلاً على 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المقصد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بتفريق الطلاق وبيان حكم ما يتعلّق بإيقاع ما دون الثلاث من الرجعة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يقتضي التفريق لا محالة ، لأنّه لو طلّق اثنتين معاً لما جاز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مرّتين ، وكذلك لو دفع رجل إلى آخر درهمين لم يجز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مرتين ، حتى يفرق الدفع ، فحينئذ يطلق عليه ، وإذا كان هذا هكذا ، فلو كان الحكم المقصود باللفظ هو ما تعلّق بالتطليقتين من بقاء الرجعة لأدّى ذلك إلى إسقاط فائدة ذكر المرّتين ، إذ كان هذا الحكم ثابتاً في المرة الواحدة إذا طلّق اثنتين ، فثبت بذلك أنّ ذكر المرتين إنّما هو أمر بإيقاعه مرتين ، ونهي عن الجمع بينهما في مرّة واحدة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طلاق إلاّ بعد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طلاق قبل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طلاق لمن لا يملك</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نكاح بعد الصيغة الأُولى حتّى يطلق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إذا عبّر عن التطليق ثلاثاً بصيغة واحدة ، أمّا إذا كرّر الصيغة كما عرفت ، فربّما يغتر به البسطاء ويزعمون أنّ تكرار الصيغة ينطبق على الآية ، لكنّه مردود من جهة أُخرى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الصيغة الثانية والثالثة تقعان باطلتين لعدم الموضوع للطلاق ، فإنّ الطلاق إنّما هو لقطع علقة الزوجية ، فلا زوجية بعد الصيغة الأُولى حتى تقطع ، ولا رابطة قانونية حتى تصرم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المطلقة ما زالت في حبالة الرجل وحكمها حكم الزوجة ، فعندئذ يكون للصيغة الثانية والثالثة تأثير بحكم هذه 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ذا يريد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بحكم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به انّ للزوج حقّ الرجوع إليها ، فهو صحيح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الرجعية بحكم الزوجة ، أو هي زوجة باعتبار انّ للزوج إعادة البناء الذي هدمه بالطلاق ، فلا حاجة إلى النكاح الجديد ، وهذا غير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انّها زوجة بمعنى انّ صيغة الطلاق لم تؤثر شيئاً ولم تهدم بناء الزوجية وانّ حالها قبل الطلاق وبعده سيان ، فهو على خلاف الأُصول الصحيحة ، إذ كيف تكون حالها قبله وبعده سيّان ، مع أنّها لو تركت حتّى تنقضي عدّتها ، تصير أجنبية وبائنة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وكونها قابلة للطلاق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الوجه الثاني الذي عرفت مخالفته للأُصول ، لا على الوجه الأوّل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هو أن يقطع الزوج علقة الزوجيّة بينه وبين امرأته ويطلق سراحها من قيدها ، وهو لا يتحقّق بدون وجود تلك العلقة الاعتبارية الاجتماعية ، ومن المعلوم أنّ المطلّقة لا تطلق ، والمسرَّحة لا تسرح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هناك إشكالاً يختص 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الطلاق الثلاث بلا تكريرللصيغة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الطلاق أمر اعتباري يتحقّق بإنشاء المطلّق ، وليس له واقع وراء الاعتبار ، مقابل الأمر التكويني الذي له واقع وراء الذهن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الانشاء واحداً فيكون المنشأ أيضاً كذلك ، فتعدّد الطلاق رهن تعدّد الإنشاء والمفروض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يتطرّق هذا الإشكال إلى ما إذا تعدّدت الصيغة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أنت طالق ، 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يحصل بهذا النحو من التطليقات الثلاث ، العدد الخاص الذي هو الموضوع للآية التالية ، أعني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تعدد الطلاق رهن تخلّل عقدة الزواج بين الطلاقين ، ولو بالرجوع ، وإذا لم تتخلّل يكون التكلّم أشبه بالتكلّم بكلام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النكاح عقدة تعقد ، والطلاق يحلّها ، وكيف تُحل عقدة قبل أن تعقد؟</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فكأنّه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حللت العقدة بيني وبينك ، فسخت هذا العقد ، قطعت هذا الرباط الذي يربط كلاً منّا بصاحبه ؛ فإذا فسخ العقد الذي كان بينهما ، أو حلّت العقدة أو قطع الرباط فمن أين يملك الرجل فسخ العقد أو حل العقدة أو قطع الرباط مرة أُخرى أو ثالثة؟ وفي أي عقد من العقود في هذه الشريعة المطهرة أو في غيرها من الشرائع والقوانين ، </w:t>
      </w:r>
    </w:p>
    <w:p>
      <w:pPr>
        <w:pStyle w:val="BookText"/>
        <w:rPr/>
      </w:pPr>
      <w:r>
        <w:rPr>
          <w:rFonts w:ascii="Amiri" w:hAnsi="Amiri" w:eastAsia="Amiri" w:cs="Amiri"/>
          <w:color w:val="111111"/>
          <w:sz w:val="28"/>
          <w:sz w:val="28"/>
          <w:szCs w:val="28"/>
          <w:rtl w:val="true"/>
          <w:lang w:bidi="ar-SA"/>
        </w:rPr>
        <w:t>يمكن فسخ العقد الواحد مرّتين أو ثلاثاً ، وهو عقد واحد ، إلاّ أن يتجدد العقد فيتجدد إمكان الفسخ ، ويكون فسخاً لعقد آخر</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في تفسير هذه الفقرة من الآية قولين مختلفين ، والمفسّرون بين من يجعلونها ناظرة إلى الفقرة المتقدّمة ،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يجعلونها ناظرة إلى التطليق الثالث الذي جاء في الآية التالية ، وقد عرفت ما هو الحق ، فتلك الفقرة تدل على بطلان الطلاق الثلاث على كل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التقدير الأوّل ، فواضح ، لأنّ معناها أنّ كلّ مرّة من المرّتين يجب أن يتبعها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بمعروف ، أو 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طلّقتها واحدة أو اثنتين ، فأنت مخيّر فيها ما دامت عدّتها باقية ، بين أن تردّها إليك ناوياً الإصلاح والإحسان وبين أن تتركها حتى تنقضي عدتها ، فتبين منك ، وتطلق سراحها محسناً إليها ، لا تظلمها من حقّها شيئاً ولا تضارّ بها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وأين هذا من الطلاق ثلاثاً بلا تخلّل واحد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أو تركها حتى ينقضي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طلّقها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أنت طالق ، أنت طالق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وقوع الثالثة أن تكون في حال يصح من الزوج فيها 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الطلاق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يصحّ الإمساك إلاّ بعد المراجعة لم تصحّ الثالثة إلاّ بعدها لذلك ، وإذا لزم في الثالثة ، لزم في الثانية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وأمّا على التقدير الثاني ، فإنّ تلك الفقرة وإن كانت ناظرة لحال الطلاق الثالث ، وساكتة عن حال الطلاقين الأوّلين ، لكن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الآيات ، تدلّ على أنّ مضمونها من خصيصة مطلق الطلاق ، من غير فرق بين الأوّلين والثالث ، فالمطلّق يجب أن يُتبعَ طلاقه بأحد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النِّساءَ فَبَلَغْنَ أَجَلَهُنَّ فَأَمْسِكُوهُنَّ بِمَعْرُوفٍ أَوْ سَرِّحُوهُنَّ بِمَعْرُوفٍ</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الإمساك بمعروف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من المجموع هو كون إتباع الطلاق بأحد أمرين من لوازم طبيعة الطلاق الذي يصلح للرجوع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ذلك بوضوح إذا وقفنا على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القيود الغالبية ، وإلاّ فالواجب منذ أن يطلّق زوجته ، هو القيام بأحد الأمرين ، لكن تخصيصه بزمن خاص وهو بلوغ آجالهن ، هو لأجل أنّ المطلّق الطاغي عليه غضبه وغيظه ، لا تنطفئ سورة غضبه فوراً حتى تمضي عليه مدّة من الزمن تصلح فيها لأن يتفكّر في أمر زوجته ويخاطب بأحد الأمرين ، وإلاّ فطبيعة الحكم الشرعي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يكون حكماً سائداً على جميع الأزمنة من لدن أن يتفوّه بصيغة الطلاق إلى آخر لحظة تنتهي معها العدّة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ما ذكرنا تدلّ الفقرة على بطلان الطلاق الثلاث وأنّه يخالف الكيفية المشروعة في الطلاق ، غير أنّ دلالتها على القول الأوّل بنفسها ، وعلى القول الثاني بمعونة الآيات الأُخر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الطلاق الذي يجوز فيه الرجوع </w:t>
      </w:r>
      <w:r>
        <w:rPr>
          <w:rStyle w:val="FootnoteAnchor"/>
          <w:rtl w:val="true"/>
        </w:rPr>
        <w:footnoteReference w:id="135"/>
      </w:r>
      <w:r>
        <w:rPr>
          <w:rFonts w:ascii="Amiri" w:hAnsi="Amiri" w:eastAsia="Amiri" w:cs="Amiri"/>
          <w:color w:val="111111"/>
          <w:sz w:val="28"/>
          <w:sz w:val="28"/>
          <w:szCs w:val="28"/>
          <w:rtl w:val="true"/>
          <w:lang w:bidi="ar-SA"/>
        </w:rPr>
        <w:t xml:space="preserve">، ومن جانب آخر دلّ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 فَطَلِّقُوهُنَّ لِعِدَّتِهِنَّ وَأَحْصُوا الْعِدَّةَ</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الواجب في حقّ هؤلاء هو الاعتداد وإحصاء العدّة ، من غير فرق بين أن نقول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الغاية ، والمراد لغاية أن يعتددن ، إذ على كلّ تقدير يدلّ على أنّ من خصائص الطلاق الذي يجوز فيه الرجوع ، هو الاعتداد وإحصاء العدّة ، وهو لا يتحقّق إلاّ بفصل الأوّل عن الثاني ، وإلاّ يكون الطلاق الأوّل بلا عدّة وإحصاء لو طلّق اثنتين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ثلاثاً يكون الأوّل والثاني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بعض أئمّة أهل البيت بهذه الآية على بطلان الطلاق الثلاث</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صفوان الجمّال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طلّقت امرأتي ثلاثاً في مجلس واحد؟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تقرأ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خالف كتاب الله والسنّة فهو يرد إلى كتاب الله والسنّة</w:t>
      </w:r>
      <w:r>
        <w:rPr>
          <w:rFonts w:eastAsia="Amiri" w:cs="Amiri" w:ascii="Amiri" w:hAnsi="Amiri"/>
          <w:color w:val="111111"/>
          <w:sz w:val="28"/>
          <w:szCs w:val="28"/>
          <w:rtl w:val="true"/>
          <w:lang w:bidi="ar-SA"/>
        </w:rPr>
        <w:t xml:space="preserve">». </w:t>
      </w:r>
      <w:r>
        <w:rPr>
          <w:rStyle w:val="FootnoteAnchor"/>
          <w:rtl w:val="true"/>
        </w:rPr>
        <w:footnoteReference w:id="137"/>
      </w:r>
      <w:bookmarkStart w:id="95" w:name="pg10155_105255"/>
    </w:p>
    <w:p>
      <w:pPr>
        <w:pStyle w:val="BookText"/>
        <w:rPr/>
      </w:pPr>
      <w:bookmarkEnd w:id="9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لو صحّ التطليق ثلاثاً فلا يبقى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 لأنّه يكون بائناً ويبلغ الأمر إلى ما لا تحمد عقباه ، ولا تحل العقدة إلاّ بنكاح رجل آخر وطلاقه ، مع أنّ الظاهر أنّ المقصود حلّ المشكل من طريق الرجوع أو العقد في العدّة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272713_1067777946"/>
      <w:bookmarkStart w:id="97" w:name="_Toc32"/>
      <w:bookmarkEnd w:id="96"/>
      <w:r>
        <w:rPr>
          <w:rtl w:val="true"/>
        </w:rPr>
        <w:t xml:space="preserve">ثانياً </w:t>
      </w:r>
      <w:r>
        <w:rPr>
          <w:rtl w:val="true"/>
        </w:rPr>
        <w:t xml:space="preserve">: </w:t>
      </w:r>
      <w:r>
        <w:rPr>
          <w:rtl w:val="true"/>
        </w:rPr>
        <w:t>الاستدلال عن طريق السنّة</w:t>
      </w:r>
      <w:bookmarkEnd w:id="97"/>
    </w:p>
    <w:p>
      <w:pPr>
        <w:pStyle w:val="BookText"/>
        <w:rPr/>
      </w:pPr>
      <w:r>
        <w:rPr>
          <w:rFonts w:ascii="Amiri" w:hAnsi="Amiri" w:eastAsia="Amiri" w:cs="Amiri"/>
          <w:color w:val="111111"/>
          <w:sz w:val="28"/>
          <w:sz w:val="28"/>
          <w:szCs w:val="28"/>
          <w:rtl w:val="true"/>
          <w:lang w:bidi="ar-SA"/>
        </w:rPr>
        <w:t>قد تعرّفت على قضاء الكتاب في المسألة ، وأمّا حكم السنّة ، فهي تعرب عن أنّ الرسول كان يعدّ مثل هذا الطلاق لعباً بالكتاب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النسائي عن محمود بن لبيد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رسول الله عن رجل طلّق امرأته ثلاث تطليقات جميعاً ، فقام غضبان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أيلعب بكتاب الله وأنا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ومحمود بن لبيد صحابي صغير وله سماع ، روى أحمد باسناد صحيح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بنا المغرب في مسجدنا ، فلما سلّم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اركعوا هاتين الركعتين في بيوتكم ، للسبحة بعد المغرب</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وهذا دليل على سماعه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نقله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الرجل الذي طلّق امرأته ثلاث تطليقات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w:t>
      </w:r>
    </w:p>
    <w:p>
      <w:pPr>
        <w:pStyle w:val="BookText"/>
        <w:rPr/>
      </w:pPr>
      <w:r>
        <w:rPr>
          <w:rFonts w:ascii="Amiri" w:hAnsi="Amiri" w:eastAsia="Amiri" w:cs="Amiri"/>
          <w:color w:val="111111"/>
          <w:sz w:val="28"/>
          <w:sz w:val="28"/>
          <w:szCs w:val="28"/>
          <w:rtl w:val="true"/>
          <w:lang w:bidi="ar-SA"/>
        </w:rPr>
        <w:t>الكلام عنه في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نرى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هذا النوع من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باللعب بكتاب الله ، وتظهر آثار الغضب في وجهه أفيمكن القول بصحّته بعد ما كان هذا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عدم سماعه كما يدّعيه ابن حجر في فتح الباري </w:t>
      </w:r>
      <w:r>
        <w:rPr>
          <w:rStyle w:val="FootnoteAnchor"/>
          <w:rtl w:val="true"/>
        </w:rPr>
        <w:footnoteReference w:id="140"/>
      </w:r>
      <w:r>
        <w:rPr>
          <w:rFonts w:ascii="Amiri" w:hAnsi="Amiri" w:eastAsia="Amiri" w:cs="Amiri"/>
          <w:color w:val="111111"/>
          <w:sz w:val="28"/>
          <w:sz w:val="28"/>
          <w:szCs w:val="28"/>
          <w:rtl w:val="true"/>
          <w:lang w:bidi="ar-SA"/>
        </w:rPr>
        <w:t>فهو صحابي ومراسيل الصحابة حجة بلا كلام عند الفقهاء ، أخذاً بعدالتهم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إسحاق ، عن عكرمة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ركانة زوجته ثلاثاً في مجلس واحد ، فحزن عليها حزناً شديداً ، فسأله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طلّقتها؟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تلك طلقة واحدة فارتجعها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والسائل هو ركانة بن عبد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أحمد باسناد صحيح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ركانة بن عبد يزيد أخو بني مطلب امرأته ثلاثاً في مجلس واحد ، فحزن عليها حزناً شديداً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طلّقتها؟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تلك واحدة فأرجعها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فأرجعها ، فكان ابن عباس يرى إنّما الطلاق عند كلّ طهر</w:t>
      </w:r>
      <w:r>
        <w:rPr>
          <w:rFonts w:eastAsia="Amiri" w:cs="Amiri" w:ascii="Amiri" w:hAnsi="Amiri"/>
          <w:color w:val="111111"/>
          <w:sz w:val="28"/>
          <w:szCs w:val="28"/>
          <w:rtl w:val="true"/>
          <w:lang w:bidi="ar-SA"/>
        </w:rPr>
        <w:t xml:space="preserve">. </w:t>
      </w:r>
      <w:r>
        <w:rPr>
          <w:rStyle w:val="FootnoteAnchor"/>
          <w:rtl w:val="true"/>
        </w:rPr>
        <w:footnoteReference w:id="141"/>
      </w:r>
      <w:bookmarkStart w:id="98" w:name="pg10155_105257"/>
    </w:p>
    <w:p>
      <w:pPr>
        <w:pStyle w:val="Heading3"/>
        <w:numPr>
          <w:ilvl w:val="2"/>
          <w:numId w:val="1"/>
        </w:numPr>
        <w:rPr/>
      </w:pPr>
      <w:bookmarkStart w:id="99" w:name="__RefHeading___Toc1272715_1067777946"/>
      <w:bookmarkStart w:id="100" w:name="_Toc33"/>
      <w:bookmarkEnd w:id="98"/>
      <w:bookmarkEnd w:id="99"/>
      <w:r>
        <w:rPr>
          <w:rtl w:val="true"/>
        </w:rPr>
        <w:t>أدلّة القائل بصحّة الطلاق ثلاثاً</w:t>
      </w:r>
      <w:bookmarkEnd w:id="100"/>
    </w:p>
    <w:p>
      <w:pPr>
        <w:pStyle w:val="BookText"/>
        <w:rPr/>
      </w:pPr>
      <w:r>
        <w:rPr>
          <w:rFonts w:ascii="Amiri" w:hAnsi="Amiri" w:eastAsia="Amiri" w:cs="Amiri"/>
          <w:color w:val="111111"/>
          <w:sz w:val="28"/>
          <w:sz w:val="28"/>
          <w:szCs w:val="28"/>
          <w:rtl w:val="true"/>
          <w:lang w:bidi="ar-SA"/>
        </w:rPr>
        <w:t>استدلّ القائل بجواز إرسال الثلاث دفعة أو مفرقة بالكتاب تارة والسنّة أُخرى والإجماع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فبالآيات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إيقاع الطلاق الثلاث دفعة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طَلَّقْتُمُوهُنَّ مِنْ قَبْلِ أَنْ تَمَسُّوهُنَ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وَلِلْمُطَلَّقاتِ مَتاعٌ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يفرق في هذه الآيات بين إيقاع الواحدة والثنتين والثلاث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الاستدلال بأنّ هذه عمومات مخصّصة وإطلاقات مقيّدة بما ثبت من الأدلة الدالّة على المنع من وقوع فوق الواحدة</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يجاب بأنّ شرط التمسّك بالإطلاق كون المتكلّم في مقام البيان لا في مقام الإجمال والإهمال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المتكلّم في مقام بيان حكم الطبيعة بما هي هي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حلال ، والخنزير حرام فلا يمكن أن يستدلّ بهما على حلية الغنم وإن كان جلاّلاً أو مغصوباً تمسّكاً بإطلاقه ، وقد قرر في علم الأُصول </w:t>
      </w:r>
      <w:bookmarkStart w:id="101" w:name="pg10155_105258"/>
    </w:p>
    <w:p>
      <w:pPr>
        <w:pStyle w:val="BookText"/>
        <w:rPr/>
      </w:pPr>
      <w:bookmarkEnd w:id="101"/>
      <w:r>
        <w:rPr>
          <w:rFonts w:ascii="Amiri" w:hAnsi="Amiri" w:eastAsia="Amiri" w:cs="Amiri"/>
          <w:color w:val="111111"/>
          <w:sz w:val="28"/>
          <w:sz w:val="28"/>
          <w:szCs w:val="28"/>
          <w:rtl w:val="true"/>
          <w:lang w:bidi="ar-SA"/>
        </w:rPr>
        <w:t xml:space="preserve">انّ التمسّك بالإطلاق رهن شروط ثلاثة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 الحيثية التي نحن بصدد استنباط حكمها ، فإذا سكت يتمسّك بالإطلاق ، وأمّا إذا لم يكن في مقام بيان تلك الحيثية ، فلا يصحّ التمسّك بالإطلاق ، وهذه الآيات من هذا القبيل فانّها في مقام بيان أُمور أُخرى ، فالأولى منها في مقام بيان كون المطلقة محرمة أبداً حتّى تنكح زوجاً غيره ، والثانية في مقام بيان حكم المطلقة قبل المس ومثلها الثالثة والرابعة في مقام بيان انّ للمطلقة حقّاً خاصاً باسم المتاع ، فأين هذه الموضوعات من تجويز الطلاق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إغلاق باب الاجتهاد من أواسط القرن السابع إلى يومنا هذا صار سبباً لتدهور الاستنباط ، وإلاّ فلا يخفى ضعف هذا النوع من الاستدلال على المستنبط الملمّ بالأُصول</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272717_1067777946"/>
      <w:bookmarkStart w:id="103" w:name="_Toc34"/>
      <w:bookmarkEnd w:id="102"/>
      <w:r>
        <w:rPr>
          <w:rtl w:val="true"/>
        </w:rPr>
        <w:t>الاستدلال بالسنّة</w:t>
      </w:r>
      <w:bookmarkEnd w:id="103"/>
    </w:p>
    <w:p>
      <w:pPr>
        <w:pStyle w:val="Heading4"/>
        <w:numPr>
          <w:ilvl w:val="3"/>
          <w:numId w:val="1"/>
        </w:numPr>
        <w:rPr/>
      </w:pPr>
      <w:bookmarkStart w:id="104" w:name="__RefHeading___Toc1272719_1067777946"/>
      <w:bookmarkStart w:id="105" w:name="_Toc35"/>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استدلّ القائل بصحّة الطلاق ثلاثاً في مجلس واحد بالسنّة </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272721_1067777946"/>
      <w:bookmarkStart w:id="107" w:name="_Toc36"/>
      <w:bookmarkEnd w:id="106"/>
      <w:r>
        <w:rPr/>
        <w:t>1</w:t>
      </w:r>
      <w:r>
        <w:rPr>
          <w:rtl w:val="true"/>
        </w:rPr>
        <w:t xml:space="preserve">. </w:t>
      </w:r>
      <w:r>
        <w:rPr>
          <w:rtl w:val="true"/>
        </w:rPr>
        <w:t>خبر فاطمة بنت قيس</w:t>
      </w:r>
      <w:bookmarkEnd w:id="10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حزم من طريق يحيى 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سلمة بن عبد الرحمن ، أنّ فاطمة بنت قيس أخبرته انّ زوجَها ابن حفص بن المغيرة المخزومي طلّقها ثلاثاً ، ثمّ انطلق إلى اليمن ، فانطلق خالد بن الوليد في نفر فأتوا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ميمونة أُمّ المؤمنين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حفص طلّق امرأته ثلاثاً فهل لها من نفقة؟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لها نفقة ، وعليها العدّة</w:t>
      </w:r>
      <w:r>
        <w:rPr>
          <w:rFonts w:eastAsia="Amiri" w:cs="Amiri" w:ascii="Amiri" w:hAnsi="Amiri"/>
          <w:color w:val="111111"/>
          <w:sz w:val="28"/>
          <w:szCs w:val="28"/>
          <w:rtl w:val="true"/>
          <w:lang w:bidi="ar-SA"/>
        </w:rPr>
        <w:t xml:space="preserve">». </w:t>
      </w:r>
      <w:r>
        <w:rPr>
          <w:rStyle w:val="FootnoteAnchor"/>
          <w:rtl w:val="true"/>
        </w:rPr>
        <w:footnoteReference w:id="143"/>
      </w:r>
      <w:bookmarkStart w:id="108" w:name="pg10155_105259"/>
    </w:p>
    <w:p>
      <w:pPr>
        <w:pStyle w:val="BookText"/>
        <w:rPr/>
      </w:pPr>
      <w:bookmarkEnd w:id="108"/>
      <w:r>
        <w:rPr>
          <w:rFonts w:ascii="Amiri" w:hAnsi="Amiri" w:eastAsia="Amiri" w:cs="Amiri"/>
          <w:color w:val="111111"/>
          <w:sz w:val="28"/>
          <w:sz w:val="28"/>
          <w:szCs w:val="28"/>
          <w:rtl w:val="true"/>
          <w:lang w:bidi="ar-SA"/>
        </w:rPr>
        <w:t xml:space="preserve">فلو كانت التطليق ثلاثاً أمراً منكراً لأنكره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حزم نقل الرواية على غير وجهها ، فقد روى أحمد في مسنده بسنده عن فاطمة بنت قيس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عمرو بن حفص بن المغيرة ، وكان قد طلّقني تطليقتين ، ثمّ إنّه سار مع علي إلى اليمن حين بعثه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بتطليقتي الثالثة</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وفي سنن الدارقطني بسنده عن أبي سلمة بن عبد الرحمن عن فاطمة بنت قيس أنّها أخبرته أنّها كانت عند أبي عمرو بن حفص بن المغيرة ، فطلّقها آخر ثلاث تطليقات ، فزعمت أنّها جاءت رسول الله فاستفته في خروجها من بيتها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وما نقله المحدثان دليل على أنّ التطليقات كانت متفرقة لا مجتمعة ، غير أنّ ابن حزم تغافل عن ذكر نص الحديث</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272723_1067777946"/>
      <w:bookmarkStart w:id="110" w:name="_Toc37"/>
      <w:bookmarkEnd w:id="109"/>
      <w:r>
        <w:rPr/>
        <w:t>2</w:t>
      </w:r>
      <w:r>
        <w:rPr>
          <w:rtl w:val="true"/>
        </w:rPr>
        <w:t xml:space="preserve">. </w:t>
      </w:r>
      <w:r>
        <w:rPr>
          <w:rtl w:val="true"/>
        </w:rPr>
        <w:t>حديث عائشة</w:t>
      </w:r>
      <w:bookmarkEnd w:id="110"/>
    </w:p>
    <w:p>
      <w:pPr>
        <w:pStyle w:val="BookText"/>
        <w:rPr/>
      </w:pPr>
      <w:r>
        <w:rPr>
          <w:rFonts w:ascii="Amiri" w:hAnsi="Amiri" w:eastAsia="Amiri" w:cs="Amiri"/>
          <w:color w:val="111111"/>
          <w:sz w:val="28"/>
          <w:sz w:val="28"/>
          <w:szCs w:val="28"/>
          <w:rtl w:val="true"/>
          <w:lang w:bidi="ar-SA"/>
        </w:rPr>
        <w:t xml:space="preserve">روى ابن حزم عن طريق البخاري عن عائشة أُمّ المؤمنين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طلّق امرأته ثلاثاً فتزوجت فطلق </w:t>
      </w:r>
      <w:r>
        <w:rPr>
          <w:rStyle w:val="FootnoteAnchor"/>
          <w:rtl w:val="true"/>
        </w:rPr>
        <w:footnoteReference w:id="146"/>
      </w:r>
      <w:r>
        <w:rPr>
          <w:rFonts w:ascii="Amiri" w:hAnsi="Amiri" w:eastAsia="Amiri" w:cs="Amiri"/>
          <w:color w:val="111111"/>
          <w:sz w:val="28"/>
          <w:sz w:val="28"/>
          <w:szCs w:val="28"/>
          <w:rtl w:val="true"/>
          <w:lang w:bidi="ar-SA"/>
        </w:rPr>
        <w:t xml:space="preserve">، فسئل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 للأوّل؟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يذوق عسيلتها كما ذاق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ينكر عليه الصلاة والسلام هذا السؤال ، ولو كان لا يجوز لأخبر بذلك</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غير ظاهرة في أنّ التطليقات كانت مجتمعة لو لم نقل انّها ظاهرة في المتفرقة ، بشهادة وقوع الطلاق في عصر رسول الله ، وقد كان </w:t>
      </w:r>
      <w:bookmarkStart w:id="111" w:name="pg10155_105260"/>
    </w:p>
    <w:p>
      <w:pPr>
        <w:pStyle w:val="BookText"/>
        <w:rPr/>
      </w:pPr>
      <w:bookmarkEnd w:id="111"/>
      <w:r>
        <w:rPr>
          <w:rFonts w:ascii="Amiri" w:hAnsi="Amiri" w:eastAsia="Amiri" w:cs="Amiri"/>
          <w:color w:val="111111"/>
          <w:sz w:val="28"/>
          <w:sz w:val="28"/>
          <w:szCs w:val="28"/>
          <w:rtl w:val="true"/>
          <w:lang w:bidi="ar-SA"/>
        </w:rPr>
        <w:t>الطلاق على عهد رسول الله وأبي بكر وسنتين من خلافة عمر طلاق الثلاث واحدة</w:t>
      </w:r>
      <w:r>
        <w:rPr>
          <w:rFonts w:eastAsia="Amiri" w:cs="Amiri" w:ascii="Amiri" w:hAnsi="Amiri"/>
          <w:color w:val="111111"/>
          <w:sz w:val="28"/>
          <w:szCs w:val="28"/>
          <w:rtl w:val="true"/>
          <w:lang w:bidi="ar-SA"/>
        </w:rPr>
        <w:t xml:space="preserve">. </w:t>
      </w:r>
      <w:r>
        <w:rPr>
          <w:rStyle w:val="FootnoteAnchor"/>
          <w:rtl w:val="true"/>
        </w:rPr>
        <w:footnoteReference w:id="148"/>
      </w:r>
    </w:p>
    <w:p>
      <w:pPr>
        <w:pStyle w:val="Heading4"/>
        <w:numPr>
          <w:ilvl w:val="3"/>
          <w:numId w:val="1"/>
        </w:numPr>
        <w:rPr/>
      </w:pPr>
      <w:bookmarkStart w:id="112" w:name="__RefHeading___Toc1272725_1067777946"/>
      <w:bookmarkStart w:id="113" w:name="_Toc38"/>
      <w:bookmarkEnd w:id="112"/>
      <w:r>
        <w:rPr/>
        <w:t>3</w:t>
      </w:r>
      <w:r>
        <w:rPr>
          <w:rtl w:val="true"/>
        </w:rPr>
        <w:t xml:space="preserve">. </w:t>
      </w:r>
      <w:r>
        <w:rPr>
          <w:rtl w:val="true"/>
        </w:rPr>
        <w:t>حديث سهل</w:t>
      </w:r>
      <w:bookmarkEnd w:id="113"/>
    </w:p>
    <w:p>
      <w:pPr>
        <w:pStyle w:val="BookText"/>
        <w:rPr/>
      </w:pPr>
      <w:r>
        <w:rPr>
          <w:rFonts w:ascii="Amiri" w:hAnsi="Amiri" w:eastAsia="Amiri" w:cs="Amiri"/>
          <w:color w:val="111111"/>
          <w:sz w:val="28"/>
          <w:sz w:val="28"/>
          <w:szCs w:val="28"/>
          <w:rtl w:val="true"/>
          <w:lang w:bidi="ar-SA"/>
        </w:rPr>
        <w:t xml:space="preserve">روى سهل بن سعد الساعدي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لاعن رسول الله بين الزبير العجلاني وزوجته ، فلمّا تلاعنا ، 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أمسكتها فقد كذبت عليها ، فهي طالق ثلاثاً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سبيل لك عليها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العجلاني كان قد طلق في وقت لم يكن له أن يطلق فيه ، فطلق ثلاثاً فبين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الوقت ، وانّه ليس له أن يطلق فيه ولم يبين له حكم العدد ، ولو كان ذلك العدد محرماً وبدعة لبيّنه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غرائب الاستدلال فانّ الزوج إذا لاعن زوجته تحرم عليه مؤبداً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فلا موضوع للنكاح والطلاق ، ولمّا كان الرجل جاهلاً بحكم الإسلام وأنّها بانت عنه باللعان من دون حاجة إلى الطلاق ، طلّقها ثلاثاً بزعم انّها زوجته على رسم الجاهلية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كلامه انّه انّه صحّح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طالق ثلاثاً ، بل أشار إلى الحرمة الأبدية وانّها صارت محرمة على الزوج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وأين هذا من تصحيح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العدد</w:t>
      </w:r>
      <w:r>
        <w:rPr>
          <w:rFonts w:eastAsia="Amiri" w:cs="Amiri" w:ascii="Amiri" w:hAnsi="Amiri"/>
          <w:color w:val="111111"/>
          <w:sz w:val="28"/>
          <w:szCs w:val="28"/>
          <w:rtl w:val="true"/>
          <w:lang w:bidi="ar-SA"/>
        </w:rPr>
        <w:t xml:space="preserve">. </w:t>
      </w:r>
      <w:bookmarkStart w:id="114" w:name="pg10155_105261"/>
    </w:p>
    <w:p>
      <w:pPr>
        <w:pStyle w:val="Heading3"/>
        <w:numPr>
          <w:ilvl w:val="2"/>
          <w:numId w:val="1"/>
        </w:numPr>
        <w:rPr/>
      </w:pPr>
      <w:bookmarkStart w:id="115" w:name="__RefHeading___Toc1272727_1067777946"/>
      <w:bookmarkStart w:id="116" w:name="_Toc39"/>
      <w:bookmarkEnd w:id="114"/>
      <w:bookmarkEnd w:id="115"/>
      <w:r>
        <w:rPr>
          <w:rtl w:val="true"/>
        </w:rPr>
        <w:t>الاستدلال بالإجماع</w:t>
      </w:r>
      <w:bookmarkEnd w:id="116"/>
    </w:p>
    <w:p>
      <w:pPr>
        <w:pStyle w:val="BookText"/>
        <w:rPr/>
      </w:pPr>
      <w:r>
        <w:rPr>
          <w:rFonts w:ascii="Amiri" w:hAnsi="Amiri" w:eastAsia="Amiri" w:cs="Amiri"/>
          <w:color w:val="111111"/>
          <w:sz w:val="28"/>
          <w:sz w:val="28"/>
          <w:szCs w:val="28"/>
          <w:rtl w:val="true"/>
          <w:lang w:bidi="ar-SA"/>
        </w:rPr>
        <w:t xml:space="preserve">استدلّ القائل بالصحّة بالإجماع وانّ الطلاق الوارد في الكتاب منسوخ ، فقال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القارئ</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هذا النسخ وعمر لا ينسخ؟ وكيف يكون النسخ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خاطب عمر الصحابة بذلك فلم يقع إنكار صار إجماعاً ، والنسخ بالإجماع جوّزه بعض مشايخنا بطريق أنّ الإجماع موجب علم اليقين كالنصّ ، فيجوز أن يثبت النسخ به ، والإجماع في كونه حجّة أقوى من الخبر المشهور ، فإذا كان النسخ جائزاً بالخبر المشهور فجوازه بالإجماع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إجماع على النسخ من تلقاء أنفسهم ، فلا يجوز ذلك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ظهر لهم نصّ أوجب النسخ ، ولم ينقل إلينا ذلك</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يدّعي الإجماع وقد تواتر النصّ على أنّه كان على عهد رسول الله وأبي بكر وسنتين من خلافة عمر طلاق الثلاث واحداً ، ومع ذلك كيف يدّعي الإجماع مع تحقّق الخلاف في المسألة وذهاب كثير من الصحابة والتابعين إلى عدم صحّة الطلاق ثلاثاً؟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التمسّك بسكوت الناس ، فهو لا يكشف عن وجود نصّ يدلّ على النسخ ، إذ لو كان هناك نص لأظهروه ، ويصل من السلف إلى الخلف قطعاً ، لأنّ المسألة ممّا يعمّ بها الابتلاء</w:t>
      </w:r>
      <w:r>
        <w:rPr>
          <w:rFonts w:eastAsia="Amiri" w:cs="Amiri" w:ascii="Amiri" w:hAnsi="Amiri"/>
          <w:color w:val="111111"/>
          <w:sz w:val="28"/>
          <w:szCs w:val="28"/>
          <w:rtl w:val="true"/>
          <w:lang w:bidi="ar-SA"/>
        </w:rPr>
        <w:t xml:space="preserve">. </w:t>
      </w:r>
      <w:bookmarkStart w:id="117" w:name="pg10155_105262"/>
    </w:p>
    <w:p>
      <w:pPr>
        <w:pStyle w:val="BookText"/>
        <w:rPr/>
      </w:pPr>
      <w:bookmarkEnd w:id="117"/>
      <w:r>
        <w:rPr>
          <w:rFonts w:ascii="Amiri" w:hAnsi="Amiri" w:eastAsia="Amiri" w:cs="Amiri"/>
          <w:color w:val="111111"/>
          <w:sz w:val="28"/>
          <w:sz w:val="28"/>
          <w:szCs w:val="28"/>
          <w:rtl w:val="true"/>
          <w:lang w:bidi="ar-SA"/>
        </w:rPr>
        <w:t xml:space="preserve">ولو افترضنا وجود النصّ فكيف خفي في عصر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وعصر الخليفة الأوّل وسنتين من عصر الخليفة الثاني؟</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272729_1067777946"/>
      <w:bookmarkStart w:id="119" w:name="_Toc40"/>
      <w:bookmarkEnd w:id="118"/>
      <w:r>
        <w:rPr>
          <w:rtl w:val="true"/>
        </w:rPr>
        <w:t>الاجتهاد تجاه النص</w:t>
      </w:r>
      <w:bookmarkEnd w:id="119"/>
    </w:p>
    <w:p>
      <w:pPr>
        <w:pStyle w:val="BookText"/>
        <w:rPr/>
      </w:pPr>
      <w:r>
        <w:rPr>
          <w:rFonts w:ascii="Amiri" w:hAnsi="Amiri" w:eastAsia="Amiri" w:cs="Amiri"/>
          <w:color w:val="111111"/>
          <w:sz w:val="28"/>
          <w:sz w:val="28"/>
          <w:szCs w:val="28"/>
          <w:rtl w:val="true"/>
          <w:lang w:bidi="ar-SA"/>
        </w:rPr>
        <w:t>التحق النبيّ الأكرم بالرفيق الأعلى وقد برز بين المسلمين اتّجاهان مختلفان ، وفكران متباينان ، فعليّ وسائر أئمّة أهل البيت ، كانوا يتعرّفون على الحكم الشرعي من خلال النصّ الشرعي آية أو رواية ، ولا يعملون برأيهم بتاتاً ، وفي قبالهم لفيف من الصحابة يستخدمون الرأي للتوصّل إلى الحكم الشرعي من خلال التعرّف على المصلحة ووضع الحكم وفق متطلّباتها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استخدام الرأي فيما لا نصّ فيه ، ووضع الحكم وفق المصلحة أمر قابل للبحث والنقاش ، إنّما الكلام في استخدامه فيما فيه نص ، فالطائفة الثانية كانت تستخدم رأيها تجاه النص ، لا في خصوص ما لا نصّ فيه من كتاب أو سنّة بل حتى فيما كان فيه نصّ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أحمد أمين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أنّ عمر بن الخطاب كان يستعمل الرأي في أوسع من المعنى الذي ذكرناه ، وذلك أنّ ما ذكرناه هو استعمال الرأي حيث لا نصّ من كتاب ولا سنّة ، ولكنّا نرى الخليفة سار أبعد من ذلك ، فكان يجتهد في تعرّف المصلحة التي لأجلها نزلت الآية أو ورد الحديث ، ثمّ يسترشد بتلك المصلحة في أحكامه ، وهو أقرب شيء إلى ما يعبّر عنه الآن بالاسترشاد بروح القانون لا بحرفيته</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الاسترشاد بروح القانون الذي أشار إليه أحمد أمين أمر ، ونبذ النص </w:t>
      </w:r>
    </w:p>
    <w:p>
      <w:pPr>
        <w:pStyle w:val="BookText"/>
        <w:rPr/>
      </w:pPr>
      <w:r>
        <w:rPr>
          <w:rFonts w:ascii="Amiri" w:hAnsi="Amiri" w:eastAsia="Amiri" w:cs="Amiri"/>
          <w:color w:val="111111"/>
          <w:sz w:val="28"/>
          <w:sz w:val="28"/>
          <w:szCs w:val="28"/>
          <w:rtl w:val="true"/>
          <w:lang w:bidi="ar-SA"/>
        </w:rPr>
        <w:t>والعمل بالرأي أمر آخر ، ولكن الطائفة الثانية كانت تنبذ النص وتعمل بالرأي ، وما روي عن الخليفة في هذه المسألة ،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في ريب من ذلك ، فنحن نتلو عليك ما وقفنا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مسلم عن طاوس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وسنتين من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الثلاث واحدة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قد كانت لهم فيه أناة ، فلو أمضيناه عليهم ، فأمضاه عليهم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عن ابن طاوس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الصهباء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انّما كانت الثلاث تجعل واحدة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وثلاثاً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عن طاوس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الصهباء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هناتك ، ألم يكن الطلاق الثلاث على عهد رسول الله وأبي بكر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فلمّا كان في عهد عمر تتايع الناس في الطلاق فأجازه عليهم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تخالف ما روي عن ابن عباس أنّه أفتى بوقوع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أصحاب ابن عباس رووا عنه خلاف ما رواه طاوس في هذه المسألة ، أعني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ومجاهد ونافع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داود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قول ابن عباس فيما حدثنا أحمد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معمر عن الزهري عن أبي سلمة بن عبد الرحمن ، ومحمد بن عبد الرحمن بن ثوبان عن محمد بن إياس انّ ابن عباس وأبا هريرة وعبد الله بن عمرو بن العاص سئلوا عن البكر يطلقها زوجها ثلاثاً فكلّهم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تحلّ له 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إنّما هو رواية ابن عباس وهي على بطلان الطلاق ثلاثاً ، وأمّا ما نقل عنه من الرأي وهو حجّة عليه لا على غيره ، ولو صحّ انّه أفتى على خلاف الرواية ، فلا يكون دليلاً على ضعف الرواية ، لأنّ الاحتمالات المسوّغة لترك الرواية والعدول إلى الرأي ، كثيرة منها النسيان ونظائره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الشوكاني بعد ما ذكر هذا الجواب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بالتتابع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الطلاق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استكثروا من الأجوبة على حديث ابن عباس كلّها غير خارجة عن دائرة التعسف ، والحقّ أحقّ بالاتّباع</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البيهقي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الصهباء كثير السؤال لابن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الرجل كان إذا طلّق امرأته ثلاثاً قبل أن يدخل بها ، جعلوها واحدة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وصدراً من إمارة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الناس قد تتابعوا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أجيزوهن عليهم</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الطحاوي من طريق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زمن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كان لكم في الطلاق أناة وإنّه من تعجل أناة الله في الطلاق ألزمناه إياه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طاوس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في الطلاق أناة فاستعجلتم أناتكم ، وقد أجزنا عليكم ما استعجلتم من ذلك</w:t>
      </w:r>
      <w:r>
        <w:rPr>
          <w:rFonts w:eastAsia="Amiri" w:cs="Amiri" w:ascii="Amiri" w:hAnsi="Amiri"/>
          <w:color w:val="111111"/>
          <w:sz w:val="28"/>
          <w:szCs w:val="28"/>
          <w:rtl w:val="true"/>
          <w:lang w:bidi="ar-SA"/>
        </w:rPr>
        <w:t xml:space="preserve">. </w:t>
      </w:r>
      <w:r>
        <w:rPr>
          <w:rStyle w:val="FootnoteAnchor"/>
          <w:rtl w:val="true"/>
        </w:rPr>
        <w:footnoteReference w:id="160"/>
      </w:r>
      <w:bookmarkStart w:id="120" w:name="pg10155_105265"/>
    </w:p>
    <w:p>
      <w:pPr>
        <w:pStyle w:val="BookText"/>
        <w:rPr/>
      </w:pPr>
      <w:bookmarkEnd w:id="12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كتب إلى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أجعل إذا طلّق الرجل امرأته ثلاثاً في مجلس أن أجعلها واحدة ، ولكنّ أقواماً جعلوا على أنفسهم ، فألزِمُ كلّ نفس ما ألزَمَ نفسه؟ من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حرام ، فهي حرام ؛ ومن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بائنة ، فهي بائنة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 فهي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هذه النصوص تدلّ على أنّ عمل الخليفة لم يكن من الاجتهاد فيما لا نصّ فيه ، ولا أخذاً بروح القانون الذي يعبّر عنه بتنقيح المناط وإسراء الحكم الشرعي إلى المواضع التي تشارك النصوص في المسألة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 فيسري حكمه إلى كلّ مسكر أخذاً بروح القانون ، وهو أنّ علّة التحريم هي الإسكار الموجود في المنصوص وغير المنصوص ، وانّما كان عمله من نوع ثالث وهو الاجتهاد تجاه النص ونبذ الدليل الشرعي ، والسير وراء رأيه وفكره وتشخيصه ، وقد ذكروا هنا تبريرات لحكم الخليفة نذكرها تباعاً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272731_1067777946"/>
      <w:bookmarkStart w:id="122" w:name="_Toc41"/>
      <w:bookmarkEnd w:id="121"/>
      <w:r>
        <w:rPr>
          <w:rtl w:val="true"/>
        </w:rPr>
        <w:t>تبريرات لحكم الخليفة</w:t>
      </w:r>
      <w:bookmarkEnd w:id="122"/>
    </w:p>
    <w:p>
      <w:pPr>
        <w:pStyle w:val="Heading4"/>
        <w:numPr>
          <w:ilvl w:val="3"/>
          <w:numId w:val="1"/>
        </w:numPr>
        <w:rPr/>
      </w:pPr>
      <w:bookmarkStart w:id="123" w:name="__RefHeading___Toc1272733_1067777946"/>
      <w:bookmarkStart w:id="124" w:name="_Toc42"/>
      <w:bookmarkEnd w:id="123"/>
      <w:r>
        <w:rPr>
          <w:rtl w:val="true"/>
        </w:rPr>
        <w:t>اشارة</w:t>
      </w:r>
      <w:bookmarkEnd w:id="12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الحكم الصادر عن الخليفة يخالف نصّ القرآن أو ظاهره ، حاول بعض المحقّقين تبرير عمل الخليفة ببعض الوجوه حتّى يبرّر حكمه ويصحّحه ويخرجه عن مجال الاجتهاد تجاه النص ، بل يكون صادراً عن دليل شرعي ، وإليك بيانه </w:t>
      </w:r>
      <w:r>
        <w:rPr>
          <w:rFonts w:eastAsia="Amiri" w:cs="Amiri" w:ascii="Amiri" w:hAnsi="Amiri"/>
          <w:color w:val="111111"/>
          <w:sz w:val="28"/>
          <w:szCs w:val="28"/>
          <w:rtl w:val="true"/>
          <w:lang w:bidi="ar-SA"/>
        </w:rPr>
        <w:t xml:space="preserve">: </w:t>
      </w:r>
      <w:bookmarkStart w:id="125" w:name="pg10155_105266"/>
    </w:p>
    <w:p>
      <w:pPr>
        <w:pStyle w:val="Heading4"/>
        <w:numPr>
          <w:ilvl w:val="3"/>
          <w:numId w:val="1"/>
        </w:numPr>
        <w:rPr/>
      </w:pPr>
      <w:bookmarkStart w:id="126" w:name="__RefHeading___Toc1272735_1067777946"/>
      <w:bookmarkStart w:id="127" w:name="_Toc43"/>
      <w:bookmarkEnd w:id="125"/>
      <w:bookmarkEnd w:id="126"/>
      <w:r>
        <w:rPr/>
        <w:t>1</w:t>
      </w:r>
      <w:r>
        <w:rPr>
          <w:rtl w:val="true"/>
        </w:rPr>
        <w:t xml:space="preserve">. </w:t>
      </w:r>
      <w:r>
        <w:rPr>
          <w:rtl w:val="true"/>
        </w:rPr>
        <w:t>نسخ الكتاب بالإجماع الكاشف عن النص</w:t>
      </w:r>
      <w:bookmarkEnd w:id="127"/>
    </w:p>
    <w:p>
      <w:pPr>
        <w:pStyle w:val="BookText"/>
        <w:rPr/>
      </w:pPr>
      <w:r>
        <w:rPr>
          <w:rFonts w:ascii="Amiri" w:hAnsi="Amiri" w:eastAsia="Amiri" w:cs="Amiri"/>
          <w:color w:val="111111"/>
          <w:sz w:val="28"/>
          <w:sz w:val="28"/>
          <w:szCs w:val="28"/>
          <w:rtl w:val="true"/>
          <w:lang w:bidi="ar-SA"/>
        </w:rPr>
        <w:t>إنّ الطلاق الوارد في الكتاب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هذا النسخ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ينسخ ، وكيف يكون النسخ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خاطب عمر الصحابة بذلك فلم يقع إنكار ، صار إجماعاً ، والنسخ بالإجماع جوّزه بعض مشايخنا ، بطريق أنّ الإجماع موجب علم اليقين كالنص فيجوز أن يثبت النسخ به ، والإجماع في كونه حجّة أقوى من الخبر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إجماع على النسخ من تلقاء أنفسهم فلا يجوز ذلك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ظهر لهم نص أوجب النسخ ولم ينقل إلينا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يوم أفتى بها الخليفة ، كانت ذات قولين بين نفس الصحابة ، فكيف انعقد الإجماع على 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الأقوال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نرى البعض الآخر ينفي انعقاد الإجماع البتة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الصحابة إلى السنة الثانية من خلافة عمر على أنّ الثلاث بلفظ واحد ، واحدة ، ولم ينقض هذا الإجماع بخلافه ، بل لا يزال في الأُمّة من يفتي به قرناً بعد قرن إلى يومنا هذا</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البيان يخالف ما برّر به الخليفة عمله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كانت لهم فيه أناة ، فلو أمضيناه عليهم فأمضاه عليهم ، ولو كان هناك نص عند الخليفة ، لكان التبرير به هو المتعيّن</w:t>
      </w:r>
      <w:r>
        <w:rPr>
          <w:rFonts w:eastAsia="Amiri" w:cs="Amiri" w:ascii="Amiri" w:hAnsi="Amiri"/>
          <w:color w:val="111111"/>
          <w:sz w:val="28"/>
          <w:szCs w:val="28"/>
          <w:rtl w:val="true"/>
          <w:lang w:bidi="ar-SA"/>
        </w:rPr>
        <w:t xml:space="preserve">. </w:t>
      </w:r>
      <w:bookmarkStart w:id="128" w:name="pg10155_105267"/>
    </w:p>
    <w:p>
      <w:pPr>
        <w:pStyle w:val="BookText"/>
        <w:rPr/>
      </w:pPr>
      <w:bookmarkEnd w:id="128"/>
      <w:r>
        <w:rPr>
          <w:rFonts w:ascii="Amiri" w:hAnsi="Amiri" w:eastAsia="Amiri" w:cs="Amiri"/>
          <w:color w:val="111111"/>
          <w:sz w:val="28"/>
          <w:sz w:val="28"/>
          <w:szCs w:val="28"/>
          <w:rtl w:val="true"/>
          <w:lang w:bidi="ar-SA"/>
        </w:rPr>
        <w:t xml:space="preserve">وفي الختام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ذكره صاحب العمدة ممّا ذكره الشيخ صالح بن محمد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عند الصحابة والتابعين لهم بإحسان إلى يوم الدين ، وعند سائر العلماء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الحاكم المجتهد إذا خالف نصّ كتاب الله تعالى أو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نقضه ومنع نفوذه ، ولا يُعارض نصّ الكتاب والسنّة بالاحتمالات العقليّة والخيالات النفسية ، والعصبيّة الشيطانية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المجتهد قد اطّلع على هذا النصّ وتركه لعلّة ظهرت له ، أو أنّه اطّلع على دليل آخر ، ونحو هذا ممّا لهج به فرق الفقهاء المتعصّبين وأطبق عليه جهلة المقلّدين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Heading4"/>
        <w:numPr>
          <w:ilvl w:val="3"/>
          <w:numId w:val="1"/>
        </w:numPr>
        <w:rPr/>
      </w:pPr>
      <w:bookmarkStart w:id="129" w:name="__RefHeading___Toc1272737_1067777946"/>
      <w:bookmarkStart w:id="130" w:name="_Toc44"/>
      <w:bookmarkEnd w:id="129"/>
      <w:r>
        <w:rPr/>
        <w:t>2</w:t>
      </w:r>
      <w:r>
        <w:rPr>
          <w:rtl w:val="true"/>
        </w:rPr>
        <w:t xml:space="preserve">. </w:t>
      </w:r>
      <w:r>
        <w:rPr>
          <w:rtl w:val="true"/>
        </w:rPr>
        <w:t>تعزيرهم على ما تعدّوا به حدود الله</w:t>
      </w:r>
      <w:bookmarkEnd w:id="130"/>
    </w:p>
    <w:p>
      <w:pPr>
        <w:pStyle w:val="BookText"/>
        <w:rPr/>
      </w:pPr>
      <w:r>
        <w:rPr>
          <w:rFonts w:ascii="Amiri" w:hAnsi="Amiri" w:eastAsia="Amiri" w:cs="Amiri"/>
          <w:color w:val="111111"/>
          <w:sz w:val="28"/>
          <w:sz w:val="28"/>
          <w:szCs w:val="28"/>
          <w:rtl w:val="true"/>
          <w:lang w:bidi="ar-SA"/>
        </w:rPr>
        <w:t xml:space="preserve">لم يكن الهدف من تنفيذ الطلاق ثلاثاً في مجلس ، إلاّ عقابهم من جنس عملهم ، وتعزيرهم على ما تعدّوا حدود الله ، فاستشار أُولي الرأي ، وأُولي الأمر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استعجلوا في أمر كانت لهم فيه أناة فلو أمضيناه عليهم؟ فلمّا وافقوه على ما اعتزم أمضاه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كانت لكم في الطلاق أناة وأنّه من تعجّل أناة الله ألزمناه إيّاه</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أجد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فحصت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مشاورة عمر أُولي الرأي والأمر ، غير ما كتبه إلى أبي موسى الأشعري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أجعل إذا طلّق الرجل امرأته ثلاثاً في مجلس أن أجعلها واحدة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وهو يُعرب عن عزمه وهمّه لا عن استشارته له ، ولو كان بصدد الاستشارة ، فالأجدر به أن يستشير الصحابة من المهاجرين </w:t>
      </w:r>
    </w:p>
    <w:p>
      <w:pPr>
        <w:pStyle w:val="BookText"/>
        <w:rPr/>
      </w:pPr>
      <w:r>
        <w:rPr>
          <w:rFonts w:ascii="Amiri" w:hAnsi="Amiri" w:eastAsia="Amiri" w:cs="Amiri"/>
          <w:color w:val="111111"/>
          <w:sz w:val="28"/>
          <w:sz w:val="28"/>
          <w:szCs w:val="28"/>
          <w:rtl w:val="true"/>
          <w:lang w:bidi="ar-SA"/>
        </w:rPr>
        <w:t>والأنصار القاطنين في المدينة وعلى رأسهم علي بن أبي طالب ، وقد كان يستشيره في مواقف خطيرة ويقتفي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استعجال الناس ، مبرّراً لمخالفة الكتاب والسنّة ، بل كان عليه ردع الناس عن عملهم السيّئ بقوّة ومنعة ، وكيف تصحّ مؤاخذتهم بموافقتهم في عمل أسماه رسول الله لعباً بكتاب الله؟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ثمّ إنّ أحمد محمد شاكر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الطلاق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أبدى شجاعة في هذه المسألة وأفتى ببطلان الطلاق الثلاث مطلقاً واستنبط حكم المسألة من الكتاب والسنة بوجه جدير بالاهتمام ، لكنّه برّر عمل الخليفة بوجه لا يخلو من التعسّف ، وقد صدر عمّا أجاب به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هذا الإلزام من عمر تغييراً للحكم الظاهر من القرآن ، والثابت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الطلاق لا يلحق الطلاق ، وانّ الطلقة الأُولى ليس للمطلق بعدها إلاّ الرجعة أو الفراق ، وكذلك الثانية بعد رجعة أو زواج ، وإنّما كان إلزاماً بحكم السياسة الشرعية في النظر إلى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جعل الله للحكام بعد استشارة أُولي الأمر ، وهم العلماء وزعماء الناس وعرفاؤهم ، فقد أراد عمر والصحابة أن يمنعوا الناس من الاسترسال في الطلاق ، ومن التعجل إلى بت الفراق ، فألزموا المطلق ثلاث مرات في عدّة واحدة ما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رغب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بانت منه بمرة ، فمنعوه من رجعتها بإرادته ومن تزويجها بعقد آخر حتّى تنكح زوجاً غيره ، ولذلك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تعجل أناة الله في الطلاق الزمناه إياه ، فجعله إلزاماً من الإمام ومن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يجعله حكماً بوقوع الطلاق الذي لم يقع ، لأنّ الأحكام </w:t>
      </w:r>
    </w:p>
    <w:p>
      <w:pPr>
        <w:pStyle w:val="BookText"/>
        <w:rPr/>
      </w:pPr>
      <w:r>
        <w:rPr>
          <w:rFonts w:ascii="Amiri" w:hAnsi="Amiri" w:eastAsia="Amiri" w:cs="Amiri"/>
          <w:color w:val="111111"/>
          <w:sz w:val="28"/>
          <w:sz w:val="28"/>
          <w:szCs w:val="28"/>
          <w:rtl w:val="true"/>
          <w:lang w:bidi="ar-SA"/>
        </w:rPr>
        <w:t>الثابتة بالكتاب والسنّة صريحاً لا يملك أحد تغييرها أو الخيار بينها وبين غيرها ، سواء أكان فرداً أم كان أُمّة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على </w:t>
      </w:r>
      <w:r>
        <w:rPr>
          <w:rStyle w:val="FootnoteAnchor"/>
          <w:rtl w:val="true"/>
        </w:rPr>
        <w:footnoteReference w:id="167"/>
      </w:r>
      <w:r>
        <w:rPr>
          <w:rFonts w:ascii="Amiri" w:hAnsi="Amiri" w:eastAsia="Amiri" w:cs="Amiri"/>
          <w:color w:val="111111"/>
          <w:sz w:val="28"/>
          <w:sz w:val="28"/>
          <w:szCs w:val="28"/>
          <w:rtl w:val="true"/>
          <w:lang w:bidi="ar-SA"/>
        </w:rPr>
        <w:t xml:space="preserve">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للحاكم الإسلامي اتّخاذ سياسة مناسبة من أجل دفع المجتمع إلى ما فيه صلاحه وزجره عمّا فيه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فالتعزيرات الشرعية معظمها من هذا الباب ويشترط فيها قبل كلّ شيء أن تكون أمراً حلالاً لا حراماً ، فلا يصحّ تعزير الناس بأمر لم يشرِّعه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فلا يمكن أن يعد إمضاء عمر للتطليقات الثلاث سياسة شرعية ، لأنّه من قبيل دفع الناس إلى ما نهاهم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وحذّرهم منه وعدّه لعباً بكتاب الله حيث قال غاضباً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أيلعب بكتاب الله وأنا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والتابعين ومن تلاهم تلقوه تشريعاً قام به الخليفة لا حكماً تأديبياً ، ولذلك أخذوا به عبر القرون إلى يومنا هذا ، وما خالفه إلاّ النادر من أهل السنّة ، كابن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إغاثة اللهفان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إمضاء هذا النوع من الطلاق من قبل الخليفة بأيّ داع كان ، قد جرّ الويل والويلات على الأُسر والعائلات ، فصار سبباً لانفصام عُقَد الزوجية في عوائل كثيرة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ضعف تبرير ابن قيم الجوزية عمل الخليفة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قد دلّ عليه الكتاب والسنّة والقياس والإجماع القديم ، ولم يأت بعده إجماع يبطله ، ولكن رأى أمير المؤمنين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قد استهانوا بأمر الطلاق وكثر منهم إيقاعه جملة واحدة ، فرأى من المصلحة </w:t>
      </w:r>
      <w:bookmarkStart w:id="131" w:name="pg10155_105270"/>
    </w:p>
    <w:p>
      <w:pPr>
        <w:pStyle w:val="BookText"/>
        <w:rPr/>
      </w:pPr>
      <w:bookmarkEnd w:id="131"/>
      <w:r>
        <w:rPr>
          <w:rFonts w:ascii="Amiri" w:hAnsi="Amiri" w:eastAsia="Amiri" w:cs="Amiri"/>
          <w:color w:val="111111"/>
          <w:sz w:val="28"/>
          <w:sz w:val="28"/>
          <w:szCs w:val="28"/>
          <w:rtl w:val="true"/>
          <w:lang w:bidi="ar-SA"/>
        </w:rPr>
        <w:t>عقوبتهم بإمضائه عليهم ليعلموا أنّ أحدهم إذا أوقعه جملة بانت منه المرأة ، وحرّمت عليه ، حتى تنكح زوجاً غيره نكاح رغبة ، يراد للدوام لا نكاح تحليل ، فإذا علموا ذلك كفّوا عن الطلاق المحرَّم ، فرأى عمر أنّ هذا مصلحة لهم في زمانه ، ورأى أنّ ما كانوا عليه في عهد النبيّ وعهد الصديق ، وصدراً من خلافته كان الأليق بهم ، لأنّهم لم يتابعوا فيه وكانوا يتّقون الله في الطلاق ، وقد جعل الله لكلّ من اتّقاه مخرجاً ، فلمّا تركوا تقوى الله وتلاعبوا بكتاب الله وطلّقوا على غير ما شرّعه الله ألزمهم بما التزموه عقوبة لهم فإنّ الله شرّع الطلاق مرّة بعد مرّة ، ولم يشرّعه كلّه مرّة واحدة</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وبما ذكرنا حول كلام أحمد محمد شاكر يعلم ضعفه فلا نعيد</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272739_1067777946"/>
      <w:bookmarkStart w:id="133" w:name="_Toc45"/>
      <w:bookmarkEnd w:id="132"/>
      <w:r>
        <w:rPr/>
        <w:t>3</w:t>
      </w:r>
      <w:r>
        <w:rPr>
          <w:rtl w:val="true"/>
        </w:rPr>
        <w:t xml:space="preserve">. </w:t>
      </w:r>
      <w:r>
        <w:rPr>
          <w:rtl w:val="true"/>
        </w:rPr>
        <w:t>تنفيذ الطلاق ثلاثاً للحد من الكذب</w:t>
      </w:r>
      <w:bookmarkEnd w:id="133"/>
    </w:p>
    <w:p>
      <w:pPr>
        <w:pStyle w:val="BookText"/>
        <w:rPr/>
      </w:pPr>
      <w:r>
        <w:rPr>
          <w:rFonts w:ascii="Amiri" w:hAnsi="Amiri" w:eastAsia="Amiri" w:cs="Amiri"/>
          <w:color w:val="111111"/>
          <w:sz w:val="28"/>
          <w:sz w:val="28"/>
          <w:szCs w:val="28"/>
          <w:rtl w:val="true"/>
          <w:lang w:bidi="ar-SA"/>
        </w:rPr>
        <w:t xml:space="preserve">وربما يقال في تبرير فعل الخليفة الثاني هو وجود الفرق بين عصر رسول الله وعصر الخليفة ، ففي عصر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في صلاح وفلاح ، وإذا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أنت طالق ، أنت طالق ، التكرير يؤخذ بقولهم ، بخلاف عصر الخليفة ، فقد فشا في عصره الفساد والكذب فكانوا يعتذرون بنفس ما كانت الصحابة يعتذرون به ، وبما انّ قسماً كثيراً منهم يكذبون في قولهم ، بالتأكيد لم يجد الخليفة بداً من الأخذ بظاهر كلامهم وهو الطلاق ثلاثاً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نقله الشوكاني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كانوا في عهد رسول الله وعهد أبي بكر على صدقهم وسلامتهم وقصدهم في الغالب الفضيلة والاختيار لم يظهر فيهم خب ولا خداع ، وكانوا يصدقون في إرادة التوكيد ، فلمّا رأى عمر في زمانه </w:t>
      </w:r>
    </w:p>
    <w:p>
      <w:pPr>
        <w:pStyle w:val="BookText"/>
        <w:rPr/>
      </w:pPr>
      <w:r>
        <w:rPr>
          <w:rFonts w:ascii="Amiri" w:hAnsi="Amiri" w:eastAsia="Amiri" w:cs="Amiri"/>
          <w:color w:val="111111"/>
          <w:sz w:val="28"/>
          <w:sz w:val="28"/>
          <w:szCs w:val="28"/>
          <w:rtl w:val="true"/>
          <w:lang w:bidi="ar-SA"/>
        </w:rPr>
        <w:t xml:space="preserve">أُموراً ظهرت وأحوالاً تغيرت وفشا إيقاع الثلاث جملة بلفظ لا يحتمل التأويل ألزمهم الثلاث في صورة التكرير ، إذ صار الغالب عليهم قصدها ، وقد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استعجلوا في أمر كانت لهم فيه أناة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الشوكاني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ارتضى هذا الجواب القرطبي ، وقال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أصحّ الأجوبة ، ولا يخفى انّ ما جاء بلفظ يحتمل التأكيد وادعى انّه نواه يُصدَّق في دعواه ولو في آخر الدهر فكيف بزمن خير القرون ومن يليهم؟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جاء بلفظ لا يحتمل التأكيد لم يصدق إذا ادّعى التأكيد من غير فرق بين عصر وعصر</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ما ذكره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دفع الفاسد بالأفسد ، وقد زاد في الطين بلّة ، حيث إنّ المجيب حاول أن يبرر عمل الخليفة ويبرّئه من الخطأ ولو على حساب كرامة قسم من الصحابة والتابعين ، حيث إنّ كثيراً منهم كان يرجع إلى الخليفة ، فكيف يرميهم بالكذب والخداع؟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نأتي بكلمة قيمة للشوكاني ، فانّه بعد ما ذكر أدلّة القائلين بوقوع الطلاق ثلاثاً ، وتأويل رواية ابن عباس ، وتبرير عمل الخليفة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تلك المماشاة لأجل مذاهب الأسلاف فهي أحقر وأقل من أن تُؤثَر على السنّة المطهرة ، وإن كانت لأجل عمر بن الخطاب فأين يقع المسكين من رسول الله ، فأيّ مسلم من المسلمين يستحسن عقله وعلمه ترجيح قول صحابي على قول المصطفى؟</w:t>
      </w:r>
      <w:r>
        <w:rPr>
          <w:rFonts w:eastAsia="Amiri" w:cs="Amiri" w:ascii="Amiri" w:hAnsi="Amiri"/>
          <w:color w:val="111111"/>
          <w:sz w:val="28"/>
          <w:szCs w:val="28"/>
          <w:rtl w:val="true"/>
          <w:lang w:bidi="ar-SA"/>
        </w:rPr>
        <w:t xml:space="preserve">! </w:t>
      </w:r>
      <w:r>
        <w:rPr>
          <w:rStyle w:val="FootnoteAnchor"/>
          <w:rtl w:val="true"/>
        </w:rPr>
        <w:footnoteReference w:id="170"/>
      </w:r>
      <w:bookmarkStart w:id="134" w:name="pg10155_105272"/>
    </w:p>
    <w:p>
      <w:pPr>
        <w:pStyle w:val="BookText"/>
        <w:rPr/>
      </w:pPr>
      <w:bookmarkEnd w:id="134"/>
      <w:r>
        <w:rPr>
          <w:rFonts w:ascii="Amiri" w:hAnsi="Amiri" w:eastAsia="Amiri" w:cs="Amiri"/>
          <w:color w:val="111111"/>
          <w:sz w:val="28"/>
          <w:sz w:val="28"/>
          <w:szCs w:val="28"/>
          <w:rtl w:val="true"/>
          <w:lang w:bidi="ar-SA"/>
        </w:rPr>
        <w:t>نعم بعض علماء أهل السنّة في هذه العصور فنّد هذا النوع من الطلاق ، ولأجل ذلك تغيّر قانون محاكم مصر الشرعية وخالف مذهب الحنفية بعد استقلالها وتحرّرها عن سلطنة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عدداً من مفتي أهل السنّة عمِد إلى تفنيد هذا النوع من الطلاق ، في هذا الإطار يقول مؤلّف المنار بعد البحث الضافي حول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مجادلة المقلّدين أو إرجاع القضاة والمفتين عن مذاهبهم ، فإنّ أكثرهم يطّلع على هذه النصوص في كتب الحديث وغيرها ولا يبالي بها ، لأنّ العمل عندهم على أقوال كتبهم دون كتاب الله وسنّة رسوله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Heading4"/>
        <w:numPr>
          <w:ilvl w:val="3"/>
          <w:numId w:val="1"/>
        </w:numPr>
        <w:rPr/>
      </w:pPr>
      <w:bookmarkStart w:id="135" w:name="__RefHeading___Toc1272741_1067777946"/>
      <w:bookmarkStart w:id="136" w:name="_Toc46"/>
      <w:bookmarkEnd w:id="135"/>
      <w:r>
        <w:rPr/>
        <w:t>4</w:t>
      </w:r>
      <w:r>
        <w:rPr>
          <w:rtl w:val="true"/>
        </w:rPr>
        <w:t xml:space="preserve">. </w:t>
      </w:r>
      <w:r>
        <w:rPr>
          <w:rtl w:val="true"/>
        </w:rPr>
        <w:t>تغيّر الأحكام بالمصالح</w:t>
      </w:r>
      <w:bookmarkEnd w:id="136"/>
    </w:p>
    <w:p>
      <w:pPr>
        <w:pStyle w:val="BookText"/>
        <w:rPr/>
      </w:pPr>
      <w:r>
        <w:rPr>
          <w:rFonts w:ascii="Amiri" w:hAnsi="Amiri" w:eastAsia="Amiri" w:cs="Amiri"/>
          <w:color w:val="111111"/>
          <w:sz w:val="28"/>
          <w:sz w:val="28"/>
          <w:szCs w:val="28"/>
          <w:rtl w:val="true"/>
          <w:lang w:bidi="ar-SA"/>
        </w:rPr>
        <w:t xml:space="preserve">ولابن قيم الجوزية كلام مسهب في تحليل إمضاء عمر الطلاق ثلاثاً ، وهو يعتمد على تغيّر الأحكام بالمصالح ، ويخلط الصحيح بالسقيم ، وإليك ملخّص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لا يتغيّر عن حالة واحدة هو عليها ، لا بحسب الأزمنة ولا الأمكنة ولا اجتهاد الأئمّة ، كوجوب الواجبات وتحريم المحرّمات والحدود المقدرة بالشرع على الجرائم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يتغيّر بحسب اقتضاء المصلحة له زماناً ومكاناً وحالاً ، كمقادير التعزيرات وأجناسها وصفاتها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بأمثلة كثيرة في باب التعزيرات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أنّه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الناس قد </w:t>
      </w:r>
    </w:p>
    <w:p>
      <w:pPr>
        <w:pStyle w:val="BookText"/>
        <w:rPr/>
      </w:pPr>
      <w:r>
        <w:rPr>
          <w:rFonts w:ascii="Amiri" w:hAnsi="Amiri" w:eastAsia="Amiri" w:cs="Amiri"/>
          <w:color w:val="111111"/>
          <w:sz w:val="28"/>
          <w:sz w:val="28"/>
          <w:szCs w:val="28"/>
          <w:rtl w:val="true"/>
          <w:lang w:bidi="ar-SA"/>
        </w:rPr>
        <w:t xml:space="preserve">أكثروا في الطلاق ، رأى أنّهم لا ينتهون عنه إلاّ بعقوبة ، فرأى إلزامهم بها عقوبة لهم ليكفّوا عنها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التعزير العارض الذي يفعل عند الحاجة كما كان يضرب في الخمر ثمانين ويحلق فيها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ظنّاً أنّ جعل الثلاث واحدة كان مشروعاً بشرط وقد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لقيام مانع قام في زمنه منع من جعل الثلاث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رأى أمير المؤمنين أنّ الله سبحانه عاقب المطلِّق ثلاثاً ، بأن حال بينه وبين زوجه وحرّمها عليه حتى تنكح زوجاً غيره ، علم أنّ ذلك لكراهة الطلاق المحرّم ، وبغضه له ، فوافقه أمير المؤمنين في عقوبته لمن طلّق ثلاثاً بأن ألزمه بها وأمضاها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أسهل من ذلك أن يمنع الناس من إيقاع الثلاث ، ويحرمه عليهم ويعاقب بالضرب والتأديب من فعله لئلاّ يقع المحذور الذي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لعمر الله كان يمكنه ذلك ، ولذا ندم في آخر أيامه وودَّ أنّه كان فعله ، قال الحافظ أبو بكر الإسماعيلي في مسند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 حدثنا صالح بن مالك ، حدثنا خالد بن يزيد بن أبي مالك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ندمت على شيء مثل ندامتي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أكون حرّمت الطلاق ، وعلى أن لا أكون أنكحت الموالي ، وعلى أن لا أكون قتلت النوائح</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مراده من الطلاق الذي حرّمه ، الطلاق الرجعيّ الذي أباحه الله تعالى وعلم من دين رسول الله جوازه ، ولا الطلاق المحرّم الذي أجمع المسلمون على تحريمه كالطلاق في الحيض والطهر المجامع فيه ، ولا الطلاق قبل الدخول ، فتبيّن قطعاً أنّه أراد تحريم الطلاق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ورأى عمر أنّ المفسدة تندفع </w:t>
      </w:r>
      <w:bookmarkStart w:id="137" w:name="pg10155_105274"/>
    </w:p>
    <w:p>
      <w:pPr>
        <w:pStyle w:val="BookText"/>
        <w:rPr/>
      </w:pPr>
      <w:bookmarkEnd w:id="137"/>
      <w:r>
        <w:rPr>
          <w:rFonts w:ascii="Amiri" w:hAnsi="Amiri" w:eastAsia="Amiri" w:cs="Amiri"/>
          <w:color w:val="111111"/>
          <w:sz w:val="28"/>
          <w:sz w:val="28"/>
          <w:szCs w:val="28"/>
          <w:rtl w:val="true"/>
          <w:lang w:bidi="ar-SA"/>
        </w:rPr>
        <w:t xml:space="preserve">بإلزامهم به فلمّا تبيّن أنّ المفسدة لم تندفع بذلك وما زاد الأمر إلاّ شدّة ، أخبر أنّ الأولى كان عدوله إلى تحريم الثلاث الذي يدفع المفسدة من أصلها ، واندفاع هذه المفسدة بما كان عليه الأمر في زمن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وأوّل خلافة عمر</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تقسيم الأحكام إلى نوعين ،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أين علم أنّ حكم الطلاق الثلاث من النوع الثاني ، فأيّ فرق بين حكم الواجبات والمحرّمات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يتغيّر حكم وصفَ رسول الله خلافه لعباً بالدين؟</w:t>
      </w:r>
    </w:p>
    <w:p>
      <w:pPr>
        <w:pStyle w:val="BookText"/>
        <w:rPr/>
      </w:pPr>
      <w:r>
        <w:rPr>
          <w:rFonts w:ascii="Amiri" w:hAnsi="Amiri" w:eastAsia="Amiri" w:cs="Amiri"/>
          <w:color w:val="111111"/>
          <w:sz w:val="28"/>
          <w:sz w:val="28"/>
          <w:szCs w:val="28"/>
          <w:rtl w:val="true"/>
          <w:lang w:bidi="ar-SA"/>
        </w:rPr>
        <w:t xml:space="preserve">وأمّا ما ذكره من الاحتمالات الثلاثة ، فالاحتمال الأوّل هو المتعيّن وهو الموافق لكلام الخليفة نفسه ، وأمّا الاحتمالان 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الثلاث واحدة كان مشروعاً بشرط وقد زال ، أو قام مانع عن إمضائه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يعتمد عليهما ، ويبدو أن الدافع إلى تصوّر هذين الاحتمالين هو الخضوع للعاطفة وتبرير عمل الخليفة بأي نحو كان</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272743_1067777946"/>
      <w:bookmarkStart w:id="139" w:name="_Toc47"/>
      <w:bookmarkEnd w:id="138"/>
      <w:r>
        <w:rPr/>
        <w:t>5</w:t>
      </w:r>
      <w:r>
        <w:rPr>
          <w:rtl w:val="true"/>
        </w:rPr>
        <w:t xml:space="preserve">. </w:t>
      </w:r>
      <w:r>
        <w:rPr>
          <w:rtl w:val="true"/>
        </w:rPr>
        <w:t>تغيّر الأحكام حسب مقتضيات الزمان</w:t>
      </w:r>
      <w:bookmarkEnd w:id="13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الأحكام التي تتغيّر بتغيّر الزمان وتبدّل الظروف ، عبارة عن الأحكام التي حُدّد جوهرها برعاية المصالح ، وتركت خصوصياتها وأشكالها إلى رأي الحاكم الإسلامي ، فهذا النوع من الأحكام يتعرّض للتغيّر دون ما قام الشارع بتحديد جوهره وشكله وكيفيته ، ولم يترك للحاكم الإسلامي أيّ تدخّل فيه ، والأحكام </w:t>
      </w:r>
    </w:p>
    <w:p>
      <w:pPr>
        <w:pStyle w:val="BookText"/>
        <w:rPr/>
      </w:pPr>
      <w:r>
        <w:rPr>
          <w:rFonts w:ascii="Amiri" w:hAnsi="Amiri" w:eastAsia="Amiri" w:cs="Amiri"/>
          <w:color w:val="111111"/>
          <w:sz w:val="28"/>
          <w:sz w:val="28"/>
          <w:szCs w:val="28"/>
          <w:rtl w:val="true"/>
          <w:lang w:bidi="ar-SA"/>
        </w:rPr>
        <w:t>الواردة في الأحوال الشخصية من هذا القبيل ، فليس للحاكم التدخل في أحكام النسب والمصاهرة والرضاع والعدد ، فليس له أن يحرّم ما أحلّ الله عقوبة للخاطئ وبالعكس ، وإنّما هي أحكام ثابتة لا تخضع لرأي حاكم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يجوز للحاكم التدخل فيه فهو عبارة عن الأحكام التي تركت خصوصياتها وأشكالها إلى الحاكم ، ليصون مصالح الإسلام والمسلمين ، بما تقتضيه الظروف السائدة ، وإليك نزراً يسيراً منها ، لئلاّ يخلط أحدهما بالآخر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مجال العلاقات الدولية الدبلوماسية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الدولة الإسلامية أن تراعي مصالح الإسلام والمسلمين ، فهذا أصل ثابت وقاعدة عامة ، وأمّا كيفية تلك الرعاية ، فتختلف باختلاف الظروف الزمانية والمكانية ، فتارة تقتضي المصلحة ، السلام والمهادنة والصلح مع العدو ، وأُخرى تقتضي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تختلف المقررات والأحكام الخاصّة في هذا المجال ، باختلاف الظروف ، ولكنّها لا تخرج عن نطاق القانون العام الذي هو رعاية مصالح المسلمين ، كقوله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 عَنِ الَّذِينَ قاتَلُوكُمْ فِي الدِّينِ وَأَخْرَجُوكُمْ مِنْ دِيارِكُمْ وَظاهَرُوا عَلى إِخْراجِكُمْ أَنْ تَوَلَّوْهُمْ وَمَنْ يَتَوَلَّهُمْ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العلاقات الدولية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تقتضي المصلحة عقد اتّفاقيات</w:t>
      </w:r>
    </w:p>
    <w:p>
      <w:pPr>
        <w:pStyle w:val="BookText"/>
        <w:rPr/>
      </w:pPr>
      <w:r>
        <w:rPr>
          <w:rFonts w:ascii="Amiri" w:hAnsi="Amiri" w:eastAsia="Amiri" w:cs="Amiri"/>
          <w:color w:val="111111"/>
          <w:sz w:val="28"/>
          <w:sz w:val="28"/>
          <w:szCs w:val="28"/>
          <w:rtl w:val="true"/>
          <w:lang w:bidi="ar-SA"/>
        </w:rPr>
        <w:t>اقتصادية وإنشاء شركات تجارية أو مؤسّسات صناعية ، مشتركة بين المسلمين وغيرهم ، وقد تقتضي المصلحة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حكم الإمام المغفور له ، الفقيه المجدّد السيد الشيرازي بتحريم التدخين ليمنع من تنفيذ الاتّفاقية الاقتصادية التي عقدت في زمانه بين إيران وانجلترا ، إذ كانت مجحفة بحقوق الأُمّة المسلمة الإيرانية ، لأنّها خوّلت لانجلترا حقّ احتكار التنباك الإيراني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الدفاع عن بيضة الإسلام وحفظ استقلال البلاد وصيانة حدودها من الأعداء ، قانون ثابت لا يتغيّر ، فالمقصد الأسنى لمشرّع الإسلام ، إنّما هو صيانة السيادة من خطر الأعداء وأضرارهم ، ولأجل ذلك أوجب تحصيل قوة ضاربة ، وإعداد جيش عارم جرّار ، ضدّ الأعداء كما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فهذا هو الأصل الثابت في الإسلام الذي يؤيده العقل والفطرة ، أمّا كيفيّة الدفاع وتكتيكه ونوع السلاح ، أو لزوم الخدمة العسكرية وعدمه ، فكلّها موكولة إلى مقتضيات الزمان ، تتغيّر بتغيّره ، ولكن في إطار القوانين العامة ، فليس هناك في الإسلام أصل ثابت ، حتى مسألة لزوم التجنيد الإجباري ، الذي أصبح من الأُمور الأصلية في غالب البلاد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نرى في الكتب الفقهية من تبويب باب أو وضع كتاب خاص ، لأحكام السبق والرماية ، وغيرها من أنواع الفروسية التي كانت متعارفة في الأزمنة الغابرة ، ونقل أحاديث في ذلك الباب عن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الإسلام فليست أحكامها أصلية ثابتة في الإسلام ، دعا إليها الشارع بصورة أساسية ثابتة ، بل كانت نوعاً من أنواع التطبيق لذلك الحكم ، الغرض منه تحصيل القوّة الكافية تجاه العدو في تلك العصور ، وأمّا الأحكام التي ينبغي أن تطبّق في العصر الحاضر ، فإنّها </w:t>
      </w:r>
    </w:p>
    <w:p>
      <w:pPr>
        <w:pStyle w:val="BookText"/>
        <w:rPr/>
      </w:pPr>
      <w:r>
        <w:rPr>
          <w:rFonts w:ascii="Amiri" w:hAnsi="Amiri" w:eastAsia="Amiri" w:cs="Amiri"/>
          <w:color w:val="111111"/>
          <w:sz w:val="28"/>
          <w:sz w:val="28"/>
          <w:szCs w:val="28"/>
          <w:rtl w:val="true"/>
          <w:lang w:bidi="ar-SA"/>
        </w:rPr>
        <w:t>تخضع تفرضها لمقتضيات العصر نفسه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عبارة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شرعية هذا العقد ، بل أمر به النبي في عدّة مواطن لما فيه من الفائدة المذكورة وهي من أهم الفوائد الدينية لما يحصل بها من غلبة العدو في الجهاد لأعداء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أعظم أركان الإسلام ولهذه الفائدة يخرج عن اللهو واللعب المنهى عن المعاملة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الغاية من تشريعها الاستعداد للقتال والتدرّب للجهاد ، فلا يفرق عندئذ بين الدارج في زمن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أخذاً بالملاك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الحاكم الإسلامي تقوية جيشه وقواته المسلحة بالطرق التي يقدر معها على صيانة الإسلام ومعتنقيه عن الخطر ، ويصدّ كلّ مؤامرة عليه من جانب الأعداء حسب إمكانيات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والمقنّن الذي يتوخّى ثبات قانونه ودوامه وسيادة نظامه الذي جاء به ، لا يجب عليه التعرّض إلى تفاصيل الأُمور وجزئياتها ، بل الذي يجب عليه هو وضع الكليات والأُصول ليساير قانونه جميع الأزمنة بأشكالها وصورها المختلفة ، ولو سلك غير هذا السبيل لصار حظّه من البقاء قليلاً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العلم والثقافة واستكمال المعارف التي تضمن سيادة المجتمع مادياً ومعنوياً يعتبر من الفرائض الإسلامية ، أمّا تحقيق ذلك وتعيين نوعه ونوع وسائله فلا يتحدّد بحدّ خاص ، بل يوكل إلى نظر الحاكم الإسلامي ، واللّجان المقررة لذلك من جانبه حسب الإمكانيات الراهنة في ضوء القوانين الثابتة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ألزم الإسلام ، رعاة المسلمين ، وولاة الأمر نشر العلم بين أبناء الإنسان واجتثاث مادة الجهل من بينهم ومكافحة أيّ لون من الأُميّة ، وأمّا نوع العلم وخصوصياته ، فكل ذلك موكول إلى نظر الحاكم الإسلامي وهو أعلم </w:t>
      </w:r>
    </w:p>
    <w:p>
      <w:pPr>
        <w:pStyle w:val="BookText"/>
        <w:rPr/>
      </w:pPr>
      <w:r>
        <w:rPr>
          <w:rFonts w:ascii="IRNazanin" w:hAnsi="IRNazanin" w:eastAsia="IRNazanin"/>
          <w:color w:val="111111"/>
          <w:sz w:val="28"/>
          <w:sz w:val="28"/>
          <w:szCs w:val="28"/>
          <w:rtl w:val="true"/>
          <w:lang w:bidi="fa-IR"/>
        </w:rPr>
        <w:t>بحوائج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 علم ، لم يكن لازماً ، لعدم الحاجة إليه ، في العصور السابقة ، ولكنّه أصبح اليوم في طليعة العلوم اللازمة ، التي فيها صلاح المجتمع ، كالاقتصاد والسياسة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النظام وتأمين السبل والطرق ، وتنظيم الأُمور الداخلية ورفع المستوى الاقتصادي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الضروريات ، فيتبع فيه وأمثاله ، مقتضيات الظروف وليس فيه للإسلام حكم خاص يتبع ، بل الذي يتوخّاه الإسلام ، هو الوصول إلى هذه الغايات ، وتحقيقها بالوسائل الممكنة ، دون تحديد وتعيين لنوع هذه الوسائل وإنّما ذلك متروك إلى إمكانيات الزمان الذي يعيش فيه البشر ، وكلّها في ضوء القوانين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جاء الإسلام بأصل ثابت في مجال الأموال ، وهو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فرع الفقهاء على هذا الأصل شرطاً في صحّة عقد البيع أو المعاملة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المعاملة وجود فائدة مشروعة وإلاّ فلا تصح المعاملة ، ومن هنا حرّموا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وشراءه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تحريم بيع الدم وشرائه ليس حكماً ثابتاً في الإسلام ، بل التحريم كان في الزمان السابق صورة إجرائية لما أفادته الآية من حرمة أكل المال بالباطل ، وكان بيع الدم في ذلك الزمان مصداقاً له ، فالحكم يدور مدار وجود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المعاملة عن كونها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تحقّق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المعاملة عن كونها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ترتّبت فائدة معقولة على بيع الدم أو شرائه فسوف يتبدّل حكم الحرمة إلى الحلّية ، والحكم الثابت هنا 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bookmarkStart w:id="140" w:name="pg10155_105279"/>
    </w:p>
    <w:p>
      <w:pPr>
        <w:pStyle w:val="BookText"/>
        <w:rPr/>
      </w:pPr>
      <w:bookmarkEnd w:id="140"/>
      <w:r>
        <w:rPr>
          <w:rFonts w:ascii="Amiri" w:hAnsi="Amiri" w:eastAsia="Amiri" w:cs="Amiri"/>
          <w:color w:val="111111"/>
          <w:sz w:val="28"/>
          <w:sz w:val="28"/>
          <w:szCs w:val="28"/>
          <w:rtl w:val="true"/>
          <w:lang w:bidi="ar-SA"/>
        </w:rPr>
        <w:t xml:space="preserve">وفي هذا المضمار ورد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غيّروا الشيب ولا تشبّهوا باليهود؟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والدين قُلٌّ ، فأمّا الآن فقد اتّسع نطاقه وضرب بجرانه فامْرؤٌ وما اختار</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هذا ولمّا كان الحكم بصحة الطلاق ثلاثاً ، مثيراً للفساد ، عبر التاريخ ، قام ابن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تبريره عمل الخليفة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ما ترتّب عليه من شماتة أعداء الدين به ، وها نحن ننقل نصّ كلامه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272745_1067777946"/>
      <w:bookmarkStart w:id="142" w:name="_Toc48"/>
      <w:bookmarkEnd w:id="141"/>
      <w:r>
        <w:rPr>
          <w:rtl w:val="true"/>
        </w:rPr>
        <w:t>جزاء الانحراف عن الطريق المهيع</w:t>
      </w:r>
      <w:bookmarkEnd w:id="142"/>
    </w:p>
    <w:p>
      <w:pPr>
        <w:pStyle w:val="BookText"/>
        <w:rPr/>
      </w:pPr>
      <w:r>
        <w:rPr>
          <w:rFonts w:ascii="Amiri" w:hAnsi="Amiri" w:eastAsia="Amiri" w:cs="Amiri"/>
          <w:color w:val="111111"/>
          <w:sz w:val="28"/>
          <w:sz w:val="28"/>
          <w:szCs w:val="28"/>
          <w:rtl w:val="true"/>
          <w:lang w:bidi="ar-SA"/>
        </w:rPr>
        <w:t xml:space="preserve">إنّ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المدافعين المتحمّسين عن فتيا الخليفة ، وقد برّر حكمه بأنّ المصلحة يوم ذاك كانت تقتضي الأخذ بما التزم به المطلّق على نفسه ، وقد عرفت ضآلة دفاعه ووهن كلامه ، ولكنّه ذكر في آخر كلامه بأنّ المصلحة في زماننا هذا على عكس ما كان عليه زمن الخليفة ، وأنّ تصحيح التطليق الثلاث ، جرّ الويلات على المسلمين في أجوائنا وبيئاتنا ، وصار سبباً لاستهزاء الأعداء ، بالدين وأهله ، وأنّه يجب في زماننا هذا الأخذ بمُرّ الكتاب والسنّة ، وهو أنّه لا يقع منه إلاّ واحد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غفل عمّا هو الحق في المقام وأنّ المصلحة في جميع الأزمنة كانت على وتيرة واحدة ، وأنّ ما حدّه سبحانه من الحدود ، هو المطابق لمصالح العباد ومصائرهم ، وأنّ الشناعة والاستهزاء اللَّتين يذكرهما ابن قيم الجوزية إنّما نجمتا من الانحراف عن الطريق المهيَع والاجتهاد تجاه النص بلا ضرورة مفضية إلى العدول ومن دون أن يكون هناك حرج أو كلفة ، ولأجل ذلك نأتي بكلامه حتى يكون عبرة </w:t>
      </w:r>
    </w:p>
    <w:p>
      <w:pPr>
        <w:pStyle w:val="BookText"/>
        <w:rPr/>
      </w:pPr>
      <w:r>
        <w:rPr>
          <w:rFonts w:ascii="Amiri" w:hAnsi="Amiri" w:eastAsia="Amiri" w:cs="Amiri"/>
          <w:color w:val="111111"/>
          <w:sz w:val="28"/>
          <w:sz w:val="28"/>
          <w:szCs w:val="28"/>
          <w:rtl w:val="true"/>
          <w:lang w:bidi="ar-SA"/>
        </w:rPr>
        <w:t xml:space="preserve">لمن يريد في زماننا هذا أن يتلاعب بالأحكام الشرعية بهذه المصالح المزعومة ، وإليك نصّ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ممّا تغيّرت الفتوى بها بحسب الأزمنة وأمّا في هذه الأزمان التي قد شكت الفروج فيها إلى ربّها من مفسدة التحليل ، وقبح ما يرتكبه المحلّلون ممّا هو رمد بل عمى في عين الدين ، وشجىً في حلوق المؤمنين ، من قبائح تشمّت أعداء الدين بها ، وتمنع كثيراً ممّن يريد الدخول فيه بسببه ، بحيث لا يحيط بتفاصيلها خطاب ، ولا يحصرها كتاب ، يراها المؤمنون كلّهم من أقبح القبائح ويعدّونها من أعظم الفضائح ، قد قلبت من الدين رسمه ، وغيّرت منه اسمه ، وضمخ التيس المستعار فيها المطلّقةَ بنجاسة التحليل ، وقد زعم أنّه قد طيّبها للحليل ، فيا لله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طيب أعارها هذا التيس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مصلحة حصلت لها ولمطلِّقها بهذا الفعل 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وقوف الزوج المطلِّق أو الولي على الباب ، والتيس الملعون قد حلّ أزرارها وكشف النقاب ، وأخذ في ذلك المرتع ، والزوج أو الولي يناديه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إليك هذا الطعام لتشبع ، فقد علمت أنت والزوجة ونحن والشهود والحاضرون والملائكة الكاتبون ، وربّ العالمين ، أنّك لست معدوداً من الأزواج ، ولا للمرأة أو أوليائها بك رضاً ولا فرح ولا ابتهاج ، وإنّما أنت بمنزلة التيس المستعار للضراب ، الذي لو لا هذه البلوى لما رضينا وقوفك على الباب ، فالناس يُظهرون النكاح ويُعلنونه فرحاً وسروراً ، ونحن نتواصى بكتمان هذا الداء العضال ، ونجعله أمراً مستوراً بلا نثار ولا دف ، ولا خوان ولا اعلان ، بل التواصي بهس ومس والاخفاء والكتمان ، فالمرأة تنكح لدينها وحسبها ومالها وجمالها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والتيس المستعار لا يسأل عن شيء من ذلك ، فانّه لا يُمسك بعصمتها ، بل </w:t>
      </w:r>
    </w:p>
    <w:p>
      <w:pPr>
        <w:pStyle w:val="BookText"/>
        <w:rPr/>
      </w:pPr>
      <w:r>
        <w:rPr>
          <w:rFonts w:ascii="Amiri" w:hAnsi="Amiri" w:eastAsia="Amiri" w:cs="Amiri"/>
          <w:color w:val="111111"/>
          <w:sz w:val="28"/>
          <w:sz w:val="28"/>
          <w:szCs w:val="28"/>
          <w:rtl w:val="true"/>
          <w:lang w:bidi="ar-SA"/>
        </w:rPr>
        <w:t>قد دخل على زوالها ، والله تعالى قد جعل كل واحد من الزوجين سكناً لصاحبه ، وجعل بينهما مودة ورحمة ليحصل بذلك مقصود هذا العقد العظيم ، وتتم بذلك المصلحة التي شرّعه لأجلها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 التيس المستعار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من ذلك نصيب ، أو هو من حكمة هذا العقد ومقصوده ومصلحته أجنبي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اتّخذ هذه المصابة حليلة وفراشاً يأوى إليه؟ هل رضيت به قط زوجاً وبعلاً تعول في نوائبها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أُولي التمييز والعقول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تزوّجت فلانة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يعد هذا نكاحاً في شرع أو عقل أو فطرة إنسان؟ وكيف يلعن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أُمّته نكح نكاحاً شرعياً صحيحاً ، ولم يرتكب في عقده محرماً ولا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يشبهه بالتيس المستعار ، وهو من جملة المحسنين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تعيّر به المرأة طول دهرها بين أهلها والجيران ، وتظل ناكسة رأسها إذا ذكر ذلك التيس بين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التيس المستعار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نفسه وقت هذا العقد الذي هو شقيق النفاق ، بنفقة أو كسوة أو وزن 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طمعت المصابة منه في شيء من ذلك ، أو حدّثت نفسها به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طلب منها ولداً نجيباً واتّخذته عشيراً وحبيباً؟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 عقول العالمين وفطرهم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خير هذه الأُمّة أكثرهم تحليلاً ، وكان المحلّل الذي لعنه الله ورسوله أهداهم سبيلاً؟ وسل التيس المستعار ومن ابتليت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تجمّل أحد منهما لصاحبه كما يتجمّل الرجال بالنساء والنساء بالرجال ، أو كان لأحدهما رغبة في صاحبه بحسب أو مال أو جمال؟ وسل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تكره أن يتزوّج عليها هذا التيس المستعار أو يتسرّى ، أو تكره أن تكون تحته امرأة غيرها أُخرى ، أو تسأله عن ماله وصنعته أو حسن عشيرته وسعة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التيس المستعار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سأل قط عمّا يسأله عنه مَن قصد حقيقة النكاح ، أو يتوسل إلى بيت أحمائه </w:t>
      </w:r>
    </w:p>
    <w:p>
      <w:pPr>
        <w:pStyle w:val="BookText"/>
        <w:rPr/>
      </w:pPr>
      <w:r>
        <w:rPr>
          <w:rFonts w:ascii="Amiri" w:hAnsi="Amiri" w:eastAsia="Amiri" w:cs="Amiri"/>
          <w:color w:val="111111"/>
          <w:sz w:val="28"/>
          <w:sz w:val="28"/>
          <w:szCs w:val="28"/>
          <w:rtl w:val="true"/>
          <w:lang w:bidi="ar-SA"/>
        </w:rPr>
        <w:t xml:space="preserve">بالهدية والحمولة ، والنقد الذي يتوسّل به خاطب الملاح؟ وسله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قوله عند قراءة أبي جاد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نفقة هذا العرس أو حطي؟ وسله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تحمّل من كلفة هذا العقد خذي نفقة هذا العرس أو حطي؟</w:t>
      </w:r>
    </w:p>
    <w:p>
      <w:pPr>
        <w:pStyle w:val="BookText"/>
        <w:rPr/>
      </w:pPr>
      <w:r>
        <w:rPr>
          <w:rFonts w:ascii="Amiri" w:hAnsi="Amiri" w:eastAsia="Amiri" w:cs="Amiri"/>
          <w:color w:val="111111"/>
          <w:sz w:val="28"/>
          <w:sz w:val="28"/>
          <w:szCs w:val="28"/>
          <w:rtl w:val="true"/>
          <w:lang w:bidi="ar-SA"/>
        </w:rPr>
        <w:t xml:space="preserve">وسله عن وليمة عرسه ، هل أولم ولو بشاة؟ وهل دعا إليها أحداً من أصحابه فقضى حقّه وأتاه؟ وسله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تحمّل من كلفة هذا العقد ما يتحمّله المتزوّجون ، أم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جرت به عادة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والمهنئون؟ وهل قيل له بارك الله لكما وعليكما وجمع بينكما في خير وعافية ، أم لعن الله المحلِّل والمحلَّل له لعنة تامة وافية؟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الإسلام رهن تصحيح الطلاق ثلاثاً ، وأنّ الطلاق الواحد حقيقة يعد ثلاثاً ، وأمّا ما شرّعه الذكر الحكيم من توقّف صحّة النكاح بعد التطليقات الثلاث على المحلّل فهو من أفضل قوانينه المشرقة ، وأرسخها وأتقنها فلا يدخل العار من جانبه على الإسلام أبداً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 الزوج عن الطلاق الثالث لما يعلم أنّ النكاح بعده يتوقّف على التحليل الذي لا يتحمّله أكثر الرجال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يقوم به إلاّ إذا يئس من التزويج المجدّد ، لأنّ التجارب المتكرّرة ، أثبتت أنّ الزوجين ليسا على شاكلة واحدة من جانب الأخلاق والروحيات فلا يُقدِم على الطلاق إلاّ إذا كان آيساً من الزواج المجدّد وقلّما يتّفق تجدد الجنوح إلى بناء البيت بالزوجة التي طلّقها ثلاثاً لو لم نقل إنّه يندر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 ذاك تقل الحاجة إلى المحلّل جداً ، وهذا بخلاف تصحيح الطلاق الواحد ، ثلاثاً ، فكثيراً ما يندم الزوج من الطلاق ويريد إعادة بناء البيت الذي هدمه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 الفرض يتوقّف على المحلّل الذي يلصق العار بهما ويترتّب عليه ما ذكره ابن قيم الجوزية في كلامه المسهب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كلامه ملاحظات أُخرى تركناها خصوصاً في تصويره المحلّل كأنّه الأجير للتحليل ، ويتزوّج لتلك الغاية ، وهو تصوير خاطئ جداً ، بل يتزوج بنفس الغاية التي يتزوّج لأجلها سائر النساء ، غير أنّه لو طلّق الزوجة عن اختيار يصير حلالاً للزوج السابق ، وأين ذلك ممّا جاء في كلامه؟</w:t>
      </w:r>
      <w:r>
        <w:rPr>
          <w:rFonts w:eastAsia="Amiri" w:cs="Amiri" w:ascii="Amiri" w:hAnsi="Amiri"/>
          <w:color w:val="111111"/>
          <w:sz w:val="28"/>
          <w:szCs w:val="28"/>
          <w:rtl w:val="true"/>
          <w:lang w:bidi="ar-SA"/>
        </w:rPr>
        <w:t xml:space="preserve">! </w:t>
      </w:r>
      <w:bookmarkStart w:id="143" w:name="pg10155_105284"/>
    </w:p>
    <w:p>
      <w:pPr>
        <w:pStyle w:val="Heading2"/>
        <w:numPr>
          <w:ilvl w:val="1"/>
          <w:numId w:val="1"/>
        </w:numPr>
        <w:rPr/>
      </w:pPr>
      <w:bookmarkStart w:id="144" w:name="__RefHeading___Toc1272747_1067777946"/>
      <w:bookmarkStart w:id="145" w:name="_Toc49"/>
      <w:bookmarkEnd w:id="143"/>
      <w:bookmarkEnd w:id="144"/>
      <w:r>
        <w:rPr/>
        <w:t>17</w:t>
      </w:r>
      <w:r>
        <w:rPr>
          <w:rtl w:val="true"/>
        </w:rPr>
        <w:t xml:space="preserve">- </w:t>
      </w:r>
      <w:r>
        <w:rPr>
          <w:rtl w:val="true"/>
        </w:rPr>
        <w:t>الطلاق المعلّق</w:t>
      </w:r>
      <w:bookmarkEnd w:id="14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1272749_1067777946"/>
      <w:bookmarkStart w:id="147" w:name="_Toc50"/>
      <w:bookmarkEnd w:id="146"/>
      <w:r>
        <w:rPr>
          <w:rtl w:val="true"/>
        </w:rPr>
        <w:t>اشارة</w:t>
      </w:r>
      <w:bookmarkEnd w:id="14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0155_105286"/>
      <w:bookmarkStart w:id="149" w:name="pg10155_105286"/>
      <w:bookmarkEnd w:id="149"/>
    </w:p>
    <w:p>
      <w:pPr>
        <w:pStyle w:val="Heading3"/>
        <w:numPr>
          <w:ilvl w:val="2"/>
          <w:numId w:val="1"/>
        </w:numPr>
        <w:rPr/>
      </w:pPr>
      <w:bookmarkStart w:id="150" w:name="pg10155_105286"/>
      <w:bookmarkStart w:id="151" w:name="__RefHeading___Toc1272751_1067777946"/>
      <w:bookmarkStart w:id="152" w:name="_Toc51"/>
      <w:bookmarkEnd w:id="150"/>
      <w:bookmarkEnd w:id="151"/>
      <w:r>
        <w:rPr>
          <w:rtl w:val="true"/>
        </w:rPr>
        <w:t>الطلاق المعلّق</w:t>
      </w:r>
      <w:bookmarkEnd w:id="152"/>
    </w:p>
    <w:p>
      <w:pPr>
        <w:pStyle w:val="BookText"/>
        <w:rPr/>
      </w:pPr>
      <w:r>
        <w:rPr>
          <w:rFonts w:ascii="Amiri" w:hAnsi="Amiri" w:eastAsia="Amiri" w:cs="Amiri"/>
          <w:color w:val="111111"/>
          <w:sz w:val="28"/>
          <w:sz w:val="28"/>
          <w:szCs w:val="28"/>
          <w:rtl w:val="true"/>
          <w:lang w:bidi="ar-SA"/>
        </w:rPr>
        <w:t>ينقسم الطلاق إلى منجَّز ومعلّق ، والأوّل هو الطلاق الخالي في صيغته عن التعليق ، والثاني على خلافه فيكون مضمون صيغة الطلاق ، مقروناً بحصول أمر آخر ، سواء أكان ذلك الأمر ، فعلَ المطلِّق أو فعلَ المطلَّقة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يشترط في صحّة الطلاق ، التنجيز ، أو يصحّ مع التعليق أيضاً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طلعت الشمس ، أو أنت طالق إن قدم الحاج؟</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الطلاق المعلّق على قسمين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 يعلّق على غير وجه اليمين وهذا كما في المثالين السابقين ، ومثلهما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فأنت طالق ، أو إن أعطيتني ألفاً فأنت طالق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 يعلّق على وجه اليمين وهو الذي يُقصد به الحثّ أو المنع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كلّمتِ فلاناً فأنت طالق ، أو إن ذهبت إلى دار عدوي فأنت طالق ، وربّما يكون المقصود حمل المخاطب على الثقة بكلام الحالف فيقول مثلاً عند نقطة التفتيش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حقيبتي ما هو ممنوع ولو كان فزوجتي طالق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ونركز على البحث في القسم الأوّل ونحيل البحث في القسم الثاني ، إلى المسألة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للشروط تقسيمات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تتوقّف عليه صحّة الطلاق ككونها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زوجتي فأنت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تتوقف عليه كقدوم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يعلم المطلق بوجوده عند الطلاق ، كتعليقه بكون هذا اليوم يوم الجمعة ، وأُخرى ما يشكّ في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يذكر في الصيغة تبركاً ، لا شرطاً وتعليقاً كمشيئته سبحانه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البحث هو القسم الثاني ، أمّا الأوّل فالطلاق معلّق على مثل هذا الشرط لبّاً ، سواء تكلم به أو لا ، وأمّا الثالث فانّما يذكر تبركاً ، لا اشتراطاً ، وهو كثير الدوران على لسان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بطلان الطلاق المعلّق من متفردات الفقه الإمامي ، وإليك بعض كلمات فقهائنا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انفردت الإمامية به القول بأنّ الطلاق لا يقع مشروطاً وإن وجد شرطه ، وخالف باقي الفقهاء في ذلك وأوقعوا الطلاق عند وقوع شرطه الذي علّقه المتلفظ</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لها أنت طالق ، إذا قدم فلان ، فقدم فلان لا يقع طلاقه ، وكذلك لو علّقه بشرط من الشروط أو بصفة من الصفات المستقبلة فانّه لا يقع أصلاً ، لا في الحال ولا في المستقبل حين حصول الشرط والصفة وقال جميع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يقع إذا حصل الشرط</w:t>
      </w:r>
      <w:r>
        <w:rPr>
          <w:rFonts w:eastAsia="Amiri" w:cs="Amiri" w:ascii="Amiri" w:hAnsi="Amiri"/>
          <w:color w:val="111111"/>
          <w:sz w:val="28"/>
          <w:szCs w:val="28"/>
          <w:rtl w:val="true"/>
          <w:lang w:bidi="ar-SA"/>
        </w:rPr>
        <w:t xml:space="preserve">. </w:t>
      </w:r>
      <w:r>
        <w:rPr>
          <w:rStyle w:val="FootnoteAnchor"/>
          <w:rtl w:val="true"/>
        </w:rPr>
        <w:footnoteReference w:id="179"/>
      </w:r>
      <w:bookmarkStart w:id="153" w:name="pg10155_105288"/>
    </w:p>
    <w:p>
      <w:pPr>
        <w:pStyle w:val="BookText"/>
        <w:rPr/>
      </w:pPr>
      <w:bookmarkEnd w:id="153"/>
      <w:r>
        <w:rPr>
          <w:rFonts w:ascii="Amiri" w:hAnsi="Amiri" w:eastAsia="Amiri" w:cs="Amiri"/>
          <w:color w:val="111111"/>
          <w:sz w:val="28"/>
          <w:sz w:val="28"/>
          <w:szCs w:val="28"/>
          <w:rtl w:val="true"/>
          <w:lang w:bidi="ar-SA"/>
        </w:rPr>
        <w:t xml:space="preserve">وبما انّ المسألة عندنا موضع وفاق نقتصر على هذا المقدار ، وقد وافقَنا فيها الظاهريّة ، 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فقهُه ، فقه الظاهريين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فأنت طالق ، أو ذكر وقتاً ما ، فلا تكون طالقاً بذلك لا الآن ولا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يأت قرآن ولا سنّة بوقوع الطلاق بذلك ، وقد علّمنا الله الطلاق على المدخول بها وفي غير المدخول بها ، وليس هذا فيما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وقال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أجمعت الأُمّة على وقوع المعلّق كوقوع المنجّز ، فإنّ الطلاق ممّا يقبل التعليق ، ولا يظهر الخلاف في ذلك إلاّ عن طوائف من الروافض ، ولما حدث مذهب الظاهريّين المخالفين لإجماع الأُمّة المنكرين للقياس خالفوا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ولكنّهم قد سبقهم الإجماع</w:t>
      </w:r>
      <w:r>
        <w:rPr>
          <w:rFonts w:eastAsia="Amiri" w:cs="Amiri" w:ascii="Amiri" w:hAnsi="Amiri"/>
          <w:color w:val="111111"/>
          <w:sz w:val="28"/>
          <w:szCs w:val="28"/>
          <w:rtl w:val="true"/>
          <w:lang w:bidi="ar-SA"/>
        </w:rPr>
        <w:t xml:space="preserve">. </w:t>
      </w:r>
      <w:r>
        <w:rPr>
          <w:rStyle w:val="FootnoteAnchor"/>
          <w:rtl w:val="true"/>
        </w:rPr>
        <w:footnoteReference w:id="181"/>
      </w:r>
    </w:p>
    <w:p>
      <w:pPr>
        <w:pStyle w:val="Heading3"/>
        <w:numPr>
          <w:ilvl w:val="2"/>
          <w:numId w:val="1"/>
        </w:numPr>
        <w:rPr/>
      </w:pPr>
      <w:bookmarkStart w:id="154" w:name="__RefHeading___Toc1272753_1067777946"/>
      <w:bookmarkStart w:id="155" w:name="_Toc52"/>
      <w:bookmarkEnd w:id="154"/>
      <w:r>
        <w:rPr>
          <w:rtl w:val="true"/>
        </w:rPr>
        <w:t>أدلّة القائل بالبطلان</w:t>
      </w:r>
      <w:bookmarkEnd w:id="155"/>
    </w:p>
    <w:p>
      <w:pPr>
        <w:pStyle w:val="Heading4"/>
        <w:numPr>
          <w:ilvl w:val="3"/>
          <w:numId w:val="1"/>
        </w:numPr>
        <w:rPr/>
      </w:pPr>
      <w:bookmarkStart w:id="156" w:name="__RefHeading___Toc1272755_1067777946"/>
      <w:bookmarkStart w:id="157" w:name="_Toc53"/>
      <w:bookmarkEnd w:id="156"/>
      <w:r>
        <w:rPr>
          <w:rtl w:val="true"/>
        </w:rPr>
        <w:t xml:space="preserve">الأوّل </w:t>
      </w:r>
      <w:r>
        <w:rPr>
          <w:rtl w:val="true"/>
        </w:rPr>
        <w:t xml:space="preserve">: </w:t>
      </w:r>
      <w:r>
        <w:rPr>
          <w:rtl w:val="true"/>
        </w:rPr>
        <w:t>الطلاق المشروط غير مسنون</w:t>
      </w:r>
      <w:bookmarkEnd w:id="157"/>
    </w:p>
    <w:p>
      <w:pPr>
        <w:pStyle w:val="BookText"/>
        <w:rPr/>
      </w:pPr>
      <w:r>
        <w:rPr>
          <w:rFonts w:ascii="Amiri" w:hAnsi="Amiri" w:eastAsia="Amiri" w:cs="Amiri"/>
          <w:color w:val="111111"/>
          <w:sz w:val="28"/>
          <w:sz w:val="28"/>
          <w:szCs w:val="28"/>
          <w:rtl w:val="true"/>
          <w:lang w:bidi="ar-SA"/>
        </w:rPr>
        <w:t>إنّ تعليق الطلاق بالشرط غير مسنون ، والمشروع في كيفية الطلاق غيره ، فيجب أن لا تتعلّق به حكم الفرقة ، لأنّ الفرقة حكم شرعي ، والشرع هو الطريق إليه ، وإذا انتفى الدليل الشرعي ، انتفى الحكم الشرعي</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272757_1067777946"/>
      <w:bookmarkStart w:id="159" w:name="_Toc54"/>
      <w:bookmarkEnd w:id="158"/>
      <w:r>
        <w:rPr>
          <w:rtl w:val="true"/>
        </w:rPr>
        <w:t xml:space="preserve">الثاني </w:t>
      </w:r>
      <w:r>
        <w:rPr>
          <w:rtl w:val="true"/>
        </w:rPr>
        <w:t xml:space="preserve">: </w:t>
      </w:r>
      <w:r>
        <w:rPr>
          <w:rtl w:val="true"/>
        </w:rPr>
        <w:t>مقتضى الاستصحاب بقاء الزوجية</w:t>
      </w:r>
      <w:bookmarkEnd w:id="15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ثبوت الزوجية متيقّن ، فلا ينتقل عنه إلى التحريم إلاّ بيقين ولا يقين في </w:t>
      </w:r>
    </w:p>
    <w:p>
      <w:pPr>
        <w:pStyle w:val="BookText"/>
        <w:rPr/>
      </w:pPr>
      <w:r>
        <w:rPr>
          <w:rFonts w:ascii="IRNazanin" w:hAnsi="IRNazanin" w:eastAsia="IRNazanin"/>
          <w:color w:val="111111"/>
          <w:sz w:val="28"/>
          <w:sz w:val="28"/>
          <w:szCs w:val="28"/>
          <w:rtl w:val="true"/>
          <w:lang w:bidi="fa-IR"/>
        </w:rPr>
        <w:t>الطلاق المشروط</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وإلى الأخير أشار الشيخ الطوسي أيضاً في خلافه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بقاء العقد ، وإيقاع هذا الضرب من الطلاق يحتاج إلى دليل ، والشرع خال من ذلك</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وإلى الوجه الأوّل يشير ابن حزم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 عدم الصحة انّه لم يأت قرآن ولا سنّة بوقوع الطلاق بذلك ، وقد علّمنا الله الطلاق على المدخول بها ، وفي غير المدخول بها ، وليس هذا فيما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وتوضيح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الطلاق ليس كالبيع والإجارة ، حيث إنّ الأخيرين من الأُمور العقلائية ، التي عليها رحى معاشهم وحياتهم فيُتّبع ما عليه العقلاء في ذينك الأمرين إلاّ إذا دلّ الدليل على اعتبار شيء زائد ، وهذا بخلاف الطلاق فهو وإن كان أمراً عرفياً ، لوجود الطلاق بين الناس قبل بزوغ شمس الإسلام لكن الإسلام تصرف فيه كثيراً ، وحدّ له حدوداً ، يظهر ذلك من مطالعة الآيات الواردة في سورة البقرة ، الآيات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 والآية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 ، كلّ ذلك أضفى على الطلاق حقيقة وماهية ، تختلف مع تلك التي بين العقلاء ، فلا يتمسّك بما في يد العقلاء لتجويز ما شكّ ، بل يجب أن يرجع إلى الشرع ، فان تبيّن حكم الطلاق المعلّق فيُتبع ، وإلاّ فالحكم هو الاحتياط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الفقيه الفقيد الشيخ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الإمامية يضيّقون دائرة الطلاق إلى أقصى الحدود ، ويفرضون القيود الصارمة على المطلِّق والمطلَّقة ، وصيغة الطلاق وشهود ، كلّ ذلك لأنّ الزواج عصمة ومودة ورحمة </w:t>
      </w:r>
      <w:bookmarkStart w:id="160" w:name="pg10155_105290"/>
    </w:p>
    <w:p>
      <w:pPr>
        <w:pStyle w:val="BookText"/>
        <w:rPr/>
      </w:pPr>
      <w:bookmarkEnd w:id="160"/>
      <w:r>
        <w:rPr>
          <w:rFonts w:ascii="Amiri" w:hAnsi="Amiri" w:eastAsia="Amiri" w:cs="Amiri"/>
          <w:color w:val="111111"/>
          <w:sz w:val="28"/>
          <w:sz w:val="28"/>
          <w:szCs w:val="28"/>
          <w:rtl w:val="true"/>
          <w:lang w:bidi="ar-SA"/>
        </w:rPr>
        <w:t xml:space="preserve">وميثاق من الله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أَفْضى بَعْضُكُمْ إِلى بَعْضٍ وَأَخَذْنَ مِنْكُمْ مِيثاقاً غَلِيظاً</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إذن لا يجوز بحال أن ننقض هذه العصمة والمودة والرحمة ، وهذا العهد والميثاق ، إلاّ بعد أن نعلم علماً قاطعاً لكلّ شك ، بأنّ الشرع قد حلّ الزواج ، ونقضه بعد أن أثبته وأبرمه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هذا كلّه حول الدليل الأوّل ، وأمّا الثاني أي التمسّك بالاستصحاب وبقاء العقد ، فكأنّه مكمّل له ، فإذا شككنا في بقاء العقد ونقضه ، فالاستصحاب هو المحكم ، إلاّ إذا دلّ الدليل على نقض الحالة السابقة</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272759_1067777946"/>
      <w:bookmarkStart w:id="162" w:name="_Toc55"/>
      <w:bookmarkEnd w:id="161"/>
      <w:r>
        <w:rPr>
          <w:rtl w:val="true"/>
        </w:rPr>
        <w:t xml:space="preserve">الثالث </w:t>
      </w:r>
      <w:r>
        <w:rPr>
          <w:rtl w:val="true"/>
        </w:rPr>
        <w:t xml:space="preserve">: </w:t>
      </w:r>
      <w:r>
        <w:rPr>
          <w:rtl w:val="true"/>
        </w:rPr>
        <w:t>الطلاق المعلّق خارج عن القسمين</w:t>
      </w:r>
      <w:bookmarkEnd w:id="162"/>
    </w:p>
    <w:p>
      <w:pPr>
        <w:pStyle w:val="BookText"/>
        <w:rPr/>
      </w:pPr>
      <w:r>
        <w:rPr>
          <w:rFonts w:ascii="Amiri" w:hAnsi="Amiri" w:eastAsia="Amiri" w:cs="Amiri"/>
          <w:color w:val="111111"/>
          <w:sz w:val="28"/>
          <w:sz w:val="28"/>
          <w:szCs w:val="28"/>
          <w:rtl w:val="true"/>
          <w:lang w:bidi="ar-SA"/>
        </w:rPr>
        <w:t xml:space="preserve">دلّ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على أنّ الطلاق يجب أن يتمتع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إمساك بمعروف بالرجوع إليها ، أو تسريح بإحسان بتركها على حالها حتى تنقضي عدّتها ، والطلاق بالأجل والشرط ، خارج عن كلا القسمين ، فلو قال في أوّل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في نهاية السنة ، أو أنت طالق عند رجوع الحجاج ، فالمرأة لا مأخوذة ولا متروكة حتّى تنقضي عدّتها ، لاحتمال عدم حصول المعلّق ، فتبقى في الزوجية</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272761_1067777946"/>
      <w:bookmarkStart w:id="164" w:name="_Toc56"/>
      <w:bookmarkEnd w:id="163"/>
      <w:r>
        <w:rPr>
          <w:rtl w:val="true"/>
        </w:rPr>
        <w:t xml:space="preserve">الرابع </w:t>
      </w:r>
      <w:r>
        <w:rPr>
          <w:rtl w:val="true"/>
        </w:rPr>
        <w:t xml:space="preserve">: </w:t>
      </w:r>
      <w:r>
        <w:rPr>
          <w:rtl w:val="true"/>
        </w:rPr>
        <w:t>المطلّقة أشبه بالمعلّقة</w:t>
      </w:r>
      <w:bookmarkEnd w:id="16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عناية الإسلام بنظام الأُسرة الذي أُسّه النكاح والطلاق ، تقتضي أن يكون </w:t>
      </w:r>
      <w:bookmarkStart w:id="165" w:name="pg10155_105291"/>
    </w:p>
    <w:p>
      <w:pPr>
        <w:pStyle w:val="BookText"/>
        <w:rPr/>
      </w:pPr>
      <w:bookmarkEnd w:id="165"/>
      <w:r>
        <w:rPr>
          <w:rFonts w:ascii="Amiri" w:hAnsi="Amiri" w:eastAsia="Amiri" w:cs="Amiri"/>
          <w:color w:val="111111"/>
          <w:sz w:val="28"/>
          <w:sz w:val="28"/>
          <w:szCs w:val="28"/>
          <w:rtl w:val="true"/>
          <w:lang w:bidi="ar-SA"/>
        </w:rPr>
        <w:t xml:space="preserve">الأمر فيها منجّزاً لا معلّقاً ، فإنّ التعليق ينتهي إلى ما لا تحمد عاقبته من غير فرق بين النكاح والطلاق ، فالمرء إمّا إن يقدم على النكاح والطلاق أو لا ، فعلى الأوّل ينكح أو يطلّق بتاتاً ، وعلى الثاني يسكت حتّى يحدث بعد ذلك أمراً ، والتعليق في النكاح والطلاق لا يناسب ذلك الأمر الهامّ ، فقد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 فَلا تَمِيلُوا كُلَّ الْمَيْلِ فَتَذَرُوها كَالْمُعَلَّقَةِ وَإِنْ تُصْلِحُوا وَتَتَّقُوا فَإِنَّ اللهَ كانَ غَفُوراً رَحِيماً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والله سبحانه يشبّه المرأة التي يترك الزوج أداء حقّها الواجب عليه ، بالمعلّقة التي هي لا ذات زوج ولا أيّم ، فالمنكوحة معلّقاً ، أو المطلّقة كذلك ، أشبه شيء بالمعلّقة الواردة في الآية ، فهي لا ذات زوج ولا أيّم</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272763_1067777946"/>
      <w:bookmarkStart w:id="167" w:name="_Toc57"/>
      <w:bookmarkEnd w:id="166"/>
      <w:r>
        <w:rPr>
          <w:rtl w:val="true"/>
        </w:rPr>
        <w:t xml:space="preserve">الخامس </w:t>
      </w:r>
      <w:r>
        <w:rPr>
          <w:rtl w:val="true"/>
        </w:rPr>
        <w:t xml:space="preserve">: </w:t>
      </w:r>
      <w:r>
        <w:rPr>
          <w:rtl w:val="true"/>
        </w:rPr>
        <w:t xml:space="preserve">إجماع أئمّة أهل البيت </w:t>
      </w:r>
      <w:r>
        <w:rPr>
          <w:rtl w:val="true"/>
        </w:rPr>
        <w:t xml:space="preserve">- </w:t>
      </w:r>
      <w:r>
        <w:rPr>
          <w:rtl w:val="true"/>
        </w:rPr>
        <w:t xml:space="preserve">عليهم السلام </w:t>
      </w:r>
      <w:r>
        <w:rPr>
          <w:rtl w:val="true"/>
        </w:rPr>
        <w:t>-</w:t>
      </w:r>
      <w:bookmarkEnd w:id="167"/>
    </w:p>
    <w:p>
      <w:pPr>
        <w:pStyle w:val="BookText"/>
        <w:rPr/>
      </w:pPr>
      <w:r>
        <w:rPr>
          <w:rFonts w:ascii="Amiri" w:hAnsi="Amiri" w:eastAsia="Amiri" w:cs="Amiri"/>
          <w:color w:val="111111"/>
          <w:sz w:val="28"/>
          <w:sz w:val="28"/>
          <w:szCs w:val="28"/>
          <w:rtl w:val="true"/>
          <w:lang w:bidi="ar-SA"/>
        </w:rPr>
        <w:t>يظهر من مجموع الروايات الواردة في هذه المسألة وما يتلوها ، إجماع أئمّة أهل البيت على بطلان الطلاق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بكير بن أعين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الطلاق إلاّ أن يقول الرجل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طاهر من غير 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طالق ، ويشهد شاهدي عدل ، وكلّ ما سوى ذلك فهو ملغى</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وأيّ تعبير أوضح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سوى ذلك فهو 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شيوع الطلاق المعلق خصوصاً قسم الحلف في أعصارهم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أضيف إلى ذلك ما روي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الحلف بالطلاق ، </w:t>
      </w:r>
      <w:bookmarkStart w:id="168" w:name="pg10155_105292"/>
    </w:p>
    <w:p>
      <w:pPr>
        <w:pStyle w:val="BookText"/>
        <w:rPr/>
      </w:pPr>
      <w:bookmarkEnd w:id="168"/>
      <w:r>
        <w:rPr>
          <w:rFonts w:ascii="Amiri" w:hAnsi="Amiri" w:eastAsia="Amiri" w:cs="Amiri"/>
          <w:color w:val="111111"/>
          <w:sz w:val="28"/>
          <w:sz w:val="28"/>
          <w:szCs w:val="28"/>
          <w:rtl w:val="true"/>
          <w:lang w:bidi="ar-SA"/>
        </w:rPr>
        <w:t>لأصبح الحكم واضحاً ، لأنّ الحلف قسم من أقسام الطلاق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استدلّ ببعض الوجوه العقلية على البطلان ، وهي ليست تامّة عندنا ، نظير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المعلّق من قبيل تفكيك المنشأ عن الإنشاء ، لأنّ المفروض عدم وقوعه قبل الشرط ، فيلزم تفكيك المنشأ عن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بعدم استقامة الدليل ، فإنّ المنشأ بعد الإنشاء محقّق من غير فرق بين المنجّز والمعلّق ، غير أنّ المنشأ تارة يكون منجّزاً وأُخرى معلّقاً ، وفائدة الإنشاء أنّه لو تحقّق المعلّق عليه لا يحتاج إلى إنشاء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ترتّب الأثر على السبب فوراً ، فاشتراط تأخّره إلى حصول المعلّق عليه ، خلاف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الأدلّة ما يثبت ذلك ، فالوارد في الأدلّة هو لزوم الوفاء بالإنشاء غير أنّ الوفاء يختلف حسب اختلاف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عدم صحّة الاستدلال على البطلان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طلاق لا يقع حين إيقاعه فمن المحال أن يقع بعد ذلك في حين لم يوقعه فيه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Heading3"/>
        <w:numPr>
          <w:ilvl w:val="2"/>
          <w:numId w:val="1"/>
        </w:numPr>
        <w:rPr/>
      </w:pPr>
      <w:bookmarkStart w:id="169" w:name="__RefHeading___Toc1272765_1067777946"/>
      <w:bookmarkStart w:id="170" w:name="_Toc58"/>
      <w:bookmarkEnd w:id="169"/>
      <w:r>
        <w:rPr>
          <w:rtl w:val="true"/>
        </w:rPr>
        <w:t>أدلّة القائل بالصحّة</w:t>
      </w:r>
      <w:bookmarkEnd w:id="170"/>
    </w:p>
    <w:p>
      <w:pPr>
        <w:pStyle w:val="BookText"/>
        <w:rPr/>
      </w:pPr>
      <w:r>
        <w:rPr>
          <w:rFonts w:ascii="Amiri" w:hAnsi="Amiri" w:eastAsia="Amiri" w:cs="Amiri"/>
          <w:color w:val="111111"/>
          <w:sz w:val="28"/>
          <w:sz w:val="28"/>
          <w:szCs w:val="28"/>
          <w:rtl w:val="true"/>
          <w:lang w:bidi="ar-SA"/>
        </w:rPr>
        <w:t xml:space="preserve">استدلّ القائل بالصحّة بوجوه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إطلاق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يفرق بين منجز ومعلّق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شرائط التمسك بالإطلاق أو من شرائط انعقاد الإطلاق كون المتكلّم بصدد بيان حكم الأمر المشكوك فيه ، حتّى يستدلّ بسكوته على التسوية بين الأمر المشكوك فيه وغيره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يُظاهِرُونَ مِنْ نِسائِهِمْ ثُمَّ يَعُودُونَ لِما قالُوا فَتَحْرِيرُ رَقَبَةٍ مِنْ قَبْلِ أَنْ يَتَمَاسَّا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فإذا شكّ في شرطية الإيمان في تحرير الرقبة ، يحكم بعدم الشرطية بإطلاق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بصدد بيان حكم الأمر المشكوك فيه فلا يستدلّ بسكوته وعدم تعرّضه على التسوية كما في المقام ، حيث إنّ قوله سبحانه بصدد بيان عدد الطلاق وانّه مرتان ، وليس بصدد بيان كيفيته من حيث التنجيز والتعليق حتّى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المتكلّم في بيان المقام من مقدمات انعقاد الإطلاق كما هو محرر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المسلمون عند شروطهم ، والطلاق المعلّق من قبيل الأُمور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ضابطة شرعية يستدلّ بها إذا شكّ في لزوم العمل بالشرط وعدمه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صحة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اشترطت الزوجة في عقد النكاح أن لا يمنعها الزوج من مواصلة الدراسة أو العمل في خارج البيت إذا لم يكن مخلاً بحقّ الزوج ففي مثل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أصل مشروعية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 بالكبرى ويلزم الزوج بالعمل بالشرط</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شكّ في جواز أصل تعليق الإنشاء ، وانّه هل يصحّ أو لا ، لاحتمال خصوصية في الطلاق ، فلا يتمسك بالكبرى لإثبات أصل مشروعية الصغرى ، وهذا واضح لمن له إلمام بالأُصول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الشرط ، النذر ، والعهد واليمين ، فإنّما يستدلّ بكبرياتها على لزوم العمل إذا ثبتت المشروعية ، وأمّا إذا شكّ في صحّة النذر ، فلا يتمسك بالكبرى لإثبات صحة الصغرى ، فلو نذر أن يتوضأ بالماء المضاف ، أو بالنبيذ ، فلا يصلح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لإثبات مشروعية التوضّؤ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القائلين بالصحّة استدلوا بآثار وفتاوى من ابن مسعود ، وأبي ذرّ الغفاري ، وعائشة ، والحسن البصري وغيرهم من الفقهاء ، ومعلوم أنّ أقوالهم وآراءهم حجّة على أنفسهم لا على غيرهم ما لم يثبت صدورها عن المعصوم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0155_105296"/>
      <w:bookmarkStart w:id="172" w:name="pg10155_105296"/>
      <w:bookmarkEnd w:id="172"/>
    </w:p>
    <w:p>
      <w:pPr>
        <w:pStyle w:val="Heading2"/>
        <w:numPr>
          <w:ilvl w:val="1"/>
          <w:numId w:val="1"/>
        </w:numPr>
        <w:rPr/>
      </w:pPr>
      <w:bookmarkStart w:id="173" w:name="pg10155_105296"/>
      <w:bookmarkStart w:id="174" w:name="__RefHeading___Toc1272767_1067777946"/>
      <w:bookmarkStart w:id="175" w:name="_Toc59"/>
      <w:bookmarkEnd w:id="173"/>
      <w:bookmarkEnd w:id="174"/>
      <w:r>
        <w:rPr/>
        <w:t>18</w:t>
      </w:r>
      <w:r>
        <w:rPr>
          <w:rtl w:val="true"/>
        </w:rPr>
        <w:t xml:space="preserve">- </w:t>
      </w:r>
      <w:r>
        <w:rPr>
          <w:rtl w:val="true"/>
        </w:rPr>
        <w:t>الحلف بالطلاق</w:t>
      </w:r>
      <w:bookmarkEnd w:id="17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1272769_1067777946"/>
      <w:bookmarkStart w:id="177" w:name="_Toc60"/>
      <w:bookmarkEnd w:id="176"/>
      <w:r>
        <w:rPr>
          <w:rtl w:val="true"/>
        </w:rPr>
        <w:t>اشارة</w:t>
      </w:r>
      <w:bookmarkEnd w:id="17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0155_105298"/>
      <w:bookmarkStart w:id="179" w:name="pg10155_105298"/>
      <w:bookmarkEnd w:id="179"/>
    </w:p>
    <w:p>
      <w:pPr>
        <w:pStyle w:val="Heading3"/>
        <w:numPr>
          <w:ilvl w:val="2"/>
          <w:numId w:val="1"/>
        </w:numPr>
        <w:rPr/>
      </w:pPr>
      <w:bookmarkStart w:id="180" w:name="pg10155_105298"/>
      <w:bookmarkStart w:id="181" w:name="__RefHeading___Toc1272771_1067777946"/>
      <w:bookmarkStart w:id="182" w:name="_Toc61"/>
      <w:bookmarkEnd w:id="180"/>
      <w:bookmarkEnd w:id="181"/>
      <w:r>
        <w:rPr>
          <w:rtl w:val="true"/>
        </w:rPr>
        <w:t>الحلف بالطلاق</w:t>
      </w:r>
      <w:bookmarkEnd w:id="182"/>
    </w:p>
    <w:p>
      <w:pPr>
        <w:pStyle w:val="BookText"/>
        <w:rPr/>
      </w:pPr>
      <w:r>
        <w:rPr>
          <w:rFonts w:ascii="Amiri" w:hAnsi="Amiri" w:eastAsia="Amiri" w:cs="Amiri"/>
          <w:color w:val="111111"/>
          <w:sz w:val="28"/>
          <w:sz w:val="28"/>
          <w:szCs w:val="28"/>
          <w:rtl w:val="true"/>
          <w:lang w:bidi="ar-SA"/>
        </w:rPr>
        <w:t xml:space="preserve">قد عرفت أنّ الحلف بالطلاق من أقسام الطلاق المعلّق ويفارق المسألة السابقة في انّ الغاية فيها ربط مضمون صيغة الطلاق بفعل المطلّق أو المطلّقة أو غيرهما كطلوع الشمس وقدوم الحاج من دون أن يكون فيه حث على الفعل أو منع عنه ، بخلاف الحلف بالطلاق ، فانّ الغاية فيه هو الحث أو المنع من العمل ، أو حمل المخاطب على الثقة بكلامه ، وإنّما سمّي حلفاً تجوّزاً لمشاركته الحلف في الغاية وهو الحث أو المنع أو تأكيد الخبر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الواقع حلفاً</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272773_1067777946"/>
      <w:bookmarkStart w:id="184" w:name="_Toc62"/>
      <w:bookmarkEnd w:id="183"/>
      <w:r>
        <w:rPr>
          <w:rtl w:val="true"/>
        </w:rPr>
        <w:t xml:space="preserve">وقبل الخوض في المقصود نقدم أُموراً </w:t>
      </w:r>
      <w:r>
        <w:rPr>
          <w:rtl w:val="true"/>
        </w:rPr>
        <w:t>:</w:t>
      </w:r>
      <w:bookmarkEnd w:id="184"/>
    </w:p>
    <w:p>
      <w:pPr>
        <w:pStyle w:val="Heading4"/>
        <w:numPr>
          <w:ilvl w:val="3"/>
          <w:numId w:val="1"/>
        </w:numPr>
        <w:rPr/>
      </w:pPr>
      <w:bookmarkStart w:id="185" w:name="__RefHeading___Toc1272775_1067777946"/>
      <w:bookmarkStart w:id="186" w:name="_Toc63"/>
      <w:bookmarkEnd w:id="185"/>
      <w:r>
        <w:rPr>
          <w:rtl w:val="true"/>
        </w:rPr>
        <w:t xml:space="preserve">الأوّل </w:t>
      </w:r>
      <w:r>
        <w:rPr>
          <w:rtl w:val="true"/>
        </w:rPr>
        <w:t xml:space="preserve">: </w:t>
      </w:r>
      <w:r>
        <w:rPr>
          <w:rtl w:val="true"/>
        </w:rPr>
        <w:t>ليس للطلاق إلاّ صيغة واحدة</w:t>
      </w:r>
      <w:bookmarkEnd w:id="186"/>
    </w:p>
    <w:p>
      <w:pPr>
        <w:pStyle w:val="BookText"/>
        <w:rPr/>
      </w:pPr>
      <w:r>
        <w:rPr>
          <w:rFonts w:ascii="Amiri" w:hAnsi="Amiri" w:eastAsia="Amiri" w:cs="Amiri"/>
          <w:color w:val="111111"/>
          <w:sz w:val="28"/>
          <w:sz w:val="28"/>
          <w:szCs w:val="28"/>
          <w:rtl w:val="true"/>
          <w:lang w:bidi="ar-SA"/>
        </w:rPr>
        <w:t xml:space="preserve">ذهبت الإمامية تبعاً لأئمة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ليس للطلاق إلاّ صيغة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بكير بن أعين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الطلاق إلاّ أن يقول الرجل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طاهر من غير 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طالق ، ويشهد شاهدي عدل ، وكلّ ما سوى ذلك فهو ملغى</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لأهل السنّة فقد أجازوا الطلاق بكلّ ما دلّ عليه لفظاً ، وكتابة ، </w:t>
      </w:r>
      <w:bookmarkStart w:id="187" w:name="pg10155_105299"/>
    </w:p>
    <w:p>
      <w:pPr>
        <w:pStyle w:val="BookText"/>
        <w:rPr/>
      </w:pPr>
      <w:bookmarkEnd w:id="187"/>
      <w:r>
        <w:rPr>
          <w:rFonts w:ascii="Amiri" w:hAnsi="Amiri" w:eastAsia="Amiri" w:cs="Amiri"/>
          <w:color w:val="111111"/>
          <w:sz w:val="28"/>
          <w:sz w:val="28"/>
          <w:szCs w:val="28"/>
          <w:rtl w:val="true"/>
          <w:lang w:bidi="ar-SA"/>
        </w:rPr>
        <w:t xml:space="preserve">وصراحة ، وكناية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 أو أنت بريّة ، أو اذهبي فتزوجي ، أو حبلك على غاربك ، أو الحقي بأهلك ، إلى غير ذلك من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في تعيّن الصيغة الواحدة أو كفاية كلّ ما دلّ على الطلاق ، مقام آخر</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272777_1067777946"/>
      <w:bookmarkStart w:id="189" w:name="_Toc64"/>
      <w:bookmarkEnd w:id="188"/>
      <w:r>
        <w:rPr>
          <w:rtl w:val="true"/>
        </w:rPr>
        <w:t xml:space="preserve">الثاني </w:t>
      </w:r>
      <w:r>
        <w:rPr>
          <w:rtl w:val="true"/>
        </w:rPr>
        <w:t xml:space="preserve">: </w:t>
      </w:r>
      <w:r>
        <w:rPr>
          <w:rtl w:val="true"/>
        </w:rPr>
        <w:t>تسويد الصفحات بأقسام الحلف بالطلاق</w:t>
      </w:r>
      <w:bookmarkEnd w:id="189"/>
    </w:p>
    <w:p>
      <w:pPr>
        <w:pStyle w:val="BookText"/>
        <w:rPr/>
      </w:pPr>
      <w:r>
        <w:rPr>
          <w:rFonts w:ascii="Amiri" w:hAnsi="Amiri" w:eastAsia="Amiri" w:cs="Amiri"/>
          <w:color w:val="111111"/>
          <w:sz w:val="28"/>
          <w:sz w:val="28"/>
          <w:szCs w:val="28"/>
          <w:rtl w:val="true"/>
          <w:lang w:bidi="ar-SA"/>
        </w:rPr>
        <w:t xml:space="preserve">ذهبت الإمامية إلى بطلان الحلف بالطلاق ، لأنّه من أقسام المعلّق الذي أوضحنا حاله ، وبذلك أراحوا أنفسهم من تسويد الصفحات الطوال العراض بأقسام الحلف بالطلاق ، في حين زخرت كتب فقهاء السنّة بآراء وفتاوى لم يبرهنوا عليها بشيء من الكتاب والسنّة ، والراجع إلى تلك الصفحات التي ربما تستغرق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يذعن بأنّ الطلاق أُلعوبة يتلاعب بها الرجل بصور شتى ، وإن كنت في شك من ذلك فلاحظ الكتابين المعروفين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عبد الله بن أحمد بن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أوسع كتاب فقهي ظهر عند الحنابلة مع الترجيح بين الأقوال بالدليل المقنع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كتابه لهذا النوع من الصيغ</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عبد الرحمن الجزيري ، ألّفه ليعرض الفقه بثوبه الجديد على الجيل الجديد ، ومع ذلك تجد قد خصّص لهذا النوع من صور الطلاق صفحات كثيرة</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وإليك نماذج من هذه الصور حتى تقف على صدق ما قلناه ؛ ننقلها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قال لامرأتيه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حلفت بطلاقكما فأنتما طالقتان ، ثمّ أعاد ذلك ثلاثاً ، طلّقت كل واحدة منهما ثلاثاً</w:t>
      </w:r>
      <w:r>
        <w:rPr>
          <w:rFonts w:eastAsia="Amiri" w:cs="Amiri" w:ascii="Amiri" w:hAnsi="Amiri"/>
          <w:color w:val="111111"/>
          <w:sz w:val="28"/>
          <w:szCs w:val="28"/>
          <w:rtl w:val="true"/>
          <w:lang w:bidi="ar-SA"/>
        </w:rPr>
        <w:t xml:space="preserve">. </w:t>
      </w:r>
      <w:bookmarkStart w:id="190" w:name="pg10155_105300"/>
    </w:p>
    <w:p>
      <w:pPr>
        <w:pStyle w:val="BookText"/>
        <w:rPr/>
      </w:pPr>
      <w:bookmarkEnd w:id="19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قال لإحداهما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حلفت بطلاقك ، فضرّتك طالق ، ثمّ قال للأُخرى مثل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له ثلاث نسوة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حلفتُ بطلاق زينب ، فعمرة طالق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حلفت بطلاق عمرة ، فحفصة طالق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حلفت بطلاق حفصة ، فزينب طالق ، طلّقت عمرة ، وإن جعل مكان زينب عمرة طلّقت حفصة ، ثمّ متى أعاده بعد ذلك طلّقت منهنّ 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ومتى علّق الطلاق على صفات فاجتمعن في شيء واحد وقع بكلّ صفة ما علّق عليها كما لو وجدت متفرّقة وكذلك العتاق ، فلو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 رجلاً فأنت طالق ، وإن كلّمت طويلاً فأنت طالق ، وإن كلّمت أسود فأنت طالق ، فكلّمت رجلاً أسود طويلاً ، طلّقت ثلاثاً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إلى غير ذلك من الصور التي لا يترتب على نقلها سوى إضاعة الوقت والورق</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272779_1067777946"/>
      <w:bookmarkStart w:id="192" w:name="_Toc65"/>
      <w:bookmarkEnd w:id="191"/>
      <w:r>
        <w:rPr>
          <w:rtl w:val="true"/>
        </w:rPr>
        <w:t xml:space="preserve">الثالث </w:t>
      </w:r>
      <w:r>
        <w:rPr>
          <w:rtl w:val="true"/>
        </w:rPr>
        <w:t xml:space="preserve">: </w:t>
      </w:r>
      <w:r>
        <w:rPr>
          <w:rtl w:val="true"/>
        </w:rPr>
        <w:t>بطلان الحلف بالطلاق عند البعض</w:t>
      </w:r>
      <w:bookmarkEnd w:id="192"/>
    </w:p>
    <w:p>
      <w:pPr>
        <w:pStyle w:val="BookText"/>
        <w:rPr/>
      </w:pPr>
      <w:r>
        <w:rPr>
          <w:rFonts w:ascii="Amiri" w:hAnsi="Amiri" w:eastAsia="Amiri" w:cs="Amiri"/>
          <w:color w:val="111111"/>
          <w:sz w:val="28"/>
          <w:sz w:val="28"/>
          <w:szCs w:val="28"/>
          <w:rtl w:val="true"/>
          <w:lang w:bidi="ar-SA"/>
        </w:rPr>
        <w:t>المشهور عند أهل السنّة هو صحّة الطلاق بالحلف به ، ومع ذلك ذهب لفيف من الصحابة والتابعين إلى كونه باطلاً ، ووافقهم بعض المتأخّرين من الظاهريين كابن حزم ، وابن تيمية من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الطلاق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 من طريق حماد بن سلمة ، عن حميد ،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تزوّج امرأة وأراد سفراً فأخذها أهل امرأته فجعلها طالقاً إن لم يبعث بنفقتها إلى شهر ،</w:t>
      </w:r>
    </w:p>
    <w:p>
      <w:pPr>
        <w:pStyle w:val="BookText"/>
        <w:rPr/>
      </w:pPr>
      <w:r>
        <w:rPr>
          <w:rFonts w:ascii="Amiri" w:hAnsi="Amiri" w:eastAsia="Amiri" w:cs="Amiri"/>
          <w:color w:val="111111"/>
          <w:sz w:val="28"/>
          <w:sz w:val="28"/>
          <w:szCs w:val="28"/>
          <w:rtl w:val="true"/>
          <w:lang w:bidi="ar-SA"/>
        </w:rPr>
        <w:t xml:space="preserve">فجاء الأجل ولم يبعث بشيء ، فلمّا قدم خاصموه إلى عليّ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اضطهدتموه حتى جعلها طالقاً ، فردّها عليه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روينا من طريق عبد الرزاق ، عن ابن جريج ،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لم أتزوّج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يتزوّج عليها حتى تموت أو يموت ، 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بالتوارث آية بقاء العلقة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عبد الرزاق ، عن سفيان الثوري ، عن غيلان بن جامع ، عن الحكم بن عتيبة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لم أفعل كذا ثمّ مات أحدهما قبل أن يفعل ، فإنّهما يتوارثان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عدم اعتداد الإمام عليّ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بالتوارث في الروايتين الأخيرتين دلالة على عدم الاعتداد باليمين بالطلاق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عبد الرزاق ، عن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طاوس عن أبيه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بالطلاق ليس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يراه يميناً؟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حزم بعد نقل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علي بن أبي طالب وشريح </w:t>
      </w:r>
      <w:r>
        <w:rPr>
          <w:rStyle w:val="FootnoteAnchor"/>
          <w:rtl w:val="true"/>
        </w:rPr>
        <w:footnoteReference w:id="199"/>
      </w:r>
      <w:r>
        <w:rPr>
          <w:rFonts w:ascii="Amiri" w:hAnsi="Amiri" w:eastAsia="Amiri" w:cs="Amiri"/>
          <w:color w:val="111111"/>
          <w:sz w:val="28"/>
          <w:sz w:val="28"/>
          <w:szCs w:val="28"/>
          <w:rtl w:val="true"/>
          <w:lang w:bidi="ar-SA"/>
        </w:rPr>
        <w:t xml:space="preserve">وطاوس لا يقضون بالطلاق على من حلف به فحنث ، ولا يعرف لعلي في ذلك مخالف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أجزتم الطلاق بصفة ولم تجيزوا النكاح بصفة ، والرجعة بصفة كمن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الدار فقد راجعت زوجتي المطلّقة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تزوّجتك ، وقالت هي مثل ذلك ، وقال الولي مثل </w:t>
      </w:r>
    </w:p>
    <w:p>
      <w:pPr>
        <w:pStyle w:val="BookText"/>
        <w:rPr/>
      </w:pPr>
      <w:r>
        <w:rPr>
          <w:rFonts w:ascii="Amiri" w:hAnsi="Amiri" w:eastAsia="Amiri" w:cs="Amiri"/>
          <w:color w:val="111111"/>
          <w:sz w:val="28"/>
          <w:sz w:val="28"/>
          <w:szCs w:val="28"/>
          <w:rtl w:val="true"/>
          <w:lang w:bidi="ar-SA"/>
        </w:rPr>
        <w:t>ذلك ولا سبيل إلى فرق</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هذا وقد فصّل ابن تيميّة بين التعليق الذي يقصد به الإيقاع والذي يقصد به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أن يكون مريداً للجزاء عند الشرط وإن كان الشرط مكروهاً له ، لكنّه إذا وجد الشرط فانّه يريد الطلاق لكون الشرط أكره إليه من الطلاق ، كما إذا قال لزوجته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خنت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فخانت الزوجة ، فهذا موقع للطلاق عند الصفة لا حالف ووقوع الطلاق في مثل هذا هو المأثور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هو التعليق الذي يقصد به اليمين ، ويمكن التعبير عن معناه بصيغة القسم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خنتِ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زجرها أو تخويفها باليمين لإيقاع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 لأنّه لا يكون مريداً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فعلت لكون طلاقها أكره إليه من مقامها على تلك الحال فهو علق بذلك لقصد الحظر والمنع لا لقصد الإيقاع فهذا حالف ليس بموقع</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حاصل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التفريق بين الحلف على النتيجة ، والحلف على الفعل ، فعلى الأوّل يتحقّق الطلاق ، إذا حصل المعلّق عليه ولا يتصوّر فيه الحنث ، لصيرورة الزوجة عندئذ مطلقة ، شاء الزوج أم لم يشأ ، لأنّ المنشأ صيرورتها مطلقة عند وقوع المعلق عليه وأمّا على الثاني ، فالمنشأ قيامه بالفعل في المستقبل وتطليقها ، وعندئذ يتصوّر فيه الحنث ولو كان ابن تيمية ملمّاً بفقه الشيعة ومصطلحاتهم ، لسهل عليه التعبير عن مقصده بما قلناه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الحلف على النتيجة ، إنّما يصحّ إذا لم يتوقّف حصولها على سبب </w:t>
      </w:r>
      <w:bookmarkStart w:id="193" w:name="pg10155_105303"/>
    </w:p>
    <w:p>
      <w:pPr>
        <w:pStyle w:val="BookText"/>
        <w:rPr/>
      </w:pPr>
      <w:bookmarkEnd w:id="193"/>
      <w:r>
        <w:rPr>
          <w:rFonts w:ascii="Amiri" w:hAnsi="Amiri" w:eastAsia="Amiri" w:cs="Amiri"/>
          <w:color w:val="111111"/>
          <w:sz w:val="28"/>
          <w:sz w:val="28"/>
          <w:szCs w:val="28"/>
          <w:rtl w:val="true"/>
          <w:lang w:bidi="ar-SA"/>
        </w:rPr>
        <w:t>خاص ، ككون الشيء ملكاً لزيد ، وأمّا إذا توقّف على سبب خاص أو شكّ في توقّفها عليه ، كما هو الحال في الطلاق ، فالحلف به ، لا يفيد في حصولها</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272781_1067777946"/>
      <w:bookmarkStart w:id="195" w:name="_Toc66"/>
      <w:bookmarkEnd w:id="194"/>
      <w:r>
        <w:rPr>
          <w:rtl w:val="true"/>
        </w:rPr>
        <w:t xml:space="preserve">إذا عرفت هذه الأُمور يقع الكلام في محورين </w:t>
      </w:r>
      <w:r>
        <w:rPr>
          <w:rtl w:val="true"/>
        </w:rPr>
        <w:t>:</w:t>
      </w:r>
      <w:bookmarkEnd w:id="19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الطلاق بالحلف به عند حصول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الزوجة في الفترة التي لم يتحقق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الكلام في الأوّل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272783_1067777946"/>
      <w:bookmarkStart w:id="197" w:name="_Toc67"/>
      <w:bookmarkEnd w:id="196"/>
      <w:r>
        <w:rPr>
          <w:rtl w:val="true"/>
        </w:rPr>
        <w:t>بطلان الطلاق بالحلف به</w:t>
      </w:r>
      <w:bookmarkEnd w:id="197"/>
    </w:p>
    <w:p>
      <w:pPr>
        <w:pStyle w:val="BookText"/>
        <w:rPr/>
      </w:pPr>
      <w:r>
        <w:rPr>
          <w:rFonts w:ascii="Amiri" w:hAnsi="Amiri" w:eastAsia="Amiri" w:cs="Amiri"/>
          <w:color w:val="111111"/>
          <w:sz w:val="28"/>
          <w:sz w:val="28"/>
          <w:szCs w:val="28"/>
          <w:rtl w:val="true"/>
          <w:lang w:bidi="ar-SA"/>
        </w:rPr>
        <w:t xml:space="preserve">ذهبت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بطلانه ، وقد اشتهرت الطائفة في باب الطلاق بإنكار 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المرأة وهي حائض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المرأة دون حضور عدلين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الحلف بالطلاق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والدليل على بطلان الحلف بالطلاق ، هو نفس الدليل على بطلان الطلاق المعلّق ، لما عرفت من أنّ الأوّل من أقسام الثاني ، ونزيده بياناً بما ورد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الحلف بالطلاق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أُسامة الشحام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قريباً لي أو صهراً حلف إن خرجت امرأته من الباب فهي طالق ثلاثاً ، فخرجت ، فقد دخل صاحبها منها ما شاء الله من المشقة ، فأمرني أن أسألك ، فأصغى إليّ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فليُمسكها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التفت إلى القوم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يأمرونها أن تتزوّج </w:t>
      </w:r>
      <w:bookmarkStart w:id="198" w:name="pg10155_105304"/>
    </w:p>
    <w:p>
      <w:pPr>
        <w:pStyle w:val="BookText"/>
        <w:rPr/>
      </w:pPr>
      <w:bookmarkEnd w:id="198"/>
      <w:r>
        <w:rPr>
          <w:rFonts w:ascii="IRNazanin" w:hAnsi="IRNazanin" w:eastAsia="IRNazanin"/>
          <w:color w:val="111111"/>
          <w:sz w:val="28"/>
          <w:sz w:val="28"/>
          <w:szCs w:val="28"/>
          <w:rtl w:val="true"/>
          <w:lang w:bidi="fa-IR"/>
        </w:rPr>
        <w:t>ولها زوج</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ونعيد هنا كلمة لبعض المشايخ ، مرّت بنا والصفحات الماضية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الزواج عصمة ومودة ورحمة وميثاق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أَفْضى بَعْضُكُمْ إِلى بَعْضٍ وَأَخَذْنَ مِنْكُمْ مِيثاقاً غَلِيظاً</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إذن لا يجوز بحال أن ننقض هذه العصمة والمودة والرحمة ، وهذا العهد والميثاق ، إلاّ بعد أن نعلم علماً قاطعاً لكلّ شكّ بأنّ الشرع قد حلّ الزواج ، ونقضه بعد أن أثبته وأبرمه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Heading3"/>
        <w:numPr>
          <w:ilvl w:val="2"/>
          <w:numId w:val="1"/>
        </w:numPr>
        <w:rPr/>
      </w:pPr>
      <w:bookmarkStart w:id="199" w:name="__RefHeading___Toc1272785_1067777946"/>
      <w:bookmarkStart w:id="200" w:name="_Toc68"/>
      <w:bookmarkEnd w:id="199"/>
      <w:r>
        <w:rPr>
          <w:rtl w:val="true"/>
        </w:rPr>
        <w:t>دليل القائل بالصحّة</w:t>
      </w:r>
      <w:bookmarkEnd w:id="200"/>
    </w:p>
    <w:p>
      <w:pPr>
        <w:pStyle w:val="BookText"/>
        <w:rPr/>
      </w:pPr>
      <w:r>
        <w:rPr>
          <w:rFonts w:ascii="Amiri" w:hAnsi="Amiri" w:eastAsia="Amiri" w:cs="Amiri"/>
          <w:color w:val="111111"/>
          <w:sz w:val="28"/>
          <w:sz w:val="28"/>
          <w:szCs w:val="28"/>
          <w:rtl w:val="true"/>
          <w:lang w:bidi="ar-SA"/>
        </w:rPr>
        <w:t>استدلّ القائل بالصحّة بما مرّ في الطلاق المعلّق من أنّه التزم أمراً عند وجود شرطه فلزمه ما التزمه مثلاً التزم بأنّه إذا كلّمت الزوجة فلاناً فهي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عبارة أُخرى للتمسّك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انّه لا يستدلّ بالكبرى على صحّة الصغرى فانّ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انّهم عند شروطهم التي ثبتت صحّة الاشتراط بها في الإنشاء ، دون ما إذا شكّ في صحّة الاشتراط</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عليه بالإجماع ، كما ذهب إلى ذلك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وجود الخلاف بين الصحابة والتابعين فكيف يدّعي الإجماع؟</w:t>
      </w:r>
      <w:r>
        <w:rPr>
          <w:rFonts w:eastAsia="Amiri" w:cs="Amiri" w:ascii="Amiri" w:hAnsi="Amiri"/>
          <w:color w:val="111111"/>
          <w:sz w:val="28"/>
          <w:szCs w:val="28"/>
          <w:rtl w:val="true"/>
          <w:lang w:bidi="ar-SA"/>
        </w:rPr>
        <w:t xml:space="preserve">! </w:t>
      </w:r>
      <w:bookmarkStart w:id="201" w:name="pg10155_105305"/>
    </w:p>
    <w:p>
      <w:pPr>
        <w:pStyle w:val="Heading3"/>
        <w:numPr>
          <w:ilvl w:val="2"/>
          <w:numId w:val="1"/>
        </w:numPr>
        <w:rPr/>
      </w:pPr>
      <w:bookmarkStart w:id="202" w:name="__RefHeading___Toc1272787_1067777946"/>
      <w:bookmarkStart w:id="203" w:name="_Toc69"/>
      <w:bookmarkEnd w:id="201"/>
      <w:bookmarkEnd w:id="202"/>
      <w:r>
        <w:rPr>
          <w:rtl w:val="true"/>
        </w:rPr>
        <w:t>حكم المرأة في الفترة</w:t>
      </w:r>
      <w:bookmarkEnd w:id="203"/>
    </w:p>
    <w:p>
      <w:pPr>
        <w:pStyle w:val="BookText"/>
        <w:rPr/>
      </w:pPr>
      <w:r>
        <w:rPr>
          <w:rFonts w:ascii="Amiri" w:hAnsi="Amiri" w:eastAsia="Amiri" w:cs="Amiri"/>
          <w:color w:val="111111"/>
          <w:sz w:val="28"/>
          <w:sz w:val="28"/>
          <w:szCs w:val="28"/>
          <w:rtl w:val="true"/>
          <w:lang w:bidi="ar-SA"/>
        </w:rPr>
        <w:t xml:space="preserve">لو قلنا ببطلان الحلف بالطلاق وانّ وجوده وعدمه سيان ، تكون المحلوف عليها زوجته ، سواء تحقّق المعلّق عليه أو لا ، فيكون البحث أشبه بالسالبة بانتفاء الموضوع ، وقد مرّ في كلام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 الله يأمرونها أن تتزوّج ولها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بصحّة الإنشاء وصيرورتها مطلّقة عند تحقّق المعلّق عليه فمقتضى القاعدة جواز مسها في الفترة بين إنشاء الصيغة وتحقّق المعلّق عليه ، وقد روى ابن حزم عن ابن عباس جواز مسّها قبل رأس الشهر إذا علّق الطلاق عليه ، ومع ذلك نقل عن سعيد بن المسيب حرمة المس قبل رأس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التوارث إذا مات أحدهما قبل رأس الشهر ، فيرث على قول ابن عباس ، لأنّها زوجته ولا يرث على القول الآخر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عن مالك التفصيل بين كون المعلّق عليه مشكوك الوجود في المستقبل ، فيجوز فيها ويتوارثان إذا مات أحدهما قبل تحقّق المعلّق عليه ، دون ما إذا كان محقّق الوجود ، فلا يجوز فيها ولا يتوارثان</w:t>
      </w:r>
      <w:r>
        <w:rPr>
          <w:rFonts w:eastAsia="Amiri" w:cs="Amiri" w:ascii="Amiri" w:hAnsi="Amiri"/>
          <w:color w:val="111111"/>
          <w:sz w:val="28"/>
          <w:szCs w:val="28"/>
          <w:rtl w:val="true"/>
          <w:lang w:bidi="ar-SA"/>
        </w:rPr>
        <w:t xml:space="preserve">. </w:t>
      </w:r>
      <w:r>
        <w:rPr>
          <w:rStyle w:val="FootnoteAnchor"/>
          <w:rtl w:val="true"/>
        </w:rPr>
        <w:footnoteReference w:id="206"/>
      </w:r>
      <w:bookmarkStart w:id="204" w:name="pg10155_105306"/>
    </w:p>
    <w:p>
      <w:pPr>
        <w:pStyle w:val="Heading3"/>
        <w:numPr>
          <w:ilvl w:val="2"/>
          <w:numId w:val="1"/>
        </w:numPr>
        <w:rPr/>
      </w:pPr>
      <w:bookmarkStart w:id="205" w:name="__RefHeading___Toc1272789_1067777946"/>
      <w:bookmarkStart w:id="206" w:name="_Toc70"/>
      <w:bookmarkEnd w:id="204"/>
      <w:bookmarkEnd w:id="205"/>
      <w:r>
        <w:rPr>
          <w:rtl w:val="true"/>
        </w:rPr>
        <w:t>خاتمة المطاف</w:t>
      </w:r>
      <w:r>
        <w:rPr>
          <w:rtl w:val="true"/>
        </w:rPr>
        <w:t xml:space="preserve">: </w:t>
      </w:r>
      <w:r>
        <w:rPr>
          <w:rtl w:val="true"/>
        </w:rPr>
        <w:t>هل تتعلّق الكفّارة إذا حنث</w:t>
      </w:r>
      <w:bookmarkEnd w:id="206"/>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الكفّارة بما إذا حلف بالله أو أسمائه الخاصة لتحقّق ما يحتمل المخالفة والموافقة في المستقبل</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عبارة عن تحقيق ما يمكن فيه الخلاف بذكر اسم الله أو صفاته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إلى غير ذلك من الكلمات المتضافرة من اختصاص الكفّارة بالحلف بالله وصفاته ولا ينعقد الحلف باليمين على غير الله وصفاته وإن كان المحلوف به هو الكعبة والقرآن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ذلك فالبحث عن الكفّارة على أُصولنا أشبه بالسالبة بانتفاء الموضوع لعدم انعقاد اليمين بغير الله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ذهبت المالكية إلى أنّ أيمان المسلمين ستة أشياء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بالله تعالى ، والطلاق البات لجميع الزوجات ، أو عتق ما يملك من العبيد والإماء ، والتصدق بثلث المال ، والمشي بحج وصوم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قريب من ذلك من الحنابلة</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ابن تيمية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يمين من أيمان المسلمين فيجري فيها ما </w:t>
      </w:r>
    </w:p>
    <w:p>
      <w:pPr>
        <w:pStyle w:val="BookText"/>
        <w:rPr/>
      </w:pPr>
      <w:r>
        <w:rPr>
          <w:rFonts w:ascii="Amiri" w:hAnsi="Amiri" w:eastAsia="Amiri" w:cs="Amiri"/>
          <w:color w:val="111111"/>
          <w:sz w:val="28"/>
          <w:sz w:val="28"/>
          <w:szCs w:val="28"/>
          <w:rtl w:val="true"/>
          <w:lang w:bidi="ar-SA"/>
        </w:rPr>
        <w:t>يجري في أيمان المسلمين ، وهو الكفارة عند الحنث ، إلاّ أن يختار إيقاع الطلاق فله أن يوقعه ولا كفّارة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ولكن من أين ثبت انّه من أيمان المسلمين ، ليكونَ للطلاق من القداسة ما للفظ الجلالة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الأمر ما أحدثه الحجاج بن يوسف الثقفي المعروف بأيمان البيعة ، فكان يأمر الناس عند البيعة لعبد الملك بن مروان أن يحلفوا بالطلاق والعتاق واليمين بالله وصدقة المال ، فكان هذه الأيمان الأربعة ، أيمان البيعة القديمة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أحدث المستحلفون من الأمراء عن الخلفاء والملوك وغيرهم إيماناً كثيرة تختلف فيها عاداتهم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ومع ذلك فلا خلاف بين فقهاء السنة عدا ابن تيميّة في كلامه السابق انّ الحلف بغير الله لا تجب بالحنث فيه الكفّارة ، إلاّ ما روي عن أكثر الحنابلة في وجوب الكفارة على من حنث في رسول الله ، لأنّه أحد شطري الشهادتين اللّتين يصير بهما الكافر مسلماً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الحنث إنّما يتصوّر إذا حلف على الفعل بأن يطلقها في المستقبل عند حصول المعلّق عليه ، فإذا حصل ولم يطلق ، حصل الحنث دون ما إذا حلف على النتيجة أي صيرورة المرأة مطلقة أو ماله صدقة أو عبده معتقاً بنفس هذه الصيغة إذا حصل المعلّق عليه من دون حاجة إلى صيغة أُخرى ، إذ تكون المرأة عندئذ مطلقة ، شاء الحالف أم 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كون أمواله صدقة وعبيده عتقاء ، وقد مرّ توضيحه عند نقل كلام ابن تيمية</w:t>
      </w:r>
      <w:r>
        <w:rPr>
          <w:rFonts w:eastAsia="Amiri" w:cs="Amiri" w:ascii="Amiri" w:hAnsi="Amiri"/>
          <w:color w:val="111111"/>
          <w:sz w:val="28"/>
          <w:szCs w:val="28"/>
          <w:rtl w:val="true"/>
          <w:lang w:bidi="ar-SA"/>
        </w:rPr>
        <w:t xml:space="preserve">. </w:t>
      </w:r>
      <w:bookmarkStart w:id="207" w:name="pg10155_105308"/>
    </w:p>
    <w:p>
      <w:pPr>
        <w:pStyle w:val="Heading2"/>
        <w:numPr>
          <w:ilvl w:val="1"/>
          <w:numId w:val="1"/>
        </w:numPr>
        <w:rPr/>
      </w:pPr>
      <w:bookmarkStart w:id="208" w:name="__RefHeading___Toc1272791_1067777946"/>
      <w:bookmarkStart w:id="209" w:name="_Toc71"/>
      <w:bookmarkEnd w:id="207"/>
      <w:bookmarkEnd w:id="208"/>
      <w:r>
        <w:rPr/>
        <w:t>19</w:t>
      </w:r>
      <w:r>
        <w:rPr>
          <w:rtl w:val="true"/>
        </w:rPr>
        <w:t xml:space="preserve">- </w:t>
      </w:r>
      <w:r>
        <w:rPr>
          <w:rtl w:val="true"/>
        </w:rPr>
        <w:t>الطلاق في الحيض والنفاس أو في طهر جامعها</w:t>
      </w:r>
      <w:bookmarkEnd w:id="20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1272793_1067777946"/>
      <w:bookmarkStart w:id="211" w:name="_Toc72"/>
      <w:bookmarkEnd w:id="210"/>
      <w:r>
        <w:rPr>
          <w:rtl w:val="true"/>
        </w:rPr>
        <w:t>اشارة</w:t>
      </w:r>
      <w:bookmarkEnd w:id="21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0155_105310"/>
      <w:bookmarkStart w:id="213" w:name="pg10155_105310"/>
      <w:bookmarkEnd w:id="213"/>
    </w:p>
    <w:p>
      <w:pPr>
        <w:pStyle w:val="Heading3"/>
        <w:numPr>
          <w:ilvl w:val="2"/>
          <w:numId w:val="1"/>
        </w:numPr>
        <w:rPr/>
      </w:pPr>
      <w:bookmarkStart w:id="214" w:name="pg10155_105310"/>
      <w:bookmarkStart w:id="215" w:name="__RefHeading___Toc1272795_1067777946"/>
      <w:bookmarkStart w:id="216" w:name="_Toc73"/>
      <w:bookmarkEnd w:id="214"/>
      <w:bookmarkEnd w:id="215"/>
      <w:r>
        <w:rPr>
          <w:rtl w:val="true"/>
        </w:rPr>
        <w:t>الطلاق في الحيض والنفاس أو في طهر جامعها</w:t>
      </w:r>
      <w:bookmarkEnd w:id="216"/>
    </w:p>
    <w:p>
      <w:pPr>
        <w:pStyle w:val="Heading4"/>
        <w:numPr>
          <w:ilvl w:val="3"/>
          <w:numId w:val="1"/>
        </w:numPr>
        <w:rPr/>
      </w:pPr>
      <w:bookmarkStart w:id="217" w:name="__RefHeading___Toc1272797_1067777946"/>
      <w:bookmarkStart w:id="218" w:name="_Toc74"/>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اتّفقت الإمامية على أنّ الطلاق في الحيض والنفاس حرام تكليفاً وباطل وضعاً ، وهكذا الطلاق في طهر المواقعة ، وأمّا جمهور الفقهاء من السنّة فاتّفقوا على وقوع الطلاق مع اتّفاقهم على وقوع الإثم فيه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في تحرير دليل المسألة ، نقدّم أُموراً </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272799_1067777946"/>
      <w:bookmarkStart w:id="220" w:name="_Toc75"/>
      <w:bookmarkEnd w:id="219"/>
      <w:r>
        <w:rPr>
          <w:rtl w:val="true"/>
        </w:rPr>
        <w:t xml:space="preserve">الأوّل </w:t>
      </w:r>
      <w:r>
        <w:rPr>
          <w:rtl w:val="true"/>
        </w:rPr>
        <w:t xml:space="preserve">: </w:t>
      </w:r>
      <w:r>
        <w:rPr>
          <w:rtl w:val="true"/>
        </w:rPr>
        <w:t>تقسيم الطلاق إلى سُنّي وبدعيّ</w:t>
      </w:r>
      <w:bookmarkEnd w:id="220"/>
    </w:p>
    <w:p>
      <w:pPr>
        <w:pStyle w:val="BookText"/>
        <w:rPr/>
      </w:pPr>
      <w:r>
        <w:rPr>
          <w:rFonts w:ascii="Amiri" w:hAnsi="Amiri" w:eastAsia="Amiri" w:cs="Amiri"/>
          <w:color w:val="111111"/>
          <w:sz w:val="28"/>
          <w:sz w:val="28"/>
          <w:szCs w:val="28"/>
          <w:rtl w:val="true"/>
          <w:lang w:bidi="ar-SA"/>
        </w:rPr>
        <w:t>قسَّم الفقهاء الطلاق من حيث وصفه الشرعي إلى سُنّي وبدعي ؛ ويريدون بالسنّي ما وافق السنّة في طريقة إيقاعه ، والبدعي ما خالف السنّة في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مصاديق الطلاق السُّني هو أن يطلّق الزوج زوجته طلقة واحدة رجعية في طهر لم يطأها فيه ، وعلى ذلك فالطلاق في الطهر الذي واقعها أو في حالة الحيض والنفاس طلاق بدعي ، وهذا ممّا لا كلام فيه</w:t>
      </w:r>
      <w:r>
        <w:rPr>
          <w:rFonts w:eastAsia="Amiri" w:cs="Amiri" w:ascii="Amiri" w:hAnsi="Amiri"/>
          <w:color w:val="111111"/>
          <w:sz w:val="28"/>
          <w:szCs w:val="28"/>
          <w:rtl w:val="true"/>
          <w:lang w:bidi="ar-SA"/>
        </w:rPr>
        <w:t xml:space="preserve">. </w:t>
      </w:r>
      <w:bookmarkStart w:id="221" w:name="pg10155_105311"/>
    </w:p>
    <w:p>
      <w:pPr>
        <w:pStyle w:val="Heading4"/>
        <w:numPr>
          <w:ilvl w:val="3"/>
          <w:numId w:val="1"/>
        </w:numPr>
        <w:rPr/>
      </w:pPr>
      <w:bookmarkStart w:id="222" w:name="__RefHeading___Toc1272801_1067777946"/>
      <w:bookmarkStart w:id="223" w:name="_Toc76"/>
      <w:bookmarkEnd w:id="221"/>
      <w:bookmarkEnd w:id="222"/>
      <w:r>
        <w:rPr>
          <w:rtl w:val="true"/>
        </w:rPr>
        <w:t xml:space="preserve">الثاني </w:t>
      </w:r>
      <w:r>
        <w:rPr>
          <w:rtl w:val="true"/>
        </w:rPr>
        <w:t xml:space="preserve">: </w:t>
      </w:r>
      <w:r>
        <w:rPr>
          <w:rtl w:val="true"/>
        </w:rPr>
        <w:t>في تفسير شرطية الطهر في الطلاق السنّي</w:t>
      </w:r>
      <w:bookmarkEnd w:id="223"/>
    </w:p>
    <w:p>
      <w:pPr>
        <w:pStyle w:val="BookText"/>
        <w:rPr/>
      </w:pPr>
      <w:r>
        <w:rPr>
          <w:rFonts w:ascii="Amiri" w:hAnsi="Amiri" w:eastAsia="Amiri" w:cs="Amiri"/>
          <w:color w:val="111111"/>
          <w:sz w:val="28"/>
          <w:sz w:val="28"/>
          <w:szCs w:val="28"/>
          <w:rtl w:val="true"/>
          <w:lang w:bidi="ar-SA"/>
        </w:rPr>
        <w:t>اتّفقت كلمتهم على أنّ طهارة المرأة من الحيض والنفاس طلاق سنّي ومقابله بدعي ، إلاّ أنّ الكلام في مفاد شرطية الطهر ، فهل هو شرط الصحة والإجزاء ، أو شرط الكمال والتمام؟</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التكليف في المقام تكليف وضعي بمعنى كونها شرطاً لصحّة الطلاق ولولاه كان الطلاق باطلاً ، أو انّه حكم تكليفي متوجّه إلى المطلِّق ، وهو انّه يجب أن يُحلّ العقدة في حال كونها طاهرة من الحيض والنفاس فلو تخلّف أثم وصحّ الطلاق؟</w:t>
      </w:r>
    </w:p>
    <w:p>
      <w:pPr>
        <w:pStyle w:val="BookText"/>
        <w:rPr/>
      </w:pPr>
      <w:r>
        <w:rPr>
          <w:rFonts w:ascii="Amiri" w:hAnsi="Amiri" w:eastAsia="Amiri" w:cs="Amiri"/>
          <w:color w:val="111111"/>
          <w:sz w:val="28"/>
          <w:sz w:val="28"/>
          <w:szCs w:val="28"/>
          <w:rtl w:val="true"/>
          <w:lang w:bidi="ar-SA"/>
        </w:rPr>
        <w:t>فالإمامية وقليل من غيرهم كسعيد بن المسيب</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وابن عليّة كما يأتي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المذاهب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تكليفي</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272803_1067777946"/>
      <w:bookmarkStart w:id="225" w:name="_Toc77"/>
      <w:bookmarkEnd w:id="224"/>
      <w:r>
        <w:rPr>
          <w:rtl w:val="true"/>
        </w:rPr>
        <w:t xml:space="preserve">الثالث </w:t>
      </w:r>
      <w:r>
        <w:rPr>
          <w:rtl w:val="true"/>
        </w:rPr>
        <w:t xml:space="preserve">: </w:t>
      </w:r>
      <w:r>
        <w:rPr>
          <w:rtl w:val="true"/>
        </w:rPr>
        <w:t>نقل كلمات الفقهاء</w:t>
      </w:r>
      <w:bookmarkEnd w:id="225"/>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الطلاق المحرَّم ، هو أن يطلّق مدخولاً بها غير غائب عنها غيبة مخصوصة ، في حال الحيض أو في طهر جامعها فيه ، فما هذا حكمه فانّه لا يقع عندنا ، والعقد ثابت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عليّة ، وقال جميع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وإن كان محظوراً ، ذهب إليه أبو حنيفة وأصحابه ومالك والأوزاعي والثوري والشافعي</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رشد في حكم من طلّق في وقت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الجمهور قالوا </w:t>
      </w:r>
      <w:r>
        <w:rPr>
          <w:rFonts w:eastAsia="Amiri" w:cs="Amiri" w:ascii="Amiri" w:hAnsi="Amiri"/>
          <w:color w:val="111111"/>
          <w:sz w:val="28"/>
          <w:szCs w:val="28"/>
          <w:rtl w:val="true"/>
          <w:lang w:bidi="ar-SA"/>
        </w:rPr>
        <w:t xml:space="preserve">: </w:t>
      </w:r>
      <w:bookmarkStart w:id="226" w:name="pg10155_105312"/>
    </w:p>
    <w:p>
      <w:pPr>
        <w:pStyle w:val="BookText"/>
        <w:rPr/>
      </w:pPr>
      <w:bookmarkEnd w:id="226"/>
      <w:r>
        <w:rPr>
          <w:rFonts w:ascii="Amiri" w:hAnsi="Amiri" w:eastAsia="Amiri" w:cs="Amiri"/>
          <w:color w:val="111111"/>
          <w:sz w:val="28"/>
          <w:sz w:val="28"/>
          <w:szCs w:val="28"/>
          <w:rtl w:val="true"/>
          <w:lang w:bidi="ar-SA"/>
        </w:rPr>
        <w:t xml:space="preserve">يُمضى طلاقه ، وقالت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ينفذ ولا يقع ، والذين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يؤمر بالرجعة ، وهؤلاء افترقوا فرقتين ، فقوم رأوا انّ ذلك واجب ، وأنّه يجبر على ذلك ، وبه قال مالك وأصحابه ، وقالت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يندب إلى ذلك ولا يجبر ، وبه قال الشافعي وأبو حنيفة والثوري وأحمد</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وفي الموسوعة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جمهور الفقهاء على وقوع الطلاق البدعي ، مع اتّفاقهم على وقوع الإثم فيه على المطلق لمخالفته السنّة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طلق زوجته في الحيض وجب عليه مراجعتها ، رفعاً للإثم لدى الحنفية في الأصح عندهم ، وقال القدوري من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 مستحبة لا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الشافعي إلى أنّ مراجعة من طلقها بدعياً سنّة ، وعبر الحنابلة عن ذلك بالاستحباب</w:t>
      </w:r>
      <w:r>
        <w:rPr>
          <w:rFonts w:eastAsia="Amiri" w:cs="Amiri" w:ascii="Amiri" w:hAnsi="Amiri"/>
          <w:color w:val="111111"/>
          <w:sz w:val="28"/>
          <w:szCs w:val="28"/>
          <w:rtl w:val="true"/>
          <w:lang w:bidi="ar-SA"/>
        </w:rPr>
        <w:t xml:space="preserve">. </w:t>
      </w:r>
      <w:r>
        <w:rPr>
          <w:rStyle w:val="FootnoteAnchor"/>
          <w:rtl w:val="true"/>
        </w:rPr>
        <w:footnoteReference w:id="215"/>
      </w:r>
    </w:p>
    <w:p>
      <w:pPr>
        <w:pStyle w:val="Heading4"/>
        <w:numPr>
          <w:ilvl w:val="3"/>
          <w:numId w:val="1"/>
        </w:numPr>
        <w:rPr/>
      </w:pPr>
      <w:bookmarkStart w:id="227" w:name="__RefHeading___Toc1272805_1067777946"/>
      <w:bookmarkStart w:id="228" w:name="_Toc78"/>
      <w:bookmarkEnd w:id="227"/>
      <w:r>
        <w:rPr>
          <w:rtl w:val="true"/>
        </w:rPr>
        <w:t xml:space="preserve">الرابع </w:t>
      </w:r>
      <w:r>
        <w:rPr>
          <w:rtl w:val="true"/>
        </w:rPr>
        <w:t xml:space="preserve">: </w:t>
      </w:r>
      <w:r>
        <w:rPr>
          <w:rtl w:val="true"/>
        </w:rPr>
        <w:t>ما هو المراد من القُرء؟</w:t>
      </w:r>
      <w:bookmarkEnd w:id="228"/>
    </w:p>
    <w:p>
      <w:pPr>
        <w:pStyle w:val="BookText"/>
        <w:rPr/>
      </w:pPr>
      <w:r>
        <w:rPr>
          <w:rFonts w:ascii="Amiri" w:hAnsi="Amiri" w:eastAsia="Amiri" w:cs="Amiri"/>
          <w:color w:val="111111"/>
          <w:sz w:val="28"/>
          <w:sz w:val="28"/>
          <w:szCs w:val="28"/>
          <w:rtl w:val="true"/>
          <w:lang w:bidi="ar-SA"/>
        </w:rPr>
        <w:t xml:space="preserve">اتّفق الفقهاء على أنّ المطلقات يتربصن بأنفسهن ثلاثة قروء ، غير أنّهم اختلفوا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يجمع على قروء ، فالشيعة الإمامية على أنّ المراد منه هو الأطهار الثلاثة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تبعوا في ذلك ما روي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ربيعة الرأي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من الحيضة الثالثة بانت منه ، وإنّما القرء ما بين الحيضتين وزعم انّه أخذ ذلك برأيه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أخذه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فيها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229" w:name="pg10155_105313"/>
    </w:p>
    <w:p>
      <w:pPr>
        <w:pStyle w:val="BookText"/>
        <w:rPr/>
      </w:pPr>
      <w:bookmarkEnd w:id="229"/>
      <w:r>
        <w:rPr>
          <w:rFonts w:ascii="Amiri" w:hAnsi="Amiri" w:eastAsia="Amiri" w:cs="Amiri"/>
          <w:color w:val="111111"/>
          <w:sz w:val="28"/>
          <w:sz w:val="28"/>
          <w:szCs w:val="28"/>
          <w:rtl w:val="true"/>
          <w:lang w:bidi="ar-SA"/>
        </w:rPr>
        <w:t>رأت الدم من الحيضة الثالثة فقد انقضت عدتها ولا سبيل عليها وإنّما القرء ما بين الحيضتين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روى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ربيعة الرأي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رأيي انّ الاقراء التي سمّى الله عزّ وجلّ في القرآن إنّما هو الطهر فيما بين الحيضتين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بلغه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إنّما القرء الطهر الذي يُقرأ فيه الدم ، فيجمعه ، فإذا جاء المحيض دفعه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وذهب أصحاب سائر المذاهب إلاّ من عرفت إلى أنّ المراد منها هي الحيضات والتحقيق في محلّه ، وإنّما ذكرنا ذلك مقدّمة لتفسير الآية الآتية</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272807_1067777946"/>
      <w:bookmarkStart w:id="231" w:name="_Toc79"/>
      <w:bookmarkEnd w:id="230"/>
      <w:r>
        <w:rPr>
          <w:rtl w:val="true"/>
        </w:rPr>
        <w:t xml:space="preserve">الخامس </w:t>
      </w:r>
      <w:r>
        <w:rPr>
          <w:rtl w:val="true"/>
        </w:rPr>
        <w:t xml:space="preserve">: </w:t>
      </w:r>
      <w:r>
        <w:rPr>
          <w:rtl w:val="true"/>
        </w:rPr>
        <w:t>عدم احتساب الحيضة من العدّة</w:t>
      </w:r>
      <w:bookmarkEnd w:id="231"/>
    </w:p>
    <w:p>
      <w:pPr>
        <w:pStyle w:val="BookText"/>
        <w:rPr/>
      </w:pPr>
      <w:r>
        <w:rPr>
          <w:rFonts w:ascii="Amiri" w:hAnsi="Amiri" w:eastAsia="Amiri" w:cs="Amiri"/>
          <w:color w:val="111111"/>
          <w:sz w:val="28"/>
          <w:sz w:val="28"/>
          <w:szCs w:val="28"/>
          <w:rtl w:val="true"/>
          <w:lang w:bidi="ar-SA"/>
        </w:rPr>
        <w:t>إذا طلق زوجته في الحيض والنفاس فلا تحسب تلك الحيضة من الإقراء الثلاثة عند القائلين بصحّة الطلاق ، بل تحسب الحيضة الثانية بعد انقضاء الأُولى بالدخول في طهرها ، وعلى هذا الأصل ذكر بعض الباحثين بأنّ الحكمة في المنع من الطلاق في الحيض هو انّ ذلك يُطيل على المرأة العدة ، فانّها إن كانت حائضاً لم تحتسب الحيضة من عدتها ، فتنتظر حتى تطهر من حيضها وتتم مدة طهرها ، ثمّ تبدأ العدة من الحيضة التالية</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هذا على مذهب أهل السنّة من تفسير القروء ، وبالتالي العدّة بالحيضات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وتطول العدة أيضاً على القول بتفسير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بالطهر ، إذا لا تحتسب الحيضة من عدتها فتنتظر حتّى تطهر من حيضها وتبدأ العدة من يوم طهرت</w:t>
      </w:r>
      <w:r>
        <w:rPr>
          <w:rFonts w:eastAsia="Amiri" w:cs="Amiri" w:ascii="Amiri" w:hAnsi="Amiri"/>
          <w:color w:val="111111"/>
          <w:sz w:val="28"/>
          <w:szCs w:val="28"/>
          <w:rtl w:val="true"/>
          <w:lang w:bidi="ar-SA"/>
        </w:rPr>
        <w:t xml:space="preserve">. </w:t>
      </w:r>
      <w:bookmarkStart w:id="232" w:name="pg10155_105314"/>
    </w:p>
    <w:p>
      <w:pPr>
        <w:pStyle w:val="Heading4"/>
        <w:numPr>
          <w:ilvl w:val="3"/>
          <w:numId w:val="1"/>
        </w:numPr>
        <w:rPr/>
      </w:pPr>
      <w:bookmarkStart w:id="233" w:name="__RefHeading___Toc1272809_1067777946"/>
      <w:bookmarkStart w:id="234" w:name="_Toc80"/>
      <w:bookmarkEnd w:id="232"/>
      <w:bookmarkEnd w:id="233"/>
      <w:r>
        <w:rPr>
          <w:rtl w:val="true"/>
        </w:rPr>
        <w:t xml:space="preserve">السادس </w:t>
      </w:r>
      <w:r>
        <w:rPr>
          <w:rtl w:val="true"/>
        </w:rPr>
        <w:t xml:space="preserve">: </w:t>
      </w:r>
      <w:r>
        <w:rPr>
          <w:rtl w:val="true"/>
        </w:rPr>
        <w:t>طلاق عبد الله بن عمر هو الأصل</w:t>
      </w:r>
      <w:bookmarkEnd w:id="234"/>
    </w:p>
    <w:p>
      <w:pPr>
        <w:pStyle w:val="BookText"/>
        <w:rPr/>
      </w:pPr>
      <w:r>
        <w:rPr>
          <w:rFonts w:ascii="Amiri" w:hAnsi="Amiri" w:eastAsia="Amiri" w:cs="Amiri"/>
          <w:color w:val="111111"/>
          <w:sz w:val="28"/>
          <w:sz w:val="28"/>
          <w:szCs w:val="28"/>
          <w:rtl w:val="true"/>
          <w:lang w:bidi="ar-SA"/>
        </w:rPr>
        <w:t>إنّ دليل القائل بالجواز في حال الحيض رواية عبد الله بن عمر ، وقد وردت بألفاظ كثيرة ، حتّى أوجدت في الرواية اضطراباً ، وسيوافيك صورها ومعالجة اضطرابها وانطباقها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 فلنذكر الدليل على بطلان الطلاق</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272811_1067777946"/>
      <w:bookmarkStart w:id="236" w:name="_Toc81"/>
      <w:bookmarkEnd w:id="235"/>
      <w:r>
        <w:rPr>
          <w:rtl w:val="true"/>
        </w:rPr>
        <w:t>الاستدلال بالكتاب على شرطية الطهر</w:t>
      </w:r>
      <w:bookmarkEnd w:id="236"/>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والآية ظاهرة في أنّ المسلم إذا أراد أن يطلّق زوجته فعليه أن ينتظر الوقت المناسب للدخول في العدة بحيث يكون الوقت الذي تطلّق فيه جزءاً من العدة ، فلو طُلِّقت في حالة الحيض ، فانّها لا تحسب منها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فطلقوهنّ لعدتهنّ ، أي في الزمان الذي يصلح لعدتهن ، وحصل الإجماع على أنّ الطلاق في الحيض ممنوع ، وفي الطهر مأذون فيه</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دالّة على شرطية الطهارة من الحيض مطلقاً ، سواء فسرت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بالأطهار الثلاثة ، أو بالحيضات </w:t>
      </w:r>
    </w:p>
    <w:p>
      <w:pPr>
        <w:pStyle w:val="BookText"/>
        <w:rPr/>
      </w:pP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انّه إذا قلنا بأنّ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الأطهار الثلاثة ، فاللام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ظاهرة في الغاية والتعليل والمعنى فطلقوهن لغاية أن يعتددن ، والأصل هو ترتّب الغاية على ذيها بلا فصل ولا تريّث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يدلّ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الْكِتابَ إِلاَّ لِتُبَيِّنَ لَهُمُ الَّذِي اخْتَلَفُوا فِيهِ</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واحتمال كون اللام للعاقبة التي ربّما يكون هناك فصل بين الغاية وذيها ، 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 وَحَزَناً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غير صحيح ، لأنّ موردها فيما إذا كانت النتيجة مرتبة على ذيها ترتّباً قهرياً غير إرادي كما في الآية ، ومثل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وابنوا للخراب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بأنّ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الحيضات الثلاث فبما انّ الطلاق في حال الحيض حرام تكليفاً في عامة المذاهب الفقهية ، فلا يصحّ تفسير اللام بالظرفية إن طلقوهن في 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بالغاية فطلقوهن لغاية اعتدادهنّ بعد الطلاق ، لما عرفت من أنّ الحيضة التي وقع الطلاق فيها لا تحسب من الثلاث ، فلا محيص من تفسير الآية بتقدير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مستقبلات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لقيته لثلاث بقين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مستقبلاً لثلاث ، وبما 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الحيضات الثلاث ، فيكون المراد بمستقبلها ، هو أيّام الطهر من الحيض ، أي طلقوهن في حال كونهن مطهرات ، مستقبلات لعدتهنّ ، أي الحيضات الثلاث</w:t>
      </w:r>
      <w:r>
        <w:rPr>
          <w:rFonts w:eastAsia="Amiri" w:cs="Amiri" w:ascii="Amiri" w:hAnsi="Amiri"/>
          <w:color w:val="111111"/>
          <w:sz w:val="28"/>
          <w:szCs w:val="28"/>
          <w:rtl w:val="true"/>
          <w:lang w:bidi="ar-SA"/>
        </w:rPr>
        <w:t xml:space="preserve">. </w:t>
      </w:r>
      <w:bookmarkStart w:id="237" w:name="pg10155_105316"/>
    </w:p>
    <w:p>
      <w:pPr>
        <w:pStyle w:val="BookText"/>
        <w:rPr/>
      </w:pPr>
      <w:bookmarkEnd w:id="237"/>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قَبْل عدتهن أو لقبل عدتهن ، وهي قراءة النبي كما قال ابن عمر في صحيح مسلم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العدة آخر الطهر حتى يكون القرء هو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الحقّ هو الوجه الأوّل ، فانّ لازم ذلك اختصاص الطلاق بآخر الطهر ، ويترتّب عليه انّه لو طلق في أوّل الطهر لا يصلح ، إذ لا يكون عندئذ مستقبلاً للعدة ، لأنّ المفروض انّ الحيض لم يقبل بعد ، ولعلّ هذا دليل على عدم صحّة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بالحيضات وتعيّن تفسيرها بالأطهار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فالآية ظاهرة في شرطية الطهارة في صحّة الطلاق ، سواء أفسرت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بالأطهار أو بالحيضات</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272813_1067777946"/>
      <w:bookmarkStart w:id="239" w:name="_Toc82"/>
      <w:bookmarkEnd w:id="238"/>
      <w:r>
        <w:rPr>
          <w:rtl w:val="true"/>
        </w:rPr>
        <w:t>الاستدلال بالسنّة</w:t>
      </w:r>
      <w:bookmarkEnd w:id="239"/>
    </w:p>
    <w:p>
      <w:pPr>
        <w:pStyle w:val="Heading4"/>
        <w:numPr>
          <w:ilvl w:val="3"/>
          <w:numId w:val="1"/>
        </w:numPr>
        <w:rPr/>
      </w:pPr>
      <w:bookmarkStart w:id="240" w:name="__RefHeading___Toc1272815_1067777946"/>
      <w:bookmarkStart w:id="241" w:name="_Toc83"/>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تضافرت الروايات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بسند صحيح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لغير السنّة فليس بطلاق ، أن يطلّقها وهي حائض أو في دم نفاسها أو بعد ما يغشاها قبل أن تحيض فليس طلاقها بطلاق</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لدى الشيعة وأمّا ما لدى السنّة فالمهم لديهم في تصحيح طلاق الحائض هو رواية عبد الله بن عمر ، حيث طلّق زوجته وهي حائض ، وقد نقلت بصور مختلفة نأتي بها</w:t>
      </w:r>
      <w:r>
        <w:rPr>
          <w:rFonts w:eastAsia="Amiri" w:cs="Amiri" w:ascii="Amiri" w:hAnsi="Amiri"/>
          <w:color w:val="111111"/>
          <w:sz w:val="28"/>
          <w:szCs w:val="28"/>
          <w:rtl w:val="true"/>
          <w:lang w:bidi="ar-SA"/>
        </w:rPr>
        <w:t xml:space="preserve">. </w:t>
      </w:r>
      <w:r>
        <w:rPr>
          <w:rStyle w:val="FootnoteAnchor"/>
          <w:rtl w:val="true"/>
        </w:rPr>
        <w:footnoteReference w:id="225"/>
      </w:r>
      <w:bookmarkStart w:id="242" w:name="pg10155_105317"/>
    </w:p>
    <w:p>
      <w:pPr>
        <w:pStyle w:val="Heading4"/>
        <w:numPr>
          <w:ilvl w:val="3"/>
          <w:numId w:val="1"/>
        </w:numPr>
        <w:rPr/>
      </w:pPr>
      <w:bookmarkStart w:id="243" w:name="__RefHeading___Toc1272817_1067777946"/>
      <w:bookmarkStart w:id="244" w:name="_Toc84"/>
      <w:bookmarkEnd w:id="242"/>
      <w:bookmarkEnd w:id="243"/>
      <w:r>
        <w:rPr>
          <w:rtl w:val="true"/>
        </w:rPr>
        <w:t xml:space="preserve">الأُولى </w:t>
      </w:r>
      <w:r>
        <w:rPr>
          <w:rtl w:val="true"/>
        </w:rPr>
        <w:t xml:space="preserve">: </w:t>
      </w:r>
      <w:r>
        <w:rPr>
          <w:rtl w:val="true"/>
        </w:rPr>
        <w:t>ما دلّ على عدم الاعتداد بتلك التطليقة</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جابراً عن الرجل يطلّق امرأته وهي حائض؟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عبد الله بن عمر امرأته وهي حائض ، فأتى عمر رسول الله فأخبره بذلك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ليراجعها فانّها امرأته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نافع مولى ابن عمر عن ابن عمر أنّه قال في الرجل يطلّق امرأته وهي حائض ، 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بها</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272819_1067777946"/>
      <w:bookmarkStart w:id="246" w:name="_Toc85"/>
      <w:bookmarkEnd w:id="245"/>
      <w:r>
        <w:rPr>
          <w:rtl w:val="true"/>
        </w:rPr>
        <w:t xml:space="preserve">الثانية </w:t>
      </w:r>
      <w:r>
        <w:rPr>
          <w:rtl w:val="true"/>
        </w:rPr>
        <w:t xml:space="preserve">: </w:t>
      </w:r>
      <w:r>
        <w:rPr>
          <w:rtl w:val="true"/>
        </w:rPr>
        <w:t>ما يتضمّن التصريح باحتساب تلك التطليقة طلاقاً صحيحاً</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عمر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وهي حائض؟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عبد الله بن عمر؟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عبد الله بن عمر طلّق امرأته وهي حائض ، فأتى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 فأمره أن يراجعها ثمّ يطلّقها من قبل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فيعتدّ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عجز واستحمق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عمر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ابن عمر؟ إنّه طلّق امرأته وهي حائض ، فسأل عمر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يراجعها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فيعتد بتلك التطليقة؟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أرأيت إن عجز واستحمق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امرأتي وهي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له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ليراجعها ، فإذا طهرت فليطلّقها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فاحتسبت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يمنعه؟ أرأيت إن عجز واستحمق</w:t>
      </w:r>
      <w:r>
        <w:rPr>
          <w:rFonts w:eastAsia="Amiri" w:cs="Amiri" w:ascii="Amiri" w:hAnsi="Amiri"/>
          <w:color w:val="111111"/>
          <w:sz w:val="28"/>
          <w:szCs w:val="28"/>
          <w:rtl w:val="true"/>
          <w:lang w:bidi="ar-SA"/>
        </w:rPr>
        <w:t xml:space="preserve">. </w:t>
      </w:r>
      <w:bookmarkStart w:id="247" w:name="pg10155_105318"/>
    </w:p>
    <w:p>
      <w:pPr>
        <w:pStyle w:val="BookText"/>
        <w:rPr/>
      </w:pPr>
      <w:bookmarkEnd w:id="2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امرأتي وهي حائض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عمر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فإذا طهرت فليطلقها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يحتسب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نحوه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فليطلّقها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أفتحتسب بتلك التطليقة؟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عمر عن امرأته التي طلّق؟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وهي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فليراجعها ، فإذا طهرت فليطلّقها لطهرها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فراجعتها ثمّ طلّقتها لطهرها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واعتدّت بتلك التطليقة التي طلّقت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أعتدّ بها ، وإن كنت عجزت واستحمقت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ابن عمر امرأته وهي حائض واحدة ، فانطلق عمر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 فأمره إذا طهرت أن يراجعها ثمّ يستقبل الطلاق في عدّتها ثمّ تحتسب بالتطليقة التي طلّق 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طلّق امرأته ، وهي حائض ، فأتى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له فجعلها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جبير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عليَّ بتطليقة</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272821_1067777946"/>
      <w:bookmarkStart w:id="249" w:name="_Toc86"/>
      <w:bookmarkEnd w:id="248"/>
      <w:r>
        <w:rPr>
          <w:rtl w:val="true"/>
        </w:rPr>
        <w:t xml:space="preserve">الثالثة </w:t>
      </w:r>
      <w:r>
        <w:rPr>
          <w:rtl w:val="true"/>
        </w:rPr>
        <w:t xml:space="preserve">: </w:t>
      </w:r>
      <w:r>
        <w:rPr>
          <w:rtl w:val="true"/>
        </w:rPr>
        <w:t>ما ليس فيه تصريح بأحد الأمرين</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طاوس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عمر سئل عن رجل طلق امرأته حائضاً؟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طلّق امرأته حائضاً ، فذهب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 فأمره أن</w:t>
      </w:r>
      <w:bookmarkStart w:id="250" w:name="pg10155_105319"/>
    </w:p>
    <w:p>
      <w:pPr>
        <w:pStyle w:val="BookText"/>
        <w:rPr/>
      </w:pPr>
      <w:bookmarkEnd w:id="250"/>
      <w:r>
        <w:rPr>
          <w:rFonts w:ascii="Amiri" w:hAnsi="Amiri" w:eastAsia="Amiri" w:cs="Amiri"/>
          <w:color w:val="111111"/>
          <w:sz w:val="28"/>
          <w:sz w:val="28"/>
          <w:szCs w:val="28"/>
          <w:rtl w:val="true"/>
          <w:lang w:bidi="ar-SA"/>
        </w:rPr>
        <w:t>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يزيد على ذلك لأبيه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بن أبي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عمر طلّق امرأته ، وهي حائض ، فأمره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يراجعها حتى تطهر ، فإذا طهرت طلّقها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ميمون بن مهران عن ابن عمر أنّه طلّق امرأته في حيضها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يرتجعها حتى تطهر ، فإذا طهرت فإن شاء أمسك قبل أن يجامع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أبو الزبير عن رجل طلّق امرأته حائضاً؟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وهي حائض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طلّق امرأته وهي حائض؟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ليراجعها ، فردّها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فليطلّق أو ليمسك ، 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قبل 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تصنيف هذه الروايات نبحث عن الفئة الراجحة منها بعد معرفة طبيعة الإشكالات التي تواجه كلاً منها ومعالجتها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272823_1067777946"/>
      <w:bookmarkStart w:id="252" w:name="_Toc87"/>
      <w:bookmarkEnd w:id="251"/>
      <w:r>
        <w:rPr>
          <w:rtl w:val="true"/>
        </w:rPr>
        <w:t>معالجة الصور المتعارضة</w:t>
      </w:r>
      <w:bookmarkEnd w:id="252"/>
    </w:p>
    <w:p>
      <w:pPr>
        <w:pStyle w:val="BookText"/>
        <w:rPr/>
      </w:pPr>
      <w:r>
        <w:rPr>
          <w:rFonts w:ascii="Amiri" w:hAnsi="Amiri" w:eastAsia="Amiri" w:cs="Amiri"/>
          <w:color w:val="111111"/>
          <w:sz w:val="28"/>
          <w:sz w:val="28"/>
          <w:szCs w:val="28"/>
          <w:rtl w:val="true"/>
          <w:lang w:bidi="ar-SA"/>
        </w:rPr>
        <w:t>لا شك أنّ الروايات كانت تدور حول قصة واحدة ، لكن بصور مختلفة ، فالحجة بينها مردّدة بين تلك الصور والترجيح مع الأُولى لموافقتها الكتاب وهي الحجّة القطعية ، وما خالف الكتاب لا يحتج به ، فالعمل على الأُولى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 فيمكن إرجاعها إلى الأُولى لعدم ظهورها في الاعتداد والصحّة ، نعم ورد فيه الرجوع الذي ربّما يتوهّم منه ، الرجوع إلى الطلاق الملازم </w:t>
      </w:r>
    </w:p>
    <w:p>
      <w:pPr>
        <w:pStyle w:val="BookText"/>
        <w:rPr/>
      </w:pPr>
      <w:r>
        <w:rPr>
          <w:rFonts w:ascii="Amiri" w:hAnsi="Amiri" w:eastAsia="Amiri" w:cs="Amiri"/>
          <w:color w:val="111111"/>
          <w:sz w:val="28"/>
          <w:sz w:val="28"/>
          <w:szCs w:val="28"/>
          <w:rtl w:val="true"/>
          <w:lang w:bidi="ar-SA"/>
        </w:rPr>
        <w:t>لصحّته ، لكن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المراد من المراجعة فيها هو المعنى اللغوي لا مراجعة المطلّقة الرجعية ، ويؤيّد ذلك أنّ القرآن يستعمل كلمة الرد أو الإمساك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بِمَعْرُوفٍ</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تُمْسِكُوهُنَّ ضِراراً لِتَعْتَدُوا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استعمل كلمة الرجعة في المطلّقة ثلاثاً إذا تزوّجت رجلاً آخر فطلّقها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الكلام في النصوص الدالة على الاحتساب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 فيلاحظ عليها بأُمور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مخالفتها للكتاب ، وما دلّ على عدم الاحتساب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غالب روايات الاحتساب لا تنسبه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إلى رأي ابن عمر وقناعته ، فلو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باحتسابها ، لكان المفروض أن يستند ابن عمر إلى ذلك في جواب السائل ، فعدم استناده إلى حكم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صدور ما يدل على الاحتساب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 فتكون هذه النصوص موافقة للنصوص التي لم تتعرّض للاحتساب ، لأنّها كلّها تتّفق في عدم حكم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باحتساب التطليقة ، غايته اشتمل بعضها على نسبة الاحتساب إلى ابن عمر نفسه ، وهو ليس حجّة لإثبات الحكم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الرواية الأُولى لنافع فقد نسب الحكم بالاحتساب في إحدى الصيغتين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رويت الثانية بصيغة أُخرى تضمّنت النسبة إلى ابن عمر بعدم الاحتساب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أنس فرويت بصيغتين تدلاّن على أنّ الحكم بالاحتساب هو قناعة ابن عمر نفسه لا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وبصيغة ثالثة نسبت الاحتساب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الاضطراب لا تصلح الرواية لإثبات نسبة الحكم بالاحتساب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فرض صحّة التطليقة المذكورة لا يجتمع مع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بإرجاعها وتطليقها في الطهر الذي بعده هذا ، لأنّ القائلين بصحّة الطلاق في الحيض لا يصحّحون إجراء الطلاق الثاني في الطهر الذي بعده ، بل يشترطون بتوسّط الحيض بين الطهرين وإجراء الطلاق في الطهر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بإرجاعها وتطليقها في الطهر الأوّل ينافي احتساب تلك تطليقة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اشتهر في كتب التاريخ أنّ عمر كان يعتبر ولده عاجزاً عن الطلاق ، وظاهره يوحي بأنّ ما فعله لم يكن طلاقاً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ملاحظة كل ما قدّمناه يتّضح عدم ثبوت نسبة الاحتساب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يبدو أنّ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يتضمّن احتساب التطليقة من قبل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هي إضافات أو توهّمات بسبب قناعة ابن عمر أو بعض من هم في سلسلة الحديث ، ولذلك اضطربت الصيغ في نقل الحادثة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هنا رواية ثالثة لنافع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طلّق امرأته وهي </w:t>
      </w:r>
      <w:bookmarkStart w:id="253" w:name="pg10155_105322"/>
    </w:p>
    <w:p>
      <w:pPr>
        <w:pStyle w:val="BookText"/>
        <w:rPr/>
      </w:pPr>
      <w:bookmarkEnd w:id="253"/>
      <w:r>
        <w:rPr>
          <w:rFonts w:ascii="Amiri" w:hAnsi="Amiri" w:eastAsia="Amiri" w:cs="Amiri"/>
          <w:color w:val="111111"/>
          <w:sz w:val="28"/>
          <w:sz w:val="28"/>
          <w:szCs w:val="28"/>
          <w:rtl w:val="true"/>
          <w:lang w:bidi="ar-SA"/>
        </w:rPr>
        <w:t xml:space="preserve">حائض ، في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 عمر بن الخطاب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فليراجعها ، ثمّ ليتركها حتى تطهر ثم تحيض ثمّ تطهر ، ثمّ إن شاء أمسك بعد وإن شاء طلق قبل أن يمس ، فتلك العدّة التي أمر الله عزّ وجلّ أن يطلّق لها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انّ الرواية من أدلّة القول بالبطلان ، إذ لا تدلّ على صحّة التطليقة الأُولى إلاّ بادّعاء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الطلاق وقد علمت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أمره بالطلاق في الطهر الثاني بعد توسّط الحيض بين الطهرين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فليراجعها ، ثمّ ليتركها حتى تطهر ثم تحيض ثم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شاء أمسك بعد وإن شاء طلّق قبل أن يمس فتلك العدة التي أمر الله عزّ وجلّ أن يطلّق لها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بإمكانه أن يطلقها في الطهر الأوّل حسب مختارنا فلعلّ أمره بمضي طهر وحيض ، لأجل مؤاخذة الرجل حيث تسرّع في الطلاق وجعله في غير موضعه فأُرغم أن يصبر طهراً وحيضاً ، فإذا استقبل طهراً ثانياً فليطلّق أو يمسك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لا يصحّ الاعتماد على رواية عبد الله بن عمر ، لاضطراب النقل عنه ، خصوصاً مع ملاحظة الكتاب العزيز الدالّ على وقوع الطلاق في العدّة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272825_1067777946"/>
      <w:bookmarkStart w:id="255" w:name="_Toc88"/>
      <w:bookmarkEnd w:id="254"/>
      <w:r>
        <w:rPr>
          <w:rtl w:val="true"/>
        </w:rPr>
        <w:t>الطلاق في طهر المواقعة</w:t>
      </w:r>
      <w:bookmarkEnd w:id="255"/>
    </w:p>
    <w:p>
      <w:pPr>
        <w:pStyle w:val="BookText"/>
        <w:rPr/>
      </w:pPr>
      <w:r>
        <w:rPr>
          <w:rFonts w:ascii="Amiri" w:hAnsi="Amiri" w:eastAsia="Amiri" w:cs="Amiri"/>
          <w:color w:val="111111"/>
          <w:sz w:val="28"/>
          <w:sz w:val="28"/>
          <w:szCs w:val="28"/>
          <w:rtl w:val="true"/>
          <w:lang w:bidi="ar-SA"/>
        </w:rPr>
        <w:t>قد عرفت أنّ الطلاق في حالة الحيض والنفاس حرام تكليفاً وباطل وضعاً وإن ذهب جمهور الفقهاء إلى الحرمة التكليفية دون الوضعية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طلاق الزوجة في طهر المواقعة ، فهو أيضاً من الطلاق البدعيّ ، حكمه حكم الطلاق في الحيض والنفاس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من طرق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w:t>
      </w:r>
      <w:r>
        <w:rPr>
          <w:rStyle w:val="FootnoteAnchor"/>
          <w:rtl w:val="true"/>
        </w:rPr>
        <w:footnoteReference w:id="231"/>
      </w:r>
      <w:r>
        <w:rPr>
          <w:rFonts w:ascii="Amiri" w:hAnsi="Amiri" w:eastAsia="Amiri" w:cs="Amiri"/>
          <w:color w:val="111111"/>
          <w:sz w:val="28"/>
          <w:sz w:val="28"/>
          <w:szCs w:val="28"/>
          <w:rtl w:val="true"/>
          <w:lang w:bidi="ar-SA"/>
        </w:rPr>
        <w:t xml:space="preserve">كلّهم عن أبي جعفر وأبي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في دم النفاس أو طلّقها بعد ما يمسّها فليس طلاقه إيّاها بطلاق</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وروى أيضاً عمر بن أُذينة ، عن بكير بن أعين وغيره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لغير السنّة فليس بطلاق ، أن يطلقها وهي حائض أو في دم نفاسها أو بعد ما يغشاها ، قبل أن تحيض فليس طلاقه بطلاق</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هذا عند الشيعة الإمامية وأمّا فقهاء السنّة فلهم أقوال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أوقع الزوج الطلاق في طهر جامعها فيه ، كان الطلاق عند الجمهور حراماً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تحريميّاً ، وهو المسمّى طلاقاً بدعيّاً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ذهبت المالكية إلى القول بتحريم الطلاق في الحيض أو النفاس ويكره في غيرهما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وعلى كلّ تقدير فإنّ الطلاق في هذه الحالة حرام تكليفاً ، أو مكروه عند المالكية ولا يضرّ بصحّة الطلاق ، ويمكن الاستدلال على بطلانه في طهر المواقعة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الأطهار الثلاثة فواضح ، سواء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إيقاع الطلاق في الزمان الذي يصلح للاعتداد ، أو بمعنى الغاية والمراد إيقاع الطلاق لغاية الاعتداد ، وعلى كلا الوجهين يجب أن يترتّب الاعتداد على إيقاع الطلاق بلا تريث ، فلا تعمّ الآية الطلاقَ في طهر المواقعة ، لأنّه لا يصلح للاعتداد ، ظرفاً وغاية في عامّة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قلنا بأنّ المراد بها ، هي الحيضات الثلاث ، فكذلك ، لما عرفت من أنّ المراد بالآية ، هو إيقاع الطلاق مستقبلاً لعدتهن ، وبما انّ الحيضة التي تقدّمها طهر المواقعة ، لا تحسب من العدة ، فالآية لا تعمّ إيقاعه في مثل ذلك الطهر ، لأنّه ليس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فيمكن الاستدلال برواية ابن عمر أنّه طلّق امرأة له وهي حائض ، فذكر ذلك عمر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فتغيظ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 ثمّ يمسكها حتّى تطهر ، ثمّ تحيض فتطهر ، فإن بدا له أن يطلّقها ، فليطلّقها قبل أن يمسها ، فتلك العدّة كما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العدّة التي أمر الله أن يطلق لها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النبي بصدد بيان كيفية إيقاع الطلاق وشروطه ، فأمر بإيقاعها في الطهر الثاني بشرط أن لا يمسّها ، فلو كان الطلاق في الطهر الذي واقعها صحيحاً ، لما خصّه النبي بالطهر المشروط</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تجويز إيقاعه في الطهر الأوّل ، فلأجل مؤاخذة الرجل حيث تسرّع في الطلاق ، وجعله في غير موضعه فأُرغم أن يصبر طهراً وحيضاً ، كما مرّ</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0155_105326"/>
      <w:bookmarkStart w:id="257" w:name="pg10155_105326"/>
      <w:bookmarkEnd w:id="257"/>
    </w:p>
    <w:p>
      <w:pPr>
        <w:pStyle w:val="Heading2"/>
        <w:numPr>
          <w:ilvl w:val="1"/>
          <w:numId w:val="1"/>
        </w:numPr>
        <w:rPr/>
      </w:pPr>
      <w:bookmarkStart w:id="258" w:name="pg10155_105326"/>
      <w:bookmarkStart w:id="259" w:name="__RefHeading___Toc1272827_1067777946"/>
      <w:bookmarkStart w:id="260" w:name="_Toc89"/>
      <w:bookmarkEnd w:id="258"/>
      <w:bookmarkEnd w:id="259"/>
      <w:r>
        <w:rPr/>
        <w:t>20</w:t>
      </w:r>
      <w:r>
        <w:rPr>
          <w:rtl w:val="true"/>
        </w:rPr>
        <w:t xml:space="preserve">- </w:t>
      </w:r>
      <w:r>
        <w:rPr>
          <w:rtl w:val="true"/>
        </w:rPr>
        <w:t>الوصيّة للوارث إذا لم تتجاوز الثلث</w:t>
      </w:r>
      <w:bookmarkEnd w:id="2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1272829_1067777946"/>
      <w:bookmarkStart w:id="262" w:name="_Toc90"/>
      <w:bookmarkEnd w:id="261"/>
      <w:r>
        <w:rPr>
          <w:rtl w:val="true"/>
        </w:rPr>
        <w:t>اشارة</w:t>
      </w:r>
      <w:bookmarkEnd w:id="26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0155_105328"/>
      <w:bookmarkStart w:id="264" w:name="pg10155_105328"/>
      <w:bookmarkEnd w:id="264"/>
    </w:p>
    <w:p>
      <w:pPr>
        <w:pStyle w:val="Heading3"/>
        <w:numPr>
          <w:ilvl w:val="2"/>
          <w:numId w:val="1"/>
        </w:numPr>
        <w:rPr/>
      </w:pPr>
      <w:bookmarkStart w:id="265" w:name="pg10155_105328"/>
      <w:bookmarkStart w:id="266" w:name="__RefHeading___Toc1272831_1067777946"/>
      <w:bookmarkStart w:id="267" w:name="_Toc91"/>
      <w:bookmarkEnd w:id="265"/>
      <w:bookmarkEnd w:id="266"/>
      <w:r>
        <w:rPr>
          <w:rtl w:val="true"/>
        </w:rPr>
        <w:t>الوصية للوارث إذا لم تتجاوز الثلث</w:t>
      </w:r>
      <w:bookmarkEnd w:id="267"/>
    </w:p>
    <w:p>
      <w:pPr>
        <w:pStyle w:val="BookText"/>
        <w:rPr/>
      </w:pPr>
      <w:r>
        <w:rPr>
          <w:rFonts w:ascii="Amiri" w:hAnsi="Amiri" w:eastAsia="Amiri" w:cs="Amiri"/>
          <w:color w:val="111111"/>
          <w:sz w:val="28"/>
          <w:sz w:val="28"/>
          <w:szCs w:val="28"/>
          <w:rtl w:val="true"/>
          <w:lang w:bidi="ar-SA"/>
        </w:rPr>
        <w:t>اتّفقت المذاهب الخمسة على أنّ الوصية التبرّعيّة تنفذ في مقدار الثلث فقط ، مع وجود الوارث سواء صدرت في المرض أم في الصحّة ، وما زاد عن الثلث يفتقر إلى إجازة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الأفضل في بعض المذاهب أن لا يستوعب الثلث بالوصية</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وأمّا في مقدار الثلث فتنفّذ وصيته عند الإمامية في الأقرب والأجنبي ، ومن غير فرق في الأقرب ، بين الوارث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المذاهب الأربعة فأجازت الوصية للأقرب بشرط أن لا يكون وارثاً ، وأمّا الوارث فلا تجوز الوصية له سواء كان بمقدار الثلث أم أقل أم أكثر ، إلاّ بإجازة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ظنّ انفراد الإمامية به ، ما ذهبوا إليه من أنّ الوصية للوارث جائزة ، وليس للوارث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وافقهم في هذا المذهب بعض الفقهاء </w:t>
      </w:r>
      <w:r>
        <w:rPr>
          <w:rStyle w:val="FootnoteAnchor"/>
          <w:rtl w:val="true"/>
        </w:rPr>
        <w:footnoteReference w:id="236"/>
      </w:r>
      <w:r>
        <w:rPr>
          <w:rFonts w:ascii="Amiri" w:hAnsi="Amiri" w:eastAsia="Amiri" w:cs="Amiri"/>
          <w:color w:val="111111"/>
          <w:sz w:val="28"/>
          <w:sz w:val="28"/>
          <w:szCs w:val="28"/>
          <w:rtl w:val="true"/>
          <w:lang w:bidi="ar-SA"/>
        </w:rPr>
        <w:t>وإن كان الجمهور والغالب ، على خلافه</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للوارث مثل الابن والأبوين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w:t>
      </w:r>
    </w:p>
    <w:p>
      <w:pPr>
        <w:pStyle w:val="BookText"/>
        <w:rPr/>
      </w:pPr>
      <w:r>
        <w:rPr>
          <w:rFonts w:ascii="Amiri" w:hAnsi="Amiri" w:eastAsia="Amiri" w:cs="Amiri"/>
          <w:color w:val="111111"/>
          <w:sz w:val="28"/>
          <w:sz w:val="28"/>
          <w:szCs w:val="28"/>
          <w:rtl w:val="true"/>
          <w:lang w:bidi="ar-SA"/>
        </w:rPr>
        <w:t xml:space="preserve">جميع الفقهاء في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للوارث</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وقال الخرقي في متن المغني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وصية لوارث إلاّ أن يجيز الورثة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قدامة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أوصى لوارثه بوصية فلم يجزها سائر الورثة ، لم تصح ، بغير خلاف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المنذر وابن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العلم على هذا ، وجاءت الأخبار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فروى أبو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أعطى كل ذي حقّ حقّه فلا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وابن ماجة والترمذي ، ولأنّ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عطية بعض ولده وتفضيل بعضهم على بعض في حال الصحّة وقوّة الملك وإمكان تلافي العدل بينهم بإعطاء الذي لم يعطه فيما بعد ذلك ، لما فيه من إيقاع العداوة والحسد بينهم ، ففي حال موته أو مرضه وضعف ملكه وتعلّق الحقوق به وتعذّر تلافي العدل بينهم أولى وأحرى ، وإن أجازها جازت في قول الجمهور من العلماء</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فقهاء السنّة يشترطون لنفاذ الوصية أن لا يكون الموصى له وارثاً للموصي عند موت الموصي إذا كان هناك وارث آخر لم يجز الوصية ، فإن أجاز بقية الورثة الوصية للوارث نفذت الوصية ، فتكون الوصية للوارث موقوفة على إجازة بقية الورثة أخذاً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تجوز وصية لوارث إلاّ أن يشاء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 إلاّ أن يجيز الورثة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القوم بدل أن يعرضوا المسألة على الكتاب أخذوا بالتفلسف ونحت الحكمة للمسألة كما عرفت في كلام ابن قدامة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فيه من ايقاع العداوة والحسد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إيثار بعض الورثة من غير رضا الآخرين ما يؤدي إلى الشقاق والنزاع وقطع الرحم وإثارة البغضاء والحسد بين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هؤلاء غفلوا عن أنّ ما ذكروه من الوجه ليس كلياً ، بل ولا غالبياً ، إذ ربما يكون بعض الورثة أولى ببعض الميراث من غيرهم ، كما إذا كان المورث صاحب كتاب مخطوط أو مطبوع لا يستفيد منه إلاّ الوارث الطالب دون الآخرين المشتغلين بالتجارة ، فهل الإيصاء عندئذ يوجب البغضاء؟</w:t>
      </w:r>
    </w:p>
    <w:p>
      <w:pPr>
        <w:pStyle w:val="BookText"/>
        <w:rPr/>
      </w:pPr>
      <w:r>
        <w:rPr>
          <w:rFonts w:ascii="Amiri" w:hAnsi="Amiri" w:eastAsia="Amiri" w:cs="Amiri"/>
          <w:color w:val="111111"/>
          <w:sz w:val="28"/>
          <w:sz w:val="28"/>
          <w:szCs w:val="28"/>
          <w:rtl w:val="true"/>
          <w:lang w:bidi="ar-SA"/>
        </w:rPr>
        <w:t xml:space="preserve">وربما يكون الموصى له عاجزاً مقعداً مستحقاً للإيصاء فهل يثير الإيصاء في المقام البغضاء والحسد ، ولأجل ذلك نرى أنّ قانون الوصية في مصر أخذ برأي الشيعة الإمامية في سنة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فأجاز الوصية للوارث في حدود الثلث من غير إجازة الورثة ، نعم التزم القانون السوري برأي الجمهور وهي انّ الوصية لا تنفذ إلاّ إذا أجازها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الكتب الفقهية للمذاهب الأربعة تنفي جواز الوصية للوارث ، إلاّ إذا أجاز الورثة ، حتى أنّ بعضهم يقول بأنّ الوصية باطلة وإن أجازها سائر الورثة إلاّ أن يعطوه عطية مبتدأة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الشيخ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عمل المحاكم الشرعية السنّية في لبنان على عدم صحّة الوصية للوارث ، ومنذ سنوات قدّم قضاتها مشروعاً إلى الحكومة يجيز الوصية للوارث ورغبوا إليها في تبنّيه</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على ما ذكره ابن قدامة من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تقاوم الذكر الحكيم ، واتّفاق أئمّة أهل البيت ، ولو صحّت لزم تحريم تفضيل بعضهم على بعض في </w:t>
      </w:r>
      <w:bookmarkStart w:id="268" w:name="pg10155_105331"/>
    </w:p>
    <w:p>
      <w:pPr>
        <w:pStyle w:val="BookText"/>
        <w:rPr/>
      </w:pPr>
      <w:bookmarkEnd w:id="268"/>
      <w:r>
        <w:rPr>
          <w:rFonts w:ascii="Amiri" w:hAnsi="Amiri" w:eastAsia="Amiri" w:cs="Amiri"/>
          <w:color w:val="111111"/>
          <w:sz w:val="28"/>
          <w:sz w:val="28"/>
          <w:szCs w:val="28"/>
          <w:rtl w:val="true"/>
          <w:lang w:bidi="ar-SA"/>
        </w:rPr>
        <w:t>الحياة في البر والإحسان ، لأنّ ذلك يدعو إلى الحسد والبغضاء مع أنّه لا خلاف في جوازه ، وما نقل عن النبي من النهي ، فهو محمول على التنزيه لا التحريم إذ لم يقل أحد بحرمة التفضيل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الكلام فيما تصور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عرض المسألة على الكتاب والسنّة ، أمّا الكتاب فيكفي في جواز الوصية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المراد من حضور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أماراته من المرض والهرم وغيره ، ولم يرد إذا عاين ملك الموت ، لأنّ تلك الحالة تشغل الإنسان عن الوصيّة ، وأيضاً يجب أن يراعى جانب المعروف في مقدار الوصية والموصى له ، فمن يملك المال الكثير إذا أوصى بدرهم فلم يوص بالمعروف ، كما أنّ الإيصاء للغني دون الفقير خارج عن المعروف ، فانّ المعروف هو العدل الذي لا ينكر ، ولا حيف فيه ولا 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صريحة في الوصية للوالدين ، ولا وارث أقرب للإنسان من والديه ، وقد خصّهما بالذكر لأولويّتهما بالوصية ثم عمّم الموضوع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 كل قريب ، وارثاً كان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صريح الكتاب ولا يصح رفع اليد عنه إلاّ بدليل قاطع مثله ، وقد أجاب القائلون بعدم الجواز عن الاستدلال بالآية بوجهين </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272833_1067777946"/>
      <w:bookmarkStart w:id="270" w:name="_Toc92"/>
      <w:bookmarkEnd w:id="269"/>
      <w:r>
        <w:rPr/>
        <w:t>1</w:t>
      </w:r>
      <w:r>
        <w:rPr>
          <w:rtl w:val="true"/>
        </w:rPr>
        <w:t xml:space="preserve">. </w:t>
      </w:r>
      <w:r>
        <w:rPr>
          <w:rtl w:val="true"/>
        </w:rPr>
        <w:t>آية الوصية منسوخة بآية المواريث</w:t>
      </w:r>
      <w:bookmarkEnd w:id="27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منسوخة بآية المواريث ، فعن ابن عباس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w:t>
      </w:r>
    </w:p>
    <w:p>
      <w:pPr>
        <w:pStyle w:val="BookText"/>
        <w:rPr/>
      </w:pPr>
      <w:r>
        <w:rPr>
          <w:rFonts w:ascii="Amiri" w:hAnsi="Amiri" w:eastAsia="Amiri" w:cs="Amiri"/>
          <w:color w:val="111111"/>
          <w:sz w:val="28"/>
          <w:sz w:val="28"/>
          <w:szCs w:val="28"/>
          <w:rtl w:val="true"/>
          <w:lang w:bidi="ar-SA"/>
        </w:rPr>
        <w:t xml:space="preserve">الوصية للوالدين بالفرض في سورة النساء </w:t>
      </w:r>
      <w:r>
        <w:rPr>
          <w:rStyle w:val="FootnoteAnchor"/>
          <w:rtl w:val="true"/>
        </w:rPr>
        <w:footnoteReference w:id="243"/>
      </w:r>
      <w:r>
        <w:rPr>
          <w:rFonts w:ascii="Amiri" w:hAnsi="Amiri" w:eastAsia="Amiri" w:cs="Amiri"/>
          <w:color w:val="111111"/>
          <w:sz w:val="28"/>
          <w:sz w:val="28"/>
          <w:szCs w:val="28"/>
          <w:rtl w:val="true"/>
          <w:lang w:bidi="ar-SA"/>
        </w:rPr>
        <w:t>، وتثبت للأقربين الذين لا يرثون ، وهو مذهب الشافعي وأكثر المالكيين ، وجماعة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يأبى كونها منسوخة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محكمة ظاهرها العموم ومعناها الخصوص في الوالدين اللَّذين لا يرثان كالكافرين والعبدين ، وفي القرابة غير الورثة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ومرجع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نسخ جواز الايصاء في الوالدين وانّه لا يوصى لهما مطلقاً وارثين كانا أو ممنوعين من الإرث لأجل الكفر والرق ، وتقييد جواز الإيصاء للأقربين بما إذا كانا غير 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تقييدين ، تقييد جواز الايصاء للوالدين بما إذا كانا ممنوعين من الإرث ، وتقييد جواز الايصاء بالأقربين بما مرّ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الجصاص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آية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جريج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الميراث للولد والوصية للوالدين والأقربين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منسوخة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طائفة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الوصية واجبة للوالدين والأقربين فنسخت عمّن يرث ، وجعلت للوالدين والأقربين الذين لا يرثون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الوجه الأوّل فآية الوصية منسوخة بالمعنى الحقيقي ، وعلى الثاني مخصّصة حيث أخرج الوارث منهما وأبقى غير الوارث ، لكن لازم كون الوصية </w:t>
      </w:r>
    </w:p>
    <w:p>
      <w:pPr>
        <w:pStyle w:val="BookText"/>
        <w:rPr/>
      </w:pPr>
      <w:r>
        <w:rPr>
          <w:rFonts w:ascii="Amiri" w:hAnsi="Amiri" w:eastAsia="Amiri" w:cs="Amiri"/>
          <w:color w:val="111111"/>
          <w:sz w:val="28"/>
          <w:sz w:val="28"/>
          <w:szCs w:val="28"/>
          <w:rtl w:val="true"/>
          <w:lang w:bidi="ar-SA"/>
        </w:rPr>
        <w:t>واجبة وبقاء الأقربين تحت العموم ، وجوب الوصية لغير الوارث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 نظير هذه الكلمات في كتب التفسير والفقه لأهل السنّة ونعلّق عليها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السابر في كتب القوم يقف على أنّ الذي حملهم على ادّعاء النسخ والتخصيص في الآية هو رواية أبي أُمامة أو عمر بن خارجة وأنّه سمع رسول الله يقول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الله قد أعطى كلّ ذي حقّ حقّه فلا وصية لوارث</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ولو لا هذه الرواية لما خطر في بال أحد بأنّ آية المواريث ناسخة لآية الوصية ، إذ لا تنافي بينهما قيد شعرة حتى تكون إحداهما ناسخة أو مخصّصة ، إذا لا منافاة أن يكتب سبحانه على الإنسان فرضاً أو ندباً أن يوصي للوالدين والأقربين بشيء ، لا يتجاوز الثلث ، وفي الوقت نفسه يُورِّث الوالدين والأقربين على النظام المعروف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يوضح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الميراث ، في طول الوصيّة ، ولا يصح للمتأخّر أن يعارض المتقدّم ، وأنّ الورّاث يرثون بعد إخراج الدين والوصية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وفي ثلاثة موارد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تُوصُونَ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فلا موضوع للنسخ ولا للتخصيص</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تفطّن القرطبي لبعض ما ذكرنا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هذا الحديث لأمكن الجمع </w:t>
      </w:r>
    </w:p>
    <w:p>
      <w:pPr>
        <w:pStyle w:val="BookText"/>
        <w:rPr/>
      </w:pPr>
      <w:r>
        <w:rPr>
          <w:rFonts w:ascii="Amiri" w:hAnsi="Amiri" w:eastAsia="Amiri" w:cs="Amiri"/>
          <w:color w:val="111111"/>
          <w:sz w:val="28"/>
          <w:sz w:val="28"/>
          <w:szCs w:val="28"/>
          <w:rtl w:val="true"/>
          <w:lang w:bidi="ar-SA"/>
        </w:rPr>
        <w:t>بين الآيتين بأن يأخذوا المال عن المورِّث بالوصية ، وبالميراث إن لم يوص ، أو ما بقى بعد الوصية ، لكن منع من ذلك هذا الحديث والإجماع</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 فغير متحقّق ، وكيف يكون كذلك مع أنّ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جوازه وكذلك فقهاء الإمامية طوال القرون وهم ثلث المسلمين ، وبعض السلف كما يحدّث عنه صاحب المنار ، وأمّا الحديث فسيوافيك ضعفه ، وأنّه على فرض الصحّة سنداً ، قابل للتأويل والحمل على ما زاد الإيصاء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النسخ أو التخصيص في الآية ، بآية المواريث ، متوقّف على تأخّر الثانية عن الأُولى وأنّى للقائل بهما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لسان آية الوصية بما فيها من التأكيد لأجل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وتوصيفه بكونه حقّاً على المؤمنين يأبى عن كونه حكماً مؤقتاً لا يدوم إلاّ شهراً أو 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أنّ آية المواريث نزلت بعد آية الوصية هنا فانّ السياق ينافي النسخ ، فانّ الله تعالى إذا شرّع للناس حكماً وعلم أنّه مؤقت وأنّه سينسخه بعد زمن قريب ، فانّه لا يؤكّده ولا يوثّقه بمثل ما أكّد به أمر الوصية هنا من كونه حقّاً على المتّقين ومن وعيد لمن بدّله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وبإمكان الجمع بين الآيتين إذا قلنا إنّ الوصيّة في آية المواريث مخصوصة بغير الوارث بأن يخصّ القريب هنا بالممنوع من الإرث ولو بسبب اختلاف الدين ، فإذا أسلم الكافر وحضرته الوفاة ووالداه كافران ، فله أن يوصي لهما بما يؤلّف به قلوبهما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ولا يخفى ما في صدر كلامه من الإتقان لو لا ما تنازل في آخره وحاول الجمع بين الآيتين بتخصيص جواز الوصية لمن لا يرثان من الوالدين لسبب كالقتل والكفر والسرقة ، إذ لقائل أن يسأل الإمام أنّه إذا كان المراد من الوالدين والأقربين في آية الوصية هم الممنوعين من الوراثة ، فما معنى هذا التأكيد والعناية البارزة في الآية مع ندرة المصداق أو قلّته بالنسبة إلى غير الممنوعين ، أوَليس هذا أشبه بالتخصيص المستهجن فلا محيص عن القول بعموم الآية ، لكلّ والد ووالدة ، والأقربين ممنوعين كانوا أم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يثيرون حول الإيصاء للوالدين من كونه سبباً لظهور العداء ، فقد مرّ جوابه في صدر البحث ، وهنا نزيد ما ذكره ذلك الإمام بقوله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وجوّز بعض السلف الوصية للوارث نفسه بأن يخصّ بها من يراه أحوج من الورثة كأن يكون بعضهم غنياً والبعض الآخر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أن يطلّق أبوه أُمّه وهو غنيّ ، ولا عائل لها إلاّ ولدها ، ويرى أنّ ما يصيبها من التركة لا يكفيها ، ومثله أن يكون بعض ولده أو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عاجزاً عن الكسب فنحن نرى أنّ الحكيم الخبير اللطيف بعباده ، الذي وضع الشريعة والأحكام لمصلحة خلقه ، لا يحكم أن يساوي الغني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والقادر على الكسب من يعجزه عنه ، فإذا كان قد وضع أحكام المواريث العادلة على أساس التساوي بين الطبقات باعتبار أنّهم سواسية في الحاجة كما أنّهم سواء في القرابة ، فلا غرو أن يجعل أمر الوصيّة مقدّماً على أمر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الوالدين والأقربين في آية أُخرى أولى بالوصيّة لهم من غيرهم لعلمه سبحانه وتعالى بما يكون من التفاوت بينهم في الحاجة أحياناً ، فقد قال في آيات الإرث 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وَصِيَّةٍ يُوصِي </w:t>
      </w:r>
    </w:p>
    <w:p>
      <w:pPr>
        <w:pStyle w:val="BookText"/>
        <w:rPr/>
      </w:pPr>
      <w:r>
        <w:rPr>
          <w:rFonts w:ascii="Amiri" w:hAnsi="Amiri" w:eastAsia="Amiri" w:cs="Amiri"/>
          <w:color w:val="111111"/>
          <w:sz w:val="28"/>
          <w:sz w:val="28"/>
          <w:szCs w:val="28"/>
          <w:rtl w:val="true"/>
          <w:lang w:bidi="ar-SA"/>
        </w:rPr>
        <w:t>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أمر الوصية وقال في آية الوصية هنا ما هو تفصيل لتلك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بان الحق ممّا ذكرنا وانّ الذكر الحكيم أعطى للإنسان حقّ الإيصاء للوالدين لمصالح هو أعرف بها ، على حدّ لا يتجاوز الثلث ، وليكون إيصاؤه أيضاً على حدّ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إطلاق قوله سبحانه في ذيل آية المواريث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 مِنَ الْمُؤْمِنِينَ وَالْمُهاجِرِينَ إِلاَّ أَنْ تَفْعَلُوا إِلى أَوْلِيائِكُمْ مَعْرُوفاً كانَ ذلِكَ فِي الْكِتابِ مَسْطُوراً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من الذيل الإحسان في الحياة والوصية عند الموت فانّه جائز</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وإطلاقه يعمّ الوارث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هو العالم بمصالح العباد ، فتارة يخصّ بعض الورّاث ببعض التركة عن طريق تنفيذ الوصية ما لم تتجاوز الثلث ، وأُخرى يوصي لغير الوارث بشيء منها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أُولُوا الْقُرْبى وَالْيَتامى وَالْمَساكِينُ فَارْزُقُوهُمْ مِنْهُ وَقُولُوا لَهُمْ قَوْلاً مَعْرُوفاً</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ذوي القربى الأخ للميت الشقيق وهو لا يرث ، وكذلك العم والخال والعمّة والخالة ويعدّون من ذوي القربى للوارث ، الذي لا يرثون معه وقد يسري إلى نفوسهم الحسد فينبغي التودّد إليهم ، واستمالتهم بإعطائهم شيئاً من ذلك الموروث ، بحسب ما يليق بهم ولو بصفة الهبة أو الهدية </w:t>
      </w:r>
      <w:r>
        <w:rPr>
          <w:rFonts w:eastAsia="Amiri" w:cs="Amiri" w:ascii="Amiri" w:hAnsi="Amiri"/>
          <w:color w:val="111111"/>
          <w:sz w:val="28"/>
          <w:szCs w:val="28"/>
          <w:rtl w:val="true"/>
          <w:lang w:bidi="ar-SA"/>
        </w:rPr>
        <w:t xml:space="preserve">.... </w:t>
      </w:r>
      <w:r>
        <w:rPr>
          <w:rStyle w:val="FootnoteAnchor"/>
          <w:rtl w:val="true"/>
        </w:rPr>
        <w:footnoteReference w:id="255"/>
      </w:r>
      <w:bookmarkStart w:id="271" w:name="pg10155_105337"/>
    </w:p>
    <w:p>
      <w:pPr>
        <w:pStyle w:val="Heading3"/>
        <w:numPr>
          <w:ilvl w:val="2"/>
          <w:numId w:val="1"/>
        </w:numPr>
        <w:rPr/>
      </w:pPr>
      <w:bookmarkStart w:id="272" w:name="__RefHeading___Toc1272835_1067777946"/>
      <w:bookmarkStart w:id="273" w:name="_Toc93"/>
      <w:bookmarkEnd w:id="271"/>
      <w:bookmarkEnd w:id="272"/>
      <w:r>
        <w:rPr/>
        <w:t>2</w:t>
      </w:r>
      <w:r>
        <w:rPr>
          <w:rtl w:val="true"/>
        </w:rPr>
        <w:t xml:space="preserve">. </w:t>
      </w:r>
      <w:r>
        <w:rPr>
          <w:rtl w:val="true"/>
        </w:rPr>
        <w:t>آية الوصية منسوخة بالسنّة</w:t>
      </w:r>
      <w:bookmarkEnd w:id="273"/>
    </w:p>
    <w:p>
      <w:pPr>
        <w:pStyle w:val="Heading4"/>
        <w:numPr>
          <w:ilvl w:val="3"/>
          <w:numId w:val="1"/>
        </w:numPr>
        <w:rPr/>
      </w:pPr>
      <w:bookmarkStart w:id="274" w:name="__RefHeading___Toc1272837_1067777946"/>
      <w:bookmarkStart w:id="275" w:name="_Toc94"/>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 xml:space="preserve">قد عرفت مدى صحّة نسخ الآية بآية المواريث فهلمّ معي ندرس منسوخية الآية بالسنّة التي رواها أصحاب السنن ولم يروها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في صحيحيهما ، وإليك ما نقل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الترمذي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لا وصية لوارث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علي بن حجر وهنّاد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عياش ، حدثنا شرحبيل بن مسلم الخولاني ، عن أبي أُمامة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خطبته عام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أعطى لكلّ ذي حقّ حقّه فلا وصية لوارث ، الولد للفراش وللعاهر الحجر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قتيبة ، حدثنا أبو عوانة ، عن قتادة ، عن شهر بن حوشب ، عن عبد الرحمن بن غنم ، عن عمرو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على ناقته وأنا تحت جِرانها وهي تقصع بجرّتها </w:t>
      </w:r>
      <w:r>
        <w:rPr>
          <w:rStyle w:val="FootnoteAnchor"/>
          <w:rtl w:val="true"/>
        </w:rPr>
        <w:footnoteReference w:id="256"/>
      </w:r>
      <w:r>
        <w:rPr>
          <w:rFonts w:ascii="Amiri" w:hAnsi="Amiri" w:eastAsia="Amiri" w:cs="Amiri"/>
          <w:color w:val="111111"/>
          <w:sz w:val="28"/>
          <w:sz w:val="28"/>
          <w:szCs w:val="28"/>
          <w:rtl w:val="true"/>
          <w:lang w:bidi="ar-SA"/>
        </w:rPr>
        <w:t xml:space="preserve">وإنّ نعامها يسيل بين كتفي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أعطى كلّ ذي حقّ حقّه ، ولا وصية لوارث والولد للفراش وللعاهر الحجر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يحتجّ به</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272839_1067777946"/>
      <w:bookmarkStart w:id="277" w:name="_Toc95"/>
      <w:bookmarkEnd w:id="276"/>
      <w:r>
        <w:rPr/>
        <w:t>1</w:t>
      </w:r>
      <w:r>
        <w:rPr>
          <w:rtl w:val="true"/>
        </w:rPr>
        <w:t xml:space="preserve">. </w:t>
      </w:r>
      <w:r>
        <w:rPr>
          <w:rtl w:val="true"/>
        </w:rPr>
        <w:t>إسماعيل بن عياش</w:t>
      </w:r>
      <w:bookmarkEnd w:id="27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روايته عن أهل الحجاز فإنّ </w:t>
      </w:r>
    </w:p>
    <w:p>
      <w:pPr>
        <w:pStyle w:val="BookText"/>
        <w:rPr/>
      </w:pPr>
      <w:r>
        <w:rPr>
          <w:rFonts w:ascii="Amiri" w:hAnsi="Amiri" w:eastAsia="Amiri" w:cs="Amiri"/>
          <w:color w:val="111111"/>
          <w:sz w:val="28"/>
          <w:sz w:val="28"/>
          <w:szCs w:val="28"/>
          <w:rtl w:val="true"/>
          <w:lang w:bidi="ar-SA"/>
        </w:rPr>
        <w:t>كتابه ضاع ، فخلط في حفظه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عثمان بن أبي شيبة ، عن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يوثق فيما روى عن أصحابه أهل الشام فأمّا من روى عن غير أهل الشام ففيه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بن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عن إسماعيل بن عياش</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مضر بن محمد الأسدي ،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عن الشاميين وذكر الخبر فحديثه مستقيم ، فإذا حدّث عن الحجازيين والعراقيين خلط ما شاء</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وقال الحافظ جمال الدين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أبي عن إسماعيل بن عياش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كتابه عن يحيى بن سعيد أحاديث صحاح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عثمان بن سعيد الدارمي عن 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في الشاميّين غاية ، وخلط عن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أبي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وكيعاً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إسماعيل بن عياش فأخذ منّي أطرافاً لاسماعيل بن أبي خالد ، فرأيته يُخلِّط في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إبراهيم بن يعقوب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حديثه بثياب سابور يُرقّم على الثوب المائة ، وأقلّ شرائه دون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أروى الناس عن الكذابين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إسحاق الفزاري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لا يدري ما يخرج من رأسه</w:t>
      </w:r>
      <w:r>
        <w:rPr>
          <w:rFonts w:eastAsia="Amiri" w:cs="Amiri" w:ascii="Amiri" w:hAnsi="Amiri"/>
          <w:color w:val="111111"/>
          <w:sz w:val="28"/>
          <w:szCs w:val="28"/>
          <w:rtl w:val="true"/>
          <w:lang w:bidi="ar-SA"/>
        </w:rPr>
        <w:t xml:space="preserve">. </w:t>
      </w:r>
      <w:r>
        <w:rPr>
          <w:rStyle w:val="FootnoteAnchor"/>
          <w:rtl w:val="true"/>
        </w:rPr>
        <w:footnoteReference w:id="260"/>
      </w:r>
      <w:bookmarkStart w:id="278" w:name="pg10155_105339"/>
    </w:p>
    <w:p>
      <w:pPr>
        <w:pStyle w:val="BookText"/>
        <w:rPr/>
      </w:pPr>
      <w:bookmarkEnd w:id="278"/>
      <w:r>
        <w:rPr>
          <w:rFonts w:ascii="Amiri" w:hAnsi="Amiri" w:eastAsia="Amiri" w:cs="Amiri"/>
          <w:color w:val="111111"/>
          <w:sz w:val="28"/>
          <w:sz w:val="28"/>
          <w:szCs w:val="28"/>
          <w:rtl w:val="true"/>
          <w:lang w:bidi="ar-SA"/>
        </w:rPr>
        <w:t xml:space="preserve">ونقل الترمذي بعد ذكر الحديث عن أبي إسحاق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تأخذوا عن إسماعيل بن عياش ما حدّث عن الثقات ولا عن غير الثقات</w:t>
      </w:r>
      <w:r>
        <w:rPr>
          <w:rFonts w:eastAsia="Amiri" w:cs="Amiri" w:ascii="Amiri" w:hAnsi="Amiri"/>
          <w:color w:val="111111"/>
          <w:sz w:val="28"/>
          <w:szCs w:val="28"/>
          <w:rtl w:val="true"/>
          <w:lang w:bidi="ar-SA"/>
        </w:rPr>
        <w:t xml:space="preserve">. </w:t>
      </w:r>
      <w:r>
        <w:rPr>
          <w:rStyle w:val="FootnoteAnchor"/>
          <w:rtl w:val="true"/>
        </w:rPr>
        <w:footnoteReference w:id="261"/>
      </w:r>
    </w:p>
    <w:p>
      <w:pPr>
        <w:pStyle w:val="Heading4"/>
        <w:numPr>
          <w:ilvl w:val="3"/>
          <w:numId w:val="1"/>
        </w:numPr>
        <w:rPr/>
      </w:pPr>
      <w:bookmarkStart w:id="279" w:name="__RefHeading___Toc1272841_1067777946"/>
      <w:bookmarkStart w:id="280" w:name="_Toc96"/>
      <w:bookmarkEnd w:id="279"/>
      <w:r>
        <w:rPr/>
        <w:t>2</w:t>
      </w:r>
      <w:r>
        <w:rPr>
          <w:rtl w:val="true"/>
        </w:rPr>
        <w:t xml:space="preserve">. </w:t>
      </w:r>
      <w:r>
        <w:rPr>
          <w:rtl w:val="true"/>
        </w:rPr>
        <w:t>شرحبيل بن مسلم الخولاني الشامي</w:t>
      </w:r>
      <w:bookmarkEnd w:id="280"/>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واختُتِنَ في ولاية عبد الملك بن مروان ، ووثّقه الآخرون</w:t>
      </w:r>
      <w:r>
        <w:rPr>
          <w:rFonts w:eastAsia="Amiri" w:cs="Amiri" w:ascii="Amiri" w:hAnsi="Amiri"/>
          <w:color w:val="111111"/>
          <w:sz w:val="28"/>
          <w:szCs w:val="28"/>
          <w:rtl w:val="true"/>
          <w:lang w:bidi="ar-SA"/>
        </w:rPr>
        <w:t xml:space="preserve">. </w:t>
      </w:r>
      <w:r>
        <w:rPr>
          <w:rStyle w:val="FootnoteAnchor"/>
          <w:rtl w:val="true"/>
        </w:rPr>
        <w:footnoteReference w:id="262"/>
      </w:r>
    </w:p>
    <w:p>
      <w:pPr>
        <w:pStyle w:val="Heading3"/>
        <w:numPr>
          <w:ilvl w:val="2"/>
          <w:numId w:val="1"/>
        </w:numPr>
        <w:rPr/>
      </w:pPr>
      <w:bookmarkStart w:id="281" w:name="__RefHeading___Toc1272843_1067777946"/>
      <w:bookmarkStart w:id="282" w:name="_Toc97"/>
      <w:bookmarkEnd w:id="281"/>
      <w:r>
        <w:rPr/>
        <w:t>3</w:t>
      </w:r>
      <w:r>
        <w:rPr>
          <w:rtl w:val="true"/>
        </w:rPr>
        <w:t xml:space="preserve">. </w:t>
      </w:r>
      <w:r>
        <w:rPr>
          <w:rtl w:val="true"/>
        </w:rPr>
        <w:t>شهر بن حوشب</w:t>
      </w:r>
      <w:bookmarkEnd w:id="282"/>
    </w:p>
    <w:p>
      <w:pPr>
        <w:pStyle w:val="BookText"/>
        <w:rPr/>
      </w:pPr>
      <w:r>
        <w:rPr>
          <w:rFonts w:ascii="Amiri" w:hAnsi="Amiri" w:eastAsia="Amiri" w:cs="Amiri"/>
          <w:color w:val="111111"/>
          <w:sz w:val="28"/>
          <w:sz w:val="28"/>
          <w:szCs w:val="28"/>
          <w:rtl w:val="true"/>
          <w:lang w:bidi="ar-SA"/>
        </w:rPr>
        <w:t xml:space="preserve">تابعي توفّي حدود عام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وقال يحيى بن أبي بكر الكرماني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شهر بن حوشب على بيت المال فأخذ خريطة فيها دراهم ، فقال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باع شهر دينه بخريطة</w:t>
      </w:r>
    </w:p>
    <w:p>
      <w:pPr>
        <w:pStyle w:val="BookText"/>
        <w:rPr/>
      </w:pPr>
      <w:r>
        <w:rPr>
          <w:rFonts w:ascii="Amiri" w:hAnsi="Amiri" w:eastAsia="Amiri" w:cs="Amiri"/>
          <w:color w:val="111111"/>
          <w:sz w:val="28"/>
          <w:sz w:val="28"/>
          <w:szCs w:val="28"/>
          <w:rtl w:val="true"/>
          <w:lang w:bidi="ar-SA"/>
        </w:rPr>
        <w:t>فمن يأمن القرّاء بعدك يا شهرُ</w:t>
      </w:r>
      <w:r>
        <w:rPr>
          <w:rStyle w:val="FootnoteAnchor"/>
          <w:rtl w:val="true"/>
        </w:rPr>
        <w:footnoteReference w:id="26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جمال الدين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شبابة بن سوّار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لقيت شهراً فلم أعتد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لا يُحدِّث عن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عون عن حديث هلال بن أبي زينب عن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بشهر إنَّ شعبة نزك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طعنوا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إبراهيم بن يعقوب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لا تشبه حديث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سعيد لا يحدّث عن شهر ، وقال يعقوب بن شيبة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بعضهم قد طعن فيه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نجدة ، حدثنا ابن عياش ، عن شرحبيل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أعطى كلّ ذي حقّ حقّه فلا وصية لوارث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والاسناد مشتمل على إسماعيل بن عياش وشرحبيل بن مسلم وقد عرفت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قتيبة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عن قتادة عن شهر بن حوشب ، عن عبد الرحمن بن غنم ، عن عمرو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كلّ ذي حقّ حقّه ، ولا وصية لوارث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إسماعيل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قتادة عن شهر بن حوشب ، أنّ ابن غنم ذكر أنّ ابن خارجة ذكر له أنّه شهد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على راحلته ، وإنّها لتقصع بجرّتها وإنّ نعامها ليسيل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قسّم لكل إنسان قسمة من الميراث ، فلا تجوز لوارث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فالإسنادان مشتملان على شهر بن حوشب ، وقد تعرّفت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عتبة بن عبد الله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المبارك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إسماعيل بن أبي خالد ، عن قتادة ، عن عمرو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اسمه قد أعطى كلّ ذي حقّ حقّه ، ولا وصيّة لوارث</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وقد اشتمل الإسناد على قتادة بن دعامة بن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حقّه عن حنظلة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طاوساً إذا أتاه قتادة يسأله يفرّ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قتادة يتّهم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كلّ من كان رأساً في بدعة يدعو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بقتادة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هذا الضرب ، تَرَكَ ناساً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في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قتادة من صحابي غير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قتادة عن ثلاثين رجلاً لم يسمع منهم</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 حدثنا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سعيد بن أبي عروبة ، عن قتادة ، عن شهر بن حوشب ، عن عبد الرحمن بن غنم ، عن عمرو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خطبهم وهو على راحلته ، وإنّ راحلته لتقصع بجرّتها ، وإنّ لُغامَها ليسيل بين كتفيَّ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قسّم لكلّ وارث نصيبه من الميراث ، فلا يجوز لوارث وصية ، والولد للفراش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 مشتمل على شهر بن حوشب ، وقد مرّ الكلام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هشام بن عمّار ، حدثنا إسماعيل بن عياش ، حدثنا شرحبيل بن مسلم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أُمامة الباهلي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خطبته ، عام حجّة</w:t>
      </w:r>
    </w:p>
    <w:p>
      <w:pPr>
        <w:pStyle w:val="BookText"/>
        <w:rPr/>
      </w:pPr>
      <w:r>
        <w:rPr>
          <w:rFonts w:ascii="Amiri" w:hAnsi="Amiri" w:eastAsia="Amiri" w:cs="Amiri"/>
          <w:color w:val="111111"/>
          <w:sz w:val="28"/>
          <w:sz w:val="28"/>
          <w:szCs w:val="28"/>
          <w:rtl w:val="true"/>
          <w:lang w:bidi="ar-SA"/>
        </w:rPr>
        <w:t xml:space="preserve">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كلّ ذي حقّ حقّه ، فلا وصية 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الاسناد إسماعيل بن عياش ، وقد عرفت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هشام بن عمّار ، حدثنا محمد بن شعيب بن شابور ، حدثنا عبد الرحمن ابن يزيد بن جابر ، عن سعيد بن أبي سعيد ، أنّه حدّثه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لتحت ناقة رسول الله ، يسيل عليَّ نعامها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كلّ ذي حقّ حقّه ألا لا وصية لوارث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السند ، من لا يحتج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يزيد بن جابر الأزدي ، أبو عتبة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أهل الكوفة أحاديث مناكير</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أبي سعيد ، واسمه كيسان المقبري أبو سعد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تغيّر واختلط قبل موته يقال بأربع سنين ، 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قبل موته بأربع سنين ، وقال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اختلط قبل موته بأربع سنين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النيسابوري ، نا يوسف بن سعيد ، نا حجاج ، عن جريج ، عن عطاء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w:t>
      </w:r>
    </w:p>
    <w:p>
      <w:pPr>
        <w:pStyle w:val="BookText"/>
        <w:rPr/>
      </w:pPr>
      <w:r>
        <w:rPr>
          <w:rFonts w:ascii="Amiri" w:hAnsi="Amiri" w:eastAsia="Amiri" w:cs="Amiri"/>
          <w:color w:val="111111"/>
          <w:sz w:val="28"/>
          <w:sz w:val="28"/>
          <w:szCs w:val="28"/>
          <w:rtl w:val="true"/>
          <w:lang w:bidi="ar-SA"/>
        </w:rPr>
        <w:t>الوصية لوارث إلاّ أن يشاء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الاسناد عطاء بن أبي مسلم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يدرك ابن عباس ولم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قد ذكر عطاء الخراساني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والبخاري لم يخرج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رديء الحفظ يخطئ ولا يعلم ، فبطل الاحتجاج به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هذا هو الخراساني لم يدرك ابن عباس ولم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داود السجستاني وغيره ، وقد روى من وجه آخر عن عكرمة عن ابن عباس</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 علي بن إبراهيم بن عيسى ، نا أحمد بن محمد الماسرجسي ، نا عمرو ابن زرارة ، نا زياد بن عبد الله ، نا إسماعيل بن مسلم ، عن الحسن ، عن عمرو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 إلاّ أن يجيز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الاسناد ، فهو محمول على ما إذا زاد عن الثلث كما سيأتي نقله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 عبيد الله بن عبد الصمد بن المهتدي ، نا محمد بن عمرو بن خالد ، نا أبي ، عن يونس بن راشد ، عن عطاء الخراساني ، عن عكرمة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لوارث وصية إلاّ أن يشاء الورثة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أظنّ أن فقيهاً يحتجّ بحديث في سنده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عكرمة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المدني ، 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عرّفه أهل الرجال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عكرمة قليل العقل خفيفاً ، كان قد سمع الحديث من رجلين ، وكان إذا سئل حدّث به عن رجل يسأل عنه بعد ذلك ، فيحدّث به عن الآخر ، 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يذكر مالك بن أنس عكرمة ، لأنّ عكرمة كان ينتحل رأي الصفرية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خلف الخزاز ، عن يحيى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عمر يقول 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ويحك يا نافع ولا تكذب عليّ كما 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المسيب أنّه كان يقول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يكذب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عطاء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عكرمة يزعم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ميمونة وهو 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مخبثان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وهيب بن خالد عن يحيى بن سعيد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مالك لا يرى عكرمة ثقة ويأمر أن لا يؤخذ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حنبل بن إسحاق عن أحمد بن حنبل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وعكرمة مضطرب الحديث يختلف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أيوب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العقل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احتجّ بحديثه الأئمّة القدماء لكن بعض المتأخرين </w:t>
      </w:r>
    </w:p>
    <w:p>
      <w:pPr>
        <w:pStyle w:val="BookText"/>
        <w:rPr/>
      </w:pPr>
      <w:r>
        <w:rPr>
          <w:rFonts w:ascii="Amiri" w:hAnsi="Amiri" w:eastAsia="Amiri" w:cs="Amiri"/>
          <w:color w:val="111111"/>
          <w:sz w:val="28"/>
          <w:sz w:val="28"/>
          <w:szCs w:val="28"/>
          <w:rtl w:val="true"/>
          <w:lang w:bidi="ar-SA"/>
        </w:rPr>
        <w:t>أخرج حديثه من حيز الصحاح</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 أحمد بن كامل ، نا عبيد بن كثير ، نا عباد بن يعقوب ، نا نوح بن دراج ، عن أبان بن تغلب ، عن جعفر بن محمد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 ولا إقرار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الاسناد من لا يحتجّ به أهل السنّة ، وهو نوح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نقل محرّفاً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تضافر عن جعفر بن محمد ، صحّة الوصية للوارث إلاّ إذا تجاوز عن الثلث ، فانّه إضرار بالورثة ويؤيّده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إقرار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بالدين ، والإيصاء فوق الثلث مظنّة الإضرار بالورثة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 أحمد بن زياد ، نا عبد الرحمن بن مرزوق ، نا عبد الوهاب ، نا سعيد ، عن قتادة ، عن شهر بن حوشب ، عن عبد الرحمن بن غنم ، عن عمرو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بمنى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قسّم لكلّ إنسان نصيبه من الميراث ، فلا يجوز لوارث وصية إلاّ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سعيد بن مطر ، عن شهر ، عن عمرو بن خارجة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والسند مشتمل على شهر بن حوشب ، والمتن يؤيد مقالة الإمامية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لوارث وصية إلاّ من الثلث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 حدثنا هشام الدستوائي ، حدثنا قتادة ، عن شهر بن حوشب ، عن عبد الرحمن بن غنم ، عن عمرو بن خارجة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تحت ناقة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تقصع بجرّتها ونعامها وينوص بين كتفي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أعطى كلّ ذي حقّ حقّه فلا يجوز وصية لوارث</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وفي الاسناد شهر بن حوشب وكفى به ضعفاً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البيهقي بأسانيد مختلفة ، لا تخلو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مقطوع برواية عطاء عن ابن عباس ، وقد عرفت عدم إدراكه له ، وعطاء هذا هو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مشتمل 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عن عكرمة عن ابن عباس ، وقد عرفت حال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أيضاً مثل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مشتمل على الربيع بن سليمان ، الذي كان يوصف بغفلة شديدة ، وعن الشافعي أنّه ليس بثبت وإنّما أخذ أكثر الكتب من آل البويطي بعد موت البويطي</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وعلى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عبد الله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سعيد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 سفيان بن عيينة اختلط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سمع في هذه السنة وبعدها ، سماعه لا شيء</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مجاهد بن جبر المكّي المولود في خلافة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أنّ الرواية مقطوعة فقد ورد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معلوم التدليس ، فعنعنته لا تفيد الوصل</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والخامس مشتمل على ابن عياش وشرحبيل بن مسلم ، وقد تعرّفت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والسادس مشتمل على شهر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والسابع مشتمل على حماد بن سلمة عن قتادة ، والسند إمّا مقطوع أو موصول بواسطة شهر بن حوشب بقرينة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مشتمل على إسماعيل بن مسلم ، وهو مردّد بين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ضعّفه جمال الدين المزّي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وعبد الرحمن لا يحدّثان عن إسماعيل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مسلم المكي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عباس الدوري عن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مسلم المكي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عثمان بن سعيد الدارمي وأبو يعلى الموصلي 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مسلم المكي لا يكتب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ضعيفاً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بصري سكن مكة ،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والتاسع مشتمل على عبد الرحمن بن يزيد بن جابر الأزدي ، وسعيد بن أبي سعيد ، وقد تعرّفت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والعاشر مشتمل على سفيان بن عيينة وقد تعرّفت عليه ؛ وعلى طاوس بن كيسان اليماني ، وهو تابعي لم يدرك النبيّ ، وإنّما ينقل ما ينقل عن ابن عباس</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سعيد بن منصور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سننه هذا</w:t>
      </w:r>
      <w:bookmarkStart w:id="283" w:name="pg10155_105348"/>
    </w:p>
    <w:p>
      <w:pPr>
        <w:pStyle w:val="BookText"/>
        <w:rPr/>
      </w:pPr>
      <w:bookmarkEnd w:id="283"/>
      <w:r>
        <w:rPr>
          <w:rFonts w:ascii="Amiri" w:hAnsi="Amiri" w:eastAsia="Amiri" w:cs="Amiri"/>
          <w:color w:val="111111"/>
          <w:sz w:val="28"/>
          <w:sz w:val="28"/>
          <w:szCs w:val="28"/>
          <w:rtl w:val="true"/>
          <w:lang w:bidi="ar-SA"/>
        </w:rPr>
        <w:t>الحديث بأسانيد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مقطوع بمجاهد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مشتمل على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بعمرو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عام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ومشتمل على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إسماعيل بن عياش وشرحبيل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على شهر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سفيان بن عيينة وهشام بن حجر المكي الذي ضعّفه يحيى بن معين ، وعن غيره أنّه يضرب على حديثه ، وعن أبي داود أنّه ضرب الحدّ بمكة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عبد الرزاق بن همام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ينتهي إلى شهر بن حوشب عن عمرو بن خارجة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وقد تعرفت على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Heading3"/>
        <w:numPr>
          <w:ilvl w:val="2"/>
          <w:numId w:val="1"/>
        </w:numPr>
        <w:rPr/>
      </w:pPr>
      <w:bookmarkStart w:id="284" w:name="__RefHeading___Toc1272845_1067777946"/>
      <w:bookmarkStart w:id="285" w:name="_Toc98"/>
      <w:bookmarkEnd w:id="284"/>
      <w:r>
        <w:rPr>
          <w:rtl w:val="true"/>
        </w:rPr>
        <w:t>ملاحظات على نسخ الآية بالسنّة</w:t>
      </w:r>
      <w:bookmarkEnd w:id="285"/>
    </w:p>
    <w:p>
      <w:pPr>
        <w:pStyle w:val="BookText"/>
        <w:rPr/>
      </w:pPr>
      <w:r>
        <w:rPr>
          <w:rFonts w:ascii="Amiri" w:hAnsi="Amiri" w:eastAsia="Amiri" w:cs="Amiri"/>
          <w:color w:val="111111"/>
          <w:sz w:val="28"/>
          <w:sz w:val="28"/>
          <w:szCs w:val="28"/>
          <w:rtl w:val="true"/>
          <w:lang w:bidi="ar-SA"/>
        </w:rPr>
        <w:t xml:space="preserve">ويلاحظ على هذه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نسخ الكتاب بهذه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العزيز ، قطعي السند ، وصريح الدلالة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الآية كون الحكم أمراً أبدياًّ وأنّه مكتوب على المؤمنين ، وهو حقّ على المتّقين ، أفيصح نسخه أو تخصيصه برواية لم يسلم سند منها عن خلل ونقاش فرواتها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 ، من أروى الناس عن الكذابين ، لا يرى ما يخرج من رأسه ، إلى ضعيف أُختُتِنَ في كبر</w:t>
      </w:r>
    </w:p>
    <w:p>
      <w:pPr>
        <w:pStyle w:val="BookText"/>
        <w:rPr/>
      </w:pPr>
      <w:r>
        <w:rPr>
          <w:rFonts w:ascii="Amiri" w:hAnsi="Amiri" w:eastAsia="Amiri" w:cs="Amiri"/>
          <w:color w:val="111111"/>
          <w:sz w:val="28"/>
          <w:sz w:val="28"/>
          <w:szCs w:val="28"/>
          <w:rtl w:val="true"/>
          <w:lang w:bidi="ar-SA"/>
        </w:rPr>
        <w:t xml:space="preserve">سنِّه ، إلى بائع دينه بخريطة ، إلى مسنِد ولم ير المسند إليه ، إلى محدود أُجري عليه الحد في مكة ، إلى خارجيّ يُضرب به المثل ، إلى ، إلى ، إلى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ولو قلنا بجواز نسخ الكتاب فانّما نقول به إذا كان الناسخ ، دلالة قرآنية أو سنّة قاطعة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يمكن الاعتماد على رواية ، تدّعي أنّ النبي الأكرم خطب في محتشد كبير لم ينقل لنا التاريخ له مثيلاً في حياة النبي إلاّ في وقعة الغدير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وصية لوارث ، ولم يسمعه أحد من الصحابة إلاّ أعرابي مثل عمرو بن خارجة الذي ليس له رواية عن رسول الله سوى هذه </w:t>
      </w:r>
      <w:r>
        <w:rPr>
          <w:rStyle w:val="FootnoteAnchor"/>
          <w:rtl w:val="true"/>
        </w:rPr>
        <w:footnoteReference w:id="282"/>
      </w:r>
      <w:r>
        <w:rPr>
          <w:rFonts w:ascii="Amiri" w:hAnsi="Amiri" w:eastAsia="Amiri" w:cs="Amiri"/>
          <w:color w:val="111111"/>
          <w:sz w:val="28"/>
          <w:sz w:val="28"/>
          <w:szCs w:val="28"/>
          <w:rtl w:val="true"/>
          <w:lang w:bidi="ar-SA"/>
        </w:rPr>
        <w:t>، أو شخص آخر كأبي أُمامة الباهلي وهذا ما يورث الاطمئنان على وجود الخلل فيها سنداً أو 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سلم أنّ الحديث قابل للاحتجاج ، لكنّه لا يعادله ولا يقاوم ما تواتر عن أئمّة أهل البيت من جواز الوصية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محمد بن مسلم أحد فقهاء القرن الثاني ، من تلاميذ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الوصية للوارث؟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وهذا أبو بصير المرادي شيخ الشيعة في عصر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أنّه سأله عن الوصية للوارث؟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التعارض فرع عدم وجود الجمع الدلالي بين نصّ الكتاب والحديث ،</w:t>
      </w:r>
    </w:p>
    <w:p>
      <w:pPr>
        <w:pStyle w:val="BookText"/>
        <w:rPr/>
      </w:pPr>
      <w:r>
        <w:rPr>
          <w:rFonts w:ascii="Amiri" w:hAnsi="Amiri" w:eastAsia="Amiri" w:cs="Amiri"/>
          <w:color w:val="111111"/>
          <w:sz w:val="28"/>
          <w:sz w:val="28"/>
          <w:szCs w:val="28"/>
          <w:rtl w:val="true"/>
          <w:lang w:bidi="ar-SA"/>
        </w:rPr>
        <w:t xml:space="preserve">إذ من المحتمل جداً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قيداً لكلامه ، ولم يسمعه الراوي أو سمعه ، وغفل عن نقله ، أو نقله ولم يصل إلينا وهو أنّه مثلاً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تجوز وصية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عن الثلث أو بأكثر منه ، كما ورد كذلك من طرقنا ، وطرق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الدارقطني نقله عن الرسول الأكرم بهذا القيد</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وقد ورد من طرقنا عن النبي الأكرم أنّه قال في خطبة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قد قسّم لكلّ وارث نصيبه من الميراث ، ولا تجوز وصية لوارث بأكثر من الثلث</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وبعد هذه الملاحظات لا يبقى أيّ وثوق بالرواية المنقولة بالصورة الموجودة في كتب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دين الفطرة ، ورسالته خاتمة الرسالات ، فكيف يصحّ أن يسد باب الإيصاء للوارث ، مع أنّه ربّما تمسّ الحاجة إلى الإيصاء للوارث ، بعيداً عن الجور والحيف ، من دون أن يثير عداء الباقين وحسد الآخرين كما إذا كان طفلاً ، أو مريضاً ، أو معوّقاً أو طالب علم ، لا يتسنّى له التحصيل إلاّ بعون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يدعو فقهاء المذاهب في الأمصار ، إلى دراسة المسألة من الأصل عسى أن يتبدّل المختلف إلى المؤتلف والخلاف إلى الوفاق بفضله وكرمه سبحانه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مصدر الحكم عند القوم هو الروايات التي تعرفت على ضعفها ومقدار دلالتها ، وربّما يستدلّ بوجه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 حينئذ صار للورثة ، فحكم الموصي فيما استحقوه بالميراث باطل ، لقول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دماءكم وأموالكم وأعراضكم عليكم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لهم إجازة الباطل ، لكن إن أحبوا أن </w:t>
      </w:r>
    </w:p>
    <w:p>
      <w:pPr>
        <w:pStyle w:val="BookText"/>
        <w:rPr/>
      </w:pPr>
      <w:r>
        <w:rPr>
          <w:rFonts w:ascii="Amiri" w:hAnsi="Amiri" w:eastAsia="Amiri" w:cs="Amiri"/>
          <w:color w:val="111111"/>
          <w:sz w:val="28"/>
          <w:sz w:val="28"/>
          <w:szCs w:val="28"/>
          <w:rtl w:val="true"/>
          <w:lang w:bidi="ar-SA"/>
        </w:rPr>
        <w:t>ينفذوا الوصية من مالهم باختيارهم ، فلهم التنفيذ ، ولهم حينئذ أن يجعلوا الأجر لمن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حينئذ صار للورثة فحكم الموصي فيما استحقّوه بالميراث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الدليل هو الرواية ،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ضعف الرواية وانّها لا تقاوم الذكر لحكيم أوّلاً ، وإمكان الجمع بينهما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الدليل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دماءكم وأولادكم وأعراضكم عليكم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ذيل كلامه ففيه انّه لم يدل دليل على أنّ الموصى به ملك للورثة ينتقل منهم إلى الموصى له ، بل ظاهر الآية انّ المنقول من التركة إلى الوارث مخصص بغير الدين والوصية ، فمقدار الدين وما أوصى به لا ينتقلان إلى الورثة حتّى ينتقلا إلى الموصى له ، بل المنقول إليهم مضيق من أوّل الأمر بغير الدين والوصية ، ويدلّ عليه قوله سبحانه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الرُّبُعُ مِمَّا تَرَكْنَ مِنْ بَعْدِ وَصِيَّةٍ يُوصِينَ بِها أَوْ دَيْنٍ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فَلَهُنَّ الثُّمُنُ مِمَّا تَرَكْتُمْ مِنْ بَعْدِ وَصِيَّةٍ تُوصُونَ بِها أَوْ دَيْنٍ</w:t>
      </w:r>
      <w:r>
        <w:rPr>
          <w:rFonts w:eastAsia="Amiri" w:cs="Amiri" w:ascii="Amiri" w:hAnsi="Amiri"/>
          <w:color w:val="111111"/>
          <w:sz w:val="28"/>
          <w:szCs w:val="28"/>
          <w:rtl w:val="true"/>
          <w:lang w:bidi="ar-SA"/>
        </w:rPr>
        <w:t xml:space="preserve">). </w:t>
      </w:r>
      <w:bookmarkStart w:id="286" w:name="pg10155_105352"/>
    </w:p>
    <w:p>
      <w:pPr>
        <w:pStyle w:val="Heading2"/>
        <w:numPr>
          <w:ilvl w:val="1"/>
          <w:numId w:val="1"/>
        </w:numPr>
        <w:rPr/>
      </w:pPr>
      <w:bookmarkStart w:id="287" w:name="__RefHeading___Toc1272847_1067777946"/>
      <w:bookmarkStart w:id="288" w:name="_Toc99"/>
      <w:bookmarkEnd w:id="286"/>
      <w:bookmarkEnd w:id="287"/>
      <w:r>
        <w:rPr/>
        <w:t>21</w:t>
      </w:r>
      <w:r>
        <w:rPr>
          <w:rtl w:val="true"/>
        </w:rPr>
        <w:t xml:space="preserve">- </w:t>
      </w:r>
      <w:r>
        <w:rPr>
          <w:rtl w:val="true"/>
        </w:rPr>
        <w:t>المسلم يرث الكافر دون العكس</w:t>
      </w:r>
      <w:bookmarkEnd w:id="28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1272849_1067777946"/>
      <w:bookmarkStart w:id="290" w:name="_Toc100"/>
      <w:bookmarkEnd w:id="289"/>
      <w:r>
        <w:rPr>
          <w:rtl w:val="true"/>
        </w:rPr>
        <w:t>اشارة</w:t>
      </w:r>
      <w:bookmarkEnd w:id="29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0155_105354"/>
      <w:bookmarkStart w:id="292" w:name="pg10155_105354"/>
      <w:bookmarkEnd w:id="292"/>
    </w:p>
    <w:p>
      <w:pPr>
        <w:pStyle w:val="Heading3"/>
        <w:numPr>
          <w:ilvl w:val="2"/>
          <w:numId w:val="1"/>
        </w:numPr>
        <w:rPr/>
      </w:pPr>
      <w:bookmarkStart w:id="293" w:name="pg10155_105354"/>
      <w:bookmarkStart w:id="294" w:name="__RefHeading___Toc1272851_1067777946"/>
      <w:bookmarkStart w:id="295" w:name="_Toc101"/>
      <w:bookmarkEnd w:id="293"/>
      <w:bookmarkEnd w:id="294"/>
      <w:r>
        <w:rPr>
          <w:rtl w:val="true"/>
        </w:rPr>
        <w:t>المسلم يرث الكافر دون العكس</w:t>
      </w:r>
      <w:bookmarkEnd w:id="295"/>
    </w:p>
    <w:p>
      <w:pPr>
        <w:pStyle w:val="Heading4"/>
        <w:numPr>
          <w:ilvl w:val="3"/>
          <w:numId w:val="1"/>
        </w:numPr>
        <w:rPr/>
      </w:pPr>
      <w:bookmarkStart w:id="296" w:name="__RefHeading___Toc1272853_1067777946"/>
      <w:bookmarkStart w:id="297" w:name="_Toc102"/>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إنّ للإرث في الفقه الإسلامي موجبات وموانع</w:t>
      </w:r>
    </w:p>
    <w:p>
      <w:pPr>
        <w:pStyle w:val="BookText"/>
        <w:rPr/>
      </w:pPr>
      <w:r>
        <w:rPr>
          <w:rFonts w:ascii="Amiri" w:hAnsi="Amiri" w:eastAsia="Amiri" w:cs="Amiri"/>
          <w:color w:val="111111"/>
          <w:sz w:val="28"/>
          <w:sz w:val="28"/>
          <w:szCs w:val="28"/>
          <w:rtl w:val="true"/>
          <w:lang w:bidi="ar-SA"/>
        </w:rPr>
        <w:t xml:space="preserve">أمّا الموجبات له فسببان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الإرث في الشرع بأمرين وجب</w:t>
      </w:r>
    </w:p>
    <w:p>
      <w:pPr>
        <w:pStyle w:val="BookText"/>
        <w:rPr/>
      </w:pPr>
      <w:r>
        <w:rPr>
          <w:rFonts w:ascii="IRNazanin" w:hAnsi="IRNazanin" w:eastAsia="IRNazanin"/>
          <w:color w:val="111111"/>
          <w:sz w:val="28"/>
          <w:sz w:val="28"/>
          <w:szCs w:val="28"/>
          <w:rtl w:val="true"/>
          <w:lang w:bidi="fa-IR"/>
        </w:rPr>
        <w:t>بالنسب الثابت شرعاً وسبب</w:t>
      </w:r>
    </w:p>
    <w:p>
      <w:pPr>
        <w:pStyle w:val="BookText"/>
        <w:rPr/>
      </w:pPr>
      <w:r>
        <w:rPr>
          <w:rFonts w:ascii="Amiri" w:hAnsi="Amiri" w:eastAsia="Amiri" w:cs="Amiri"/>
          <w:color w:val="111111"/>
          <w:sz w:val="28"/>
          <w:sz w:val="28"/>
          <w:szCs w:val="28"/>
          <w:rtl w:val="true"/>
          <w:lang w:bidi="ar-SA"/>
        </w:rPr>
        <w:t xml:space="preserve">وأمّا الموانع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 والقتل ، والرقّ ، فنُهمِلُ الكلامَ في المانعين الأخيرين ، ونركّز على المانع الأوّل ضمن مسألتين </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272855_1067777946"/>
      <w:bookmarkStart w:id="299" w:name="_Toc103"/>
      <w:bookmarkEnd w:id="298"/>
      <w:r>
        <w:rPr>
          <w:rtl w:val="true"/>
        </w:rPr>
        <w:t xml:space="preserve">الأُولى </w:t>
      </w:r>
      <w:r>
        <w:rPr>
          <w:rtl w:val="true"/>
        </w:rPr>
        <w:t xml:space="preserve">: </w:t>
      </w:r>
      <w:r>
        <w:rPr>
          <w:rtl w:val="true"/>
        </w:rPr>
        <w:t>توريث الكافر من المسلم</w:t>
      </w:r>
      <w:bookmarkEnd w:id="299"/>
    </w:p>
    <w:p>
      <w:pPr>
        <w:pStyle w:val="BookText"/>
        <w:rPr/>
      </w:pPr>
      <w:r>
        <w:rPr>
          <w:rFonts w:ascii="Amiri" w:hAnsi="Amiri" w:eastAsia="Amiri" w:cs="Amiri"/>
          <w:color w:val="111111"/>
          <w:sz w:val="28"/>
          <w:sz w:val="28"/>
          <w:szCs w:val="28"/>
          <w:rtl w:val="true"/>
          <w:lang w:bidi="ar-SA"/>
        </w:rPr>
        <w:t>لا يرث الكافر المسلم مطلقاً ، إجماعاً محقّقاً بين المسلمين ، مع تضافر الروايات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يرث كافر مسلماً على حال</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وقال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والكافر لا يرث المسلم بلا خلاف</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وقال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أنّ الكافر لا يرث المسلم</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انّ هذه المسألة ممّا لم يختلف فيها اثنان ، وهي مورد اتفاق بين الفريقين نكتفي بهذا المقدار ونركّز البحث على المسألة الثانية</w:t>
      </w:r>
      <w:r>
        <w:rPr>
          <w:rFonts w:eastAsia="Amiri" w:cs="Amiri" w:ascii="Amiri" w:hAnsi="Amiri"/>
          <w:color w:val="111111"/>
          <w:sz w:val="28"/>
          <w:szCs w:val="28"/>
          <w:rtl w:val="true"/>
          <w:lang w:bidi="ar-SA"/>
        </w:rPr>
        <w:t xml:space="preserve">. </w:t>
      </w:r>
      <w:bookmarkStart w:id="300" w:name="pg10155_105355"/>
    </w:p>
    <w:p>
      <w:pPr>
        <w:pStyle w:val="Heading4"/>
        <w:numPr>
          <w:ilvl w:val="3"/>
          <w:numId w:val="1"/>
        </w:numPr>
        <w:rPr/>
      </w:pPr>
      <w:bookmarkStart w:id="301" w:name="__RefHeading___Toc1272857_1067777946"/>
      <w:bookmarkStart w:id="302" w:name="_Toc104"/>
      <w:bookmarkEnd w:id="300"/>
      <w:bookmarkEnd w:id="301"/>
      <w:r>
        <w:rPr>
          <w:rtl w:val="true"/>
        </w:rPr>
        <w:t xml:space="preserve">الثانية </w:t>
      </w:r>
      <w:r>
        <w:rPr>
          <w:rtl w:val="true"/>
        </w:rPr>
        <w:t xml:space="preserve">: </w:t>
      </w:r>
      <w:r>
        <w:rPr>
          <w:rtl w:val="true"/>
        </w:rPr>
        <w:t>توريث المسلم من الكافر</w:t>
      </w:r>
      <w:bookmarkEnd w:id="302"/>
    </w:p>
    <w:p>
      <w:pPr>
        <w:pStyle w:val="Heading5"/>
        <w:numPr>
          <w:ilvl w:val="4"/>
          <w:numId w:val="1"/>
        </w:numPr>
        <w:rPr/>
      </w:pPr>
      <w:bookmarkStart w:id="303" w:name="__RefHeading___Toc1272859_1067777946"/>
      <w:bookmarkStart w:id="304" w:name="_Toc105"/>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هذه المسألة اختلفت فيها كلمات الفقهاء ، فالإمامية ولفيف من غيرهم على أنّه يرث الكافر ، ولكن الأكثرية من غيرهم على المنع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هذه المسألة التي أصبحت مثار بحث وجدل واسع بين المذهبين ، يتم ببيان أُمور </w:t>
      </w:r>
      <w:r>
        <w:rPr>
          <w:rFonts w:eastAsia="Amiri" w:cs="Amiri" w:ascii="Amiri" w:hAnsi="Amiri"/>
          <w:color w:val="111111"/>
          <w:sz w:val="28"/>
          <w:szCs w:val="28"/>
          <w:rtl w:val="true"/>
          <w:lang w:bidi="ar-SA"/>
        </w:rPr>
        <w:t xml:space="preserve">: </w:t>
      </w:r>
      <w:bookmarkStart w:id="305" w:name="pg10155_105356"/>
    </w:p>
    <w:p>
      <w:pPr>
        <w:pStyle w:val="Heading5"/>
        <w:numPr>
          <w:ilvl w:val="4"/>
          <w:numId w:val="1"/>
        </w:numPr>
        <w:rPr/>
      </w:pPr>
      <w:bookmarkStart w:id="306" w:name="__RefHeading___Toc1272861_1067777946"/>
      <w:bookmarkStart w:id="307" w:name="_Toc106"/>
      <w:bookmarkEnd w:id="305"/>
      <w:bookmarkEnd w:id="306"/>
      <w:r>
        <w:rPr/>
        <w:t>1</w:t>
      </w:r>
      <w:r>
        <w:rPr>
          <w:rtl w:val="true"/>
        </w:rPr>
        <w:t xml:space="preserve">- </w:t>
      </w:r>
      <w:r>
        <w:rPr>
          <w:rtl w:val="true"/>
        </w:rPr>
        <w:t>استعراض كلمات الفقهاء</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قاطبة تبعاً لأئمّة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ومعاذ بن جبل ومعاوية بن أبي سفيان من الصحابة ، ومسروق وسعيد وعبد الله بن معقل ومحمد بن الحنفية وإسحاق بن راهويه من التابعين إلى أنّ المسلم يرث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جمهور الصحابة والفقهاء على أنّه لا يرث المسلم الكافر</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جمهور الصحابة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هذا عن أبي بكر وعثمان وعلي وأُسامة بن زيد وجابر بن عبد الله ، وبه قال عمرو بن عثمان وعروة والزهري وعطاء وطاوس والحسن وعمر بن عبد العزيز وعمرو بن دينار والثوري وأبو حنيفة وأصحابه ومالك والشافعي وعامّة الفقهاء ، وعليه العمل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عمر ومعاذ ومعاوية ، أنّهم ورَّثوا المسلم من الكافر ولم يورِّثوا الكافر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ذلك عن محمد بن الحنفية ، وعلي بن الحسين ، وسعيد بن المسيب ، ومسروق ، وعبد الله بن معقل ، والشعبي ، والنخعي ، ويحيى بن يعمر ، </w:t>
      </w:r>
    </w:p>
    <w:p>
      <w:pPr>
        <w:pStyle w:val="BookText"/>
        <w:rPr/>
      </w:pPr>
      <w:r>
        <w:rPr>
          <w:rFonts w:ascii="Amiri" w:hAnsi="Amiri" w:eastAsia="Amiri" w:cs="Amiri"/>
          <w:color w:val="111111"/>
          <w:sz w:val="28"/>
          <w:sz w:val="28"/>
          <w:szCs w:val="28"/>
          <w:rtl w:val="true"/>
          <w:lang w:bidi="ar-SA"/>
        </w:rPr>
        <w:t xml:space="preserve">وإسحاق ؛ وليس بموثوق به عنهم ، فإنّ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الناس اختلاف في أنّ المسلم لا يرث الكافر</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وجدير بالذكر انّهم ينسبون عدم الإرث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المعروف بزين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روايات أئمة أهل البيت متضافرة على خلافه كما سيوافيك</w:t>
      </w:r>
      <w:r>
        <w:rPr>
          <w:rFonts w:eastAsia="Amiri" w:cs="Amiri" w:ascii="Amiri" w:hAnsi="Amiri"/>
          <w:color w:val="111111"/>
          <w:sz w:val="28"/>
          <w:szCs w:val="28"/>
          <w:rtl w:val="true"/>
          <w:lang w:bidi="ar-SA"/>
        </w:rPr>
        <w:t xml:space="preserve">. </w:t>
      </w:r>
      <w:bookmarkStart w:id="308" w:name="pg10155_105358"/>
    </w:p>
    <w:p>
      <w:pPr>
        <w:pStyle w:val="Heading5"/>
        <w:numPr>
          <w:ilvl w:val="4"/>
          <w:numId w:val="1"/>
        </w:numPr>
        <w:rPr/>
      </w:pPr>
      <w:bookmarkStart w:id="309" w:name="__RefHeading___Toc1272863_1067777946"/>
      <w:bookmarkStart w:id="310" w:name="_Toc107"/>
      <w:bookmarkEnd w:id="308"/>
      <w:bookmarkEnd w:id="309"/>
      <w:r>
        <w:rPr/>
        <w:t>2</w:t>
      </w:r>
      <w:r>
        <w:rPr>
          <w:rtl w:val="true"/>
        </w:rPr>
        <w:t xml:space="preserve">- </w:t>
      </w:r>
      <w:r>
        <w:rPr>
          <w:rtl w:val="true"/>
        </w:rPr>
        <w:t>الكتاب حجّة قطعية لا يعدل عنه إلاّ بدليل قطعي</w:t>
      </w:r>
      <w:bookmarkEnd w:id="310"/>
    </w:p>
    <w:p>
      <w:pPr>
        <w:pStyle w:val="BookText"/>
        <w:rPr/>
      </w:pPr>
      <w:r>
        <w:rPr>
          <w:rFonts w:ascii="Amiri" w:hAnsi="Amiri" w:eastAsia="Amiri" w:cs="Amiri"/>
          <w:color w:val="111111"/>
          <w:sz w:val="28"/>
          <w:sz w:val="28"/>
          <w:szCs w:val="28"/>
          <w:rtl w:val="true"/>
          <w:lang w:bidi="ar-SA"/>
        </w:rPr>
        <w:t xml:space="preserve">إنّ الكتاب حجّة قطعية سنداً ودلالة في غير المجملات والمبهمات والمتشابهات ولا ترفع اليد عن مثله إلاّ بدليل قطعي آخر ، فإنّ كون الكتاب حجّة ليس ككون خبر الواحد حجّة ، بل هو من الحجج القطعية الذي لا يعادله شيء إلاّ نفس كلام المعصوم ، لا الحاكي عنه الذي يحتمل أن يكون كلام المعصوم أو موضوعاً على لسانه ، وقد سمّاه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الثقلين بالثقل الأكبر ، ومعه كيف يمكن رفع اليد عن ظواهر القرآن بخبر الواحد وإن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قلنا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اليد عن إطلاق الكتاب وعمومه بمجرّد ورود خبر ثقة مشكل جدّاً ، إلاّ إذا احتفّ الخبر بقرينة توجب اطمئنان الإنسان بصدوره من المعصوم يجعله بمثابة تسكن النفس إليه ، ولأجل ذلك لم تجوّز طائفة من الأُصوليّين تخصيص القرآن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الآراء في تخصيص الكتاب وتقييده بخبر الواحد </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أذهب إليه انّه لا يجوز تخصيص الكتاب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كلّ حال ، سواء خُصّ أم لم يخصّ ، بدليل متّصل أو منفصل ، والذي يدلّ على ذلك انّ عموم القرآن يوجب العلم ، وخبر الواحد يوجب غلبة الظن ، ولا يجوز أن يترك العلم بالظن على حال ، فوجب بذلك أن لا يخصّ العموم به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وأيّده المحقّق الحلّيّ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 خبر الواحد دليل على الإطلاق ، لأنّ الدلالة على العمل به ، هي الإجماع على استعماله فيما لا يوجد عليه دلالة فإذا وجدت الدلالة القطعية سقط وجوب العمل</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وحاصل كلامهما وجود الشكّ في سعة دليل حجّية خبر الواحد ، وانّه هل يعمّ ما إذا كان في المورد دليل قطعي مثل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كثيراً من الأُصوليّين وإن كانوا يتعاملون مع الكتاب العزيز معاملة سائر الحجج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الحاكية ، لكنّ الكتاب أعظم شأناً من أن يكون عِدْلاً لأمثالها بل هو حجة قطعية ، فعموم القرآن وإطلاقاته حجّة على المجتهد إلاّ إذا وقف على حجّة أُخرى تسكن النفس إليها ويطمئن بها المجتهد ، فعند ذلك يقيّد عموم القرآن وإطلاقاته به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فلندخل في صلب الموضوع ونقدّم أدلّة القائلين بالإرث على أدلّة نفاته</w:t>
      </w:r>
      <w:r>
        <w:rPr>
          <w:rFonts w:eastAsia="Amiri" w:cs="Amiri" w:ascii="Amiri" w:hAnsi="Amiri"/>
          <w:color w:val="111111"/>
          <w:sz w:val="28"/>
          <w:szCs w:val="28"/>
          <w:rtl w:val="true"/>
          <w:lang w:bidi="ar-SA"/>
        </w:rPr>
        <w:t xml:space="preserve">. </w:t>
      </w:r>
      <w:bookmarkStart w:id="311" w:name="pg10155_105360"/>
    </w:p>
    <w:p>
      <w:pPr>
        <w:pStyle w:val="Heading5"/>
        <w:numPr>
          <w:ilvl w:val="4"/>
          <w:numId w:val="1"/>
        </w:numPr>
        <w:rPr/>
      </w:pPr>
      <w:bookmarkStart w:id="312" w:name="__RefHeading___Toc1272865_1067777946"/>
      <w:bookmarkStart w:id="313" w:name="_Toc108"/>
      <w:bookmarkEnd w:id="311"/>
      <w:bookmarkEnd w:id="312"/>
      <w:r>
        <w:rPr/>
        <w:t>3</w:t>
      </w:r>
      <w:r>
        <w:rPr>
          <w:rtl w:val="true"/>
        </w:rPr>
        <w:t xml:space="preserve">- </w:t>
      </w:r>
      <w:r>
        <w:rPr>
          <w:rtl w:val="true"/>
        </w:rPr>
        <w:t>أدلّة القائلين بإرث المسلم من الكافر</w:t>
      </w:r>
      <w:bookmarkEnd w:id="313"/>
    </w:p>
    <w:p>
      <w:pPr>
        <w:pStyle w:val="Heading6"/>
        <w:numPr>
          <w:ilvl w:val="5"/>
          <w:numId w:val="1"/>
        </w:numPr>
        <w:rPr/>
      </w:pPr>
      <w:bookmarkStart w:id="314" w:name="__RefHeading___Toc1272867_1067777946"/>
      <w:bookmarkStart w:id="315" w:name="_Toc109"/>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استدلّ القائلون بأنّ المسلم يرث الكافر مطلقاً ، كتابياً كان أو وثنياً بوجوه </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1272869_1067777946"/>
      <w:bookmarkStart w:id="317" w:name="_Toc110"/>
      <w:bookmarkEnd w:id="316"/>
      <w:r>
        <w:rPr/>
        <w:t>1</w:t>
      </w:r>
      <w:r>
        <w:rPr>
          <w:rtl w:val="true"/>
        </w:rPr>
        <w:t xml:space="preserve">. </w:t>
      </w:r>
      <w:r>
        <w:rPr>
          <w:rtl w:val="true"/>
        </w:rPr>
        <w:t>إطلاقات الكتاب العزيز</w:t>
      </w:r>
      <w:bookmarkEnd w:id="317"/>
    </w:p>
    <w:p>
      <w:pPr>
        <w:pStyle w:val="BookText"/>
        <w:rPr/>
      </w:pPr>
      <w:r>
        <w:rPr>
          <w:rFonts w:ascii="Amiri" w:hAnsi="Amiri" w:eastAsia="Amiri" w:cs="Amiri"/>
          <w:color w:val="111111"/>
          <w:sz w:val="28"/>
          <w:sz w:val="28"/>
          <w:szCs w:val="28"/>
          <w:rtl w:val="true"/>
          <w:lang w:bidi="ar-SA"/>
        </w:rPr>
        <w:t xml:space="preserve">إنّ مقتضى إطلاقات الكتاب وعموماته ، هو التوارث في الحالتين ، من دون فرق بين إرث الكافر ، المسلم وبالعكس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وَإِنْ كانَتْ واحِدَةً فَلَهَا النِّصْفُ</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نِصْفُ ما تَرَكَ أَزْواجُكُمْ إِنْ لَمْ يَكُنْ لَهُنَّ وَلَدٌ فَإِنْ كانَ لَهُنَّ وَلَدٌ فَلَكُمُ الرُّبُعُ مِمَّا تَرَكْنَ مِنْ بَعْدِ وَصِيَّةٍ يُوصِينَ بِها أَوْ دَيْنٍ </w:t>
      </w:r>
      <w:r>
        <w:rPr>
          <w:rFonts w:eastAsia="Amiri" w:cs="Amiri" w:ascii="Amiri" w:hAnsi="Amiri"/>
          <w:color w:val="111111"/>
          <w:sz w:val="28"/>
          <w:szCs w:val="28"/>
          <w:rtl w:val="true"/>
          <w:lang w:bidi="ar-SA"/>
        </w:rPr>
        <w:t xml:space="preserve">...). </w:t>
      </w:r>
      <w:r>
        <w:rPr>
          <w:rStyle w:val="FootnoteAnchor"/>
          <w:rtl w:val="true"/>
        </w:rPr>
        <w:footnoteReference w:id="295"/>
      </w:r>
      <w:bookmarkStart w:id="318" w:name="pg10155_105361"/>
    </w:p>
    <w:p>
      <w:pPr>
        <w:pStyle w:val="BookText"/>
        <w:rPr/>
      </w:pPr>
      <w:bookmarkEnd w:id="318"/>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فَلَها نِصْفُ ما تَرَكَ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غير أنّ الدليل القطعي وهو اتّفاق المسلمين قام على إخراج إرث الكافر من المسلم من تحت هذه الإطلاقات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إرث المسلم من الكافر فخروجه رهن دليل قطعي تسكن إليه النفس حتّى يعد عديلاً للقرآن في الحجّية ويخصّ الكتاب أو يقيّد بهذا الدليل ، فلا بدّ من دراسة الروايات التي استدلّ بها على عدم توريث المسلم من الكافر ، وانّه هل هي بهذه المثابة أو لا؟ وستتم دراسته في الفصل القادم</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1272871_1067777946"/>
      <w:bookmarkStart w:id="320" w:name="_Toc111"/>
      <w:bookmarkEnd w:id="319"/>
      <w:r>
        <w:rPr/>
        <w:t>2</w:t>
      </w:r>
      <w:r>
        <w:rPr>
          <w:rtl w:val="true"/>
        </w:rPr>
        <w:t xml:space="preserve">. </w:t>
      </w:r>
      <w:r>
        <w:rPr>
          <w:rtl w:val="true"/>
        </w:rPr>
        <w:t>إجماع الإمامية على الإرث</w:t>
      </w:r>
      <w:bookmarkEnd w:id="320"/>
    </w:p>
    <w:p>
      <w:pPr>
        <w:pStyle w:val="BookText"/>
        <w:rPr/>
      </w:pPr>
      <w:r>
        <w:rPr>
          <w:rFonts w:ascii="Amiri" w:hAnsi="Amiri" w:eastAsia="Amiri" w:cs="Amiri"/>
          <w:color w:val="111111"/>
          <w:sz w:val="28"/>
          <w:sz w:val="28"/>
          <w:szCs w:val="28"/>
          <w:rtl w:val="true"/>
          <w:lang w:bidi="ar-SA"/>
        </w:rPr>
        <w:t>اتّفقت الإمامية على أنّ المسلم يرث الكافر مطلقاً ، ولم يختلف فيه اثنان منهم ، وقد مرّت الإشارة إلى إجماع الطائفة في كلام الشيخ الطوسي ، ولنذكر غيرها ، حتّى يتّضح اتّفاقهم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ويرث أهل الإسلام بالنسب والسبب أهلَ الكفر والإسلام ، ولا يرث كافر مسلماً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اليهودي ، أو النصراني ، أو المجوسي ، ابناً مسلماً وابناً على ملّته ، فميراثه عند آل محمد لابنه المسلم دون الكافر ؛ ولو ترك أخاً مسلماً وابناً كافراً ، حجب الاخُ المسلم الابنَ في الميراث وكان أحقّ به من الابن الكافر ، وجرى الابن الكافر مجرى الميت في حياة أبيه ، أو القاتل الممنوع بجنايته من الميراث</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انفردت به </w:t>
      </w:r>
    </w:p>
    <w:p>
      <w:pPr>
        <w:pStyle w:val="BookText"/>
        <w:rPr/>
      </w:pPr>
      <w:r>
        <w:rPr>
          <w:rFonts w:ascii="Amiri" w:hAnsi="Amiri" w:eastAsia="Amiri" w:cs="Amiri"/>
          <w:color w:val="111111"/>
          <w:sz w:val="28"/>
          <w:sz w:val="28"/>
          <w:szCs w:val="28"/>
          <w:rtl w:val="true"/>
          <w:lang w:bidi="ar-SA"/>
        </w:rPr>
        <w:t xml:space="preserve">الإمامية عن أقوال باقي الفقهاء في هذه الأزمان القريبة وإن كان لها موافق في متقدّم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المسلم يرث الكافر وإن لم يرث الكافر ،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الفقهاء في كتبهم موافقة الإمامية على هذا المذهب عن سيدنا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الحنفية وعن مسروق وعبد الله بن معقل المزني وسعيد بن المسيب ويحيى بن يعمر ومعاذ بن جبل ، ومعاوية بن أبي سفيان</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والكافر لا يرث المسلم بلا خلاف ، والمسلم يرث الكافر عندنا ، حربياً كان أو ذمّيّاً ، أو كافر أصل ، أو مرتداً عن الإسلام</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الكافر لا يرث المسلم ، فأمّا المسلم فانّه يرث الكافر عندنا وإن بعد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الإجماع الماضي ذكره ، وظاهر آيات الميراث ، لأنّه إنّما يخرج من ظاهرها ما أخرجه دليل قاطع</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بيّنا فيما مضى انّ الكافر لا يرث المسلم ، فأمّا المسلم فانّه يرث الكافر عندنا وإن بعد نسبه ويحجب من قرب عن الميراث بلا خلاف بيننا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الكيدري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 يرث الكافر ، وإن بعد نسبه ، أمّا بالعكس فلا ، كما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02"/>
      </w: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ويرث المسلم الكافر ، أصلياً </w:t>
      </w:r>
      <w:bookmarkStart w:id="321" w:name="pg10155_105363"/>
    </w:p>
    <w:p>
      <w:pPr>
        <w:pStyle w:val="BookText"/>
        <w:rPr/>
      </w:pPr>
      <w:bookmarkEnd w:id="321"/>
      <w:r>
        <w:rPr>
          <w:rFonts w:ascii="Amiri" w:hAnsi="Amiri" w:eastAsia="Amiri" w:cs="Amiri"/>
          <w:color w:val="111111"/>
          <w:sz w:val="28"/>
          <w:sz w:val="28"/>
          <w:szCs w:val="28"/>
          <w:rtl w:val="true"/>
          <w:lang w:bidi="ar-SA"/>
        </w:rPr>
        <w:t xml:space="preserve">ومرتداً ، ولو مات كافر وله ورثة كفّار ، ووارث مسلم ، كان ميراثه للم </w:t>
      </w:r>
      <w:r>
        <w:rPr>
          <w:rStyle w:val="FootnoteAnchor"/>
          <w:rtl w:val="true"/>
        </w:rPr>
        <w:footnoteReference w:id="303"/>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ويرث المسلم الكافر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موضع وفاق بين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الكلمات الّتي يجدها الباحث في مظانّها ، ولا حاجة إلى نقلها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الإجماع الموسوم بالإجماع المحصّل حجّة بنفسه حسب أُصول المخالفين ، وكاشف عن رأي المعصوم على أُصولنا ، وهو حجّة قطعية لا يعدل عنها إلى غيرها</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1272873_1067777946"/>
      <w:bookmarkStart w:id="323" w:name="_Toc112"/>
      <w:bookmarkEnd w:id="322"/>
      <w:r>
        <w:rPr/>
        <w:t>3</w:t>
      </w:r>
      <w:r>
        <w:rPr>
          <w:rtl w:val="true"/>
        </w:rPr>
        <w:t xml:space="preserve">. </w:t>
      </w:r>
      <w:r>
        <w:rPr>
          <w:rtl w:val="true"/>
        </w:rPr>
        <w:t xml:space="preserve">الروايات المتضافرة عن أئمّة أهل البيت </w:t>
      </w:r>
      <w:r>
        <w:rPr>
          <w:rtl w:val="true"/>
        </w:rPr>
        <w:t xml:space="preserve">- </w:t>
      </w:r>
      <w:r>
        <w:rPr>
          <w:rtl w:val="true"/>
        </w:rPr>
        <w:t xml:space="preserve">عليهم السلام </w:t>
      </w:r>
      <w:r>
        <w:rPr>
          <w:rtl w:val="true"/>
        </w:rPr>
        <w:t>-</w:t>
      </w:r>
      <w:bookmarkEnd w:id="323"/>
    </w:p>
    <w:p>
      <w:pPr>
        <w:pStyle w:val="BookText"/>
        <w:rPr/>
      </w:pPr>
      <w:r>
        <w:rPr>
          <w:rFonts w:ascii="Amiri" w:hAnsi="Amiri" w:eastAsia="Amiri" w:cs="Amiri"/>
          <w:color w:val="111111"/>
          <w:sz w:val="28"/>
          <w:sz w:val="28"/>
          <w:szCs w:val="28"/>
          <w:rtl w:val="true"/>
          <w:lang w:bidi="ar-SA"/>
        </w:rPr>
        <w:t xml:space="preserve">قد تضافرت الروايات على أنّ المسلم يرث الكافر ولا عكس ، وقد جمعها الشيخ الحرّ العاملي في كتاب الفرائض الباب الأوّل من أبواب موانع الإرث ، وهي تناهز عشر روايات ، وإليك استعراضها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الصدوق بسند صحيح عن أبي ولاّد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يرث امرأته الذمّيّة ، وهي لا ترثه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ومورد الرواية هو إرث المسلم زوجته ، ولكن المورد غير مخصّص خصوصاً بقرينة ما يأتي من المطلقات والعمومات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الصدوق عن الحسن بن صالح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يحجب الكافر ويرثه ، والكافر لا يحجب المسلم ولا يرثه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فلو كان للكافر ابن كافر ، وأخ مسلم يحجب الأخ إرث الابن الكافر ؛ والكلام في المقام في إرث المسلم ، الكافر ، 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حاجباً عن إرث الكافر مسألة ثانية ، ولا ملازمة عقلاً بين المسألتين ، إذ يمكن الفصل بين المسألتين عقلاً ، بأن يكون وارثاً ، لا حاجباً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دلّت الروايات على كونه حاجباً أيضاً ، فيحجب إرث الكافر من الكافر ، سواء كان الحاجب متّحداً مع الممنوع في الطبقة أو متأخّراً عنه ، فالولد المسلم يحجب الولد الكافر ، كما أنّ الأخ المسلم يحجب إرث الولد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بسند معتبر عن أبي خديجة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الكافر المسلم ، وللمسلم أن يرث الكافر ، إلاّ أن يكون المسلم قد أوصى للكافر بشيء</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عن عبد الرحمن بن أعين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النصراني يموت وله ابن مسلم ، أيرثه؟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إنّ الله عزّ وجلّ لم يزدنا بالإسلام إلاّ عزّاً ، فنحن نرثهم وهم لا يرثوننا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أخرجه الصدوق بسند موثّق عن سماعة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المسلم هل يرث المشرك؟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 فأمّا المشرك فلا يرث المسلم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الفقيه بسند معتبر عن محمد بن قيس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اليهودي والنصراني المسلمين ، ويرث المسلمون اليهود والنصارى</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يتوارث أهل 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هذا هذا ، ويرث هذا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المسلم يرث الكافر والكافر لا يرث المسلم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بسند صحيح عن جميل وهشام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روى الناس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يتوارث أهل ملّتين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نرثهم ولا يرثونا ، انّ الإسلام لم يزده في حقّه إلاّ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الشيخ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الإسلام لم يزده إلاّ عزّاً في حقّه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ثمّ إنّ الرواية السابعة والثامنة تفسران ما رواه الجمهور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يتوارث أهل ملّتين كما سيوافيك بيانه ، وحاصل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نفي التوارث كما يحصل بعدم إرث كلّ الآخر ، يتحقّق أيضاً بعدم إرث الكافر المسلم دون المسلم ،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أيضاً يفسر بعض الروايات الواردة عن أئمّة أهل البيت بنفس اللفظ النبوي أو قريب منه ، نظير الروايات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بسند معتبر عن حنان بن سدير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يتوارث أهل ملّتين؟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ونظيره ما رواه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أخيه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نصراني يموت ابنه وهو مسلم ، فهل يرث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أهل ملّة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أهل ملّة ملّةً</w:t>
      </w:r>
      <w:r>
        <w:rPr>
          <w:rFonts w:eastAsia="Amiri" w:cs="Amiri" w:ascii="Amiri" w:hAnsi="Amiri"/>
          <w:color w:val="111111"/>
          <w:sz w:val="28"/>
          <w:szCs w:val="28"/>
          <w:rtl w:val="true"/>
          <w:lang w:bidi="ar-SA"/>
        </w:rPr>
        <w:t xml:space="preserve">. </w:t>
      </w:r>
      <w:r>
        <w:rPr>
          <w:rStyle w:val="FootnoteAnchor"/>
          <w:rtl w:val="true"/>
        </w:rPr>
        <w:footnoteReference w:id="311"/>
      </w:r>
      <w:bookmarkStart w:id="324" w:name="pg10155_105366"/>
    </w:p>
    <w:p>
      <w:pPr>
        <w:pStyle w:val="BookText"/>
        <w:rPr/>
      </w:pPr>
      <w:bookmarkEnd w:id="324"/>
      <w:r>
        <w:rPr>
          <w:rFonts w:ascii="Amiri" w:hAnsi="Amiri" w:eastAsia="Amiri" w:cs="Amiri"/>
          <w:color w:val="111111"/>
          <w:sz w:val="28"/>
          <w:sz w:val="28"/>
          <w:szCs w:val="28"/>
          <w:rtl w:val="true"/>
          <w:lang w:bidi="ar-SA"/>
        </w:rPr>
        <w:t>وهو محمول على عدم التوارث من الطرفين فلا ينافي إرث المسلم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ما دلّ على إرث المسلم الكافر ، وهي متضافرة تفيد الاطمئنان بالصدور</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1272875_1067777946"/>
      <w:bookmarkStart w:id="326" w:name="_Toc113"/>
      <w:bookmarkEnd w:id="325"/>
      <w:r>
        <w:rPr>
          <w:rtl w:val="true"/>
        </w:rPr>
        <w:t>الروايات المعارضة</w:t>
      </w:r>
      <w:bookmarkEnd w:id="326"/>
    </w:p>
    <w:p>
      <w:pPr>
        <w:pStyle w:val="BookText"/>
        <w:rPr/>
      </w:pPr>
      <w:r>
        <w:rPr>
          <w:rFonts w:ascii="Amiri" w:hAnsi="Amiri" w:eastAsia="Amiri" w:cs="Amiri"/>
          <w:color w:val="111111"/>
          <w:sz w:val="28"/>
          <w:sz w:val="28"/>
          <w:szCs w:val="28"/>
          <w:rtl w:val="true"/>
          <w:lang w:bidi="ar-SA"/>
        </w:rPr>
        <w:t>ثمّ إنّ هناك روايات ربّما يتراءى التعارض بينها وبين ما سبق ، لا تعارضاً مطلقاً ، بل تعارضاً نسبياً ، وهي القول بإرث المسلم الكافر إلاّ في مورد الزوج والزوجة أو خصوص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صناعة الفقه تخصيص المطلقات السابقة بهذه الروايات المتعارضة ، إلاّ أنّها فاقدة للحجّية فيطرح تخصيصها بها ، وإليك ما يعارضها بظاهره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الصدوق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النصراني تكون عنده المرأة النصرانية فتسلم أو يسلم ثمّ يموت أحدهما؟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بينهما ميراث</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عبد الملك بن عمير القبطي ،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للنصراني الذي أسلمت زوجته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بضعها في يدك ، ولا ميراث بينكما</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عبد الرحمن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نصراني ، اختارت زوجته الإسلام ودار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دار الإسلام لا تخرج منها ، وأنّ بضعها في يد زوجها النصراني ، وأنّها لا ترثه ولا </w:t>
      </w:r>
    </w:p>
    <w:p>
      <w:pPr>
        <w:pStyle w:val="BookText"/>
        <w:rPr/>
      </w:pPr>
      <w:r>
        <w:rPr>
          <w:rFonts w:ascii="Amiri" w:hAnsi="Amiri" w:eastAsia="Amiri" w:cs="Amiri"/>
          <w:color w:val="111111"/>
          <w:sz w:val="28"/>
          <w:sz w:val="28"/>
          <w:szCs w:val="28"/>
          <w:rtl w:val="true"/>
          <w:lang w:bidi="ar-SA"/>
        </w:rPr>
        <w:t>يرثها</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عبد الرحمن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نزداد بالاسلام إلاّ عزّاً ، فنحن نرثهم ولا يرثونا ، هذا ميراث أبي طالب في أيدينا ، فلا نراه إلاّ في الولد والوالد ، ولا نراه في الزوج والمرأة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وهذه الروايات لا يعتمد عليها في مقابل ما تضافر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فهي مرسلة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مسندة إلى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مضافاً إلى كونها مرسلة لما في سندها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 الصيرفي أو بينه وبينه رجل ، عن عبد الملك بن عمير القبطي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عبد الملك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فسندها وإن كان موثّقاً ومقتضى الجمع الصناعي هو تخصيص ما دلّ على إرث المسلم الكافر بهذه الرواية وتكون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المسلم الكافر ، إلاّ الزوجة المسلمة فإنّها لا ترث الزوج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العمل بهذه الرواية في مقابل ما تضافر وتواتر عنهم غير صحيح ، مضافاً إلى أنّ مقتضى التعليل الوارد في رواية عبد الرحمن بن أعين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يتوارث أهل ملّتين ، نحن نرثهم ولا يرثونا ، إنّ الله عز وجلّ لم يزدنا بالإسلام إلاّ عزّاً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هو عدم الفرق بين الزوجة وغيرها ، لأنّ التعليل آب عن التخصيص</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الرابعة فيرد عليها أمران </w:t>
      </w:r>
      <w:r>
        <w:rPr>
          <w:rFonts w:eastAsia="Amiri" w:cs="Amiri" w:ascii="Amiri" w:hAnsi="Amiri"/>
          <w:color w:val="111111"/>
          <w:sz w:val="28"/>
          <w:szCs w:val="28"/>
          <w:rtl w:val="true"/>
          <w:lang w:bidi="ar-SA"/>
        </w:rPr>
        <w:t xml:space="preserve">: </w:t>
      </w:r>
      <w:bookmarkStart w:id="327" w:name="pg10155_105368"/>
    </w:p>
    <w:p>
      <w:pPr>
        <w:pStyle w:val="BookText"/>
        <w:rPr/>
      </w:pPr>
      <w:bookmarkEnd w:id="327"/>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الرواية هو عدم إيمان أبي طالب ، وهذا ممّا اتّفق أئمّة أهل البيت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إخراج الزوجة والزوج خلاف مقتضى التعليل الوارد في نفس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إعراض المشهور عن هذه الروايات الأربع ومخالفتها لصحيح أبي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بالنتيجة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الرأي السائد عند أتباع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إرث المسلم الكافر ، من دون فرق في المسلم بين كونه زوجاً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هذه الروايات الأربع ، فهي بين ضعيفة كمرسلة الصدوق ورواية عبد الملك بن عمير ، أو مخالفة للتعليل الآبي عن التخصيص ، كالرواية الثالثة ، أو مخدوش في المضمون لاشتماله على كفر أبي طالب ، مضافاً إلى أنّ إخراج الزوج والزوجة خلاف التعليل الوارد فيها وخلاف صحيحة أبي 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تمّت دراسة الروايات المروية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1272877_1067777946"/>
      <w:bookmarkStart w:id="329" w:name="_Toc114"/>
      <w:bookmarkEnd w:id="328"/>
      <w:r>
        <w:rPr>
          <w:rtl w:val="true"/>
        </w:rPr>
        <w:t xml:space="preserve">الرابع </w:t>
      </w:r>
      <w:r>
        <w:rPr>
          <w:rtl w:val="true"/>
        </w:rPr>
        <w:t xml:space="preserve">: </w:t>
      </w:r>
      <w:r>
        <w:rPr>
          <w:rtl w:val="true"/>
        </w:rPr>
        <w:t>الآثار المروية في السنن</w:t>
      </w:r>
      <w:bookmarkEnd w:id="329"/>
    </w:p>
    <w:p>
      <w:pPr>
        <w:pStyle w:val="BookText"/>
        <w:rPr/>
      </w:pPr>
      <w:r>
        <w:rPr>
          <w:rFonts w:ascii="Amiri" w:hAnsi="Amiri" w:eastAsia="Amiri" w:cs="Amiri"/>
          <w:color w:val="111111"/>
          <w:sz w:val="28"/>
          <w:sz w:val="28"/>
          <w:szCs w:val="28"/>
          <w:rtl w:val="true"/>
          <w:lang w:bidi="ar-SA"/>
        </w:rPr>
        <w:t xml:space="preserve">ثمّ إنّ هناك آثاراً مروية عن الصحابة تؤيّد موقف الإمامية في المسألة ، وإليك بعض ما وقفنا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أبو داود عن عبد الله بن بريدة ، انّ أخوين اختصما إلى يحيى بن يعمر ، يهودي ومسلم فورّث المسلم منهما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الأسود انّ رجلاً حدّثه ، انّ معاذاً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يزيد ولا</w:t>
      </w:r>
      <w:bookmarkStart w:id="330" w:name="pg10155_105369"/>
    </w:p>
    <w:p>
      <w:pPr>
        <w:pStyle w:val="BookText"/>
        <w:rPr/>
      </w:pPr>
      <w:bookmarkEnd w:id="330"/>
      <w:r>
        <w:rPr>
          <w:rFonts w:ascii="Amiri" w:hAnsi="Amiri" w:eastAsia="Amiri" w:cs="Amiri"/>
          <w:color w:val="111111"/>
          <w:sz w:val="28"/>
          <w:sz w:val="28"/>
          <w:szCs w:val="28"/>
          <w:rtl w:val="true"/>
          <w:lang w:bidi="ar-SA"/>
        </w:rPr>
        <w:t>ينقص ، فورث المسلم</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أبو داود عن عبد الله بن بريدة ، عن يحيى بن يعمر ، عن أبي الأسود الدؤلي انّ معاذاً أتى بميراث يهودي وارثه مسلم ، بمعناه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الدارمي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يورِّث المسلم من الكافر ولا يورث الكافر من المسلم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حدث في الإسلام قضاء أحب إليّ منه ، قيل لأبي محمد تقول بهذا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قال السيد المرتضى بعد نقل قضاء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هذا الخبر موجودة كثيرة في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ففي الكتاب مع ما تضافر من الروايات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الآثار كفاية لمن رام الحق ، ولكن لا يتم الإفتاء إلا بدراسة دليل المخالف فانتظر</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1272879_1067777946"/>
      <w:bookmarkStart w:id="332" w:name="_Toc115"/>
      <w:bookmarkEnd w:id="331"/>
      <w:r>
        <w:rPr>
          <w:rtl w:val="true"/>
        </w:rPr>
        <w:t xml:space="preserve">الخامس </w:t>
      </w:r>
      <w:r>
        <w:rPr>
          <w:rtl w:val="true"/>
        </w:rPr>
        <w:t xml:space="preserve">: </w:t>
      </w:r>
      <w:r>
        <w:rPr>
          <w:rtl w:val="true"/>
        </w:rPr>
        <w:t>حرمان المسلم خلاف الامتنان</w:t>
      </w:r>
      <w:bookmarkEnd w:id="332"/>
    </w:p>
    <w:p>
      <w:pPr>
        <w:pStyle w:val="BookText"/>
        <w:rPr/>
      </w:pPr>
      <w:r>
        <w:rPr>
          <w:rFonts w:ascii="Amiri" w:hAnsi="Amiri" w:eastAsia="Amiri" w:cs="Amiri"/>
          <w:color w:val="111111"/>
          <w:sz w:val="28"/>
          <w:sz w:val="28"/>
          <w:szCs w:val="28"/>
          <w:rtl w:val="true"/>
          <w:lang w:bidi="ar-SA"/>
        </w:rPr>
        <w:t>إنّ من درس موارد الحرمان في الإرث يقف على أنّه إمّا للإرغام ، أو لضعة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كما في القاتل فلا يرث المقتول ، وذلك لأنّه حاول بقتله أن يرثه معجلاً ، فانعكس الأمر وصار محروماً بتاتاً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كما في الرق حيث لا يرث الحر لضعة مرتبته ودرجته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ضوء ما ذكرنا يجب أن يرث الكافر المسلم دون العكس ، وإلاّ يلزم أن يكون حرمان المسلم إرث الكافر إرغاماً له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 الإسلامي قائم على الترغيب والترهيب ، ففي الموضع الذي يكون المورِّث كافراً والوارث على وشك اعتناق الإسلام ، فلو قيل له أنت لو أسلمت يكون جزاء إسلامك هو حرمانك من عطايا والدك وأُمّك التي يتركها لك ، فهو يرجع إلى الوراء ويتعجب من هذا التشريع الذي يُرهب مكان الترغيب ، ويبعِّد بدل التقريب إلى الإسلام ويعده على طرف النقيض من 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دلّ على إرث المسلم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فحان حين البحث في أدلّة نفاة الإرث وهي على قسمين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الواردة في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الآثار المنقولة عن الصحابة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فإليك دراسة كلّ واحد على حدة</w:t>
      </w:r>
      <w:r>
        <w:rPr>
          <w:rFonts w:eastAsia="Amiri" w:cs="Amiri" w:ascii="Amiri" w:hAnsi="Amiri"/>
          <w:color w:val="111111"/>
          <w:sz w:val="28"/>
          <w:szCs w:val="28"/>
          <w:rtl w:val="true"/>
          <w:lang w:bidi="ar-SA"/>
        </w:rPr>
        <w:t xml:space="preserve">. </w:t>
      </w:r>
      <w:bookmarkStart w:id="333" w:name="pg10155_105371"/>
    </w:p>
    <w:p>
      <w:pPr>
        <w:pStyle w:val="Heading5"/>
        <w:numPr>
          <w:ilvl w:val="4"/>
          <w:numId w:val="1"/>
        </w:numPr>
        <w:rPr/>
      </w:pPr>
      <w:bookmarkStart w:id="334" w:name="__RefHeading___Toc1272881_1067777946"/>
      <w:bookmarkStart w:id="335" w:name="_Toc116"/>
      <w:bookmarkEnd w:id="333"/>
      <w:bookmarkEnd w:id="334"/>
      <w:r>
        <w:rPr/>
        <w:t>4</w:t>
      </w:r>
      <w:r>
        <w:rPr>
          <w:rtl w:val="true"/>
        </w:rPr>
        <w:t xml:space="preserve">- </w:t>
      </w:r>
      <w:r>
        <w:rPr>
          <w:rtl w:val="true"/>
        </w:rPr>
        <w:t>أدلّة القائلين بعدم التوريث</w:t>
      </w:r>
      <w:bookmarkEnd w:id="335"/>
    </w:p>
    <w:p>
      <w:pPr>
        <w:pStyle w:val="Heading6"/>
        <w:numPr>
          <w:ilvl w:val="5"/>
          <w:numId w:val="1"/>
        </w:numPr>
        <w:rPr/>
      </w:pPr>
      <w:bookmarkStart w:id="336" w:name="__RefHeading___Toc1272883_1067777946"/>
      <w:bookmarkStart w:id="337" w:name="_Toc117"/>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استدلّ القائلون بعدم توريث المسلم من الكافر بأحاديث وآثار ، نشير إلى الجميع</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272885_1067777946"/>
      <w:bookmarkStart w:id="339" w:name="_Toc118"/>
      <w:bookmarkEnd w:id="338"/>
      <w:r>
        <w:rPr/>
        <w:t>1</w:t>
      </w:r>
      <w:r>
        <w:rPr>
          <w:rtl w:val="true"/>
        </w:rPr>
        <w:t xml:space="preserve">. </w:t>
      </w:r>
      <w:r>
        <w:rPr>
          <w:rtl w:val="true"/>
        </w:rPr>
        <w:t>حديث عمرو بن شعيب</w:t>
      </w:r>
      <w:bookmarkEnd w:id="339"/>
    </w:p>
    <w:p>
      <w:pPr>
        <w:pStyle w:val="BookText"/>
        <w:rPr/>
      </w:pPr>
      <w:r>
        <w:rPr>
          <w:rFonts w:ascii="Amiri" w:hAnsi="Amiri" w:eastAsia="Amiri" w:cs="Amiri"/>
          <w:color w:val="111111"/>
          <w:sz w:val="28"/>
          <w:sz w:val="28"/>
          <w:szCs w:val="28"/>
          <w:rtl w:val="true"/>
          <w:lang w:bidi="ar-SA"/>
        </w:rPr>
        <w:t xml:space="preserve">أخرج أبو داود بسنده عن عمرو بن شعيب ، عن أبيه ، عن جدّه عبد الله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يتوارث أهل ملّتين شتى</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وأخرج الدارقطني بسنده عن عمرو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 عن جدّي عبد الله بن عمرو ،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يوم فتح مكة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البيهقي بنفس السند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يتوارثون أهل ملّتين</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ورواه أيضاً ابن ماجة في سننه</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ونقله الدارمي عن عمر مرسلاً عن النبي ، وعن أبي بكر وعمر موقوفاً أنّ رسول الله وأبا بكر وعمر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ولكن الاستدلال غير تام دلالة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الدلالة فقد أُشير إليه في غير واحد من روايات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بصدد نفي التوارث لا الإرث من كلّ جانب ويصدق نفي التوارث بعدم توريث الكافر من المسلم دون العكس ،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تضارب زيد وعمرو ، كفي في صدقه عدم الضرب من جانب واحد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 تضارب بل ضرب من جانب واحد ، فالنبي بصدد نفي التوارث وهو لا ينافي الإرث من جانب واحد ، وهذه الروايات وإن مرّت الإشارة إليها لكن نأت بواحد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عن جميل وهشام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الناس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يتوارث أهل ملّتين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نرثهم ولا يرثونا ، انّ الإسلام لم يزده في حقّه إلاّ شدة</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هذا كلّه حول دلالة الرواية ، وأمّا السند فقد تفرّد بروايته عمرو بن شعيب وأبوه وجدّه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أفيمكن ترك الكتاب بالخبر الذي تفرد به هؤلاء؟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عمرو بن شعيب مطعون به ، فقد ترجم له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ضافية على نحو يسلب سكون النفس إلى روايته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المديني عن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عندنا واه</w:t>
      </w:r>
      <w:r>
        <w:rPr>
          <w:rFonts w:eastAsia="Amiri" w:cs="Amiri" w:ascii="Amiri" w:hAnsi="Amiri"/>
          <w:color w:val="111111"/>
          <w:sz w:val="28"/>
          <w:szCs w:val="28"/>
          <w:rtl w:val="true"/>
          <w:lang w:bidi="ar-SA"/>
        </w:rPr>
        <w:t xml:space="preserve">. </w:t>
      </w:r>
      <w:bookmarkStart w:id="340" w:name="pg10155_105373"/>
    </w:p>
    <w:p>
      <w:pPr>
        <w:pStyle w:val="BookText"/>
        <w:rPr/>
      </w:pPr>
      <w:bookmarkEnd w:id="340"/>
      <w:r>
        <w:rPr>
          <w:rFonts w:ascii="Amiri" w:hAnsi="Amiri" w:eastAsia="Amiri" w:cs="Amiri"/>
          <w:color w:val="111111"/>
          <w:sz w:val="28"/>
          <w:sz w:val="28"/>
          <w:szCs w:val="28"/>
          <w:rtl w:val="true"/>
          <w:lang w:bidi="ar-SA"/>
        </w:rPr>
        <w:t xml:space="preserve">وقال علي عن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عند الناس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يعاب على قتادة وعمرو بن شعيب انّهما كانا لا يسمعان شيئاً إلاّ حدّثا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الميموني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أشياء مناكير ، وإنّما يكتب حديثه يعتبر به فأمّا أن يكون حجّة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إسحاق بن منصور عن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عمرو بن شعيب عن أبيه عن جدّه فهو كتاب ، ومن هنا جاء ضعفه</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فمن قرأ ترجمته المفصّلة في هذا الكتاب وأقوال العلماء المتضاربة في حقّه ، يقف على أنّه لا يمكن تقييد الكتاب وتخصيصه بروايته</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1272887_1067777946"/>
      <w:bookmarkStart w:id="342" w:name="_Toc119"/>
      <w:bookmarkEnd w:id="341"/>
      <w:r>
        <w:rPr/>
        <w:t>2</w:t>
      </w:r>
      <w:r>
        <w:rPr>
          <w:rtl w:val="true"/>
        </w:rPr>
        <w:t xml:space="preserve">. </w:t>
      </w:r>
      <w:r>
        <w:rPr>
          <w:rtl w:val="true"/>
        </w:rPr>
        <w:t>حديث أُسامة</w:t>
      </w:r>
      <w:bookmarkEnd w:id="342"/>
    </w:p>
    <w:p>
      <w:pPr>
        <w:pStyle w:val="BookText"/>
        <w:rPr/>
      </w:pPr>
      <w:r>
        <w:rPr>
          <w:rFonts w:ascii="Amiri" w:hAnsi="Amiri" w:eastAsia="Amiri" w:cs="Amiri"/>
          <w:color w:val="111111"/>
          <w:sz w:val="28"/>
          <w:sz w:val="28"/>
          <w:szCs w:val="28"/>
          <w:rtl w:val="true"/>
          <w:lang w:bidi="ar-SA"/>
        </w:rPr>
        <w:t xml:space="preserve">أخرج البخاري عن أبي عاصم ، عن ابن جريج ، عن ابن شهاب ، عن علي بن الحسين ، عن عمرو بن عثمان ، عن أُسامة بن زيد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المسلم الكافر ، ولا الكافر المسلم</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أخرج مالك عن عمرو بن عثمان بن عفان ، عن أُسامة بن زيد ،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أخرج مسلم بنفس هذا السند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المسلم الكافر ولا يرث الكافر المسلم</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وأخرجه البيهقي في سننه </w:t>
      </w:r>
      <w:r>
        <w:rPr>
          <w:rStyle w:val="FootnoteAnchor"/>
          <w:rtl w:val="true"/>
        </w:rPr>
        <w:footnoteReference w:id="329"/>
      </w:r>
      <w:r>
        <w:rPr>
          <w:rFonts w:ascii="Amiri" w:hAnsi="Amiri" w:eastAsia="Amiri" w:cs="Amiri"/>
          <w:color w:val="111111"/>
          <w:sz w:val="28"/>
          <w:sz w:val="28"/>
          <w:szCs w:val="28"/>
          <w:rtl w:val="true"/>
          <w:lang w:bidi="ar-SA"/>
        </w:rPr>
        <w:t>، إلى غير ذلك من المصادر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خبر واحد تفرّد بنقله أُسامة بن زيد كما </w:t>
      </w:r>
      <w:bookmarkStart w:id="343" w:name="pg10155_105374"/>
    </w:p>
    <w:p>
      <w:pPr>
        <w:pStyle w:val="BookText"/>
        <w:rPr/>
      </w:pPr>
      <w:bookmarkEnd w:id="343"/>
      <w:r>
        <w:rPr>
          <w:rFonts w:ascii="Amiri" w:hAnsi="Amiri" w:eastAsia="Amiri" w:cs="Amiri"/>
          <w:color w:val="111111"/>
          <w:sz w:val="28"/>
          <w:sz w:val="28"/>
          <w:szCs w:val="28"/>
          <w:rtl w:val="true"/>
          <w:lang w:bidi="ar-SA"/>
        </w:rPr>
        <w:t>تفرد بنقله من نقل عنه ، وطبيعة المسألة تقتضي أن يقوم بنقلها غير واحد من الصحابة والتابعين لا سيّما في العهد النبوي ومن بعده حيث إنّ شرائح كبيرة من المجتمع كانت تبتلي بتلك الظاهرة ، فتفرّد أُسامة بسماع الحكم دون غيره يورث الشك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شهاب في سند البخاري عن علي بن الحسين ، عن عمرو بن عثمان ، عن أُسامة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المسلم الكافر ولا الكافر المسلم</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 مع أنّ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يروون ويفتون على خلاف ذلك ، فقد اشتهر أنّ آل محمّد متفردون بهذا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الدارمي نقل الحديث عن علي بن الحسين ، عن أُسامة بحذف عمرو بن عثمان من السند</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وقد نقل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عمرو بن عثمان ولم يذكر علي بن الحسين ، فالاختلاف في السند يوجب الطعن في الرواية</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حنبل ينقل عن مالك ، عن الزهري ،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عمرو بن عثمان ، عن أُسامة بن زيد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الظاهر في عدّ سماعة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مباشرة خلافاً لما رواه البخاريّ الظاهر في سماعة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اختلاف واضطراب في الرواية ، يحطّ من الاعتماد عليها</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272889_1067777946"/>
      <w:bookmarkStart w:id="345" w:name="_Toc120"/>
      <w:bookmarkEnd w:id="344"/>
      <w:r>
        <w:rPr/>
        <w:t>3</w:t>
      </w:r>
      <w:r>
        <w:rPr>
          <w:rtl w:val="true"/>
        </w:rPr>
        <w:t xml:space="preserve">. </w:t>
      </w:r>
      <w:r>
        <w:rPr>
          <w:rtl w:val="true"/>
        </w:rPr>
        <w:t>حديث عامر الشعبي</w:t>
      </w:r>
      <w:bookmarkEnd w:id="34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عامر الشعبي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بكر وعمر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يتوارث أهل </w:t>
      </w:r>
      <w:bookmarkStart w:id="346" w:name="pg10155_105375"/>
    </w:p>
    <w:p>
      <w:pPr>
        <w:pStyle w:val="BookText"/>
        <w:rPr/>
      </w:pPr>
      <w:bookmarkEnd w:id="346"/>
      <w:r>
        <w:rPr>
          <w:rFonts w:ascii="Amiri" w:hAnsi="Amiri" w:eastAsia="Amiri" w:cs="Amiri"/>
          <w:color w:val="111111"/>
          <w:sz w:val="28"/>
          <w:sz w:val="28"/>
          <w:szCs w:val="28"/>
          <w:rtl w:val="true"/>
          <w:lang w:bidi="ar-SA"/>
        </w:rPr>
        <w:t>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الرواية مرسلة ، لأنّ الشعبي </w:t>
      </w:r>
      <w:r>
        <w:rPr>
          <w:rStyle w:val="FootnoteAnchor"/>
          <w:rtl w:val="true"/>
        </w:rPr>
        <w:footnoteReference w:id="334"/>
      </w:r>
      <w:r>
        <w:rPr>
          <w:rFonts w:ascii="Amiri" w:hAnsi="Amiri" w:eastAsia="Amiri" w:cs="Amiri"/>
          <w:color w:val="111111"/>
          <w:sz w:val="28"/>
          <w:sz w:val="28"/>
          <w:szCs w:val="28"/>
          <w:rtl w:val="true"/>
          <w:lang w:bidi="ar-SA"/>
        </w:rPr>
        <w:t xml:space="preserve">ولد بالكوفة سنة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ورأى الإمام عليّاً وصلّى خلفه ، فكيف ينقل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الشعبي كان من الموالين لبني أُميّة أعداء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يمكن الاعتماد على روايته؟</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272891_1067777946"/>
      <w:bookmarkStart w:id="348" w:name="_Toc121"/>
      <w:bookmarkEnd w:id="347"/>
      <w:r>
        <w:rPr/>
        <w:t>4</w:t>
      </w:r>
      <w:r>
        <w:rPr>
          <w:rtl w:val="true"/>
        </w:rPr>
        <w:t xml:space="preserve">. </w:t>
      </w:r>
      <w:r>
        <w:rPr>
          <w:rtl w:val="true"/>
        </w:rPr>
        <w:t>الاستدلال بالآثار المروية عن الصحابة</w:t>
      </w:r>
      <w:bookmarkEnd w:id="348"/>
    </w:p>
    <w:p>
      <w:pPr>
        <w:pStyle w:val="BookText"/>
        <w:rPr/>
      </w:pPr>
      <w:r>
        <w:rPr>
          <w:rFonts w:ascii="Amiri" w:hAnsi="Amiri" w:eastAsia="Amiri" w:cs="Amiri"/>
          <w:color w:val="111111"/>
          <w:sz w:val="28"/>
          <w:sz w:val="28"/>
          <w:szCs w:val="28"/>
          <w:rtl w:val="true"/>
          <w:lang w:bidi="ar-SA"/>
        </w:rPr>
        <w:t xml:space="preserve">وقد استدلّ بالروايات الموقوفة على الصحابة من دون أن تسند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الدارمي عن عامر الشعبي ،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عامر انّ المغيرة بنت الحارث توفيت باليمن وهي يهودية ، فركب الأشعث بن قيس وكانت عمّته إلى عمر في ميراثها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 يرثها أقرب الناس منها من أهل دينها ، لا يتوارث ملّتان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سيرين ،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ملّتان شتّى ولا يحجب من لا يرث</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على الاستدلال بهذه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موقوفات لم تسند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حجّة على أصحابها على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ملّتان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دليلاً على عدم توريث المسلم من الكافر ، لما عرفت من أنّه يهدف إلى نفي التوارث ، ويكفي في صدقه عدم توريث الكافر من المسلم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فهم الخليفة وأضرابه ، نفي الإرث من كلّ جانب ، ففهمهم حجّة على أنفسهم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الحرمان من كلا الطرفين كان سنّة للخليفة لمصلحة رآها ، وليس ذلك ببعيد ، فإنّ له نظيراً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مالك في موطّئه عن الثقة عنده انّه سمع سعيد بن المسيب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عمر بن الخطاب أن يورث أحداً من الأعاجم ، إلاّ أحداً ولد في العرب</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جاءت امرأة حامل من أرض العدو ووضعته في أرض العرب ، فهو ولدها يرثها إن ماتت وترثه إن مات</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وبذلك يعلم أنّ ما نسب إلى سعيد بن المسيب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السنّة أن لا يرث المسلم الكافر</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فلعلّ مراده من السنّة هو سنّة الخلفاء لا سنّة الرسول ، وإلاّ لنسبها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البيهقي في سننه عن مالك ، عن يحيى بن سعيد ، عن سعيد بن المسيب انّ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نرث أهل الملل ولا يرثونا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فهو مخدوش ، لأنّ المعروف انّ سعيد بن المسيب ممّن يقول بالإرث ، وقد نقله عنه غير واحد من الفقهاء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معاذ بن جبل ومعاوية انّ المسلم يرث الكافر ولا يرث الكافر المسلم ، وبه قال محمد بن الحنفية وسعيد بن المسيب ومسروق والنخعي والشعبي وإسحاق بن راهويه</w:t>
      </w:r>
      <w:r>
        <w:rPr>
          <w:rFonts w:eastAsia="Amiri" w:cs="Amiri" w:ascii="Amiri" w:hAnsi="Amiri"/>
          <w:color w:val="111111"/>
          <w:sz w:val="28"/>
          <w:szCs w:val="28"/>
          <w:rtl w:val="true"/>
          <w:lang w:bidi="ar-SA"/>
        </w:rPr>
        <w:t xml:space="preserve">. </w:t>
      </w:r>
      <w:r>
        <w:rPr>
          <w:rStyle w:val="FootnoteAnchor"/>
          <w:rtl w:val="true"/>
        </w:rPr>
        <w:footnoteReference w:id="342"/>
      </w:r>
      <w:bookmarkStart w:id="349" w:name="pg10155_105377"/>
    </w:p>
    <w:p>
      <w:pPr>
        <w:pStyle w:val="BookText"/>
        <w:rPr/>
      </w:pPr>
      <w:bookmarkEnd w:id="349"/>
      <w:r>
        <w:rPr>
          <w:rFonts w:ascii="Amiri" w:hAnsi="Amiri" w:eastAsia="Amiri" w:cs="Amiri"/>
          <w:color w:val="111111"/>
          <w:sz w:val="28"/>
          <w:sz w:val="28"/>
          <w:szCs w:val="28"/>
          <w:rtl w:val="true"/>
          <w:lang w:bidi="ar-SA"/>
        </w:rPr>
        <w:t>ونقله أيضاً النووي في شرح صحيح مسلم</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إلى هنا تمت دراسة أدلّة المانعين ، وهي على أقسام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تامّة دلالة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يركز على نفي التوارث بين المسألتين الذي يصدق بنفي الإرث من جانب الكافر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تامّة سنداً ودلالة ، مثلما أخرجه البخاري ، لكنّه خبر واحد لا يقاوم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تامّة سنداً كرواية عمرو بن شعيب ، وقد عرفت ضعفها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موقوفة ليست حجّة إلاّ على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للمانعين دليل آخر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الإرث من آثار الولاية ، ولا ولاية بين الكافر والمسلم</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1272893_1067777946"/>
      <w:bookmarkStart w:id="351" w:name="_Toc122"/>
      <w:bookmarkEnd w:id="350"/>
      <w:r>
        <w:rPr/>
        <w:t>5</w:t>
      </w:r>
      <w:r>
        <w:rPr>
          <w:rtl w:val="true"/>
        </w:rPr>
        <w:t xml:space="preserve">. </w:t>
      </w:r>
      <w:r>
        <w:rPr>
          <w:rtl w:val="true"/>
        </w:rPr>
        <w:t>انقطاع الولاية بين الكافر والمسلم</w:t>
      </w:r>
      <w:bookmarkEnd w:id="351"/>
    </w:p>
    <w:p>
      <w:pPr>
        <w:pStyle w:val="BookText"/>
        <w:rPr/>
      </w:pPr>
      <w:r>
        <w:rPr>
          <w:rFonts w:ascii="Amiri" w:hAnsi="Amiri" w:eastAsia="Amiri" w:cs="Amiri"/>
          <w:color w:val="111111"/>
          <w:sz w:val="28"/>
          <w:sz w:val="28"/>
          <w:szCs w:val="28"/>
          <w:rtl w:val="true"/>
          <w:lang w:bidi="ar-SA"/>
        </w:rPr>
        <w:t xml:space="preserve">استدلّ القائل بنفي التوريث مطلقاً بوجه آخر ، وهو انّه سبحانه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فإنّ الآية بصدد بيان نفي الولاية من الكفّار والمسلمين ، فإن كان المراد به الإرث فهو إشارة إلى أنّه لا يرث المسلم الكافر ، وإن كان المراد به مطلق الولاية ففي الإرث الولاية لأحدهما على الآخر</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التوارث يتعلّق بالولاية ، ولا ولاية بين المسلم والكافر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الْيَهُودَ وَالنَّصارى أَوْلِياءَ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يلاحظ عليه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الإرث من آثار الولاية في العتق وضمان الجريرة ، فميراث المعتَق للمعتِق لأجل الولاء ، وهكذا الأمر في ضمان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الوراثة في غير هذين الموردين فلم يعلم أنّه من آثار الولاية ، بل من آثار النسب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ذلك انّ التوارث أمر عقلائي لا يختصّ بأصحاب الشرائع ، بل يعمّ قاطبة البشر ، والملاك عند الجميع هو العلقة التكوينية بين أصحاب النسب أو الاعتبارية في السبب ووجود الولاية بين الوالد والولد أو غيرهما وإن كان أمراً ثابتاً مع العلقة التكوينية ، لكن ليس كلّ مقرون بها يكون موضوعاً للوراثة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يوضح ذلك انّ الفقهاء يذكرون عند بيان أسباب الإرث ، السببَ والنسَب مقابل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ميراث الورى ثلاثة</w:t>
      </w:r>
    </w:p>
    <w:p>
      <w:pPr>
        <w:pStyle w:val="BookText"/>
        <w:rPr/>
      </w:pPr>
      <w:r>
        <w:rPr>
          <w:rFonts w:ascii="Amiri" w:hAnsi="Amiri" w:eastAsia="Amiri" w:cs="Amiri"/>
          <w:color w:val="111111"/>
          <w:sz w:val="28"/>
          <w:sz w:val="28"/>
          <w:szCs w:val="28"/>
          <w:rtl w:val="true"/>
          <w:lang w:bidi="ar-SA"/>
        </w:rPr>
        <w:t>كل يفيد ربّه الوراثة</w:t>
      </w:r>
    </w:p>
    <w:p>
      <w:pPr>
        <w:pStyle w:val="BookText"/>
        <w:rPr/>
      </w:pPr>
      <w:r>
        <w:rPr>
          <w:rFonts w:ascii="Amiri" w:hAnsi="Amiri" w:eastAsia="Amiri" w:cs="Amiri"/>
          <w:color w:val="111111"/>
          <w:sz w:val="28"/>
          <w:sz w:val="28"/>
          <w:szCs w:val="28"/>
          <w:rtl w:val="true"/>
          <w:lang w:bidi="ar-SA"/>
        </w:rPr>
        <w:t>وهي نكاح وولاء ونسب</w:t>
      </w:r>
    </w:p>
    <w:p>
      <w:pPr>
        <w:pStyle w:val="BookText"/>
        <w:rPr/>
      </w:pPr>
      <w:r>
        <w:rPr>
          <w:rFonts w:ascii="Amiri" w:hAnsi="Amiri" w:eastAsia="Amiri" w:cs="Amiri"/>
          <w:color w:val="111111"/>
          <w:sz w:val="28"/>
          <w:sz w:val="28"/>
          <w:szCs w:val="28"/>
          <w:rtl w:val="true"/>
          <w:lang w:bidi="ar-SA"/>
        </w:rPr>
        <w:t>ما بعدهن من مواريث سبب</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الولاية هي السبب للميراث يخالف ما عليه الحنفية ومن تبعهم من أنّ المسلم ، يرث المرتد مع انقطاع الولاية بين المسلم والمرتد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النووي في شرح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والثوري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اكتسبه قبل الردة ورث عنه ، وما اكتسب بعد الردة يكون فيها</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وقال النووي في 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المسلم فلا يرث المرتد عند الشافعي ومالك وربيعة وابن أبي ليلى وغيرهم ، بل يكون ماله فيئاً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حنيفة والكوفيون والأوزاعي 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ورثته من المسلمين ، وروي ذلك عن علي وابن مسعود وجماعة من السلف</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وقال في الشرح الكبير عن أحمد ما يدلّ على أنّ ميراث المرتد لورثته من المسلمين ، يروى ذلك عن أبي بكر الصديق وعلي وابن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 قال سعيد بن المسيب وجابر بن زيد والحسن وعمر بن عبد العزيز وعطاء والشعبي والحكم والأوزاعي والثوري وابن شبرمة وأهل العراق وإسحاق</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ومن غريب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لا يرث الكافر ولكن الكافر يرث عتيقه المسلم ، وهو منقول عن أحمد كما في الموسوعة الفقهية</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ونكتفي بهذا المقدار من البحث ، ولعلّ فيه غنى وكفاية لمن ألقى السمع وهو شهيد ، وأمّا الكلام في الفروع الأُخرى ، أعني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حجب المسلم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أسلم الكافر قبل القسمة وبعدها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اشتراط عدم حجب المسلم الكافر في عقد الذمّة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فنحيل الكلام فيها إلى مجال آخر ، فإنّ هذه الفروع اختلفت فيها كلمة الفريقين بخلاف الفرع الأوّل ، فجماهير أهل السنّة على المنع والإمامية على الجواز ، وقد دام هذا الخلاف إلى يومنا هذا ، ولعلّ الله يحدث بعد ذلك أمراً</w:t>
      </w:r>
      <w:r>
        <w:rPr>
          <w:rFonts w:eastAsia="Amiri" w:cs="Amiri" w:ascii="Amiri" w:hAnsi="Amiri"/>
          <w:color w:val="111111"/>
          <w:sz w:val="28"/>
          <w:szCs w:val="28"/>
          <w:rtl w:val="true"/>
          <w:lang w:bidi="ar-SA"/>
        </w:rPr>
        <w:t xml:space="preserve">. </w:t>
      </w:r>
      <w:bookmarkStart w:id="352" w:name="pg10155_105380"/>
    </w:p>
    <w:p>
      <w:pPr>
        <w:pStyle w:val="Heading2"/>
        <w:numPr>
          <w:ilvl w:val="1"/>
          <w:numId w:val="1"/>
        </w:numPr>
        <w:rPr/>
      </w:pPr>
      <w:bookmarkStart w:id="353" w:name="__RefHeading___Toc1272895_1067777946"/>
      <w:bookmarkStart w:id="354" w:name="_Toc123"/>
      <w:bookmarkEnd w:id="352"/>
      <w:bookmarkEnd w:id="353"/>
      <w:r>
        <w:rPr/>
        <w:t>22</w:t>
      </w:r>
      <w:r>
        <w:rPr>
          <w:rtl w:val="true"/>
        </w:rPr>
        <w:t xml:space="preserve">- </w:t>
      </w:r>
      <w:r>
        <w:rPr>
          <w:rtl w:val="true"/>
        </w:rPr>
        <w:t>الميراث بالقرابة أو بالتعصيب</w:t>
      </w:r>
      <w:bookmarkEnd w:id="35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1272897_1067777946"/>
      <w:bookmarkStart w:id="356" w:name="_Toc124"/>
      <w:bookmarkEnd w:id="355"/>
      <w:r>
        <w:rPr>
          <w:rtl w:val="true"/>
        </w:rPr>
        <w:t>اشارة</w:t>
      </w:r>
      <w:bookmarkEnd w:id="35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0155_105382"/>
      <w:bookmarkStart w:id="358" w:name="pg10155_105382"/>
      <w:bookmarkEnd w:id="358"/>
    </w:p>
    <w:p>
      <w:pPr>
        <w:pStyle w:val="Heading3"/>
        <w:numPr>
          <w:ilvl w:val="2"/>
          <w:numId w:val="1"/>
        </w:numPr>
        <w:rPr/>
      </w:pPr>
      <w:bookmarkStart w:id="359" w:name="pg10155_105382"/>
      <w:bookmarkStart w:id="360" w:name="__RefHeading___Toc1272899_1067777946"/>
      <w:bookmarkStart w:id="361" w:name="_Toc125"/>
      <w:bookmarkEnd w:id="359"/>
      <w:bookmarkEnd w:id="360"/>
      <w:r>
        <w:rPr>
          <w:rtl w:val="true"/>
        </w:rPr>
        <w:t>الميراث بالقرابة أو بالتعصيب</w:t>
      </w:r>
      <w:bookmarkEnd w:id="361"/>
    </w:p>
    <w:p>
      <w:pPr>
        <w:pStyle w:val="Heading4"/>
        <w:numPr>
          <w:ilvl w:val="3"/>
          <w:numId w:val="1"/>
        </w:numPr>
        <w:rPr/>
      </w:pPr>
      <w:bookmarkStart w:id="362" w:name="__RefHeading___Toc1272901_1067777946"/>
      <w:bookmarkStart w:id="363" w:name="_Toc126"/>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الميراث بالتعصيب من خصائص الفقه السنّي وليس في الفقه الإمامي منه عين ولا أثر ، بل هو منكر عند الإمامية أشدّ الإنكار كما سيوافيك ، ولإيضاح المقام نقدّم أُموراً</w:t>
      </w:r>
    </w:p>
    <w:p>
      <w:pPr>
        <w:pStyle w:val="Heading4"/>
        <w:numPr>
          <w:ilvl w:val="3"/>
          <w:numId w:val="1"/>
        </w:numPr>
        <w:rPr/>
      </w:pPr>
      <w:bookmarkStart w:id="364" w:name="__RefHeading___Toc1272903_1067777946"/>
      <w:bookmarkStart w:id="365" w:name="_Toc127"/>
      <w:bookmarkEnd w:id="364"/>
      <w:r>
        <w:rPr>
          <w:rtl w:val="true"/>
        </w:rPr>
        <w:t xml:space="preserve">الأوّل </w:t>
      </w:r>
      <w:r>
        <w:rPr>
          <w:rtl w:val="true"/>
        </w:rPr>
        <w:t xml:space="preserve">: </w:t>
      </w:r>
      <w:r>
        <w:rPr>
          <w:rtl w:val="true"/>
        </w:rPr>
        <w:t>العَصَبة في اللغة والاصطلاح</w:t>
      </w:r>
      <w:bookmarkEnd w:id="365"/>
    </w:p>
    <w:p>
      <w:pPr>
        <w:pStyle w:val="BookText"/>
        <w:rPr/>
      </w:pPr>
      <w:r>
        <w:rPr>
          <w:rFonts w:ascii="Amiri" w:hAnsi="Amiri" w:eastAsia="Amiri" w:cs="Amiri"/>
          <w:color w:val="111111"/>
          <w:sz w:val="28"/>
          <w:sz w:val="28"/>
          <w:szCs w:val="28"/>
          <w:rtl w:val="true"/>
          <w:lang w:bidi="ar-SA"/>
        </w:rPr>
        <w:t xml:space="preserve">العَصَبَة جمع عاصب كطلبة جمع طالب ، وهو مأخوذ من العَصَب وهو الطيّ الشديد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برأسه العمامة ، شدّها ولفّها عليه ، ومع كونها جمعاً لكن تطلق على الواحد والجمع والمذكر والمؤنث ، وتجمع أيضاً على عَصَبات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على الذكر من أقارب الميت الذي لم تدخل في نسبته إلى الميت أُنثى ، وسُمُّوا عصبة لأنّهم أصابوا به ، أي أحاطوا بالميت ، فالأب طرف والابن طرف والأخ طرف ، والعم طرف ، وهؤلاء كلّهم عَصَبَة ، لأنّهم يحيطون بالميت كإحاطة العمامة بالرأس</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مصطلح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 هو الوارث بغير فرض وتقدير ، فإذا كان </w:t>
      </w:r>
      <w:bookmarkStart w:id="366" w:name="pg10155_105383"/>
    </w:p>
    <w:p>
      <w:pPr>
        <w:pStyle w:val="BookText"/>
        <w:rPr/>
      </w:pPr>
      <w:bookmarkEnd w:id="366"/>
      <w:r>
        <w:rPr>
          <w:rFonts w:ascii="Amiri" w:hAnsi="Amiri" w:eastAsia="Amiri" w:cs="Amiri"/>
          <w:color w:val="111111"/>
          <w:sz w:val="28"/>
          <w:sz w:val="28"/>
          <w:szCs w:val="28"/>
          <w:rtl w:val="true"/>
          <w:lang w:bidi="ar-SA"/>
        </w:rPr>
        <w:t>معه ذو فرض أخذ بما فضل عنه قلّ أو كثر ، وإن انفرد ، أخذ الكل ، وإن استغرقت الفروض المال ، سقط</w:t>
      </w:r>
      <w:r>
        <w:rPr>
          <w:rFonts w:eastAsia="Amiri" w:cs="Amiri" w:ascii="Amiri" w:hAnsi="Amiri"/>
          <w:color w:val="111111"/>
          <w:sz w:val="28"/>
          <w:szCs w:val="28"/>
          <w:rtl w:val="true"/>
          <w:lang w:bidi="ar-SA"/>
        </w:rPr>
        <w:t xml:space="preserve">. </w:t>
      </w:r>
      <w:r>
        <w:rPr>
          <w:rStyle w:val="FootnoteAnchor"/>
          <w:rtl w:val="true"/>
        </w:rPr>
        <w:footnoteReference w:id="353"/>
      </w:r>
    </w:p>
    <w:p>
      <w:pPr>
        <w:pStyle w:val="Heading4"/>
        <w:numPr>
          <w:ilvl w:val="3"/>
          <w:numId w:val="1"/>
        </w:numPr>
        <w:rPr/>
      </w:pPr>
      <w:bookmarkStart w:id="367" w:name="__RefHeading___Toc1272905_1067777946"/>
      <w:bookmarkStart w:id="368" w:name="_Toc128"/>
      <w:bookmarkEnd w:id="367"/>
      <w:r>
        <w:rPr>
          <w:rtl w:val="true"/>
        </w:rPr>
        <w:t xml:space="preserve">الثاني </w:t>
      </w:r>
      <w:r>
        <w:rPr>
          <w:rtl w:val="true"/>
        </w:rPr>
        <w:t xml:space="preserve">: </w:t>
      </w:r>
      <w:r>
        <w:rPr>
          <w:rtl w:val="true"/>
        </w:rPr>
        <w:t>أقسام العصبة</w:t>
      </w:r>
      <w:bookmarkEnd w:id="368"/>
    </w:p>
    <w:p>
      <w:pPr>
        <w:pStyle w:val="BookText"/>
        <w:rPr/>
      </w:pPr>
      <w:r>
        <w:rPr>
          <w:rFonts w:ascii="Amiri" w:hAnsi="Amiri" w:eastAsia="Amiri" w:cs="Amiri"/>
          <w:color w:val="111111"/>
          <w:sz w:val="28"/>
          <w:sz w:val="28"/>
          <w:szCs w:val="28"/>
          <w:rtl w:val="true"/>
          <w:lang w:bidi="ar-SA"/>
        </w:rPr>
        <w:t xml:space="preserve">تنقسم العصبة عندهم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فهو على ثلاثة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بنفسه وهي كلّ ذكر لا يدخل في نسبته إلى الميت أُنثى ، وتنحصر في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البنوة ، وتسمّى جزء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الأُبوة ، وتسمّى أصل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 وتسمّى جزء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العمومة ، وتسمّى جزء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بغيره ، وهي الأُنثى التي يكون فرضها النصف حال الانفراد ، والثلثين إذا كان معها أُخت أو أكثر ، فإذا كان معها أو معهن أخ صار الجميع حينئذ عصبة به ، وهي أربع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البنت أو البنات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أو بنات الابن</w:t>
      </w:r>
      <w:r>
        <w:rPr>
          <w:rFonts w:eastAsia="IRNazanin" w:cs="IRNazanin"/>
          <w:color w:val="111111"/>
          <w:sz w:val="28"/>
          <w:szCs w:val="28"/>
          <w:rtl w:val="true"/>
          <w:lang w:bidi="fa-IR"/>
        </w:rPr>
        <w:t xml:space="preserve">. </w:t>
      </w:r>
      <w:bookmarkStart w:id="369" w:name="pg10155_105384"/>
    </w:p>
    <w:p>
      <w:pPr>
        <w:pStyle w:val="BookText"/>
        <w:rPr/>
      </w:pPr>
      <w:bookmarkEnd w:id="36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الأُخت أو الأخوات الشقيقات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الأُخت أو الأخوات 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صنف من هذه الأصناف الأربعة يكون عصبة بغيره وهو الأخ ويكون الإرث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مع الغير وهي كلّ أُنثى تحتاج في كونها عاصبة إلى أُنثى أُخرى وتنحصر العصبة مع الغير في اثنتين فقط من الإناث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الشقيقة أو الأخوات الشقيقات مع البنت أو بنت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لأب أو الأخوات لأب مع البنت أو بنت الابن ، ويكون لهن الباقي من التركة بعد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 أي العصبة السببية هو المولى المعتِقُ ، ذكراً كان أم أُنثى ، فإذا لم يوجد المعتِق فالميراث لعصبته الذكور</w:t>
      </w:r>
      <w:r>
        <w:rPr>
          <w:rFonts w:eastAsia="Amiri" w:cs="Amiri" w:ascii="Amiri" w:hAnsi="Amiri"/>
          <w:color w:val="111111"/>
          <w:sz w:val="28"/>
          <w:szCs w:val="28"/>
          <w:rtl w:val="true"/>
          <w:lang w:bidi="ar-SA"/>
        </w:rPr>
        <w:t xml:space="preserve">. </w:t>
      </w:r>
      <w:r>
        <w:rPr>
          <w:rStyle w:val="FootnoteAnchor"/>
          <w:rtl w:val="true"/>
        </w:rPr>
        <w:footnoteReference w:id="354"/>
      </w:r>
    </w:p>
    <w:p>
      <w:pPr>
        <w:pStyle w:val="Heading4"/>
        <w:numPr>
          <w:ilvl w:val="3"/>
          <w:numId w:val="1"/>
        </w:numPr>
        <w:rPr/>
      </w:pPr>
      <w:bookmarkStart w:id="370" w:name="__RefHeading___Toc1272907_1067777946"/>
      <w:bookmarkStart w:id="371" w:name="_Toc129"/>
      <w:bookmarkEnd w:id="370"/>
      <w:r>
        <w:rPr>
          <w:rtl w:val="true"/>
        </w:rPr>
        <w:t xml:space="preserve">الثالث </w:t>
      </w:r>
      <w:r>
        <w:rPr>
          <w:rtl w:val="true"/>
        </w:rPr>
        <w:t xml:space="preserve">: </w:t>
      </w:r>
      <w:r>
        <w:rPr>
          <w:rtl w:val="true"/>
        </w:rPr>
        <w:t>أقسام نسبة الفروض مع مجموع التركة</w:t>
      </w:r>
      <w:bookmarkEnd w:id="371"/>
    </w:p>
    <w:p>
      <w:pPr>
        <w:pStyle w:val="BookText"/>
        <w:rPr/>
      </w:pPr>
      <w:r>
        <w:rPr>
          <w:rFonts w:ascii="Amiri" w:hAnsi="Amiri" w:eastAsia="Amiri" w:cs="Amiri"/>
          <w:color w:val="111111"/>
          <w:sz w:val="28"/>
          <w:sz w:val="28"/>
          <w:szCs w:val="28"/>
          <w:rtl w:val="true"/>
          <w:lang w:bidi="ar-SA"/>
        </w:rPr>
        <w:t>الفروض الستة المقدرة في كتاب الله ، تارة تتساوى مع مجموع التركة ، كبنتين وأبوين ، وحينئذ لا عول ولا تعصيب ، حيث تأخذ البنتان الثلثين ، والأبوان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تنقص الفروض عن التركة ، كبنت واحدة ، فإن فرضها النصف أو بنتين فإن فرضهما الثلثان ، فهل يردّ الباقي إليها أو إليهما بالقرابة كما عليه الإمامية ، أو يردّ إلى العصبة كما عليه فقهاء السنّة ويسمّى الميراث بالتعصيب؟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تزيد الفروض على مجموع التركة ، كزوج وأبوين وبنت ، فإنّ فرض </w:t>
      </w:r>
      <w:bookmarkStart w:id="372" w:name="pg10155_105385"/>
    </w:p>
    <w:p>
      <w:pPr>
        <w:pStyle w:val="BookText"/>
        <w:rPr/>
      </w:pPr>
      <w:bookmarkEnd w:id="372"/>
      <w:r>
        <w:rPr>
          <w:rFonts w:ascii="Amiri" w:hAnsi="Amiri" w:eastAsia="Amiri" w:cs="Amiri"/>
          <w:color w:val="111111"/>
          <w:sz w:val="28"/>
          <w:sz w:val="28"/>
          <w:szCs w:val="28"/>
          <w:rtl w:val="true"/>
          <w:lang w:bidi="ar-SA"/>
        </w:rPr>
        <w:t>الزوج الربع والبنت النصف والأبوين الثلث ، والتركة لا تتحمل ربعاً ونصفاً وثلثاً ، وهذا هو العول الذي سيوافيك حكمه في المسألة الآتية</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272909_1067777946"/>
      <w:bookmarkStart w:id="374" w:name="_Toc130"/>
      <w:bookmarkEnd w:id="373"/>
      <w:r>
        <w:rPr>
          <w:rtl w:val="true"/>
        </w:rPr>
        <w:t xml:space="preserve">الرابع </w:t>
      </w:r>
      <w:r>
        <w:rPr>
          <w:rtl w:val="true"/>
        </w:rPr>
        <w:t xml:space="preserve">: </w:t>
      </w:r>
      <w:r>
        <w:rPr>
          <w:rtl w:val="true"/>
        </w:rPr>
        <w:t>إيضاح التوريث بالتعصيب</w:t>
      </w:r>
      <w:bookmarkEnd w:id="374"/>
    </w:p>
    <w:p>
      <w:pPr>
        <w:pStyle w:val="BookText"/>
        <w:rPr/>
      </w:pPr>
      <w:r>
        <w:rPr>
          <w:rFonts w:ascii="Amiri" w:hAnsi="Amiri" w:eastAsia="Amiri" w:cs="Amiri"/>
          <w:color w:val="111111"/>
          <w:sz w:val="28"/>
          <w:sz w:val="28"/>
          <w:szCs w:val="28"/>
          <w:rtl w:val="true"/>
          <w:lang w:bidi="ar-SA"/>
        </w:rPr>
        <w:t>المراد من التعصيب هنا هو توريث العصبة مع ذي فرض قريب ، كما إذا كان للميت بنت أو أكثر ، وليس له ولد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يكن له أولاد أصلاً لا ذكور ولا إناث ، وله أُخت أو أخوات وليس له أخ ، وله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مذاهب السنة تجعل أخ الميت شريكاً مع البنت أو البنات ، في المثال الأوّل ، كما تجعل العم أيضاً شريكاً مع الأُخت أو الأخوات كذلك في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لدى السنّة ، وأمّا الإمامية فالإرث بالتعصيب باطل مطلقاً وإنّما الميراث بالفرض المسمى في كتاب الله ، أو بالقرابة أو الأسباب التي يورث بها من الزوجيّة والولاء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المثالين المذكورين إن بقي من الفرض يجب رده على صاحب الفرض القريب ، فالتركة عندهم بكاملها للبنت أو للبنات وليس لأخ الميت شيء ، وإذا لم يكن له أولاد ذكور ولا إناث وكان له أُخت أو أخوات ، فالمال كلّه للأُخت والأخوات ولا شيء للعمّ ، لأنّ الأُخت أقرب منه ، والأقرب يحجب الأبعد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ليس للتعصيب دور في الميراث وإنّما يدور الميراث على الفروض والقرابة والسببية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والولاء</w:t>
      </w:r>
      <w:r>
        <w:rPr>
          <w:rFonts w:eastAsia="Amiri" w:cs="Amiri" w:ascii="Amiri" w:hAnsi="Amiri"/>
          <w:color w:val="111111"/>
          <w:sz w:val="28"/>
          <w:szCs w:val="28"/>
          <w:rtl w:val="true"/>
          <w:lang w:bidi="ar-SA"/>
        </w:rPr>
        <w:t xml:space="preserve">. </w:t>
      </w:r>
      <w:bookmarkStart w:id="375" w:name="pg10155_105386"/>
    </w:p>
    <w:p>
      <w:pPr>
        <w:pStyle w:val="Heading4"/>
        <w:numPr>
          <w:ilvl w:val="3"/>
          <w:numId w:val="1"/>
        </w:numPr>
        <w:rPr/>
      </w:pPr>
      <w:bookmarkStart w:id="376" w:name="__RefHeading___Toc1272911_1067777946"/>
      <w:bookmarkStart w:id="377" w:name="_Toc131"/>
      <w:bookmarkEnd w:id="375"/>
      <w:bookmarkEnd w:id="376"/>
      <w:r>
        <w:rPr>
          <w:rtl w:val="true"/>
        </w:rPr>
        <w:t xml:space="preserve">الخامس </w:t>
      </w:r>
      <w:r>
        <w:rPr>
          <w:rtl w:val="true"/>
        </w:rPr>
        <w:t xml:space="preserve">: </w:t>
      </w:r>
      <w:r>
        <w:rPr>
          <w:rtl w:val="true"/>
        </w:rPr>
        <w:t>ضابطة الميراث عند الفريقين</w:t>
      </w:r>
      <w:bookmarkEnd w:id="377"/>
    </w:p>
    <w:p>
      <w:pPr>
        <w:pStyle w:val="BookText"/>
        <w:rPr/>
      </w:pPr>
      <w:r>
        <w:rPr>
          <w:rFonts w:ascii="Amiri" w:hAnsi="Amiri" w:eastAsia="Amiri" w:cs="Amiri"/>
          <w:color w:val="111111"/>
          <w:sz w:val="28"/>
          <w:sz w:val="28"/>
          <w:szCs w:val="28"/>
          <w:rtl w:val="true"/>
          <w:lang w:bidi="ar-SA"/>
        </w:rPr>
        <w:t xml:space="preserve">إنّ الضابطة لتقديم بعض الأقرباء النسبيّين على البعض الآخر عند الإمامية أحد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كونه صاحب فريضة في الكتاب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آباؤُكُمْ وَأَبْناؤُكُمْ لا تَدْرُونَ أَيُّهُمْ أَقْرَبُ لَكُمْ نَفْعاً فَرِيضَةً مِنَ اللهِ إِنَّ اللهَ كانَ عَلِيماً حَكِيماً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القربى إذا لم يكن صاحب فريضة ، فالأقرب إلى الميّت ، هو الوارث للكلّ ، أو لما فضل عن التركة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 إِنَّ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وأمّا عند أهل السنّة فالملاك بعد الفرض ، هو التعصيب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أصحاب الفرض ، وإن بعد عنهم ، كالأخ عند ما يموت عن بنت أو بنتين ، أو العم عند ما يموت عن أُخت أو أُختين فيرث الأخ أو العم ، الفاضلَ من التركة ، بما أنّهما عصبة ، ويُردّ عندنا إلى أصحاب الفروض ، وربّما لا يترتّب على الخلاف ثمرة ، كما في الموردين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اجتمع الأب مع الابن ، فالأب يأخذ فرضه وهو السدس ، وما بقي يأخذه الابن بالاتّفاق لكن عندنا بالقرابة وعند أهل السنّة بالعصبة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لو اجتمع الأب مع ابن الابن فبما أنّ الأولاد تنزل منزلة الآباء فللأب السدس والباقي لابن الابن عندنا بالقرابة وعندهم بالتعصيب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تظهر الثمرة في موارد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العصبة بعيدة عن ذي فرض ، كالأخ فيما إذا ترك بنتاً أو بنات ، ولم يكن له ولد ذكر ، أو العم فيما إذا ترك </w:t>
      </w:r>
      <w:bookmarkStart w:id="378" w:name="pg10155_105387"/>
    </w:p>
    <w:p>
      <w:pPr>
        <w:pStyle w:val="BookText"/>
        <w:rPr/>
      </w:pPr>
      <w:bookmarkEnd w:id="378"/>
      <w:r>
        <w:rPr>
          <w:rFonts w:ascii="Amiri" w:hAnsi="Amiri" w:eastAsia="Amiri" w:cs="Amiri"/>
          <w:color w:val="111111"/>
          <w:sz w:val="28"/>
          <w:sz w:val="28"/>
          <w:szCs w:val="28"/>
          <w:rtl w:val="true"/>
          <w:lang w:bidi="ar-SA"/>
        </w:rPr>
        <w:t>أُختاً أو أخوات ولم يكن له أخ ، فعلى مذهب الإمامية لا يرد إلى البعيد أبداً ، سواء كان أخاً أو عمّاً ، لأنّ الضابط في التقديم والتأخير هو الفرض والقرابة ، وأمّا الأخو العم فهما ليسا من أصحاب الفروض قطعاً ، كما أنّهما بعيدان عن الميّت مع وجود البنت أو الأُخت ، فيرد عليهما الفاضل ، فالبنت ترث النصف فرضاً والنصف الآخر قرابة ، وهكذا الصورة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مذاهب أهل السنّة ، فبما أنّهم حكموا بتوريث العصبة مع ذي فرض قريب ، يردّون الفاضل إلى الأخ في الأوّل ، والعم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بالعصبة باطل عندنا ولا يورث بها في موضع من المواضع ، وإنّما يورث بالفرض المسمّى أو القربى ، أو الأسباب التي يورث بها من الزوجية والولاء ، وروي ذلك عن ابن عباس ، لأنّه قال فيمن خلّف بنتاً وأُختاً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كلّه للبنت دون الأُخت </w:t>
      </w:r>
      <w:r>
        <w:rPr>
          <w:rStyle w:val="FootnoteAnchor"/>
          <w:rtl w:val="true"/>
        </w:rPr>
        <w:footnoteReference w:id="357"/>
      </w:r>
      <w:r>
        <w:rPr>
          <w:rFonts w:ascii="Amiri" w:hAnsi="Amiri" w:eastAsia="Amiri" w:cs="Amiri"/>
          <w:color w:val="111111"/>
          <w:sz w:val="28"/>
          <w:sz w:val="28"/>
          <w:szCs w:val="28"/>
          <w:rtl w:val="true"/>
          <w:lang w:bidi="ar-SA"/>
        </w:rPr>
        <w:t>، ووافقه جابر بن عبد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موافقة ابن عباس عن إبراهيم النخعي ، روى عنه الأعمش ولم يجعل داود الأخوات مع البنات عصبة ، وخالف جميع الفقهاء في ذلك وأثبتوا العصبات من جهة الأب والابن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Heading4"/>
        <w:numPr>
          <w:ilvl w:val="3"/>
          <w:numId w:val="1"/>
        </w:numPr>
        <w:rPr/>
      </w:pPr>
      <w:bookmarkStart w:id="379" w:name="__RefHeading___Toc1272913_1067777946"/>
      <w:bookmarkStart w:id="380" w:name="_Toc132"/>
      <w:bookmarkEnd w:id="379"/>
      <w:r>
        <w:rPr>
          <w:rtl w:val="true"/>
        </w:rPr>
        <w:t xml:space="preserve">السادس </w:t>
      </w:r>
      <w:r>
        <w:rPr>
          <w:rtl w:val="true"/>
        </w:rPr>
        <w:t xml:space="preserve">: </w:t>
      </w:r>
      <w:r>
        <w:rPr>
          <w:rtl w:val="true"/>
        </w:rPr>
        <w:t>عدم الثمرة فيما إذا كان قريب مساو لا فرض له</w:t>
      </w:r>
      <w:bookmarkEnd w:id="380"/>
    </w:p>
    <w:p>
      <w:pPr>
        <w:pStyle w:val="BookText"/>
        <w:rPr/>
      </w:pPr>
      <w:r>
        <w:rPr>
          <w:rFonts w:ascii="Amiri" w:hAnsi="Amiri" w:eastAsia="Amiri" w:cs="Amiri"/>
          <w:color w:val="111111"/>
          <w:sz w:val="28"/>
          <w:sz w:val="28"/>
          <w:szCs w:val="28"/>
          <w:rtl w:val="true"/>
          <w:lang w:bidi="ar-SA"/>
        </w:rPr>
        <w:t xml:space="preserve">إذا بقى من سهام التركة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الورثة من لا فرض له لا فرق بين القولين ولا تترتب عليهما ثمرة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من لا فرض له مع أصحاب الفرض ففيها يردّ الفاضل على المساوي الذي ليس له سهم خاص في الكتاب ، سواء قلنا </w:t>
      </w:r>
    </w:p>
    <w:p>
      <w:pPr>
        <w:pStyle w:val="BookText"/>
        <w:rPr/>
      </w:pPr>
      <w:r>
        <w:rPr>
          <w:rFonts w:ascii="Amiri" w:hAnsi="Amiri" w:eastAsia="Amiri" w:cs="Amiri"/>
          <w:color w:val="111111"/>
          <w:sz w:val="28"/>
          <w:sz w:val="28"/>
          <w:szCs w:val="28"/>
          <w:rtl w:val="true"/>
          <w:lang w:bidi="ar-SA"/>
        </w:rPr>
        <w:t>بالتعصيب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الأمثلة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ماتت عن أبوين وزوج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عن أبوين وزوجة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فالزوج في الأوّل ، والزوجة في الثاني ، والأُمّ في كليهما من أصحاب الفروض دون الأب ، فما فضل بعد أخذهم ، فهو لمن لا فرض له ، أي الأب ، فللزوج والزوجة نصيبهما الأعلى وللآُمّ الثلث ، والباقي للأب لأنّه لا فرض له ، نعم الأب من أصحاب الفروض إذا كان للميّت ولد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 لِكُلِّ واحِدٍ مِنْهُمَا السُّدُسُ مِمَّا تَرَكَ إِنْ كانَ لَهُ وَلَدٌ</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بخلاف الأُمّ فهي مطلقاً من ذوات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الخرقي في متن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زوج وأبوان ، أُعطي الزوج النصف والأُم ثلث ما بقي ، وما بقي فللأب ، وإذا كانت زوجة أُعطيت الزوجة الربع ، والأُمّ ثلث ما بقي ، وما بقي للأب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المسألتان تسمّيان العُمَريّتين لأنّ عُمَر قضى فيهما بهذا القضاء ، فتبعه على ذلك عثمان وزيد بن ثابت وابن مسعود ، وروي ذلك عن علي ، وبه قال الحسن والثوري ومالك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الرأي ، وجعل ابن عباس ثلث المال كلّه للآُمّ في المسألتين ، ويروى ذلك عن علي</w:t>
      </w:r>
      <w:r>
        <w:rPr>
          <w:rFonts w:eastAsia="Amiri" w:cs="Amiri" w:ascii="Amiri" w:hAnsi="Amiri"/>
          <w:color w:val="111111"/>
          <w:sz w:val="28"/>
          <w:szCs w:val="28"/>
          <w:rtl w:val="true"/>
          <w:lang w:bidi="ar-SA"/>
        </w:rPr>
        <w:t xml:space="preserve">. </w:t>
      </w:r>
      <w:r>
        <w:rPr>
          <w:rStyle w:val="FootnoteAnchor"/>
          <w:rtl w:val="true"/>
        </w:rPr>
        <w:footnoteReference w:id="360"/>
      </w:r>
      <w:bookmarkStart w:id="381" w:name="pg10155_105389"/>
    </w:p>
    <w:p>
      <w:pPr>
        <w:pStyle w:val="BookText"/>
        <w:rPr/>
      </w:pPr>
      <w:bookmarkEnd w:id="38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الفرض ولكن كان للآُمّ حاجب ، فللزوج والزوجة نصيبهما الأعلى وللآُمّ السدس ، والكلّ من أصحاب الفرض ، والباقي للأب الذي لا فرض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مات عن أبوين وابن وزوج أو زوجة ، فلهما نصيبهما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وللوالدين السدسان والباقي للابن الذي لا فرض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عن زوج أو زوجة وإخوة من الأُمّ ، وإخوة من الأبوين أو من الأب ، فللزوج النصف أو للزوجة الربع ، وللإخوة من الأُمّ الثلث ، والباقي لمن لا فرض له ، أي الإخوة من الأبوين أو الذين يتقرّبون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فالزائد بعد إخراج الفرائض للمساوي في الطبقة الذي لا فرض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الصورة موضع اتّفاق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272915_1067777946"/>
      <w:bookmarkStart w:id="383" w:name="_Toc133"/>
      <w:bookmarkEnd w:id="382"/>
      <w:r>
        <w:rPr>
          <w:rtl w:val="true"/>
        </w:rPr>
        <w:t xml:space="preserve">السابع </w:t>
      </w:r>
      <w:r>
        <w:rPr>
          <w:rtl w:val="true"/>
        </w:rPr>
        <w:t xml:space="preserve">: </w:t>
      </w:r>
      <w:r>
        <w:rPr>
          <w:rtl w:val="true"/>
        </w:rPr>
        <w:t>ترتّب الثمرة إذا لم يكن قريب مساو لا فرض له</w:t>
      </w:r>
      <w:bookmarkEnd w:id="383"/>
    </w:p>
    <w:p>
      <w:pPr>
        <w:pStyle w:val="BookText"/>
        <w:rPr/>
      </w:pPr>
      <w:r>
        <w:rPr>
          <w:rFonts w:ascii="Amiri" w:hAnsi="Amiri" w:eastAsia="Amiri" w:cs="Amiri"/>
          <w:color w:val="111111"/>
          <w:sz w:val="28"/>
          <w:sz w:val="28"/>
          <w:szCs w:val="28"/>
          <w:rtl w:val="true"/>
          <w:lang w:bidi="ar-SA"/>
        </w:rPr>
        <w:t xml:space="preserve">إذا لم يكن بين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أصحاب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مساو لا فرض له وزادت سهام التركة عن الفروض ، فهناك رأيان مختلفان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كلّهم على أنّ الزائد يرد إلى أصحاب الفرائض عدا الزوج والزوجة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بنسبة سهامهم ، فإذا مات عن أبوين وبنت وليس في طبقتهم من ينتمي إلى الميّت بلا واسطة سواهم ، يرد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بنسبة</w:t>
      </w:r>
    </w:p>
    <w:p>
      <w:pPr>
        <w:pStyle w:val="BookText"/>
        <w:rPr/>
      </w:pPr>
      <w:r>
        <w:rPr>
          <w:rFonts w:ascii="Amiri" w:hAnsi="Amiri" w:eastAsia="Amiri" w:cs="Amiri"/>
          <w:color w:val="111111"/>
          <w:sz w:val="28"/>
          <w:sz w:val="28"/>
          <w:szCs w:val="28"/>
          <w:rtl w:val="true"/>
          <w:lang w:bidi="ar-SA"/>
        </w:rPr>
        <w:t xml:space="preserve">سهامهم ، فيرد السدس عليهم أخماساً فللأبوين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الخمسان من السدس ، وللبنت ثلاثة أخماس منه ، ولا تخرج التركة عن هذه الطبقة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السنّة يرون أنّه يرد إلى أقرباء الميّت من جانب الأب والابن وهم العصبة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هذه الأُمور فلندرس أدلّة القولين </w:t>
      </w:r>
      <w:r>
        <w:rPr>
          <w:rFonts w:eastAsia="Amiri" w:cs="Amiri" w:ascii="Amiri" w:hAnsi="Amiri"/>
          <w:color w:val="111111"/>
          <w:sz w:val="28"/>
          <w:szCs w:val="28"/>
          <w:rtl w:val="true"/>
          <w:lang w:bidi="ar-SA"/>
        </w:rPr>
        <w:t xml:space="preserve">: </w:t>
      </w:r>
      <w:bookmarkStart w:id="384" w:name="pg10155_105391"/>
    </w:p>
    <w:p>
      <w:pPr>
        <w:pStyle w:val="Heading3"/>
        <w:numPr>
          <w:ilvl w:val="2"/>
          <w:numId w:val="1"/>
        </w:numPr>
        <w:rPr/>
      </w:pPr>
      <w:bookmarkStart w:id="385" w:name="__RefHeading___Toc1272917_1067777946"/>
      <w:bookmarkStart w:id="386" w:name="_Toc134"/>
      <w:bookmarkEnd w:id="384"/>
      <w:bookmarkEnd w:id="385"/>
      <w:r>
        <w:rPr>
          <w:rtl w:val="true"/>
        </w:rPr>
        <w:t>دراسة أدلّة نفاة التعصيب</w:t>
      </w:r>
      <w:bookmarkEnd w:id="386"/>
    </w:p>
    <w:p>
      <w:pPr>
        <w:pStyle w:val="Heading4"/>
        <w:numPr>
          <w:ilvl w:val="3"/>
          <w:numId w:val="1"/>
        </w:numPr>
        <w:rPr/>
      </w:pPr>
      <w:bookmarkStart w:id="387" w:name="__RefHeading___Toc1272919_1067777946"/>
      <w:bookmarkStart w:id="388" w:name="_Toc135"/>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احتجّت الإمامية على نفي التعصيب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دور له في الميراث وانّه مع وجود الأقرب وإن كان ذا فرض لا يرد إلى البعيد وإن كان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والسنّة ، وإليك دراسة ما يدلّ على نفيه من الكتاب </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272921_1067777946"/>
      <w:bookmarkStart w:id="390" w:name="_Toc136"/>
      <w:bookmarkEnd w:id="389"/>
      <w:r>
        <w:rPr>
          <w:rtl w:val="true"/>
        </w:rPr>
        <w:t>الآية الأُولى</w:t>
      </w:r>
      <w:r>
        <w:rPr>
          <w:rtl w:val="true"/>
        </w:rPr>
        <w:t xml:space="preserve">: </w:t>
      </w:r>
      <w:r>
        <w:rPr>
          <w:rtl w:val="true"/>
        </w:rPr>
        <w:t>مشاركة النساء للرجال في الميراث</w:t>
      </w:r>
      <w:bookmarkEnd w:id="390"/>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 مِمَّا قَلَّ مِنْهُ أَوْ كَثُرَ نَصِيباً مَفْرُوضاً</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الآية انّ النساء في درجة الرجال من حيث الاستحقاق وانّ كلّ مورد يرث فيه الرجل ، ترث فيه المرأة إلاّ ما خرج بالدليل كالقاتل والمرتد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أوجب توريث جميع النساء والأقربين ، ودلّت على المساواة بين الذكور والإناث في استحقاق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حكمت بأنّ للنساء نصيباً كما حكمت بأنّ للرجال نصيباً ، مع أنّ القائل بالتعصيب يُورّث </w:t>
      </w:r>
    </w:p>
    <w:p>
      <w:pPr>
        <w:pStyle w:val="BookText"/>
        <w:rPr/>
      </w:pPr>
      <w:r>
        <w:rPr>
          <w:rFonts w:ascii="Amiri" w:hAnsi="Amiri" w:eastAsia="Amiri" w:cs="Amiri"/>
          <w:color w:val="111111"/>
          <w:sz w:val="28"/>
          <w:sz w:val="28"/>
          <w:szCs w:val="28"/>
          <w:rtl w:val="true"/>
          <w:lang w:bidi="ar-SA"/>
        </w:rPr>
        <w:t xml:space="preserve">الرجال دون النساء مع كونهما في رتبة واحدة ، وذلك في الصور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وترك بنتاً ، وأخاً وأُختاً ، فالفاضل عن فريضة البنت يرد إلى الأخ ، ويحكم على الأُخت بالحرمان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وترك بنتاً ، وابن أخ ، وابن أُخت ، فالقائل بالتعصيب يعطي النصف للبنت ، والنصف الآخر لابن الأخ ، ولا شيء لابن أُخته مع أنّهما في درجة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وترك أُختاً ، وعمّاً ، وعمّة ، فالفاضل عن فريضة الأُخت يرد إلى العم ، لا العمّة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وترك بنتاً ، وابن أخ ، وبنت أخ ، فإنّهم يعطون النصف للبنت ، والنصف الآخر لابن الأخ ، ولا يعطون شيئاً لبنت الأخ مع كونهما في درجة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تحكم بوراثة الرجال والنساء معاً وبوراثة الجميع ، والقائل بالتعصيب يورّث الرجال دون النساء والحكم به أشبه بحكم الجاهلية المبني على هضم حقوق النساء كما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ظهور الآية في مشاركة الرجال والنساء ، على خصوص الميراث المفروض ، لا الميراث لأجل التعصيب كما ترى ، لأنّه حمل بلا قرينة في الآية ، وعلى خلاف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القول بالتعصيب هو توريث الرجال وإهمال النساء على ما كانت الجاهلية عليه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الصافي في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مِمَّا تَرَكَ الْوالِدانِ وَالْأَقْرَبُونَ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أبطل الله بهذه الآية النظام الجاهلي المبنيّ على توريث الرجال دون النساء ، مثل توريث الابن دون البنت ، وتوريث الأخ دون الأُخت ، </w:t>
      </w:r>
    </w:p>
    <w:p>
      <w:pPr>
        <w:pStyle w:val="BookText"/>
        <w:rPr/>
      </w:pPr>
      <w:r>
        <w:rPr>
          <w:rFonts w:ascii="Amiri" w:hAnsi="Amiri" w:eastAsia="Amiri" w:cs="Amiri"/>
          <w:color w:val="111111"/>
          <w:sz w:val="28"/>
          <w:sz w:val="28"/>
          <w:szCs w:val="28"/>
          <w:rtl w:val="true"/>
          <w:lang w:bidi="ar-SA"/>
        </w:rPr>
        <w:t xml:space="preserve">وتوريث العم دون العمّة ، وابن العم دون بنته ، فقرّر بها مشاركة النساء مع الرجال في الإرث ، إذا كنّ معهم في القرابة في مرتبة واحدة ، كالابن والبنت ، والأخ والأُخت ، وابن الابن وبنته ، والعم والعمّة وغيرهم ، فلا يوجد في الشرع مورد تكون المرأة مع المرء في درجة واحدة إلاّ وهي ترث من الميت بحكم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القول بحرمان الرجال الذين هم من طبقة واحدة نقض لهذه الضابطة المحكمة الشريفة ، كذلك القول بحرمان النساء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تجلّى فيه اعتناء الإسلام بشأن المرأة ورفع مستواها في الحقوق المالية كسائر 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 عامّاً لا يقبل التخصيص والاستثناء</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توريث الرجال دون النساء مع المساواة في القربى والدرجة ، من أحكام الجاهلية ، وقد نسخ الله بشريعة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الجاهلية ، وذمّ من أقام عليها واستمرّ على العمل بها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وليس لهم أن يقولوا إنّنا نخصّص الآية التي ذكرتموها بالسنّة ، وذلك أنّ السنّة التي لا تقتضي العلم القاطع لا يُخصَّص بها القرآن ، كما لم يُنسخ بها ، وإنّما يجوز بالسنّة أن يخصّص وينسخ إذا كانت تقتضي العلم واليقين ، ولا خلاف في أنّ الأخبار المروية في توريث العصبة أخبار آحاد لا توجب علماً ، وأكثر ما يقتضيه غلبة الظن ، على أنّ أخبار التعصيب معارضة بأخبار كثيرة ترويها الشيعة من طرق مختلفة في إبطال أن يكون الميراث بالعصبة ، وأنّه بالقربى والرحم ، وإذا تعارضت الأخبار رجعنا إلى ظاهر الكتاب</w:t>
      </w:r>
      <w:r>
        <w:rPr>
          <w:rFonts w:eastAsia="Amiri" w:cs="Amiri" w:ascii="Amiri" w:hAnsi="Amiri"/>
          <w:color w:val="111111"/>
          <w:sz w:val="28"/>
          <w:szCs w:val="28"/>
          <w:rtl w:val="true"/>
          <w:lang w:bidi="ar-SA"/>
        </w:rPr>
        <w:t xml:space="preserve">. </w:t>
      </w:r>
      <w:r>
        <w:rPr>
          <w:rStyle w:val="FootnoteAnchor"/>
          <w:rtl w:val="true"/>
        </w:rPr>
        <w:footnoteReference w:id="364"/>
      </w:r>
      <w:bookmarkStart w:id="391" w:name="pg10155_105394"/>
    </w:p>
    <w:p>
      <w:pPr>
        <w:pStyle w:val="Heading4"/>
        <w:numPr>
          <w:ilvl w:val="3"/>
          <w:numId w:val="1"/>
        </w:numPr>
        <w:rPr/>
      </w:pPr>
      <w:bookmarkStart w:id="392" w:name="__RefHeading___Toc1272923_1067777946"/>
      <w:bookmarkStart w:id="393" w:name="_Toc137"/>
      <w:bookmarkEnd w:id="391"/>
      <w:bookmarkEnd w:id="392"/>
      <w:r>
        <w:rPr>
          <w:rtl w:val="true"/>
        </w:rPr>
        <w:t>الآية الثانية</w:t>
      </w:r>
      <w:r>
        <w:rPr>
          <w:rtl w:val="true"/>
        </w:rPr>
        <w:t xml:space="preserve">: </w:t>
      </w:r>
      <w:r>
        <w:rPr>
          <w:rtl w:val="true"/>
        </w:rPr>
        <w:t>الضابطة في الميراث هي الأقربية</w:t>
      </w:r>
      <w:bookmarkEnd w:id="393"/>
    </w:p>
    <w:p>
      <w:pPr>
        <w:pStyle w:val="Heading5"/>
        <w:numPr>
          <w:ilvl w:val="4"/>
          <w:numId w:val="1"/>
        </w:numPr>
        <w:rPr/>
      </w:pPr>
      <w:bookmarkStart w:id="394" w:name="__RefHeading___Toc1272925_1067777946"/>
      <w:bookmarkStart w:id="395" w:name="_Toc138"/>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 إِنَّ اللهَ بِكُلِّ شَيْءٍ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فى </w:t>
      </w:r>
      <w:r>
        <w:rPr>
          <w:rStyle w:val="FootnoteAnchor"/>
          <w:rtl w:val="true"/>
        </w:rPr>
        <w:footnoteReference w:id="365"/>
      </w:r>
      <w:r>
        <w:rPr>
          <w:rFonts w:ascii="Amiri" w:hAnsi="Amiri" w:eastAsia="Amiri" w:cs="Amiri"/>
          <w:color w:val="111111"/>
          <w:sz w:val="28"/>
          <w:sz w:val="28"/>
          <w:szCs w:val="28"/>
          <w:rtl w:val="true"/>
          <w:lang w:bidi="ar-SA"/>
        </w:rPr>
        <w:t xml:space="preserve">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 وَأُولُوا الْأَرْحامِ بَعْضُهُمْ أَوْلى بِبَعْضٍ فِي كِتابِ اللهِ مِنَ الْمُؤْمِنِينَ وَالْمُهاجِرِينَ إِلاَّ أَنْ تَفْعَلُوا إِلى أَوْلِيائِكُمْ مَعْرُوفاً كانَ ذلِكَ فِي الْكِتابِ مَسْطُوراً</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ظاهرة في أنّ ذوي الأرحام والقرابة بعضهم أحقّ بميراث بعضهم من غيرهم ، والمروي عن جماعة من المفسّرين انّ الآية ناسخة لما قبله من التوارث بالمعاقدة والهجرة وغير ذلك من الأسباب ، فقد كانوا يتوارثون بالمؤاخاة ، فانّ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آخى بين المهاجرين والأنصار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وجه الأولوية هو الأقربية ، فكلّ من كان أقرب إلى الميت في النسب كان أولى بالميراث ، سواء كان ذا سهم أو غير ذي سهم ، وسواء كان عصبة أو غير ذي عصبة</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الولاية بين أُولي الأرحام والقرابات ، وهي ولاية الإرث ، فانّ سائر أقسام الولاية لا ينحصر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تنسخ ولاية الإرث بالمؤاخاة التي أجراها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في أُول الهجرة ، وتُثبت الإرث بالقرابة ، سواء كان هناك ذو سهم أو لم يكن ، وكان عصبة أو لم يكن ، فالآية مطلقة كما هو ظاهر</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وقد استدلّ بالآية بعض الفقهاء والمفسّرين في مورد الإرث وفسروه بالنحو التالي الموافق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السرخسي في مبسوطه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والميراث يبنى على الأقرب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تَرَكَ الْوالِدانِ وَالْأَقْرَبُونَ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القرب تدلّ على قوة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بعضهم أقرب فهو بالميراث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 ذوي الأرحام يبنى على القرب</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وممّا يدلّ على أنّ مفاد الآية هو منع القريب البعيد هو انّ بعض فقهاء السنة تمسك بالآية على أُولوية بعض العصبة على بعض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الأخ على ابن الأخ ، والعم على ابن العم ، حتّى أنّهم يقدّمون الأخ لأبوين على ابن الأخ لأب ، كما أنّ العمّ لأبوين يقدّمونه على العمّ لأب ، وابن العم لأبوين على ابن العم لأب ، تمسّكاً بالآية</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الآية وردت في سورتين مدنيتين ، فهي تؤكد على نسخ ما كان شائعاً في الجاهلية من تقديم الأقوياء على الضعفاء ، والرجال على النساء في الميراث ، </w:t>
      </w:r>
    </w:p>
    <w:p>
      <w:pPr>
        <w:pStyle w:val="BookText"/>
        <w:rPr/>
      </w:pPr>
      <w:r>
        <w:rPr>
          <w:rFonts w:ascii="Amiri" w:hAnsi="Amiri" w:eastAsia="Amiri" w:cs="Amiri"/>
          <w:color w:val="111111"/>
          <w:sz w:val="28"/>
          <w:sz w:val="28"/>
          <w:szCs w:val="28"/>
          <w:rtl w:val="true"/>
          <w:lang w:bidi="ar-SA"/>
        </w:rPr>
        <w:t>وتضع ملاكاً جديداً ، هو الأقربية للميت ، فالأقرب يرث ويمنع غيره من دون فرق بين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فكيف يرث الأخ أو العم مع وجود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أو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أقرب إلى الميّت من الأخ والعم ، لأنّ البنت تتقرّب إلى الميّت بنفسها ، والأخ يتقرّب إليه بالأب ، والأُخت تتقرّب إلى الميّت بالأب ، والعمّ يتقرّب إليه بواسطة الجد ، والأُخت تتقرّب بواسطة ، والعم يتقرّب بواسطتين ، وأولاده بوسائط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الآية في بيان تقديم الأقرب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أنّها وردت ناسخة للتوارث بمعاقدة الإيمان والتوارث بالمهاجرة اللَّذين كانا ثابتين في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لا يعطي الموالي شيئاً مع ذي رحم ، سمّيت له فريضة أم لم تسم له فريضة وكان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 فِي كِتابِ اللهِ 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مكانهم فلم يجعل لهم مع أُولي الأرحام</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وروى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بعضهم أولى بالميراث من بعض ، لأنّ أقربهم إليه رحماً أولى به ، ثمّ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أولى بالميت وأقربهم إليه؟ أُمّه؟ أو أخوه؟ أليس الأُمّ أقرب إلى الميّت من إخوته وأخواته؟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وروي عن زيد بن ثابت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الجاهلية أن يورث الرجال دون النساء</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يثار على الاستدلال بالآية استفساران </w:t>
      </w:r>
      <w:r>
        <w:rPr>
          <w:rFonts w:eastAsia="Amiri" w:cs="Amiri" w:ascii="Amiri" w:hAnsi="Amiri"/>
          <w:color w:val="111111"/>
          <w:sz w:val="28"/>
          <w:szCs w:val="28"/>
          <w:rtl w:val="true"/>
          <w:lang w:bidi="ar-SA"/>
        </w:rPr>
        <w:t xml:space="preserve">: </w:t>
      </w:r>
      <w:bookmarkStart w:id="396" w:name="pg10155_105397"/>
    </w:p>
    <w:p>
      <w:pPr>
        <w:pStyle w:val="Heading5"/>
        <w:numPr>
          <w:ilvl w:val="4"/>
          <w:numId w:val="1"/>
        </w:numPr>
        <w:rPr/>
      </w:pPr>
      <w:bookmarkStart w:id="397" w:name="__RefHeading___Toc1272927_1067777946"/>
      <w:bookmarkStart w:id="398" w:name="_Toc139"/>
      <w:bookmarkEnd w:id="396"/>
      <w:bookmarkEnd w:id="397"/>
      <w:r>
        <w:rPr>
          <w:rtl w:val="true"/>
        </w:rPr>
        <w:t xml:space="preserve">الأوّل </w:t>
      </w:r>
      <w:r>
        <w:rPr>
          <w:rtl w:val="true"/>
        </w:rPr>
        <w:t xml:space="preserve">: </w:t>
      </w:r>
      <w:r>
        <w:rPr>
          <w:rtl w:val="true"/>
        </w:rPr>
        <w:t>تخصيص الآية بما دلّ على ميراث العصبة</w:t>
      </w:r>
      <w:bookmarkEnd w:id="398"/>
    </w:p>
    <w:p>
      <w:pPr>
        <w:pStyle w:val="BookText"/>
        <w:rPr/>
      </w:pP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إمّا أن يكون مطلقاً أو عاماً ، فالمطلق يُقيّد والعام يخصص بما ورد من توريث العصبة بعد استيفاء ذوي الفروض فروضهم وإن كانوا بُعَداء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غضّ النظر عن الضعف الطارئ على أدلّة التعصيب سنداً ودلالة كما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المباركة تأبى على التخصيص والتقييد ، لأنّها تحكي عن تشريع صدر استجابةً لميول ورغبات البشر ، وهو انّ الإنسان أرأف وأميل بالوارث الأقرب من الأبعد ، فتخصيص مثل ذلك التشريع يأباه الطبع السليم ، 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 وَاللهُ غَفُورٌ رَحِيمٌ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 أو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والشاهد على إبائها التخصيص والتقييد انّه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مورد كذا لما استحسنه الطبع ولاستهجنه ، مثل 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مورد كذا </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1272929_1067777946"/>
      <w:bookmarkStart w:id="400" w:name="_Toc140"/>
      <w:bookmarkEnd w:id="399"/>
      <w:r>
        <w:rPr>
          <w:rtl w:val="true"/>
        </w:rPr>
        <w:t xml:space="preserve">الثاني </w:t>
      </w:r>
      <w:r>
        <w:rPr>
          <w:rtl w:val="true"/>
        </w:rPr>
        <w:t xml:space="preserve">: </w:t>
      </w:r>
      <w:r>
        <w:rPr>
          <w:rtl w:val="true"/>
        </w:rPr>
        <w:t>حرمان الرجال من الميراث في الفقه الإمامي</w:t>
      </w:r>
      <w:bookmarkEnd w:id="400"/>
    </w:p>
    <w:p>
      <w:pPr>
        <w:pStyle w:val="BookText"/>
        <w:rPr/>
      </w:pPr>
      <w:r>
        <w:rPr>
          <w:rFonts w:ascii="Amiri" w:hAnsi="Amiri" w:eastAsia="Amiri" w:cs="Amiri"/>
          <w:color w:val="111111"/>
          <w:sz w:val="28"/>
          <w:sz w:val="28"/>
          <w:szCs w:val="28"/>
          <w:rtl w:val="true"/>
          <w:lang w:bidi="ar-SA"/>
        </w:rPr>
        <w:t xml:space="preserve">إذا دلّت الآية على المشاركة ، فكما أنّ حرمان النساء مخالف لها ، فكذلك حرمان الرجال مع أنّه ثابت في القول بعدم التعصيب ، وذلك كما في المثال التالي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مات الرجل عن بنت وعم أو ابن عم ، فإنّ التركة كلّها للبنت عندهم </w:t>
      </w:r>
    </w:p>
    <w:p>
      <w:pPr>
        <w:pStyle w:val="BookText"/>
        <w:rPr/>
      </w:pPr>
      <w:r>
        <w:rPr>
          <w:rFonts w:ascii="Amiri" w:hAnsi="Amiri" w:eastAsia="Amiri" w:cs="Amiri"/>
          <w:color w:val="111111"/>
          <w:sz w:val="28"/>
          <w:sz w:val="28"/>
          <w:szCs w:val="28"/>
          <w:rtl w:val="true"/>
          <w:lang w:bidi="ar-SA"/>
        </w:rPr>
        <w:t>ولا حظّ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حرمان الرجال دون النساء عكس القول بالتعصيب ، ويشتركان في الحرمان ومخالفة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الحرمان في المثال لأجل عدم الاستواء في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ولد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ذكوراً كانوا أو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يرثون مع الولد ، لعدم التساوي في الدرجة والقرابة ، وإن كانوا يدخلون تحت التسمية بالرجال والنساء ، وإذا كانت القرابة والدرجة مراعاة بين العم وابنه ، فلا يساوي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في القربى والدرجة ، وهو أبعد منها كثيراً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كذلك العمومة والعمّات وبنات العم وبنو العم ، لأنّ درجة هؤلاء واحدة وقرباهم متساوية والمخالف يورِّث الرجال منهم دون النساء ، فظاهر الآية حجّة عليه وفعله مخالف لها ، وليس كذلك قولنا في المسألة التي وقعت الإشارة إليها ، وهذا واضح فليتأمّل</w:t>
      </w:r>
      <w:r>
        <w:rPr>
          <w:rFonts w:eastAsia="Amiri" w:cs="Amiri" w:ascii="Amiri" w:hAnsi="Amiri"/>
          <w:color w:val="111111"/>
          <w:sz w:val="28"/>
          <w:szCs w:val="28"/>
          <w:rtl w:val="true"/>
          <w:lang w:bidi="ar-SA"/>
        </w:rPr>
        <w:t xml:space="preserve">. </w:t>
      </w:r>
      <w:r>
        <w:rPr>
          <w:rStyle w:val="FootnoteAnchor"/>
          <w:rtl w:val="true"/>
        </w:rPr>
        <w:footnoteReference w:id="377"/>
      </w:r>
      <w:bookmarkStart w:id="401" w:name="pg10155_105399"/>
    </w:p>
    <w:p>
      <w:pPr>
        <w:pStyle w:val="Heading4"/>
        <w:numPr>
          <w:ilvl w:val="3"/>
          <w:numId w:val="1"/>
        </w:numPr>
        <w:rPr/>
      </w:pPr>
      <w:bookmarkStart w:id="402" w:name="__RefHeading___Toc1272931_1067777946"/>
      <w:bookmarkStart w:id="403" w:name="_Toc141"/>
      <w:bookmarkEnd w:id="401"/>
      <w:bookmarkEnd w:id="402"/>
      <w:r>
        <w:rPr>
          <w:rtl w:val="true"/>
        </w:rPr>
        <w:t>الآية الثالثة</w:t>
      </w:r>
      <w:r>
        <w:rPr>
          <w:rtl w:val="true"/>
        </w:rPr>
        <w:t xml:space="preserve">: </w:t>
      </w:r>
      <w:r>
        <w:rPr>
          <w:rtl w:val="true"/>
        </w:rPr>
        <w:t>توريث الأُخت مشروط بعدم وجود الولد</w:t>
      </w:r>
      <w:bookmarkEnd w:id="403"/>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وَلَهُ أُخْتٌ فَلَها نِصْفُ ما تَرَكَ وَهُوَ يَرِثُها إِنْ لَمْ يَكُنْ لَها وَلَدٌ فَإِنْ كانَتَا اثْنَتَيْنِ فَلَهُمَا الثُّلُثانِ مِمَّا تَرَكَ وَإِنْ كانُوا إِخْوَةً رِجالاً وَنِساءً فَلِلذَّكَرِ مِثْلُ حَظِّ الْأُنْثَيَيْنِ يُبَيِّنُ اللهُ لَكُمْ أَنْ تَضِلُّوا وَاللهُ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إنّ ظاهر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وَلَهُ أُخْتٌ فَلَها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توريث الأُخت من الأخ مشروط بعدم وجود الولد له مع أنّه يلزم في بعض صور التعصيب توريث الأُخت مع وجود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 ، وذلك فيما إذا كان التعصيب بالغير كأُخت أو أخوات لأبوين ، أو أُخت وأخوات لأب ، فإنّهنّ عصبة بالغير من جانب الأب فلو مات عن بنت وأُخت لأبوين أو لأب ، فالنصف للبنت ، والنصف الآخر للعصبة وهي الأُخت أو الأخوات مع أنّ وراثة الأُخت مشروطة بعدم الولد في صريح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والأخوات مع البنات عصبة ، لهنّ ما فضل ، وليس لهنّ معهنّ فريضة مسمّاة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قدامة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بالأخوات هاهنا ، الأخوات من الأبوين ، </w:t>
      </w:r>
    </w:p>
    <w:p>
      <w:pPr>
        <w:pStyle w:val="BookText"/>
        <w:rPr/>
      </w:pPr>
      <w:r>
        <w:rPr>
          <w:rFonts w:ascii="Amiri" w:hAnsi="Amiri" w:eastAsia="Amiri" w:cs="Amiri"/>
          <w:color w:val="111111"/>
          <w:sz w:val="28"/>
          <w:sz w:val="28"/>
          <w:szCs w:val="28"/>
          <w:rtl w:val="true"/>
          <w:lang w:bidi="ar-SA"/>
        </w:rPr>
        <w:t xml:space="preserve">أو من الأب ، وإليه ذهب عامّة الفقهاء إلاّ ابن عباس ومن تابعه ، فإنّه يروى عنه أنّه كان لا يجعل الأخوات مع البنات عصبة فقال في بنت وأُخت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النصف ولا شيء للأُخت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أعلم أم الله ، يريد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امْرُؤٌ هَلَكَ لَيْسَ لَهُ وَلَدٌ وَلَهُ أُخْتٌ فَلَها نِصْفُ 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جعل لها الميراث بشرط عدم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ابن قدامة ردّ على الاستدلال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تدل على أنّ الأُخت لا يفرض لها النصف مع الولد ، ونحن نقول به ، فإنّ ما تأخذه مع البنت ليس بفرض ، وإنّما هو بالتعصيب كميراث الأخ ، وقد وافق ابن عباس على ثبوت ميراث الأخ مع الولد مع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يَرِثُها 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قياس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يسقط الأخ لاشتراطه في توريثه منها عدم ولدها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الأُخت ترث من الأخ النصف في حالتي وجود الولد وعدمه ، غاية الأمر عند عدم الولد ترث فرضاً ، وعند وجوده ترثه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المهم عند المخاطبين هو أصل الوراثة ، لا التسمية تارة بالفرض وأُخرى بالتعصيب ، فانّ الأسماء ليس بمطروحة لهم ؛ فإذا كان الولد وعدمه غير مؤثّر فيها ، كان التقييد لغواً ، وما ذكره من أنّها ترث النصف عند الولد تعصيباً لا فرضاً أشبه بالتلاعب بالألفاظ ، والمخاطب بالآية هو العرف العام ، وهو لا يفهم من الآية سوى حرمان الأُخت عند الولد وتوريثها معه باسم آخر ، يراه مناقضاً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نسبه إلى ابن عباس من أنّه كان يرى ميراث الأخ مع الولد ، غير ثابت ، وعلى فرض تسليمه فهو ليس بحجة</w:t>
      </w:r>
      <w:r>
        <w:rPr>
          <w:rFonts w:eastAsia="Amiri" w:cs="Amiri" w:ascii="Amiri" w:hAnsi="Amiri"/>
          <w:color w:val="111111"/>
          <w:sz w:val="28"/>
          <w:szCs w:val="28"/>
          <w:rtl w:val="true"/>
          <w:lang w:bidi="ar-SA"/>
        </w:rPr>
        <w:t xml:space="preserve">. </w:t>
      </w:r>
      <w:bookmarkStart w:id="404" w:name="pg10155_105401"/>
    </w:p>
    <w:p>
      <w:pPr>
        <w:pStyle w:val="Heading3"/>
        <w:numPr>
          <w:ilvl w:val="2"/>
          <w:numId w:val="1"/>
        </w:numPr>
        <w:rPr/>
      </w:pPr>
      <w:bookmarkStart w:id="405" w:name="__RefHeading___Toc1272933_1067777946"/>
      <w:bookmarkStart w:id="406" w:name="_Toc142"/>
      <w:bookmarkEnd w:id="404"/>
      <w:bookmarkEnd w:id="405"/>
      <w:r>
        <w:rPr>
          <w:rtl w:val="true"/>
        </w:rPr>
        <w:t>الاستدلال بالسنّة على نفي التعصيب</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الشيخان عن سعد بن أبي وقاص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بمكّة مرضاً فأشفيت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منه على الموت فأتاني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مالاً كثيراً وليس يرثني إلاّ ابنتي أفأتصدّق بثلثي 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كبير ، إنّك إن تركت ولدك أغنياء خيرٌ من أن تتركهم عالةً يتكفّفون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مسلم في باب الوصية بالثلث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يرثني إلاّ ابنة لي واحدة</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والرواية صريحة في أنّه كان يدور في خلد سعد ، أنّها الوارثة المتفرّدة والنبيّ سمع كلامه وأقرّه عليه ، ولم يرد عليه بأنّ لك وارثاً آخر وهم العصبة ، بل قرره على ذلك فيكون المال للبنت فالنصف فرضاً والنصف الآخر بالردّ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السؤال والجواب بعد نزول آيات الفرائض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البيهقي عن سويد بن غفلة في ابنة وامرأة ومولى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الابنة النصف والمرأة الثمن ويرد ما بقي على الابنة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الدارمي عن حيان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سويد بن غفلة فجاءه فسأله عن فريضة رجل ترك ابنته وامرأته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أُنبئك قضاء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قضاء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لامرأته الثمن ولابنته النصف ، ثمّ رد البقية على ابنته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مالاً فلأهله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وليس الأخ ، أو الأُخت من أهل الرجل وإنّما أهله أولاده وزوجته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يستدل بما روي عن واثلة بن الأسقع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والمرأة تحوز ثلاث 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عتيقها ولقيطها وولدها الذي تلاعن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ظاهر في الرواية انّ الأُمّ ترث ما يتركه ولدها كلّه ، لأنّ الأب ممنوع من الإرث للملاعنة ونفي الولد عنه فيكون المال كله للأُمّ سدسه أو ثلثه بالفرض والباقي بالردّ ، لأنّ سهم الأُمّ هو السدس أو الثلث ، وقد حكم على الفاضل عن التركة بالرد عليها دون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الرد لعدم وجود العصبة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به على ما إذا كانت هناك عصبة</w:t>
      </w:r>
      <w:r>
        <w:rPr>
          <w:rFonts w:eastAsia="Amiri" w:cs="Amiri" w:ascii="Amiri" w:hAnsi="Amiri"/>
          <w:color w:val="111111"/>
          <w:sz w:val="28"/>
          <w:szCs w:val="28"/>
          <w:rtl w:val="true"/>
          <w:lang w:bidi="ar-SA"/>
        </w:rPr>
        <w:t xml:space="preserve">. </w:t>
      </w:r>
      <w:bookmarkStart w:id="407" w:name="pg10155_105403"/>
    </w:p>
    <w:p>
      <w:pPr>
        <w:pStyle w:val="BookText"/>
        <w:rPr/>
      </w:pPr>
      <w:bookmarkEnd w:id="407"/>
      <w:r>
        <w:rPr>
          <w:rFonts w:ascii="Amiri" w:hAnsi="Amiri" w:eastAsia="Amiri" w:cs="Amiri"/>
          <w:color w:val="111111"/>
          <w:sz w:val="28"/>
          <w:sz w:val="28"/>
          <w:szCs w:val="28"/>
          <w:rtl w:val="true"/>
          <w:lang w:bidi="ar-SA"/>
        </w:rPr>
        <w:t xml:space="preserve">إلى هنا تمّ الاستدلال بما رواه أهل السنّة وليعلم إنّ القول بالتعصيب يقتضي كون توريث الوارث مشروطاً بوجود وارث آخر ، وهو مخالف لما علم الاتّفاق عليه ، لأنّه إمّا أن يتساوى مع الوارث الآخر فيرثان ، وإلاّ فيمنع وذلك كما في المثال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خلّف الميّت بنتين ، وابنة ابن ، وعمّ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العمّ من العصبة بالنفس والابنة عصبة بالغير يرد الفاضل إلى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لبنت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لو كان معها أخ أي ابن الابن ، فهي تتعصّب به ، وبما أنّه أولى ذَكَر بالميّت يكون مقدماً على العم ويكون الفاضل بينهما أثلاثاً ، للإجماع على المشاركة ،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وهذا هو ما قلناه من أنّه يلزم أن يكون توريث الابنة مشروطاً بالأخ وإلاّ فيرث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الخرقي في متن المغني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بنات ، وبنات ابن ، فللبنات الثلثان وليس لبنات الابن شيء إلاّ أن يكون معهنّ ذكر فيعصبهن فيما بقي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قدامة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مع بنات الابن ، ابن في درجتهنّ كأخيهنّ أو ابن عمّهنّ ، أو أنزل منهنّ كابن أخيهنّ أو ابن ابن عمّهنّ أو ابن ابن ابن عمّهن ، عصبهنّ في الباقي فجعل بينهم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383"/>
      </w:r>
    </w:p>
    <w:p>
      <w:pPr>
        <w:pStyle w:val="Heading3"/>
        <w:numPr>
          <w:ilvl w:val="2"/>
          <w:numId w:val="1"/>
        </w:numPr>
        <w:rPr/>
      </w:pPr>
      <w:bookmarkStart w:id="408" w:name="__RefHeading___Toc1272935_1067777946"/>
      <w:bookmarkStart w:id="409" w:name="_Toc143"/>
      <w:bookmarkEnd w:id="408"/>
      <w:r>
        <w:rPr>
          <w:rtl w:val="true"/>
        </w:rPr>
        <w:t>الأحاديث المأثورة عن أئمّة أهل البيت عليهم السلام</w:t>
      </w:r>
      <w:bookmarkEnd w:id="40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أُثر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الفاضل عن الفروض للأقرب ، وفي </w:t>
      </w:r>
    </w:p>
    <w:p>
      <w:pPr>
        <w:pStyle w:val="BookText"/>
        <w:rPr/>
      </w:pPr>
      <w:r>
        <w:rPr>
          <w:rFonts w:ascii="Amiri" w:hAnsi="Amiri" w:eastAsia="Amiri" w:cs="Amiri"/>
          <w:color w:val="111111"/>
          <w:sz w:val="28"/>
          <w:sz w:val="28"/>
          <w:szCs w:val="28"/>
          <w:rtl w:val="true"/>
          <w:lang w:bidi="ar-SA"/>
        </w:rPr>
        <w:t xml:space="preserve">ذلك روايات متضافرة لو لم نقل أنّها متواترة ، ولعل الشهيد الثاني لم يتفحّص في أبواب الإرث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الإمامية إلى خبر واحد </w:t>
      </w:r>
      <w:r>
        <w:rPr>
          <w:rStyle w:val="FootnoteAnchor"/>
          <w:rtl w:val="true"/>
        </w:rPr>
        <w:footnoteReference w:id="384"/>
      </w:r>
      <w:r>
        <w:rPr>
          <w:rFonts w:ascii="Amiri" w:hAnsi="Amiri" w:eastAsia="Amiri" w:cs="Amiri"/>
          <w:color w:val="111111"/>
          <w:sz w:val="28"/>
          <w:sz w:val="28"/>
          <w:szCs w:val="28"/>
          <w:rtl w:val="true"/>
          <w:lang w:bidi="ar-SA"/>
        </w:rPr>
        <w:t xml:space="preserve">، ويظهر من الروايات أنّه كان مكتوباً في كتاب الفرائض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أُمّه وأخاه؟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تريد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المال للأقرب ،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 لا يرث شيئاً؟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أخبرتك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 المال الأقرب فالأقرب</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ابنته وأُخته لأبيه وأُمّه؟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كلّه للابنة وليس للأُخت من الأب والأُمّ شيء</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عبد الله بن خداش المنقري أنّه سأل أبا الحسن عن رجل مات وترك ابنته وأخاه؟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للابنة</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بريد العجلي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ابنة وعمّه؟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للابنة وليس للعم شيء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للعم مع الابنة شيء</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حسين الرزاز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من يسأل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لمن هو؟ للأقرب أو العصبة؟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للأقرب والعصبة في فيه التراب</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العياشي في تفسيره عن ابن سنان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علي بن أبي طالب وعثمان في الرجل يموت وليس له عصبة يرثونه وله ذو قرابة لا يرثونه ، ليس لهم سهم مفروض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 لذوي قرابته ،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ماله في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 عن السندي ، عن موسى بن حبيش ، عن عمّه هاشم الصيداني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العباس وموسى بن عيسى ، وعنده أبو بكر بن عيّاش ، وإسماعيل بن حماد بن أبي حنيفة ، وعلي بن ظبيان ، ونوح بن درّاج تلك الأيام على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أما ترى ما أحدث نوح بن درّاج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القضاء ، أنّه ورث الخال ، وطرح العصبة ، وأبطل الشفعة ، فقال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عسى أن أقول لرجل قضى بالكتاب والسنّة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العبّاس جالساً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قضى بالكتاب والسنّة؟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حمزة بن عبد المطلب بعث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بابنة حمزة فسوّغها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كلّه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فظلم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أصلحك الله ، شرع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 فما صنع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ما روي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ومن أراد الإحاطة بكلّ ما روي فعليه الرجوع إلى الجوامع الحديثية</w:t>
      </w:r>
      <w:r>
        <w:rPr>
          <w:rFonts w:eastAsia="Amiri" w:cs="Amiri" w:ascii="Amiri" w:hAnsi="Amiri"/>
          <w:color w:val="111111"/>
          <w:sz w:val="28"/>
          <w:szCs w:val="28"/>
          <w:rtl w:val="true"/>
          <w:lang w:bidi="ar-SA"/>
        </w:rPr>
        <w:t xml:space="preserve">. </w:t>
      </w:r>
      <w:bookmarkStart w:id="410" w:name="pg10155_105406"/>
    </w:p>
    <w:p>
      <w:pPr>
        <w:pStyle w:val="Heading3"/>
        <w:numPr>
          <w:ilvl w:val="2"/>
          <w:numId w:val="1"/>
        </w:numPr>
        <w:rPr/>
      </w:pPr>
      <w:bookmarkStart w:id="411" w:name="__RefHeading___Toc1272937_1067777946"/>
      <w:bookmarkStart w:id="412" w:name="_Toc144"/>
      <w:bookmarkEnd w:id="410"/>
      <w:bookmarkEnd w:id="411"/>
      <w:r>
        <w:rPr>
          <w:rtl w:val="true"/>
        </w:rPr>
        <w:t>دراسة أدلّة القائلين بالتعصيب</w:t>
      </w:r>
      <w:bookmarkEnd w:id="412"/>
    </w:p>
    <w:p>
      <w:pPr>
        <w:pStyle w:val="Heading4"/>
        <w:numPr>
          <w:ilvl w:val="3"/>
          <w:numId w:val="1"/>
        </w:numPr>
        <w:rPr/>
      </w:pPr>
      <w:bookmarkStart w:id="413" w:name="__RefHeading___Toc1272939_1067777946"/>
      <w:bookmarkStart w:id="414" w:name="_Toc145"/>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 xml:space="preserve">لقد اتّضح الحق وتجلّى بأجلى مظاهره ، بقي الكلام في دراسة أدلّة المخالف ، فقد استدلّ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سبحانه توريث البنات ونحوهنّ أكثر ممّا فرض لهنّ لفعل ذلك والتالي باطل ، فإنّه تعالى نصّ على توريثهنّ مفصّلاً ولم يذكر زيادة على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أنّه تعالى لما ورّث الابن الجميع لم يفرض له فرضاً ، وكذا الأخ للأب والعم وأشباههم ، فلولا قصر ذوي الفروض على فرضهم لم يكن في التنصيص على المقدار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له فرض لا يزاد عنه وإلاّ كان الفرض لغواً وكل من لم يفرض له يعطى الجميع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بورود النقيصة على ذوات الفروض عند أهل السنّة إذا عالت الفرائض على السهام ، كما سيوافيك شرحه فإنّهم يدخلون النقص على الجميع مثل باب الديون ، فربّما يكون سهم البنت والأُخت أقل من النصف ، فإذا جاز النقص فما المانع من الزيادة ، بل الأمر في النقصان أولى ، لأنّ النقصان ينافي الفرض بخلاف الزيادة عليه بدليل آخر ، فإنّ فيه إعمال الدليلين والأخذ بمفادهما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إنّ تحديد الفرض بالنصف إنّما يكون لغواً إذا لم تترتّب عليه فائدة مطلقاً ، ولكنّه ليس كذلك لترتّب الثمرة عليه فيما إذا كان معه وارث ذو فرض كالأُم ، فإنّ كيفية الرد على الوارثين لا تعلم إلاّ بملاحظة فرضهما ثم الرد عليهما بحسب تلك النسبة فلو لم يكن سهم البنت والبنتين منصوصاً في الذكر الحكيم لما عُلِمت كيفيّة الرد عليهما وعلى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لا تظهر للقيد ثمرة إذا كان الوارث هو البنت أو الأُخت وحدها ، ولكنّه ليس كذلك إذا كان معه وارث آخر وهو ذو فرض مثلها كالأُمّ ، فإنّ الرد عليهما يتوقّف على ملاحظة فرضهما ثمّ الرد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التصريح بالفرض لأجل التنبيه على أنّها لا تستحق بالذات إلاّ النصف أو الثلثين ، وإنّما تأخذ الزائد بعنوان آخر وهو عند ما لم يكن معه وارث مساو بخلاف الابن أو الأخ ، فإنّ كلاّ يستحق المال كلّه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في المقام أشبه بمفهوم اللقب وهو ليس بحجة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وَلَهُ أُخْتٌ فَلَها نِصْفُ ما تَرَكَ وَهُوَ يَرِثُها إِنْ لَمْ يَكُنْ لَها وَلَدٌ</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حكم بتوريث الأُخت ، نصف ميراث أخيها مع عدم الولد وحكم بتوريث الأخ ميراث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بدليل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ورثت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بالفرض ونصفه الآخر بالردّ لأجل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كما هو مذهبكم لن تبقَ للفرق بين الأخ والأُخت ثمرة أصلاً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بالنصف مع أنّها ربّما ترث الكلّ لأجل التنبيه ، على أنّها </w:t>
      </w:r>
    </w:p>
    <w:p>
      <w:pPr>
        <w:pStyle w:val="BookText"/>
        <w:rPr/>
      </w:pPr>
      <w:r>
        <w:rPr>
          <w:rFonts w:ascii="Amiri" w:hAnsi="Amiri" w:eastAsia="Amiri" w:cs="Amiri"/>
          <w:color w:val="111111"/>
          <w:sz w:val="28"/>
          <w:sz w:val="28"/>
          <w:szCs w:val="28"/>
          <w:rtl w:val="true"/>
          <w:lang w:bidi="ar-SA"/>
        </w:rPr>
        <w:t>لا تستحق بالذات إلاّ النصف وأنّ الأصل القرآني هو استحقاق الذكر ضعف سهم الأُنثى وهو النصف ، وأنّها إن ورثت المال كله فإنّما هو لأجل طارئة خاصة ، على أنّ التصريح بالفرض لأجل تبيين ما يتوقّف عليه تقسيم الفاضل ، بينها وبين من يشاركه في الطبقة كالإخوة أو الأخوات من الأُمّ ، فإنّ الباقي يردّ عليهما بنسبة سهامهما فلو لم يكن هناك تحديد بالنصف فمن أين تعلم كيفيّة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خِفْتُ الْمَوالِيَ مِنْ وَرائِي وَكانَتِ امْرَأَتِي عاقِراً فَهَبْ لِي مِنْ لَدُنْكَ وَلِيًّا يَرِثُنِي وَيَرِثُ مِنْ آلِ يَعْقُوبَ وَاجْعَلْهُ رَبِّ رَضِيًّا</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خاف أن ترثه العصبة ، سأل الله سبحانه أن يهبه وليّاً حتى يرث المال كلّه ، لا وليّة حتى ترث المال نصفه ويرث الموالي الفاضل ، ولو لا ذلك لما أكّد على كون الولد الموهوب من الله ذكراً ،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وَاجْعَلْهُ رَبِّ 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الأولاد ذكراً كان أو أُنثى ، وذلك على مساق إطلاق المذكّر وإرادة الجنس ، وهو شائع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قوله تعالى 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إنّه طلب ذرّية مثل مريم لقوله سبحانه قبل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w:t>
      </w:r>
      <w:bookmarkStart w:id="415" w:name="pg10155_105409"/>
    </w:p>
    <w:p>
      <w:pPr>
        <w:pStyle w:val="BookText"/>
        <w:rPr/>
      </w:pPr>
      <w:bookmarkEnd w:id="4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هُوَ مِنْ عِنْدِ اللهِ إِنَّ اللهَ يَرْزُقُ مَنْ يَشاءُ بِغَيْرِ حِسابٍ هُنالِكَ دَعا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أي في هذه الحال التي رأى فيها الكرامة من مريم سأل الله سبحانه أن يرزقه ذريّة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نقل إنّه سأل أُنثى مثل مريم ، ليس لنا أن نقول إنّه طلب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أنّه طلب الذكر لكنّه لم يطلب لأجل أنّه لو رزق الأُنثى ترثه العصبة وإنّما سأله الذكر للحبّ الكثير له ، أو لأنّه أولى بالإدارة من الأُنثى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والآثار الواردة في هذا المجال ولعلّها أهم المدارك والمصادر لهذه الفتيا</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272941_1067777946"/>
      <w:bookmarkStart w:id="417" w:name="_Toc146"/>
      <w:bookmarkEnd w:id="416"/>
      <w:r>
        <w:rPr>
          <w:rtl w:val="true"/>
        </w:rPr>
        <w:t xml:space="preserve">الرواية الأُولى </w:t>
      </w:r>
      <w:r>
        <w:rPr>
          <w:rtl w:val="true"/>
        </w:rPr>
        <w:t xml:space="preserve">: </w:t>
      </w:r>
      <w:r>
        <w:rPr>
          <w:rtl w:val="true"/>
        </w:rPr>
        <w:t>في أنّ بقية المال لأولى رجل ذكر</w:t>
      </w:r>
      <w:bookmarkEnd w:id="417"/>
    </w:p>
    <w:p>
      <w:pPr>
        <w:pStyle w:val="BookText"/>
        <w:rPr/>
      </w:pPr>
      <w:r>
        <w:rPr>
          <w:rFonts w:ascii="Amiri" w:hAnsi="Amiri" w:eastAsia="Amiri" w:cs="Amiri"/>
          <w:color w:val="111111"/>
          <w:sz w:val="28"/>
          <w:sz w:val="28"/>
          <w:szCs w:val="28"/>
          <w:rtl w:val="true"/>
          <w:lang w:bidi="ar-SA"/>
        </w:rPr>
        <w:t xml:space="preserve">روى البخاري عن مسلم بن إبراهيم ، عن وهيب ، عن ابن طاوس ، عن أبيه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ألحقوا الفرائض بأهلها ، فما بقي فهو لأولى رجل ذكر</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ألحقوا الفرائض بأهلها عن ابن طاوس عن ابن عباس برقم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الترمذي في الفرائض باب ميراث العصبة برقم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 أبي داود في الفرائض باب ميراث العصبة برقم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العصبة ؛ جامع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 هي الرواية المعروفة برواية طاوس بن كيسان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ضعيفة سنداً ، لأنّ الروايات تنتهي إلى عبد الله بن طاوس بن كيسان اليماني وقد وثّقه علماء الرجال </w:t>
      </w:r>
      <w:r>
        <w:rPr>
          <w:rStyle w:val="FootnoteAnchor"/>
          <w:rtl w:val="true"/>
        </w:rPr>
        <w:footnoteReference w:id="396"/>
      </w:r>
      <w:r>
        <w:rPr>
          <w:rFonts w:ascii="Amiri" w:hAnsi="Amiri" w:eastAsia="Amiri" w:cs="Amiri"/>
          <w:color w:val="111111"/>
          <w:sz w:val="28"/>
          <w:sz w:val="28"/>
          <w:szCs w:val="28"/>
          <w:rtl w:val="true"/>
          <w:lang w:bidi="ar-SA"/>
        </w:rPr>
        <w:t xml:space="preserve">، لكن يعارض توثيقهم مع ما ذكره أبو طالب الأنباري </w:t>
      </w:r>
      <w:r>
        <w:rPr>
          <w:rStyle w:val="FootnoteAnchor"/>
          <w:rtl w:val="true"/>
        </w:rPr>
        <w:footnoteReference w:id="397"/>
      </w:r>
      <w:r>
        <w:rPr>
          <w:rFonts w:ascii="Amiri" w:hAnsi="Amiri" w:eastAsia="Amiri" w:cs="Amiri"/>
          <w:color w:val="111111"/>
          <w:sz w:val="28"/>
          <w:sz w:val="28"/>
          <w:szCs w:val="28"/>
          <w:rtl w:val="true"/>
          <w:lang w:bidi="ar-SA"/>
        </w:rPr>
        <w:t xml:space="preserve">في حقّ هذه الرواية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البربري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 عن أبي إسحاق ، عن قاربة بن مضرب </w:t>
      </w:r>
      <w:r>
        <w:rPr>
          <w:rStyle w:val="FootnoteAnchor"/>
          <w:rtl w:val="true"/>
        </w:rPr>
        <w:footnoteReference w:id="3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عند ابن عباس وهو بمكة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حديث يرويه أهل العراق عنك وطاوس مولاك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أبقت الفرائض فلأولي عصبة 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أهل العراق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وراءك 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آباؤُكُمْ وَأَبْناؤُكُمْ لا تَدْرُونَ أَيُّهُمْ أَقْرَبُ لَكُمْ نَفْعاً 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هذه إلاّ فريضتان ، وهل أبقتا شيئاً؟ ما قلت هذا ، ولا طاوس يرويه عليّ ، قال قاربة بن مضرب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طاوساً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رويت هذا على ابن عباس قط وإنّما الشيطان ألقاه على ألسنتهم ، قال سفيان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أراه من قبل ابنه عبد الله بن طاوس فإنّه كان على خاتم سليمان بن عبد الملك </w:t>
      </w:r>
      <w:r>
        <w:rPr>
          <w:rStyle w:val="FootnoteAnchor"/>
          <w:rtl w:val="true"/>
        </w:rPr>
        <w:footnoteReference w:id="399"/>
      </w:r>
      <w:r>
        <w:rPr>
          <w:rFonts w:ascii="Amiri" w:hAnsi="Amiri" w:eastAsia="Amiri" w:cs="Amiri"/>
          <w:color w:val="111111"/>
          <w:sz w:val="28"/>
          <w:sz w:val="28"/>
          <w:szCs w:val="28"/>
          <w:rtl w:val="true"/>
          <w:lang w:bidi="ar-SA"/>
        </w:rPr>
        <w:t xml:space="preserve">وكان يحمل على هؤلاء القوم حملاً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هاشم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إنّ سليمان بن عبد الملك الأموي المرواني هو الذي قتل أبا هاشم عبد الله بن محمد بن علي الحنفية بالسم ظلماً وخداعاً ، فكيف يكون حال من يواليهم؟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وراثة العصبة ليست من المسائل التي يقل الابتلاء بها ، بل هي ممّا تعمّ البلوى بها في عصر النبيّ وعصور الخلفاء ، فلو كان هناك تشريع على مضمون هذه الرواية لما خفي على غيره ونقله الآخرون ، وقد عرفت أنّ الأسناد ينتهي إلى عبد الله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فقهاء المذاهب أفتوا في موارد على خلاف مضمون هذا الخبر ، وقد أشار إليها فقيه الطائفة الشيخ الطوسي ، نذكر قسماً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مات وخلّف بنتاً وأخاً وأُختاً ، فقد ذهبوا إلى أنّ للبنت النصف والنصف الآخر للأخ والأُخت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خبر ابن طاوس أنّ النصف للأخ فقط لانّه أخذاً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ألحقوا الفرائض بأهلها فما يفي فهو لأولى رجل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رجلاً مات وترك بنتاً ، وابنة ابن ، وعمّاً ، فقد ذهبوا إلى أنّ النصف للبنت والنصف الآخر لابنة الابن والعم ، مع أنّ مقتضى الخبر أن يكون النصف الآخر للعم وحده لأنّه أولى ذكر</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إلى غير ذلك من الأحكام التي اتّفقوا عليها وهي على طرف النقيض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تصنع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عبد الله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الشيخين نقلاه بل نقله غيرهما على ما عرفت؟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الخبر على ما لا يخالف إطلاق الكتاب ولا ما أطبق المسلمون عليه ، وهو أنّه وارد في مجالات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مات وخلّف أُختين من قبل الأُمّ ، وابن أخ ، وابنة أخ لأب وأُمّ ، وأخاً لأب ، فالأُختان من أصحاب الفرائض ، كلالة الأُمّ ، يعطى لهما الثلث والباقي لأولى ذكر ، وهو الأخ لأب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مات وخلّف زوجة وخالاً وخالة ، وعمّاً وعمّة ، وابن أخ ، فالزوجة من أصحاب الفرائض تلحق بفريضتها وهي الربع والباقي يدفع إلى أولى ذكر ، وهو ابن الأخ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مات وخلّف زوجة ، وأُختاً لأب ، وأخاً لأب وأُمّ ، فإنّ الزوجة من أصحاب الفرائض تلحق بفريضتها وهي الربع والباقي للأخ للأب والأُم ، ولا ترث الأُخت لأب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امرأة ماتت وخلّفت زوجاً ، وعمّاً من قبل الأب والأُم ، وعمّة من قبل الأب ، فللزوج النصف سهمه المسمّى وما بقي للعم للأب والأُمّ ، ولا يكون للعمّة من قبل الأب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الصور التي يمكن أن ينطبق عليها الخبر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 ولا عتب إذا قلنا إنّ الرواية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خلّف أُختين لأُمّ ، وابن أخ ، وبنت أخ لأب وأُمّ ، وأخاً لأب ، فإنّ الأُختين من الأُمّ </w:t>
      </w:r>
      <w:bookmarkStart w:id="418" w:name="pg10155_105413"/>
    </w:p>
    <w:p>
      <w:pPr>
        <w:pStyle w:val="BookText"/>
        <w:rPr/>
      </w:pPr>
      <w:bookmarkEnd w:id="418"/>
      <w:r>
        <w:rPr>
          <w:rFonts w:ascii="Amiri" w:hAnsi="Amiri" w:eastAsia="Amiri" w:cs="Amiri"/>
          <w:color w:val="111111"/>
          <w:sz w:val="28"/>
          <w:sz w:val="28"/>
          <w:szCs w:val="28"/>
          <w:rtl w:val="true"/>
          <w:lang w:bidi="ar-SA"/>
        </w:rPr>
        <w:t>فرضهنّ الثلث وما بقي فلأولى ذكر أقرب ، وهو الأخ من الأب وسقط ابن الأخ وبنت الأخ ، لأنّ الأخ أقرب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وهو أن يخلف الميّت امرأة وعمّاً وعمّة ، وخالاً وخالة ، وابن أخ ، فللمرأة الربع وما بقي فلأولى ذكر وهو ابن الأخ ؛ وسقط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أنّهم ورثوا الأُخت مع البنت عصبة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عصَّبها أخوها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جعلتم البنت عصبة عند عدم البنين ويكون أبوها هو الذي يعصِّبها</w:t>
      </w:r>
      <w:r>
        <w:rPr>
          <w:rFonts w:eastAsia="Amiri" w:cs="Amiri" w:ascii="Amiri" w:hAnsi="Amiri"/>
          <w:color w:val="111111"/>
          <w:sz w:val="28"/>
          <w:szCs w:val="28"/>
          <w:rtl w:val="true"/>
          <w:lang w:bidi="ar-SA"/>
        </w:rPr>
        <w:t xml:space="preserve">. </w:t>
      </w:r>
      <w:r>
        <w:rPr>
          <w:rStyle w:val="FootnoteAnchor"/>
          <w:rtl w:val="true"/>
        </w:rPr>
        <w:footnoteReference w:id="402"/>
      </w:r>
    </w:p>
    <w:p>
      <w:pPr>
        <w:pStyle w:val="Heading4"/>
        <w:numPr>
          <w:ilvl w:val="3"/>
          <w:numId w:val="1"/>
        </w:numPr>
        <w:rPr/>
      </w:pPr>
      <w:bookmarkStart w:id="419" w:name="__RefHeading___Toc1272943_1067777946"/>
      <w:bookmarkStart w:id="420" w:name="_Toc147"/>
      <w:bookmarkEnd w:id="419"/>
      <w:r>
        <w:rPr>
          <w:rtl w:val="true"/>
        </w:rPr>
        <w:t xml:space="preserve">الرواية الثانية </w:t>
      </w:r>
      <w:r>
        <w:rPr>
          <w:rtl w:val="true"/>
        </w:rPr>
        <w:t xml:space="preserve">: </w:t>
      </w:r>
      <w:r>
        <w:rPr>
          <w:rtl w:val="true"/>
        </w:rPr>
        <w:t>ما ورد في ميراث البنتين</w:t>
      </w:r>
      <w:bookmarkEnd w:id="420"/>
    </w:p>
    <w:p>
      <w:pPr>
        <w:pStyle w:val="BookText"/>
        <w:rPr/>
      </w:pPr>
      <w:r>
        <w:rPr>
          <w:rFonts w:ascii="Amiri" w:hAnsi="Amiri" w:eastAsia="Amiri" w:cs="Amiri"/>
          <w:color w:val="111111"/>
          <w:sz w:val="28"/>
          <w:sz w:val="28"/>
          <w:szCs w:val="28"/>
          <w:rtl w:val="true"/>
          <w:lang w:bidi="ar-SA"/>
        </w:rPr>
        <w:t xml:space="preserve">ما أخرجه الترمذي وابن ماجة وأبو داود وأحمد ، عن عبد الله بن محمد بن عقيل ،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سعد بن الربيع ، بابنتيها من سعد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هاتان ابنتا سعد بن الربيع قتل أبوهما معك يوم أُحد شهيداً ، وإنّ عمّهما أخذ مالهما فلم يدَع لهما مالاً ، ولا تُنكحان إلاّ ولهما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الله في ذلك ، فنزلت آية الميراث فبعث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ابنتي سعد الثلثين وأعط أُمّهما الثمن وما بقي فهو لك</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جابر بن عبد الله نقل نزول الآية في واقعة أُخرى قال </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بن حميد والبخاري ومسلم وأبو داود والترمذي والنسائي وابن ماجة وابن جرير وابن المنذر وابن أبي حاتم والبيهقي في سننه ، من طرق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في بني سلمة ماشيين فوجدني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أعقل شيئاً ، فدعا بماء فتوضّأ منه ثم رشّ عليّ فأفقت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تأمرني أن أصنع في مالي يا رسول الله؟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واحتمال نزول الآية مرّتين ، أو كون سبب النزول متعدّداً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كثير روى هذه الرواية وفيها انّ لسعد بن الربيع بنات وليس فيها ذكر للأُم والعم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05"/>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داود أخرج الرواية وفيها مكان بنتا سعد بن الربيع ، بنتا ثابت بن قيس</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يكشف عن عدم ضبط الراوي فتارة ينقل الواقعة في بنتي سعد بن الربيع وأُخرى في بنتي ثابت بن قيس وإن كان الصحيح هو الأوّل ، لأنّ المقتول في غزوة أُحد ، هو سعد بن الربيع ، وأمّا ثابت بن قيس فقد قتل في يوم اليمامة</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سند الرواية من لا يصحّ الاحتجاج به ، وإليك البيان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محمد بن عقيل بن أبي طالب ، والأسانيد في سنن الترمذي وابن ماجة وأبي داود ، تنتهي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سعد في الطبقة الرابعة من أهل المدينة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منكر الحديث ، لا يحتجّون بحديثه وكان كثير العلم ، وقال بشر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لا يروي عنه ، وقال يعقوب بن أبي شيبة عن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يُدخله مالك في كتبه ، 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عقيل صدوق وفي حديثه ضعف شديد جداً ، وكان ابن عيينة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قريش يُترك حديثهم فذكره فيهم ، وقال ابن المديني عن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يحدّث نفسه فحملته على أنّه قد تغيّر ، إلى غير ذلك من الكلمات الجارحة التي تسلب ثقة الفقيه بحديثه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الراوي عنه في سنن الترمذي هو عبيد بن عمرو البصري الذي ضعّفه الأزدي وأورد له ابن عدي حديثين منكرين وضعّفه الدارقطني ووثّقه ابن حبَّان</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الراوي عنه في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المفضّل ،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كثير الحديث عثمانياً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 </w:t>
      </w:r>
      <w:r>
        <w:rPr>
          <w:rStyle w:val="FootnoteAnchor"/>
          <w:rtl w:val="true"/>
        </w:rPr>
        <w:footnoteReference w:id="410"/>
      </w:r>
      <w:r>
        <w:rPr>
          <w:rFonts w:ascii="Amiri" w:hAnsi="Amiri" w:eastAsia="Amiri" w:cs="Amiri"/>
          <w:color w:val="111111"/>
          <w:sz w:val="28"/>
          <w:sz w:val="28"/>
          <w:szCs w:val="28"/>
          <w:rtl w:val="true"/>
          <w:lang w:bidi="ar-SA"/>
        </w:rPr>
        <w:t>لى غير ذلك من رجال في الأسانيد ، مرميّين بأُمور لا يحتجّ 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الاستدلال بفعل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معرفة وجهه ، فكما يحتمل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العم من باب التعصيب ، يحتمل انّه دفع الباقي إلى العم لأجل تكفله</w:t>
      </w:r>
      <w:bookmarkStart w:id="421" w:name="pg10155_105416"/>
    </w:p>
    <w:p>
      <w:pPr>
        <w:pStyle w:val="BookText"/>
        <w:rPr/>
      </w:pPr>
      <w:bookmarkEnd w:id="421"/>
      <w:r>
        <w:rPr>
          <w:rFonts w:ascii="Amiri" w:hAnsi="Amiri" w:eastAsia="Amiri" w:cs="Amiri"/>
          <w:color w:val="111111"/>
          <w:sz w:val="28"/>
          <w:sz w:val="28"/>
          <w:szCs w:val="28"/>
          <w:rtl w:val="true"/>
          <w:lang w:bidi="ar-SA"/>
        </w:rPr>
        <w:t xml:space="preserve">حضانة البنتين والحفاظ على أموالهما من التلف والضياع ،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فكيف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انّه ورد من طرقهم ما يخالف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البيهقي في سننه بسنده عن حيان بياع الأنماط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سويد بن غفلة فأتى في ابنة ، وامرأة ومولى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يعطي الابنة النصف ، والمرأة الثمن ويرد ما بقي على الابنة</w:t>
      </w:r>
      <w:r>
        <w:rPr>
          <w:rFonts w:eastAsia="Amiri" w:cs="Amiri" w:ascii="Amiri" w:hAnsi="Amiri"/>
          <w:color w:val="111111"/>
          <w:sz w:val="28"/>
          <w:szCs w:val="28"/>
          <w:rtl w:val="true"/>
          <w:lang w:bidi="ar-SA"/>
        </w:rPr>
        <w:t xml:space="preserve">. </w:t>
      </w:r>
      <w:r>
        <w:rPr>
          <w:rStyle w:val="FootnoteAnchor"/>
          <w:rtl w:val="true"/>
        </w:rPr>
        <w:footnoteReference w:id="411"/>
      </w:r>
    </w:p>
    <w:p>
      <w:pPr>
        <w:pStyle w:val="Heading4"/>
        <w:numPr>
          <w:ilvl w:val="3"/>
          <w:numId w:val="1"/>
        </w:numPr>
        <w:rPr/>
      </w:pPr>
      <w:bookmarkStart w:id="422" w:name="__RefHeading___Toc1272945_1067777946"/>
      <w:bookmarkStart w:id="423" w:name="_Toc148"/>
      <w:bookmarkEnd w:id="422"/>
      <w:r>
        <w:rPr>
          <w:rtl w:val="true"/>
        </w:rPr>
        <w:t xml:space="preserve">الرواية الثالثة </w:t>
      </w:r>
      <w:r>
        <w:rPr>
          <w:rtl w:val="true"/>
        </w:rPr>
        <w:t xml:space="preserve">: </w:t>
      </w:r>
      <w:r>
        <w:rPr>
          <w:rtl w:val="true"/>
        </w:rPr>
        <w:t>ما ورد في ميراث البنت والأُخت</w:t>
      </w:r>
      <w:bookmarkEnd w:id="423"/>
    </w:p>
    <w:p>
      <w:pPr>
        <w:pStyle w:val="BookText"/>
        <w:rPr/>
      </w:pPr>
      <w:r>
        <w:rPr>
          <w:rFonts w:ascii="Amiri" w:hAnsi="Amiri" w:eastAsia="Amiri" w:cs="Amiri"/>
          <w:color w:val="111111"/>
          <w:sz w:val="28"/>
          <w:sz w:val="28"/>
          <w:szCs w:val="28"/>
          <w:rtl w:val="true"/>
          <w:lang w:bidi="ar-SA"/>
        </w:rPr>
        <w:t xml:space="preserve">روى الأسود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معاذ بن جبل باليمن معلّماً وأميراً ، فسألناه عن رجل توفّي وترك ابنة وأُختاً؟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للابنة النصف ، وللأُخت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وفي لفظ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معاذ بن جبل ورث أُختاً وابنة ، جعل لكلّ واحدة منهما النصف ، وهو باليمن ، ونبيّ الله يومئذ حي</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والأثر يتضمّن عمل الصحابة وهو ليس بحجّة إلاّ إذا أُسند إلى المعصوم وكون النبي حيّاً يوم ذاك لا يلازم تقريراً لعمله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والرجوع إلى الآثار الواردة عن الصحابة في مجال الفرائض يعرب عن أنّه لم </w:t>
      </w:r>
      <w:bookmarkStart w:id="424" w:name="pg10155_105417"/>
    </w:p>
    <w:p>
      <w:pPr>
        <w:pStyle w:val="BookText"/>
        <w:rPr/>
      </w:pPr>
      <w:bookmarkEnd w:id="424"/>
      <w:r>
        <w:rPr>
          <w:rFonts w:ascii="Amiri" w:hAnsi="Amiri" w:eastAsia="Amiri" w:cs="Amiri"/>
          <w:color w:val="111111"/>
          <w:sz w:val="28"/>
          <w:sz w:val="28"/>
          <w:szCs w:val="28"/>
          <w:rtl w:val="true"/>
          <w:lang w:bidi="ar-SA"/>
        </w:rPr>
        <w:t>يكن عندهم إحاطة بأحكام الفرائض ، بل كلّ كان يفتي حسب معايير ومقاييس يتصوّرها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ذلك اختلاف أبي موسى الأشعري مع ابن مسعود في رجل ترك بنتاً وأُختاً وابنة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موسى عن ابنة وابنة ابن ، وأُخت؟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للابنة النصف ، وللأُخت النصف وأْت ابن مسعود فسيتابعني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مسعود وأُخبر بقول أبي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ضللتُ إذاً وما أنا من المهتدين ، أقضي فيها بما قضى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للابنة النصف ، ولابنة ابن السدس تكملةَ الثلثين ، وما بقي فللأُخت ، فأتينا أبا موسى فأخبرناه بقول ابن مسعود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ما دام هذا الحبر فيكم</w:t>
      </w:r>
      <w:r>
        <w:rPr>
          <w:rFonts w:eastAsia="Amiri" w:cs="Amiri" w:ascii="Amiri" w:hAnsi="Amiri"/>
          <w:color w:val="111111"/>
          <w:sz w:val="28"/>
          <w:szCs w:val="28"/>
          <w:rtl w:val="true"/>
          <w:lang w:bidi="ar-SA"/>
        </w:rPr>
        <w:t xml:space="preserve">. </w:t>
      </w:r>
      <w:r>
        <w:rPr>
          <w:rStyle w:val="FootnoteAnchor"/>
          <w:rtl w:val="true"/>
        </w:rPr>
        <w:footnoteReference w:id="414"/>
      </w:r>
    </w:p>
    <w:p>
      <w:pPr>
        <w:pStyle w:val="Heading4"/>
        <w:numPr>
          <w:ilvl w:val="3"/>
          <w:numId w:val="1"/>
        </w:numPr>
        <w:rPr/>
      </w:pPr>
      <w:bookmarkStart w:id="425" w:name="__RefHeading___Toc1272947_1067777946"/>
      <w:bookmarkStart w:id="426" w:name="_Toc149"/>
      <w:bookmarkEnd w:id="425"/>
      <w:r>
        <w:rPr>
          <w:rtl w:val="true"/>
        </w:rPr>
        <w:t xml:space="preserve">الرواية الرابعة </w:t>
      </w:r>
      <w:r>
        <w:rPr>
          <w:rtl w:val="true"/>
        </w:rPr>
        <w:t xml:space="preserve">: </w:t>
      </w:r>
      <w:r>
        <w:rPr>
          <w:rtl w:val="true"/>
        </w:rPr>
        <w:t>ما ورد في ميراث الأخوات مع البنات</w:t>
      </w:r>
      <w:bookmarkEnd w:id="426"/>
    </w:p>
    <w:p>
      <w:pPr>
        <w:pStyle w:val="BookText"/>
        <w:rPr/>
      </w:pPr>
      <w:r>
        <w:rPr>
          <w:rFonts w:ascii="Amiri" w:hAnsi="Amiri" w:eastAsia="Amiri" w:cs="Amiri"/>
          <w:color w:val="111111"/>
          <w:sz w:val="28"/>
          <w:sz w:val="28"/>
          <w:szCs w:val="28"/>
          <w:rtl w:val="true"/>
          <w:lang w:bidi="ar-SA"/>
        </w:rPr>
        <w:t xml:space="preserve">أخرج البخاري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عباس ، حدّثنا عبد الرحمن ، حدّثنا سفيان عن أبي قيس عن هزيل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لأقضين فيها بقضاء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للابنة النصف ولابنة الابن السدس ، وما بقي فللأُخت</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يصحّ الاحتجاج به ، إذ في سنده عبد الرحمن بن ثروان ،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أبي حاتم انّه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 هو قليل الحديث وليس بحافظ</w:t>
      </w:r>
      <w:r>
        <w:rPr>
          <w:rFonts w:eastAsia="Amiri" w:cs="Amiri" w:ascii="Amiri" w:hAnsi="Amiri"/>
          <w:color w:val="111111"/>
          <w:sz w:val="28"/>
          <w:szCs w:val="28"/>
          <w:rtl w:val="true"/>
          <w:lang w:bidi="ar-SA"/>
        </w:rPr>
        <w:t xml:space="preserve">. </w:t>
      </w:r>
      <w:r>
        <w:rPr>
          <w:rStyle w:val="FootnoteAnchor"/>
          <w:rtl w:val="true"/>
        </w:rPr>
        <w:footnoteReference w:id="416"/>
      </w:r>
      <w:bookmarkStart w:id="427" w:name="pg10155_105418"/>
    </w:p>
    <w:p>
      <w:pPr>
        <w:pStyle w:val="BookText"/>
        <w:rPr/>
      </w:pPr>
      <w:bookmarkEnd w:id="427"/>
      <w:r>
        <w:rPr>
          <w:rFonts w:ascii="Amiri" w:hAnsi="Amiri" w:eastAsia="Amiri" w:cs="Amiri"/>
          <w:color w:val="111111"/>
          <w:sz w:val="28"/>
          <w:sz w:val="28"/>
          <w:szCs w:val="28"/>
          <w:rtl w:val="true"/>
          <w:lang w:bidi="ar-SA"/>
        </w:rPr>
        <w:t>وعدّه الصقيل من الضعفاء</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السدس لبنت الابن لم يكن من باب التعصيب ، إذ عليه يكون للابنة النصف والباقي بين الأُخت وابنة الابن بالمناصفة ، فالحكم عليه بالسدس مخالف للتعصيب</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272949_1067777946"/>
      <w:bookmarkStart w:id="429" w:name="_Toc150"/>
      <w:bookmarkEnd w:id="428"/>
      <w:r>
        <w:rPr>
          <w:rtl w:val="true"/>
        </w:rPr>
        <w:t xml:space="preserve">الرواية الخامسة </w:t>
      </w:r>
      <w:r>
        <w:rPr>
          <w:rtl w:val="true"/>
        </w:rPr>
        <w:t xml:space="preserve">: </w:t>
      </w:r>
      <w:r>
        <w:rPr>
          <w:rtl w:val="true"/>
        </w:rPr>
        <w:t>ما رواه البخاري في صحيحه عن الأسود</w:t>
      </w:r>
      <w:bookmarkEnd w:id="42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فينا معاذ بن جبل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للابنة والنصف للأُخت ، ثمّ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فينا ولم يذكر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عمل صحابي موقوف لم يسنده إلى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أو تقريره فهو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استدلّ به القائل بالتعصيب من الروايات بعد الذكر الحكيم</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272951_1067777946"/>
      <w:bookmarkStart w:id="431" w:name="_Toc151"/>
      <w:bookmarkEnd w:id="430"/>
      <w:r>
        <w:rPr>
          <w:rtl w:val="true"/>
        </w:rPr>
        <w:t>مضاعفات القول بالتعصيب</w:t>
      </w:r>
      <w:bookmarkEnd w:id="431"/>
    </w:p>
    <w:p>
      <w:pPr>
        <w:pStyle w:val="BookText"/>
        <w:rPr/>
      </w:pPr>
      <w:r>
        <w:rPr>
          <w:rFonts w:ascii="Amiri" w:hAnsi="Amiri" w:eastAsia="Amiri" w:cs="Amiri"/>
          <w:color w:val="111111"/>
          <w:sz w:val="28"/>
          <w:sz w:val="28"/>
          <w:szCs w:val="28"/>
          <w:rtl w:val="true"/>
          <w:lang w:bidi="ar-SA"/>
        </w:rPr>
        <w:t xml:space="preserve">ثمّ إنّه يلزم على القول بالتعصيب أُمور يأباها الطبع ولا تصدّقها روح الشريعة ، نأتي بنماذج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للميّت عشر بنات وابن ، يأخذ الابن السدس ، وتأخذ البنات خمسة أسداس ، وذلك أخذاً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له مكان الابن ، ابن عم للميّت ، فللبنات فريضتها وهي الثلثان ، </w:t>
      </w:r>
    </w:p>
    <w:p>
      <w:pPr>
        <w:pStyle w:val="BookText"/>
        <w:rPr/>
      </w:pPr>
      <w:r>
        <w:rPr>
          <w:rFonts w:ascii="Amiri" w:hAnsi="Amiri" w:eastAsia="Amiri" w:cs="Amiri"/>
          <w:color w:val="111111"/>
          <w:sz w:val="28"/>
          <w:sz w:val="28"/>
          <w:szCs w:val="28"/>
          <w:rtl w:val="true"/>
          <w:lang w:bidi="ar-SA"/>
        </w:rPr>
        <w:t xml:space="preserve">والباقي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الابن أسوأ من ابن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تبيّن بطلان القول بالتعصيب يظهر حكم كثير من المسائل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المسائل أن يخلف الرجل بنتاً وعمّاً فعند المخالف أنّ للبنت النصف والباقي للعم بالعصبة ، وعندنا أنّه لا حظّ للعم والمال كلّه للبنت بالفرض والرد ، وكذلك لو كان مكان العم ابن عم ، وكذلك لو كان مكان البنت ابنتان ، ولو خلف الميت عمومة وعمّات أو بني عم وبنات عم فمخالفنا يورّث الذكور من هؤلاء دون الإناث لأجل التعصيب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لأولى رجل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نورث الذكور والإناث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ومسائل التعصيب لا تحصى كثرة</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يقول المحقّق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أرأف بولده منه بإخوته ، وهو يرى أنّ وجود ولده ذكراً أو أُنثى امتداد لوجوده ، ومن هنا رأينا الكثير من أفراد الأُسر اللبنانية الذين لهم بنات فقط يبدلون مذهبهم من التسنّن إلى التشيّع ، لا لشيء إلاّ خوفاً أن يشترك مع أولادهم الإخوان أو الأعمام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ويفكر الآن ، الكثير من رجال السنّة بالعدول عن القول بالتعصيب ، والأخذ بقول الإمامية من ميراث البنت تماماً كما عدلوا عن القول بعدم صحّة الوصيّة للوارث ، وقالوا بصحّتها كما تقول الإمامية ، على الرغم من اتّفاق المذاهب على عدم الصحّة</w:t>
      </w:r>
      <w:r>
        <w:rPr>
          <w:rFonts w:eastAsia="Amiri" w:cs="Amiri" w:ascii="Amiri" w:hAnsi="Amiri"/>
          <w:color w:val="111111"/>
          <w:sz w:val="28"/>
          <w:szCs w:val="28"/>
          <w:rtl w:val="true"/>
          <w:lang w:bidi="ar-SA"/>
        </w:rPr>
        <w:t xml:space="preserve">. </w:t>
      </w:r>
      <w:r>
        <w:rPr>
          <w:rStyle w:val="FootnoteAnchor"/>
          <w:rtl w:val="true"/>
        </w:rPr>
        <w:footnoteReference w:id="420"/>
      </w:r>
      <w:bookmarkStart w:id="432" w:name="pg10155_105420"/>
    </w:p>
    <w:p>
      <w:pPr>
        <w:pStyle w:val="Heading2"/>
        <w:numPr>
          <w:ilvl w:val="1"/>
          <w:numId w:val="1"/>
        </w:numPr>
        <w:rPr/>
      </w:pPr>
      <w:bookmarkStart w:id="433" w:name="__RefHeading___Toc1272953_1067777946"/>
      <w:bookmarkStart w:id="434" w:name="_Toc152"/>
      <w:bookmarkEnd w:id="432"/>
      <w:bookmarkEnd w:id="433"/>
      <w:r>
        <w:rPr/>
        <w:t>23</w:t>
      </w:r>
      <w:r>
        <w:rPr>
          <w:rtl w:val="true"/>
        </w:rPr>
        <w:t xml:space="preserve">- </w:t>
      </w:r>
      <w:r>
        <w:rPr>
          <w:rtl w:val="true"/>
        </w:rPr>
        <w:t>العول في الفرائض</w:t>
      </w:r>
      <w:bookmarkEnd w:id="43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5" w:name="__RefHeading___Toc1272955_1067777946"/>
      <w:bookmarkStart w:id="436" w:name="_Toc153"/>
      <w:bookmarkEnd w:id="435"/>
      <w:r>
        <w:rPr>
          <w:rtl w:val="true"/>
        </w:rPr>
        <w:t>اشارة</w:t>
      </w:r>
      <w:bookmarkEnd w:id="43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10155_105422"/>
      <w:bookmarkStart w:id="438" w:name="pg10155_105422"/>
      <w:bookmarkEnd w:id="438"/>
    </w:p>
    <w:p>
      <w:pPr>
        <w:pStyle w:val="Heading3"/>
        <w:numPr>
          <w:ilvl w:val="2"/>
          <w:numId w:val="1"/>
        </w:numPr>
        <w:rPr/>
      </w:pPr>
      <w:bookmarkStart w:id="439" w:name="pg10155_105422"/>
      <w:bookmarkStart w:id="440" w:name="__RefHeading___Toc1272957_1067777946"/>
      <w:bookmarkStart w:id="441" w:name="_Toc154"/>
      <w:bookmarkEnd w:id="439"/>
      <w:bookmarkEnd w:id="440"/>
      <w:r>
        <w:rPr>
          <w:rtl w:val="true"/>
        </w:rPr>
        <w:t>العول في الإرث أو حكم الفرائض إذا عالت</w:t>
      </w:r>
      <w:bookmarkEnd w:id="441"/>
    </w:p>
    <w:p>
      <w:pPr>
        <w:pStyle w:val="Heading4"/>
        <w:numPr>
          <w:ilvl w:val="3"/>
          <w:numId w:val="1"/>
        </w:numPr>
        <w:rPr/>
      </w:pPr>
      <w:bookmarkStart w:id="442" w:name="__RefHeading___Toc1272959_1067777946"/>
      <w:bookmarkStart w:id="443" w:name="_Toc155"/>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قبل الخوض في المقصود ، نقدّم أُموراً </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272961_1067777946"/>
      <w:bookmarkStart w:id="445" w:name="_Toc156"/>
      <w:bookmarkEnd w:id="444"/>
      <w:r>
        <w:rPr>
          <w:rtl w:val="true"/>
        </w:rPr>
        <w:t xml:space="preserve">الأوّل </w:t>
      </w:r>
      <w:r>
        <w:rPr>
          <w:rtl w:val="true"/>
        </w:rPr>
        <w:t xml:space="preserve">: </w:t>
      </w:r>
      <w:r>
        <w:rPr>
          <w:rtl w:val="true"/>
        </w:rPr>
        <w:t>العول لغة واصطلاحاً</w:t>
      </w:r>
      <w:bookmarkEnd w:id="445"/>
    </w:p>
    <w:p>
      <w:pPr>
        <w:pStyle w:val="BookText"/>
        <w:rPr/>
      </w:pPr>
      <w:r>
        <w:rPr>
          <w:rFonts w:ascii="Amiri" w:hAnsi="Amiri" w:eastAsia="Amiri" w:cs="Amiri"/>
          <w:color w:val="111111"/>
          <w:sz w:val="28"/>
          <w:sz w:val="28"/>
          <w:szCs w:val="28"/>
          <w:rtl w:val="true"/>
          <w:lang w:bidi="ar-SA"/>
        </w:rPr>
        <w:t xml:space="preserve">للعول في اللغة معاني متعددة أو معنى واحد ، له مصاديق مختلفة ، فيُستعمل في الموارد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الفاقة والحاجة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 ، يعيل ، 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عَيْلَةً</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 مقتصد</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الميل إلى الجور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الميزان عولاً فهو عائل إذا نقص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عالت الناقة بذنبها إذا رفعته ، ومنه العويل وهو ارتفاع الصوت بالبكاء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ذكره أصحاب المعاجم</w:t>
      </w:r>
      <w:r>
        <w:rPr>
          <w:rFonts w:eastAsia="Amiri" w:cs="Amiri" w:ascii="Amiri" w:hAnsi="Amiri"/>
          <w:color w:val="111111"/>
          <w:sz w:val="28"/>
          <w:szCs w:val="28"/>
          <w:rtl w:val="true"/>
          <w:lang w:bidi="ar-SA"/>
        </w:rPr>
        <w:t xml:space="preserve">. </w:t>
      </w:r>
      <w:r>
        <w:rPr>
          <w:rStyle w:val="FootnoteAnchor"/>
          <w:rtl w:val="true"/>
        </w:rPr>
        <w:footnoteReference w:id="424"/>
      </w:r>
      <w:bookmarkStart w:id="446" w:name="pg10155_105423"/>
    </w:p>
    <w:p>
      <w:pPr>
        <w:pStyle w:val="BookText"/>
        <w:rPr/>
      </w:pPr>
      <w:bookmarkEnd w:id="446"/>
      <w:r>
        <w:rPr>
          <w:rFonts w:ascii="Amiri" w:hAnsi="Amiri" w:eastAsia="Amiri" w:cs="Amiri"/>
          <w:color w:val="111111"/>
          <w:sz w:val="28"/>
          <w:sz w:val="28"/>
          <w:szCs w:val="28"/>
          <w:rtl w:val="true"/>
          <w:lang w:bidi="ar-SA"/>
        </w:rPr>
        <w:t>وأمّا اصطلاحاً فهو عبارة عن زيادة السهام المفروضة في الكتاب على مبلغ المال ، أو نقصان المال عن السهام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العول يجري مجرى الأضداد ، وإنّما دخل هذا الاسم في الفرائض في الموضع الذي ينقص فيه المال عن السهام المفروضة فيه ، فدخل هاهنا النقصان ، ويمكن أن يكون دخوله لأجل الزيادة ، لأنّ السهام زادت على مبلغ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 إلى المال كان نقصاناً وإذا أُضيف إلى السهام كان زيادة</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وحصيلة الكلام هو انّ العول عبارة عن زيادة سهام الفروض عن أصل المسألة بزيادة كسورها عن الواحد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ترك الميت زوجة وأبوين وبنتين فللزوجة الثُّمن ، وللأبوين الثلث ، وللبنتين الثلثان ، والتركة لا تتسع للثمن والثلث والثلثين ، بل يستغرق الأخيران مجموعَ التركة ولم يتَّسع للثمن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ماتت امرأة وتركت زوجاً وابنتين شقيقتين ، فللزوج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الولد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وللبنتين الثلثان ، والمال المتروك لا يتسع للنصف والثلثين ، ولا يتحقّق العول إلاّ بوجود الزوج أو الزوجة مع سائر الورثة ، فلو فقد الزوج والزوجة بين الورثة لما يتحقّق العول عندنا ، وأمّا عند غيرنا فيتحقّق عند فقدهما أيضاً كما سيوافيك</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272963_1067777946"/>
      <w:bookmarkStart w:id="448" w:name="_Toc157"/>
      <w:bookmarkEnd w:id="447"/>
      <w:r>
        <w:rPr>
          <w:rtl w:val="true"/>
        </w:rPr>
        <w:t xml:space="preserve">الثاني </w:t>
      </w:r>
      <w:r>
        <w:rPr>
          <w:rtl w:val="true"/>
        </w:rPr>
        <w:t xml:space="preserve">: </w:t>
      </w:r>
      <w:r>
        <w:rPr>
          <w:rtl w:val="true"/>
        </w:rPr>
        <w:t>العول ، تاريخيّاً</w:t>
      </w:r>
      <w:bookmarkEnd w:id="44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العول من المسائل التي لم يرد فيها نصّ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ابتلى بها عمر بن الخطاب عند ما ماتت امرأة في عهده وكان لها زوج وأُختان ، </w:t>
      </w:r>
    </w:p>
    <w:p>
      <w:pPr>
        <w:pStyle w:val="BookText"/>
        <w:rPr/>
      </w:pPr>
      <w:r>
        <w:rPr>
          <w:rFonts w:ascii="Amiri" w:hAnsi="Amiri" w:eastAsia="Amiri" w:cs="Amiri"/>
          <w:color w:val="111111"/>
          <w:sz w:val="28"/>
          <w:sz w:val="28"/>
          <w:szCs w:val="28"/>
          <w:rtl w:val="true"/>
          <w:lang w:bidi="ar-SA"/>
        </w:rPr>
        <w:t xml:space="preserve">فجمع الصحابة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تعالى للزوج النصف ، وللأُختين الثلثان ، فإن بدأت للزوج لم يبق للأُختين حقهما ، وإن بدأت للأُختين لم يبق للزوج حقّه ، فأشيروا عليَّ ، فاتّفق رأيه مع عبد الله بن مسعود ، على العول ، أي إيراد النقص على الجميع بنسبة فرضهم من دون تقديم ذي فرض على آخر ؛ وخالف ابن عباس ، في عصر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الزوجين يأخذان تمام حقّهما ويدخل النقص على البنات فهو يقدّم من له فرضان في الكتاب على من له فرض واحد كما سنبيّن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ذلك العصر صار الفقهاء على فرقتين ، فالمذاهب الأربعة وما تقدّمها من سائر المذاهب الفقهية قالوا بالعول ، والشيعة الإمامية ، تبعاً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وتلميذه ابن عباس على خلافه ، فهم على إيراد النقص على البعض دون بعض من دون أن يكون عملهم ترجيحاً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عبد الله 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أعال الفرائض عمر لما التوت عليه الفرائض ودافع بعضها بعضاً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أيّكم قدَّمه الله ولا أيّكم أخّره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شيئاً أوسع لي من أن أقسِّم التركة عليكم بالحصص ، وأدخل على كلّ ذي حقّ ما دخل عليه من عول الفريضة ، ولم يخالف في ذلك أحد حتى انتهى أمر الخلافة إلى عثمان ، فأظهر ابن عباس خلافه في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أنّهم قدَّموا من قدَّم الله وأخّروا من أخّر الله ما علت فريضة قط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قدّمه الله ومن أخّره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الله الزوج والزوجة ، والأُمّ والجدة ، وأمّا من أخّره الله فالبنات وبنات الابن والأخوات الشقيقات والأخوات لأب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أهبطه الله من فرض إلى فرض فهو الذي قدّمه ، ومن أهبطه الله من فرض إلى غير فرض فهو الذي أخّره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ويظهر من بعض الروايات انّ ابن عباس كان يصرّ على رأيه ويدعو المخالف إلى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الشربيني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المحتاج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صغيراً فلما كبر أظهر الخلاف بعد موت عمر وجعل للزوج النصف ، وللأُمّ الثلث وللأُخت ما بقي </w:t>
      </w:r>
      <w:r>
        <w:rPr>
          <w:rStyle w:val="FootnoteAnchor"/>
          <w:rtl w:val="true"/>
        </w:rPr>
        <w:footnoteReference w:id="427"/>
      </w:r>
      <w:r>
        <w:rPr>
          <w:rFonts w:ascii="Amiri" w:hAnsi="Amiri" w:eastAsia="Amiri" w:cs="Amiri"/>
          <w:color w:val="111111"/>
          <w:sz w:val="28"/>
          <w:sz w:val="28"/>
          <w:szCs w:val="28"/>
          <w:rtl w:val="true"/>
          <w:lang w:bidi="ar-SA"/>
        </w:rPr>
        <w:t xml:space="preserve">ولا عول حينئذ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لَمْ تقل هذا لعمر؟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مهاباً فهبتُه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أحصى رمل عالج عدداً لم يجعل في المال نصفاً ونصفاً وثلثاً ، ذهب النصفان بالمال فأين موضع الثلث؟</w:t>
      </w:r>
    </w:p>
    <w:p>
      <w:pPr>
        <w:pStyle w:val="BookText"/>
        <w:rPr/>
      </w:pPr>
      <w:r>
        <w:rPr>
          <w:rFonts w:ascii="Amiri" w:hAnsi="Amiri" w:eastAsia="Amiri" w:cs="Amiri"/>
          <w:color w:val="111111"/>
          <w:sz w:val="28"/>
          <w:sz w:val="28"/>
          <w:szCs w:val="28"/>
          <w:rtl w:val="true"/>
          <w:lang w:bidi="ar-SA"/>
        </w:rPr>
        <w:t xml:space="preserve">ثمّ 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لا يغني عنك شيئاً لو متُّ أو مت لقُسِّم ميراثنا على ما عليه الناس من خلاف رأيك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شاءوا فلندع أبناءنا وأبناءهم ، ونساءنا ونساءهم ، وأنفسنا وأنفسهم ثمّ نبتهل فنجعل لعنة الله على الكاذبين ، فسمّيت المباهلة لذلك</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الجصاص في تفسيره عن عبيد الله بن عبد الله بن عتبة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وزفر بن أوس بن الحدثان على ابن عباس بعد ما ذهب بصره فتذاكرنا فرائض الميراث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الذي أحصى رمل عالج عدداً لم يحص في مال نصفاً ونصفاً وثلثاً ، إذا ذهب نصف ونصف فأين موضع الثلث؟ فقال له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مَنْ أوّل من أعال الفرائض؟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تدافعت عليه وركب بعضها بعضاً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كيف أصنع بكم؟ والله ما أدري أيّكم قدّم الله ولا أيّكم 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أجد في هذا المال شيئاً أحسن من أن أُقسمه عليكم بالحصص ، 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لو قدّم من </w:t>
      </w:r>
      <w:bookmarkStart w:id="449" w:name="pg10155_105426"/>
    </w:p>
    <w:p>
      <w:pPr>
        <w:pStyle w:val="BookText"/>
        <w:rPr/>
      </w:pPr>
      <w:bookmarkEnd w:id="449"/>
      <w:r>
        <w:rPr>
          <w:rFonts w:ascii="Amiri" w:hAnsi="Amiri" w:eastAsia="Amiri" w:cs="Amiri"/>
          <w:color w:val="111111"/>
          <w:sz w:val="28"/>
          <w:sz w:val="28"/>
          <w:szCs w:val="28"/>
          <w:rtl w:val="true"/>
          <w:lang w:bidi="ar-SA"/>
        </w:rPr>
        <w:t xml:space="preserve">قدّم الله ، وأخّر من أخر الله ما عالت فريضة ، فقال له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وأيّهم قدّم وأيهم أخّر؟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فريضة لا تزول إلاّ إلى فريضة فتلك التي قدّم الله وتلك فريضة الزوج ، له النصف فإن زال فإلى الربع لا ينقص منه ، والمرأة لها الربع فإن زالت عنه صارت إلى الثمن لا تنقص منه ، والأخوات لهن الثلثان والواحدة لها النصف ، فإن دخل عليهم كان لهنّ ما بقي فهؤلاء الذين أخّر الله ، فلو أعطى من قدّم الله فريضة كاملة ثمّ قُسِّم ما يبقى بين من أخّر الله بالحصص ما عالت فريضة ، فقال له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 أن تشير بهذا الرأي على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والله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Heading4"/>
        <w:numPr>
          <w:ilvl w:val="3"/>
          <w:numId w:val="1"/>
        </w:numPr>
        <w:rPr/>
      </w:pPr>
      <w:bookmarkStart w:id="450" w:name="__RefHeading___Toc1272965_1067777946"/>
      <w:bookmarkStart w:id="451" w:name="_Toc158"/>
      <w:bookmarkEnd w:id="450"/>
      <w:r>
        <w:rPr>
          <w:rtl w:val="true"/>
        </w:rPr>
        <w:t xml:space="preserve">الثالث </w:t>
      </w:r>
      <w:r>
        <w:rPr>
          <w:rtl w:val="true"/>
        </w:rPr>
        <w:t xml:space="preserve">: </w:t>
      </w:r>
      <w:r>
        <w:rPr>
          <w:rtl w:val="true"/>
        </w:rPr>
        <w:t>الأقوال المطروحة في العول</w:t>
      </w:r>
      <w:bookmarkEnd w:id="451"/>
    </w:p>
    <w:p>
      <w:pPr>
        <w:pStyle w:val="BookText"/>
        <w:rPr/>
      </w:pPr>
      <w:r>
        <w:rPr>
          <w:rFonts w:ascii="Amiri" w:hAnsi="Amiri" w:eastAsia="Amiri" w:cs="Amiri"/>
          <w:color w:val="111111"/>
          <w:sz w:val="28"/>
          <w:sz w:val="28"/>
          <w:szCs w:val="28"/>
          <w:rtl w:val="true"/>
          <w:lang w:bidi="ar-SA"/>
        </w:rPr>
        <w:t>اتّفقت الشيعة ووافقهم الظاهرية وثلّة من الصحابة والتابعين على بطلان العول بمعنى إدخال النقص على جميع الورثة بنسبة فروضهم ، بل يقدّم من له الفرضان على من له فرض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تذهب إليه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إذا ضاق عن سهام الورثة قدم ذو السهام المؤكدة من الأبوين والزوجين على البنات والأخوات من الأُمّ وعلى الأخوات من الأب والأُمّ أو من الأب ، وجعل الفاضل عن سهامهم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عباس إلى مثل ذلك وقال به أيضاً عطاء بن أبي رباح وحكى الفقهاء من العامة هذا المذهب عن محمد بن علي بن الحسين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الحنفية ، وهو مذهب داود بن علي الاصفهاني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باقي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إذا ضاق عن سهام الورثة قُسِّم بينهم على قدر </w:t>
      </w:r>
    </w:p>
    <w:p>
      <w:pPr>
        <w:pStyle w:val="BookText"/>
        <w:rPr/>
      </w:pPr>
      <w:r>
        <w:rPr>
          <w:rFonts w:ascii="Amiri" w:hAnsi="Amiri" w:eastAsia="Amiri" w:cs="Amiri"/>
          <w:color w:val="111111"/>
          <w:sz w:val="28"/>
          <w:sz w:val="28"/>
          <w:szCs w:val="28"/>
          <w:rtl w:val="true"/>
          <w:lang w:bidi="ar-SA"/>
        </w:rPr>
        <w:t>سهامهم كما يفعل في الديون والوصايا إذا ضاقت التركة عنها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وقال في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الفرائض لا تعول ، ووافقنا على ذلك ابن عباس ، وداود بن علي الاصفهاني ، وخالفنا باقي الفقهاء</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العول عندنا باطل فكلّ مسألة تعول على مذهب المخالفين فالقول عندنا فيها بخلاف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عباس فانّه لم يُعْوِلْ المسائل وأدخل النقص على البنات وبنات الابن والأخوات للأب والأُمّ أو للأب ، وبه قال محمد بن الحنفية ، ومحمد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 بن علي ، وأعالها جميع الفقهاء</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خالف العول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أعيان مذهب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أوّل من قال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ووافقه عليه عمر بن الخطاب وصحّ عنه هذا ، وروي عن علي وابن مسعود غير مسند ، وذكر عن العباس ولم يصحّ ، وصحّ عن شريح ونفر من التابعين يسير ، وبه يقول أبو حنيفة ومالك والشافعي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هؤلاء القوم إذا اجتمع رأيهم على شيء كان أسهل شيء عليهم دعوى الإجماع ، فإن لم يمكنهم ذلك ، لم تكن عليهم مئونة من دعوى أنّه قول الجمهور وانّ خلافه شذوذ وانّ خصومهم ليرثون لهم من تورطهم في هذه الدعاوى الكاذبة نعوذ بالله من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 ابن عباس هذا ، يقول عطاء ومحمد بن علي بن أبي طالب ومحمد بن علي بن الحسين وأبو سليمان وجميع أصحابنا وغيرهم</w:t>
      </w:r>
      <w:r>
        <w:rPr>
          <w:rFonts w:eastAsia="Amiri" w:cs="Amiri" w:ascii="Amiri" w:hAnsi="Amiri"/>
          <w:color w:val="111111"/>
          <w:sz w:val="28"/>
          <w:szCs w:val="28"/>
          <w:rtl w:val="true"/>
          <w:lang w:bidi="ar-SA"/>
        </w:rPr>
        <w:t xml:space="preserve">. </w:t>
      </w:r>
      <w:r>
        <w:rPr>
          <w:rStyle w:val="FootnoteAnchor"/>
          <w:rtl w:val="true"/>
        </w:rPr>
        <w:footnoteReference w:id="433"/>
      </w:r>
      <w:bookmarkStart w:id="452" w:name="pg10155_105428"/>
    </w:p>
    <w:p>
      <w:pPr>
        <w:pStyle w:val="Heading4"/>
        <w:numPr>
          <w:ilvl w:val="3"/>
          <w:numId w:val="1"/>
        </w:numPr>
        <w:rPr/>
      </w:pPr>
      <w:bookmarkStart w:id="453" w:name="__RefHeading___Toc1272967_1067777946"/>
      <w:bookmarkStart w:id="454" w:name="_Toc159"/>
      <w:bookmarkEnd w:id="452"/>
      <w:bookmarkEnd w:id="453"/>
      <w:r>
        <w:rPr>
          <w:rtl w:val="true"/>
        </w:rPr>
        <w:t>الرابع ذكر نماذج من صور العول</w:t>
      </w:r>
      <w:bookmarkEnd w:id="454"/>
    </w:p>
    <w:p>
      <w:pPr>
        <w:pStyle w:val="BookText"/>
        <w:rPr/>
      </w:pPr>
      <w:r>
        <w:rPr>
          <w:rFonts w:ascii="Amiri" w:hAnsi="Amiri" w:eastAsia="Amiri" w:cs="Amiri"/>
          <w:color w:val="111111"/>
          <w:sz w:val="28"/>
          <w:sz w:val="28"/>
          <w:szCs w:val="28"/>
          <w:rtl w:val="true"/>
          <w:lang w:bidi="ar-SA"/>
        </w:rPr>
        <w:t xml:space="preserve">ذكر الفقهاء للعول صوراً مختلفة نذكر بعضها روماً للاختصار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زوج وأُختان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أي الثلاثة من ستة ، وللُاختين الثلثان أي الأربعة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المال ليس فيه نصف وثلثان فلو أُخذ من الست ، النصفُ ، لا يفي الباقي بالثلثين وهكذا العكس ، فتعول السهام إلى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المذهب الإمامي يقدّم الزوج فيعطى له النصف والباقي للأُختين ، وأمّا القائل بالعول فهو يقسّم التركة إلى سبعة سهام ، مكان الستة فيعطي للزوج ثلاثة سهام ، وللُاختين أربعة سهام لكن من السبعة ، وبذلك يُدخل النقص على الجميع ، فلا الزوج ورث النصف الحقيقي ولا الأُختان ، الثلثين ، بل أخذ كل أقل من سهامه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الصورة ومعهما أُخت واحدة من الأُمّ فريضتها السدس ، ومن المعلوم أنّ التركة لا تفي بالنصف والثلثين والسدس ، فتعول التركة إلى ثمانية سهام وذلك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الفقه الإمامي يقدّم الزوج والأُخت لكونهما ذو فرضين فيعطى للزوج النصف وللأُخت السدس والباقي للأُختين ، وأمّا القائل بالعول فهو يورد النقص على الجميع ، فيقسّم المال إلى ثمانية سهام ، فيعطي للزوج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وللأُختين أربعة ، وللأُخت من الأُمّ واحداً ، ولكنّ الكلّ من ثمانية أجزاء ، فلا الزوج نال النصف ، ولا الأُختان الثلثين ، ولا الأُخت من الأُمّ ، السدس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الصورة ومعهم أخ من أُم وفريضتها أيضاً السدس فتعول الفريضة إلى تسعة ، وذلك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الفقه الإمامي يقدّم الزوج والأُخت من الأُمّ ، والأخ من الأب ، ويختص الباقي بالأُختين ؛ وأمّا القائل بالعول فيعطي للزوج ثلاثة ، وللُاختين أربعة ، ولكلّ من الأُخت والأخ من الأُمّ واحداً لكن من تسعة أسهم ، لا من ستة سهام ، وبالتالي لا يُمتَّع الزوج بالنصف ، ولا الأُختان بالثلثين ، ولا الأُخت والأخ من الأُمّ بالثلث إلاّ لفظاً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زوجة وأبوان وبنتان وهي المسألة المعروفة باسم المسألة المنبرية ، وهي التي سُئل عنها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رجل مات وترك ابنتيه وأبويه وزوجة؟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صار ثمن المرأة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الرأي الرائج ، إدخال النقص على الجميع صار سهمها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المخرج المشترك للثلثين والسدس والثمن هو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فثلثاه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وسدساه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ذلك تعول الفريضة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 وذلك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فالقائل بالعول ، يورد النقص على جميع أصحاب الفروض ، فيعطي لأصحاب الثلثين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 وللأبوين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 وللزوجة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 إعطائهم بهذا المقدار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 والزوجة وإن أخذت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 لكن 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حتى يكون ثمناً واقعياً ، بل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تُسْع التركة ، وهي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المذهب الإمامي فهو يقدّم الزوجة والأبوين والباقي لابنتيه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نظرية العول وبيانها بوجه سهل غير مبتن على المحاسبات الدقيقة </w:t>
      </w:r>
    </w:p>
    <w:p>
      <w:pPr>
        <w:pStyle w:val="BookText"/>
        <w:rPr/>
      </w:pPr>
      <w:r>
        <w:rPr>
          <w:rFonts w:ascii="Amiri" w:hAnsi="Amiri" w:eastAsia="Amiri" w:cs="Amiri"/>
          <w:color w:val="111111"/>
          <w:sz w:val="28"/>
          <w:sz w:val="28"/>
          <w:szCs w:val="28"/>
          <w:rtl w:val="true"/>
          <w:lang w:bidi="ar-SA"/>
        </w:rPr>
        <w:t>وإن كان البيان على ضوئها أتقن وأدق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السيد المرتضى أنّ القائلين بالعول ربّما يوافقون الإمامية في بعض الصور ، كامرأة ماتت وخلّفت بنتين وأبوين وزوجاً ، والمال يضيق عن الثلثين والسدسين والربع ، فنحن بين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ندخل النقص على كل واحد من هذه السهام أو ندخله على بعضها ، وقد أجمعت الأُمّة على أنّ البنتين هاهنا منقوصتان بلا خلاف ، فيجب أن نعطي الأبوين السدس والزوج الربع ، ويجعل ما بقي للابنتين ، ونخصّهما بالنقص لأنّهما منقوصتان بالاجماع</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فلندرس أدلّة القائلين بالعول أوّلاً ، ثمّ أدلّة القائلين بتقديم ذي الفرضين على من له فرض واحد</w:t>
      </w:r>
      <w:r>
        <w:rPr>
          <w:rFonts w:eastAsia="Amiri" w:cs="Amiri" w:ascii="Amiri" w:hAnsi="Amiri"/>
          <w:color w:val="111111"/>
          <w:sz w:val="28"/>
          <w:szCs w:val="28"/>
          <w:rtl w:val="true"/>
          <w:lang w:bidi="ar-SA"/>
        </w:rPr>
        <w:t xml:space="preserve">. </w:t>
      </w:r>
      <w:bookmarkStart w:id="455" w:name="pg10155_105431"/>
    </w:p>
    <w:p>
      <w:pPr>
        <w:pStyle w:val="Heading3"/>
        <w:numPr>
          <w:ilvl w:val="2"/>
          <w:numId w:val="1"/>
        </w:numPr>
        <w:rPr/>
      </w:pPr>
      <w:bookmarkStart w:id="456" w:name="__RefHeading___Toc1272969_1067777946"/>
      <w:bookmarkStart w:id="457" w:name="_Toc160"/>
      <w:bookmarkEnd w:id="455"/>
      <w:bookmarkEnd w:id="456"/>
      <w:r>
        <w:rPr>
          <w:rtl w:val="true"/>
        </w:rPr>
        <w:t>أدلّة القائلين بالعول</w:t>
      </w:r>
      <w:bookmarkEnd w:id="457"/>
    </w:p>
    <w:p>
      <w:pPr>
        <w:pStyle w:val="Heading4"/>
        <w:numPr>
          <w:ilvl w:val="3"/>
          <w:numId w:val="1"/>
        </w:numPr>
        <w:rPr/>
      </w:pPr>
      <w:bookmarkStart w:id="458" w:name="__RefHeading___Toc1272971_1067777946"/>
      <w:bookmarkStart w:id="459" w:name="_Toc161"/>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 xml:space="preserve">استدلّ القائلون بالعول بوجوه </w:t>
      </w:r>
      <w:r>
        <w:rPr>
          <w:rFonts w:eastAsia="IRNazanin" w:cs="IRNazanin"/>
          <w:color w:val="111111"/>
          <w:sz w:val="28"/>
          <w:szCs w:val="28"/>
          <w:rtl w:val="true"/>
          <w:lang w:bidi="fa-IR"/>
        </w:rPr>
        <w:t xml:space="preserve">: </w:t>
      </w:r>
      <w:r>
        <w:rPr>
          <w:rStyle w:val="FootnoteAnchor"/>
          <w:rtl w:val="true"/>
        </w:rPr>
        <w:footnoteReference w:id="436"/>
      </w:r>
    </w:p>
    <w:p>
      <w:pPr>
        <w:pStyle w:val="Heading4"/>
        <w:numPr>
          <w:ilvl w:val="3"/>
          <w:numId w:val="1"/>
        </w:numPr>
        <w:rPr/>
      </w:pPr>
      <w:bookmarkStart w:id="460" w:name="__RefHeading___Toc1272973_1067777946"/>
      <w:bookmarkStart w:id="461" w:name="_Toc162"/>
      <w:bookmarkEnd w:id="460"/>
      <w:r>
        <w:rPr/>
        <w:t>1</w:t>
      </w:r>
      <w:r>
        <w:rPr>
          <w:rtl w:val="true"/>
        </w:rPr>
        <w:t xml:space="preserve">. </w:t>
      </w:r>
      <w:r>
        <w:rPr>
          <w:rtl w:val="true"/>
        </w:rPr>
        <w:t>قياس الحقّ بالدين</w:t>
      </w:r>
      <w:bookmarkEnd w:id="461"/>
    </w:p>
    <w:p>
      <w:pPr>
        <w:pStyle w:val="BookText"/>
        <w:rPr/>
      </w:pPr>
      <w:r>
        <w:rPr>
          <w:rFonts w:ascii="Amiri" w:hAnsi="Amiri" w:eastAsia="Amiri" w:cs="Amiri"/>
          <w:color w:val="111111"/>
          <w:sz w:val="28"/>
          <w:sz w:val="28"/>
          <w:szCs w:val="28"/>
          <w:rtl w:val="true"/>
          <w:lang w:bidi="ar-SA"/>
        </w:rPr>
        <w:t>إنّ الدُّيّان يقتسمون المال على تقدير قصوره عن دينهم بالحصص ، وكذلك الورّاث ، والجامع ، الاستحقاق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فانّ الدَّيْن يتعلّق بالذمة ، والتركة كالرهن عند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الدين بعين المال تعلّقُ استحقاق لا تعلّق انحصار ، فلو لم يؤدّوا حقّ الغرماء فلهم مصادرة التركة واستيفاء طلبهم من باب التقاص ، ولو قاموا بالتأدية من غير التركة فليس لهم أيّ اعتراض ، ولأجل ذلك ليس بمحال أن يكون لرجل على رجل ألف ، ولآخر ألفان ، ولثالث عشرة آلاف وإن صار الدَّين أضعاف التركة ، لأنّ المديون أتلف مال الغير بالاستقراض والصرف ، فصار مديوناً بما أتلف ، كان بمقدار ماله أو أزيد أو أنقص فلا إشكال في تعلّق أضعاف التركة بالذمة لأنّها تسع أكثر من ذلك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سهام الإرث فانّها انّما تتعلّق بالتركة والأعيان الموروثة ، ومن المحال أن يكون للمال نصف ، ونصف وثلث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ماتت الزوجة عن زوج وأُخت للأبوين وأُختين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فامتلاك الورثة من التركة بقدر هذه الفروض أمر غير معقول ، </w:t>
      </w:r>
      <w:bookmarkStart w:id="462" w:name="pg10155_105432"/>
    </w:p>
    <w:p>
      <w:pPr>
        <w:pStyle w:val="BookText"/>
        <w:rPr/>
      </w:pPr>
      <w:bookmarkEnd w:id="462"/>
      <w:r>
        <w:rPr>
          <w:rFonts w:ascii="Amiri" w:hAnsi="Amiri" w:eastAsia="Amiri" w:cs="Amiri"/>
          <w:color w:val="111111"/>
          <w:sz w:val="28"/>
          <w:sz w:val="28"/>
          <w:szCs w:val="28"/>
          <w:rtl w:val="true"/>
          <w:lang w:bidi="ar-SA"/>
        </w:rPr>
        <w:t>فلا بدّ أن يكون تعلّقها بشكل آخر تسعها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لبعض أدلّة الفروض إطلاق يعمّ حالي الانفراد والاجتماع حتى لا يستلزم المحال ، وسيوافيك بيان ماله إطلاق لحال الاجتماع مع سائر الفروض وما ليس له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 أصحابنا في نقد هذا الدليل بوجوه ، وما ذكرناه أتقن ، وإليك ما ذكره المرتضى في نقد هذا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يقولونه في العول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الديون إذا كانت على الميّت ولم تف تركته بالوفاء بها ، فإنّ الواجب القسمة للمال على أصحاب الديون بحسب ديونهم من غير إدخال النقص على بعضهم ، وذلك أنّ أصحاب الديون مستوون في وجوب استيفاء أموالهم من تركة الميّت ، وليس لأحد مزية على الآخر في ذلك ، فإن اتّسع المال لحقوقهم استوفوها ، فإن ضاق تساهموه وليس كذلك مسائل العول ، لأنّا قد بيّنّا أنّ بعض الورثة أولى بالنقص من بعض ، وأنّهم غير مستويين كاستواء أصحاب الديون فافترق الأمران</w:t>
      </w:r>
      <w:r>
        <w:rPr>
          <w:rFonts w:eastAsia="Amiri" w:cs="Amiri" w:ascii="Amiri" w:hAnsi="Amiri"/>
          <w:color w:val="111111"/>
          <w:sz w:val="28"/>
          <w:szCs w:val="28"/>
          <w:rtl w:val="true"/>
          <w:lang w:bidi="ar-SA"/>
        </w:rPr>
        <w:t xml:space="preserve">. </w:t>
      </w:r>
      <w:r>
        <w:rPr>
          <w:rStyle w:val="FootnoteAnchor"/>
          <w:rtl w:val="true"/>
        </w:rPr>
        <w:footnoteReference w:id="437"/>
      </w:r>
    </w:p>
    <w:p>
      <w:pPr>
        <w:pStyle w:val="Heading4"/>
        <w:numPr>
          <w:ilvl w:val="3"/>
          <w:numId w:val="1"/>
        </w:numPr>
        <w:rPr/>
      </w:pPr>
      <w:bookmarkStart w:id="463" w:name="__RefHeading___Toc1272975_1067777946"/>
      <w:bookmarkStart w:id="464" w:name="_Toc163"/>
      <w:bookmarkEnd w:id="463"/>
      <w:r>
        <w:rPr/>
        <w:t>2</w:t>
      </w:r>
      <w:r>
        <w:rPr>
          <w:rtl w:val="true"/>
        </w:rPr>
        <w:t xml:space="preserve">. </w:t>
      </w:r>
      <w:r>
        <w:rPr>
          <w:rtl w:val="true"/>
        </w:rPr>
        <w:t>قياس الإرث بالوصية</w:t>
      </w:r>
      <w:bookmarkEnd w:id="464"/>
    </w:p>
    <w:p>
      <w:pPr>
        <w:pStyle w:val="BookText"/>
        <w:rPr/>
      </w:pPr>
      <w:r>
        <w:rPr>
          <w:rFonts w:ascii="Amiri" w:hAnsi="Amiri" w:eastAsia="Amiri" w:cs="Amiri"/>
          <w:color w:val="111111"/>
          <w:sz w:val="28"/>
          <w:sz w:val="28"/>
          <w:szCs w:val="28"/>
          <w:rtl w:val="true"/>
          <w:lang w:bidi="ar-SA"/>
        </w:rPr>
        <w:t>إنّ التقسيط مع القصور واجب في الوصية للجماعة والميراث كذلك ، والجامع بينهما استحقاق الجميع التركة ، فلو أوصى لزيد بألف ، ولعمرو بعشرة آلاف ، ولبكر بعشرين ألف ، وضاق ثلثه عن القيام بالجميع ، يُورد النقص على الجميع حسب سهامهم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ليس بمسلّم في المقيس عليه حتى يستظهر حال المقيس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فيه أنّه يعطى الأوّل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الإيصاء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يبقى </w:t>
      </w:r>
      <w:bookmarkStart w:id="465" w:name="pg10155_105433"/>
    </w:p>
    <w:p>
      <w:pPr>
        <w:pStyle w:val="BookText"/>
        <w:rPr/>
      </w:pPr>
      <w:bookmarkEnd w:id="465"/>
      <w:r>
        <w:rPr>
          <w:rFonts w:ascii="Amiri" w:hAnsi="Amiri" w:eastAsia="Amiri" w:cs="Amiri"/>
          <w:color w:val="111111"/>
          <w:sz w:val="28"/>
          <w:sz w:val="28"/>
          <w:szCs w:val="28"/>
          <w:rtl w:val="true"/>
          <w:lang w:bidi="ar-SA"/>
        </w:rPr>
        <w:t>من المال شيء ويسقط من لم يسعه الثلث ، لأنّه أوصى بشيء لم يملكه فتكون وصيّته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ذكر جماعة ثمّ سمّى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 وبكر لكل واحد ألف ، فعجز عنه مقدار ما ترك ، فلا شك أنّه يدخل النقص على الجميع والفارق بينه وبين المقام هو تصريح الموصي بالعول ، ولو ورد التصريح به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وأغضينا عمّا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اتباعه فكيف يقاس ، ما لم يرد فيه التصريح بالتقسيط بما ورد فيه التصريح به</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272977_1067777946"/>
      <w:bookmarkStart w:id="467" w:name="_Toc164"/>
      <w:bookmarkEnd w:id="466"/>
      <w:r>
        <w:rPr/>
        <w:t>3</w:t>
      </w:r>
      <w:r>
        <w:rPr>
          <w:rtl w:val="true"/>
        </w:rPr>
        <w:t xml:space="preserve">. </w:t>
      </w:r>
      <w:r>
        <w:rPr>
          <w:rtl w:val="true"/>
        </w:rPr>
        <w:t>تقديم البعض على البعض ترجيح بلا مرجّح</w:t>
      </w:r>
      <w:bookmarkEnd w:id="467"/>
    </w:p>
    <w:p>
      <w:pPr>
        <w:pStyle w:val="BookText"/>
        <w:rPr/>
      </w:pPr>
      <w:r>
        <w:rPr>
          <w:rFonts w:ascii="Amiri" w:hAnsi="Amiri" w:eastAsia="Amiri" w:cs="Amiri"/>
          <w:color w:val="111111"/>
          <w:sz w:val="28"/>
          <w:sz w:val="28"/>
          <w:szCs w:val="28"/>
          <w:rtl w:val="true"/>
          <w:lang w:bidi="ar-SA"/>
        </w:rPr>
        <w:t>إنّ النقص لا بدّ من دخوله على الورثة على تقدير زيادة السهام ، أمّا عند العائل فعلى الجميع وأمّا عند غيره فعلى البعض ، لكن هذا ترجيح من دون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الأمر المحال بإيراد النقص على الجميع فرع إحراز صحّة أصل تشريعه ، وأنّه يصحّ أن يتملّك شخص ، نصفَ المال ، وآخر نصفَه الآخر ، وثالث ثلاثة ، وقد عرفت أنّه غير صحيح وأنّ المال لا يتحمّل تلك الفروض ، ومع عدم صحّة تشريعه لا تصل النوبة إلى احتمال ورود النقص على الجميع ، فانّ تصويره بصورة العول ، وإيراد النقص على الجميع رجوع عن الفرض ، واعتراف بأنّه ليس فيه نصفان وثُلث كما سيظهر عند بيان أدلّة القائلين ببطلانه ، لأنّ من سهمه النصفان أو الثُّلث ، يأخذ أقل من سهمهما ، وبالتالي يعترف بأنّه ليس في المال نصفان وثلث</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 وجود المرجّح الذي أشار إليه الإمام أمير المؤمنين وتلميذه ابن عباس سابقاً ، وسيأتي كلامهما وكلام عترته الطاهرة</w:t>
      </w:r>
      <w:r>
        <w:rPr>
          <w:rFonts w:eastAsia="Amiri" w:cs="Amiri" w:ascii="Amiri" w:hAnsi="Amiri"/>
          <w:color w:val="111111"/>
          <w:sz w:val="28"/>
          <w:szCs w:val="28"/>
          <w:rtl w:val="true"/>
          <w:lang w:bidi="ar-SA"/>
        </w:rPr>
        <w:t xml:space="preserve">. </w:t>
      </w:r>
      <w:bookmarkStart w:id="468" w:name="pg10155_105434"/>
    </w:p>
    <w:p>
      <w:pPr>
        <w:pStyle w:val="Heading4"/>
        <w:numPr>
          <w:ilvl w:val="3"/>
          <w:numId w:val="1"/>
        </w:numPr>
        <w:rPr/>
      </w:pPr>
      <w:bookmarkStart w:id="469" w:name="__RefHeading___Toc1272979_1067777946"/>
      <w:bookmarkStart w:id="470" w:name="_Toc165"/>
      <w:bookmarkEnd w:id="468"/>
      <w:bookmarkEnd w:id="469"/>
      <w:r>
        <w:rPr/>
        <w:t>4</w:t>
      </w:r>
      <w:r>
        <w:rPr>
          <w:rtl w:val="true"/>
        </w:rPr>
        <w:t xml:space="preserve">. </w:t>
      </w:r>
      <w:r>
        <w:rPr>
          <w:rtl w:val="true"/>
        </w:rPr>
        <w:t xml:space="preserve">قول علي عليه السلام </w:t>
      </w:r>
      <w:r>
        <w:rPr>
          <w:rtl w:val="true"/>
        </w:rPr>
        <w:t xml:space="preserve">- </w:t>
      </w:r>
      <w:r>
        <w:rPr>
          <w:rtl w:val="true"/>
        </w:rPr>
        <w:t>في المسألة المنبرية</w:t>
      </w:r>
      <w:bookmarkEnd w:id="470"/>
    </w:p>
    <w:p>
      <w:pPr>
        <w:pStyle w:val="BookText"/>
        <w:rPr/>
      </w:pPr>
      <w:r>
        <w:rPr>
          <w:rFonts w:ascii="Amiri" w:hAnsi="Amiri" w:eastAsia="Amiri" w:cs="Amiri"/>
          <w:color w:val="111111"/>
          <w:sz w:val="28"/>
          <w:sz w:val="28"/>
          <w:szCs w:val="28"/>
          <w:rtl w:val="true"/>
          <w:lang w:bidi="ar-SA"/>
        </w:rPr>
        <w:t xml:space="preserve">روى البيهقي قال أخبرنا أبو سعيد ، أنبأنا أبو عبد الله ، حدثنا محمد بن نصر ، حدثنا إسحاق ، حدثنا يحيى بن آدم ، حدثنا شريك ، عن أبي إسحاق ، عن الحارث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وأبوين وبنتين ، صار ثمنها تسعاً</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والمسألة تسمّى المنبرية ، لأنّه سئل عنها الإمام وهو على المنبر ، يخطب ، ويظهر من أحمد المرتضى انّ السائل كان هو ابن الكوّاء ، أحد المناوئين فأجاب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في خطبته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قال في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كان لها الثمن ثلاثة من أربعة وعشرين صار لها بالعول ثلاثة من سبعة وعشرين وهي التُّسع</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الثلاثة إذا نسبت إلى أربعة وعشرين فهو ثُمن التركة وإذا نسبت إلى سبعة وعشرين فهو تُسْع التركة ولذلك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صريح في العول ، إذ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تنقص سهمها عن الثمن ، وقد جعل الإمام ثمنها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ضعيف ، والدلالة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 الله بن أبي شريك ، أبو عبد الله الكوفي القاضي فقد ترجمه ابن حجر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 سيّئ الحفظ ، مضطرب الحديث مائل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حاتم قلت لأبي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يحتج بحديثه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w:t>
      </w:r>
    </w:p>
    <w:p>
      <w:pPr>
        <w:pStyle w:val="BookText"/>
        <w:rPr/>
      </w:pPr>
      <w:r>
        <w:rPr>
          <w:rFonts w:ascii="Amiri" w:hAnsi="Amiri" w:eastAsia="Amiri" w:cs="Amiri"/>
          <w:color w:val="111111"/>
          <w:sz w:val="28"/>
          <w:sz w:val="28"/>
          <w:szCs w:val="28"/>
          <w:rtl w:val="true"/>
          <w:lang w:bidi="ar-SA"/>
        </w:rPr>
        <w:t>الخطأ ، صاحب حديث وهو يغلط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إبراهيم بن سعيد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أربعمائة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يحيى ولا عبد الرحمن حدثنا عنه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عبد الله بن أحمد عن أبيه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صالح أثبت من شريك ، كان شريك لا يبالي كيف حدث</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ويروي شريك ذلك الحديث عن أبي إسحاق وهو عمرو بن عبد الله السبيعي ، وقد وصفه ابن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مدلّساً ، كما وصفه به حسين الكرابيسي وأبو جعفر الطبري</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ومع كلّ ذلك كيف يحتجّ به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احتمالات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الإمام ذكر ذلك تعجّباً ،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أصار ثُمنها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ذلك ، مع أنّه سبحانه جعل فرضها الثمن ، وفي ما سألت صار فرضها تُسعاً حسب الظاهر ، وأمّا ما هو علاج المسألة وصيانة ثمنها الوارد في القرآن ، فقد سكت عنه الإمام ومضى في خطبته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ما ذكره إخبار عما جرى عليه الناس بعد إفتاء الخليفة بإدخال النقص على الجميع ، دون أن يفتي على وفقه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ذكر ذلك مجاراة للرأي السائد في ذلك وإخماداً للفتنة ، حيث إنّ السائل كان أحد المناوئين للإمام ، وقد حاول بسؤاله ، أن يجعل الإمام في مأزق ، وكان عارفاً برأي الإمام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ما ذُكر ممّا نقله شيخ الطائفة عن أبي طالب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الحسن بن محمد بن أيوب الجوزجاني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أبي بكر ، عن شعبة ، عن سماك ، عن عبيدة السلماني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رجل مات وترك ابنتيه وأبويه وزوجة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صار ثمن المرأة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وقعت في إمارته هذه الفريضة ، فلم يدر ما يصنع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للبنتين الثلثان ، وللأبوين السدسان ، وللزوجة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الثمن باق بعد الأبوين والبنتين ، فقال له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 هؤلاء فريضتهم ، للأبوين السدس ، وللزوجة الثمن ، وللبنتين ما يبقى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فريضتهما الثلثان؟ فقال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لهما 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ذلك عمر وابن مسعود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رأى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جماعة من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في مثلها أنّه أعطى للزوج الربع ، مع الابنتين ، وللأبوين السدسين والباقي ردّ على البنتين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الحق وإن أباه قومنا</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ويستفاد من الحديث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وأصحاب النبيّ إلاّ القليل منهم كانوا يرون خلاف العول ، وأنّ سيادة القول العول لأجل أنّ الخليفة كان يدعم ذلك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عمل في واقعة برأيه وأورد النقص على البنتين فقط ، وعلى ذلك يكون المراد من قوله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ما رأى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المجاراة والمماشاة ، وإلاّ يصير ذيل الحديث مناقضاً 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تمت دراسة أدلّة القائلين بالعول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أدلّة المنكرين</w:t>
      </w:r>
      <w:r>
        <w:rPr>
          <w:rFonts w:eastAsia="Amiri" w:cs="Amiri" w:ascii="Amiri" w:hAnsi="Amiri"/>
          <w:color w:val="111111"/>
          <w:sz w:val="28"/>
          <w:szCs w:val="28"/>
          <w:rtl w:val="true"/>
          <w:lang w:bidi="ar-SA"/>
        </w:rPr>
        <w:t xml:space="preserve">. </w:t>
      </w:r>
      <w:bookmarkStart w:id="471" w:name="pg10155_105437"/>
    </w:p>
    <w:p>
      <w:pPr>
        <w:pStyle w:val="Heading3"/>
        <w:numPr>
          <w:ilvl w:val="2"/>
          <w:numId w:val="1"/>
        </w:numPr>
        <w:rPr/>
      </w:pPr>
      <w:bookmarkStart w:id="472" w:name="__RefHeading___Toc1272981_1067777946"/>
      <w:bookmarkStart w:id="473" w:name="_Toc166"/>
      <w:bookmarkEnd w:id="471"/>
      <w:bookmarkEnd w:id="472"/>
      <w:r>
        <w:rPr>
          <w:rtl w:val="true"/>
        </w:rPr>
        <w:t>أدلّة القائلين ببطلان العول</w:t>
      </w:r>
      <w:bookmarkEnd w:id="473"/>
    </w:p>
    <w:p>
      <w:pPr>
        <w:pStyle w:val="Heading4"/>
        <w:numPr>
          <w:ilvl w:val="3"/>
          <w:numId w:val="1"/>
        </w:numPr>
        <w:rPr/>
      </w:pPr>
      <w:bookmarkStart w:id="474" w:name="__RefHeading___Toc1272983_1067777946"/>
      <w:bookmarkStart w:id="475" w:name="_Toc167"/>
      <w:bookmarkEnd w:id="474"/>
      <w:r>
        <w:rPr/>
        <w:t>1</w:t>
      </w:r>
      <w:r>
        <w:rPr>
          <w:rtl w:val="true"/>
        </w:rPr>
        <w:t xml:space="preserve">. </w:t>
      </w:r>
      <w:r>
        <w:rPr>
          <w:rtl w:val="true"/>
        </w:rPr>
        <w:t>استلزام العول نسبة الجهل أو العبث إلى الله</w:t>
      </w:r>
      <w:bookmarkEnd w:id="475"/>
    </w:p>
    <w:p>
      <w:pPr>
        <w:pStyle w:val="BookText"/>
        <w:rPr/>
      </w:pPr>
      <w:r>
        <w:rPr>
          <w:rFonts w:ascii="Amiri" w:hAnsi="Amiri" w:eastAsia="Amiri" w:cs="Amiri"/>
          <w:color w:val="111111"/>
          <w:sz w:val="28"/>
          <w:sz w:val="28"/>
          <w:szCs w:val="28"/>
          <w:rtl w:val="true"/>
          <w:lang w:bidi="ar-SA"/>
        </w:rPr>
        <w:t>يستحيل أن يجعل الله تعالى في المال نصفين وثلثاً ، أو ثلثين ونصفاً ونحو ذلك ممّا لا يفي به وإلاّ كان جاهلاً أو عابثاً ،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السهام المنصوصة في الذكر الحكيم ستة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صنفين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البنتان فصاعداً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والأُختان الشقيقتان فصاعداً أو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أصناف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مع عدم الولد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والبنت المنفردة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والأُخت منفردة من الأبوين ، أو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صنفين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مع عدم الولد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الاخوان أو الأُختان أو أخ وأُخت فصاعداً من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صنفين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مع الولد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مع عدم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أصناف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الأبوان مع الولد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مع الحاجب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والأُخت من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فرض صنف واحد وهو الزوجة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فعندئذ يقع الكلام في أنّ الأدلة المتكفّلة لبيان فروض هذه الأصناف هل هي مطلقة ، بمعنى ثبوت الفرض في كافة الصور ، كاجتماع أبوين والبنت مع الزوج ، أو ليس لها ذلك الإطلاق؟</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يلزم عبثية التشريع ولغويته لاستغراق فرض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76" w:name="pg10155_105438"/>
    </w:p>
    <w:p>
      <w:pPr>
        <w:pStyle w:val="BookText"/>
        <w:rPr/>
      </w:pPr>
      <w:bookmarkEnd w:id="476"/>
      <w:r>
        <w:rPr>
          <w:rFonts w:ascii="Amiri" w:hAnsi="Amiri" w:eastAsia="Amiri" w:cs="Amiri"/>
          <w:color w:val="111111"/>
          <w:sz w:val="28"/>
          <w:sz w:val="28"/>
          <w:szCs w:val="28"/>
          <w:rtl w:val="true"/>
          <w:lang w:bidi="ar-SA"/>
        </w:rPr>
        <w:t xml:space="preserve">فرض البنت المنفردة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مجموع التركة وعدم اتساعها لفرض الأبوين وهو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يلزم الوقوف على من قدّمه الله سبحانه ومن أخّره لئلاّ يلزم المحذور وهذا هو المطلوب</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272985_1067777946"/>
      <w:bookmarkStart w:id="478" w:name="_Toc168"/>
      <w:bookmarkEnd w:id="477"/>
      <w:r>
        <w:rPr/>
        <w:t>2</w:t>
      </w:r>
      <w:r>
        <w:rPr>
          <w:rtl w:val="true"/>
        </w:rPr>
        <w:t xml:space="preserve">. </w:t>
      </w:r>
      <w:r>
        <w:rPr>
          <w:rtl w:val="true"/>
        </w:rPr>
        <w:t>استلزامه التناقض والإغراء بالجهل</w:t>
      </w:r>
      <w:bookmarkEnd w:id="478"/>
    </w:p>
    <w:p>
      <w:pPr>
        <w:pStyle w:val="BookText"/>
        <w:rPr/>
      </w:pPr>
      <w:r>
        <w:rPr>
          <w:rFonts w:ascii="Amiri" w:hAnsi="Amiri" w:eastAsia="Amiri" w:cs="Amiri"/>
          <w:color w:val="111111"/>
          <w:sz w:val="28"/>
          <w:sz w:val="28"/>
          <w:szCs w:val="28"/>
          <w:rtl w:val="true"/>
          <w:lang w:bidi="ar-SA"/>
        </w:rPr>
        <w:t xml:space="preserve">إنّ القول بالعول يؤدّي إلى التناقض والإغراء بالجهل ، أمّا التناقض فقد بيّنا عند تفصيل القول بالعول أنّه إذا مات وترك أبوين وبنتين وزوجاً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فريضتهم من اثني عشر ، فمعنى ذلك أنّ للأوّلين أربعة من اثني عشر ، وللثانيتين ، ثمانية من اثني عشر ، وللزوج ثلاثة من اثني عشر ، فإذا أعلناها إلى خمسة عشر فأعطينا الأبوين أربعة من خمسة عشر وللبنتين ثمانية من خمسة عشر ، وللأبوين أربعة من خمسة عشر ، فقد دفعنا للأبوين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وثلثه ، وإلى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 وإلى الابنتين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وخمساً ، وذلك نفس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الإغراء بالجهل ، فقد سمّى الله سبحانه ، الخمس وثلثه باسم الثلث ، والخُمس باسم الربع ، وثلثاً وخمساً باسم الثلثين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جعل الدليل الأوّل والثاني ، دليلاً واحداً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الله سبحانه في المال نصفين وثلثاً ، فأمّا أن يجعلها بلا ضم 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 يلزم كونه سبحانه جاهلاً أو عابثاً تعالى عن ذلك ، وأمّا أن يجعل مع النظر إلى حلول مثل العول ، يلزم التناقض بين القول والعمل ، والإغراء مع كونه قبيحاً</w:t>
      </w:r>
      <w:r>
        <w:rPr>
          <w:rFonts w:eastAsia="Amiri" w:cs="Amiri" w:ascii="Amiri" w:hAnsi="Amiri"/>
          <w:color w:val="111111"/>
          <w:sz w:val="28"/>
          <w:szCs w:val="28"/>
          <w:rtl w:val="true"/>
          <w:lang w:bidi="ar-SA"/>
        </w:rPr>
        <w:t xml:space="preserve">. </w:t>
      </w:r>
      <w:bookmarkStart w:id="479" w:name="pg10155_105439"/>
    </w:p>
    <w:p>
      <w:pPr>
        <w:pStyle w:val="Heading4"/>
        <w:numPr>
          <w:ilvl w:val="3"/>
          <w:numId w:val="1"/>
        </w:numPr>
        <w:rPr/>
      </w:pPr>
      <w:bookmarkStart w:id="480" w:name="__RefHeading___Toc1272987_1067777946"/>
      <w:bookmarkStart w:id="481" w:name="_Toc169"/>
      <w:bookmarkEnd w:id="479"/>
      <w:bookmarkEnd w:id="480"/>
      <w:r>
        <w:rPr/>
        <w:t>3</w:t>
      </w:r>
      <w:r>
        <w:rPr>
          <w:rtl w:val="true"/>
        </w:rPr>
        <w:t xml:space="preserve">. </w:t>
      </w:r>
      <w:r>
        <w:rPr>
          <w:rtl w:val="true"/>
        </w:rPr>
        <w:t>يلزم تفضيل النساء على الرجال</w:t>
      </w:r>
      <w:bookmarkEnd w:id="481"/>
    </w:p>
    <w:p>
      <w:pPr>
        <w:pStyle w:val="BookText"/>
        <w:rPr/>
      </w:pPr>
      <w:r>
        <w:rPr>
          <w:rFonts w:ascii="Amiri" w:hAnsi="Amiri" w:eastAsia="Amiri" w:cs="Amiri"/>
          <w:color w:val="111111"/>
          <w:sz w:val="28"/>
          <w:sz w:val="28"/>
          <w:szCs w:val="28"/>
          <w:rtl w:val="true"/>
          <w:lang w:bidi="ar-SA"/>
        </w:rPr>
        <w:t xml:space="preserve">لو قلنا بالعول يلزم تفضيل النساء على الرجال في موارد ، ومن المعلوم أنّه يخالف روح الشريعة الإسلامية ، ولنذكر نموذجاً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ماتت المرأة عن زوج وأبوين وبنتاً ، فالتركة لا تتسع لنصفين وثلثاً ، فلو قلنا بالعول ارتفعت السهام 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 فللبنت منها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وللأبوين منها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وللزوج منها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صورة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الزوج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البنت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الأبوين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الزوج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سهم البنت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سهم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الصورة على القول بالعول صار سهم البنت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الابن مكان البنت ، أُعطي الأبوان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من أصل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 والزوج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من أصل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والباقي وهو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للابن فصار سهم الابن أقلّ من سهم البنت ، وهذا التالي الفاسد جاء من القول بالعول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ذلك الدليل في رواية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عن محمد بن مسلم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ماتت وتركت زوجها وأبويها وابنتها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الربع ثلاثة أسهم من اثني عشر سهماً ، وللأبوين لكلّ واحد منهما السدس سهمين من اثني عشر سهماً ، وبقي خمسة أسهم فهي للابنة ، لأنّه لو كان ذكراً لم يكن له أكثر من خمسة أسهم من اثني عشر سهماً ، لأنّ الأبوين لا ينقصان كلّ واحد منهما في السدس شيئاً وانّ الزوج لا ينقص من الربع شيئاً</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الإشارة إلى بعض هذه الصور التي يلزم على القول بالعول </w:t>
      </w:r>
      <w:bookmarkStart w:id="482" w:name="pg10155_105440"/>
    </w:p>
    <w:p>
      <w:pPr>
        <w:pStyle w:val="BookText"/>
        <w:rPr/>
      </w:pPr>
      <w:bookmarkEnd w:id="482"/>
      <w:r>
        <w:rPr>
          <w:rFonts w:ascii="Amiri" w:hAnsi="Amiri" w:eastAsia="Amiri" w:cs="Amiri"/>
          <w:color w:val="111111"/>
          <w:sz w:val="28"/>
          <w:sz w:val="28"/>
          <w:szCs w:val="28"/>
          <w:rtl w:val="true"/>
          <w:lang w:bidi="ar-SA"/>
        </w:rPr>
        <w:t>زيادة نصيب النساء على الرجال في الروايات</w:t>
      </w:r>
      <w:r>
        <w:rPr>
          <w:rFonts w:eastAsia="Amiri" w:cs="Amiri" w:ascii="Amiri" w:hAnsi="Amiri"/>
          <w:color w:val="111111"/>
          <w:sz w:val="28"/>
          <w:szCs w:val="28"/>
          <w:rtl w:val="true"/>
          <w:lang w:bidi="ar-SA"/>
        </w:rPr>
        <w:t xml:space="preserve">. </w:t>
      </w:r>
      <w:r>
        <w:rPr>
          <w:rStyle w:val="FootnoteAnchor"/>
          <w:rtl w:val="true"/>
        </w:rPr>
        <w:footnoteReference w:id="446"/>
      </w:r>
    </w:p>
    <w:p>
      <w:pPr>
        <w:pStyle w:val="Heading3"/>
        <w:numPr>
          <w:ilvl w:val="2"/>
          <w:numId w:val="1"/>
        </w:numPr>
        <w:rPr/>
      </w:pPr>
      <w:bookmarkStart w:id="483" w:name="__RefHeading___Toc1272989_1067777946"/>
      <w:bookmarkStart w:id="484" w:name="_Toc170"/>
      <w:bookmarkEnd w:id="483"/>
      <w:r>
        <w:rPr>
          <w:rtl w:val="true"/>
        </w:rPr>
        <w:t xml:space="preserve">الرابع </w:t>
      </w:r>
      <w:r>
        <w:rPr>
          <w:rtl w:val="true"/>
        </w:rPr>
        <w:t xml:space="preserve">: </w:t>
      </w:r>
      <w:r>
        <w:rPr>
          <w:rtl w:val="true"/>
        </w:rPr>
        <w:t>تصريح أئمّة أهل البيت ببطلان العول</w:t>
      </w:r>
      <w:bookmarkEnd w:id="484"/>
    </w:p>
    <w:p>
      <w:pPr>
        <w:pStyle w:val="Heading4"/>
        <w:numPr>
          <w:ilvl w:val="3"/>
          <w:numId w:val="1"/>
        </w:numPr>
        <w:rPr/>
      </w:pPr>
      <w:bookmarkStart w:id="485" w:name="__RefHeading___Toc1272991_1067777946"/>
      <w:bookmarkStart w:id="486" w:name="_Toc171"/>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قد تضافرت الروايات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بطلان العول ، وإليك طائفة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عن محمد بن مسلم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السهام لا تعول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كتاب الفرائض التي هي إملاء رسول الله وخط علي بيده فإذا فيها انّ السهام لا تعول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الشيخ الطوسي بسنده عن أبي بكر الحضرمي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يحصي رمل عالج ليعلم أنّ السهام لا تعول من ستة ، فمن شاء لاعنته عند الحجر انّ السهام لا تعول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تعول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وإن زادت ولكن لا تزيد أُصولها على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الروايات التي رواها الشيخ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Style w:val="FootnoteAnchor"/>
          <w:rtl w:val="true"/>
        </w:rPr>
        <w:footnoteReference w:id="447"/>
      </w:r>
    </w:p>
    <w:p>
      <w:pPr>
        <w:pStyle w:val="Heading4"/>
        <w:numPr>
          <w:ilvl w:val="3"/>
          <w:numId w:val="1"/>
        </w:numPr>
        <w:rPr/>
      </w:pPr>
      <w:bookmarkStart w:id="487" w:name="__RefHeading___Toc1272993_1067777946"/>
      <w:bookmarkStart w:id="488" w:name="_Toc172"/>
      <w:bookmarkEnd w:id="487"/>
      <w:r>
        <w:rPr>
          <w:rtl w:val="true"/>
        </w:rPr>
        <w:t>أُسلوب علاج العول من منظار روائي</w:t>
      </w:r>
      <w:bookmarkEnd w:id="48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أئمّة أهل البيت أنكروا العول ، ولم يكتفوا بالإنكار فحسب ، بل وضعوا الحلول المناسبة لعلاجه والتي وردت في روايات كثيرة ، نختار منها </w:t>
      </w:r>
    </w:p>
    <w:p>
      <w:pPr>
        <w:pStyle w:val="BookText"/>
        <w:rPr/>
      </w:pPr>
      <w:r>
        <w:rPr>
          <w:rFonts w:ascii="Amiri" w:hAnsi="Amiri" w:eastAsia="Amiri" w:cs="Amiri"/>
          <w:color w:val="111111"/>
          <w:sz w:val="28"/>
          <w:sz w:val="28"/>
          <w:szCs w:val="28"/>
          <w:rtl w:val="true"/>
          <w:lang w:bidi="ar-SA"/>
        </w:rPr>
        <w:t>طائفة ، ومن أراد التفصيل فعليه ، فليرجع إلى الجوامع 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ذكره ابن عباس وقد أخذه عن إمامه وأُستاذه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ذكره فلنقتصر على محل الشاهد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لو قدّم من قدّم الله وأخّر من أخّر الله ما عالت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وأيّها قدّم وأيّها أخّر؟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عن فريضة إلاّ إلى فريضة فهذا ما قدّم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فريضة إذا زالت عن فرضها لم يبق لها إلاّ ما بقى ، فتلك التي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فالزوج له النصف فإذا دخل عليه ما يزيله عنه رجع إلى الربع لا يزيله عنه شيء ؛ والزوجة لها الربع ، فإذا دخل عليها ما يزيلها عنه صارت إلى الثمن لا يزيلها عنه شيء ؛ والأُم لها الثلث فإذا زالت عنه صارت إلى السدس ، ولا يزيلها عنه شيء ، فهذه الفرائض التي قدّم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ففريضة البنات والأخوات لها النصف والثلثان ، فإذا أزالتهنّ الفرائض عن ذلك لم يكن لهنّ إلاّ ما بقى ، فتلك التي أخّر ؛ فإذا اجتمع ما قدّم الله وما أخّر بدئ بما قدّم الله فأُعطي حقّه كاملاً ، فإن بقى شيء كان لمن أخّر ، وإن لم يبق شيء فلا شيء له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فقد جاء في كلام ابن عباس الطوائف الذين لا يدخل عليهم النقص وهم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 وهؤلاء يشتركون في أنّهم لا يهبطون عن</w:t>
      </w:r>
    </w:p>
    <w:p>
      <w:pPr>
        <w:pStyle w:val="BookText"/>
        <w:rPr/>
      </w:pPr>
      <w:r>
        <w:rPr>
          <w:rFonts w:ascii="Amiri" w:hAnsi="Amiri" w:eastAsia="Amiri" w:cs="Amiri"/>
          <w:color w:val="111111"/>
          <w:sz w:val="28"/>
          <w:sz w:val="28"/>
          <w:szCs w:val="28"/>
          <w:rtl w:val="true"/>
          <w:lang w:bidi="ar-SA"/>
        </w:rPr>
        <w:t>فريضة إلاّ إلى فريضة أُخرى ، وهذا دليل على أنّ سهامهم محدودة لا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 أن يذكر الأخ والأُخت من أُمّ ، لأنّهم أيضاً لا يهبطون من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سهم آخر وهو السدس ، وقد جاء الجميع في كلام الإمام أمير المؤمنين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عمر العبدي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من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الثلثان أربعة أسهم ، والنصف ثلاثة أسهم ، والثلث سهمان ، والربع سهم ونصف ، والثمن ثلاثة أرباع سهم ، ولا يرث مع الولد إلاّ الأبوان والزوج والمرأة ، ولا يحجب الأُمّ عن الثلث إلاّ الولد والإخوة ، ولا يزاد الزوج عن النصف ولا ينقص من الربع ، ولا تزاد المرأة على الربع ولا تنقص عن الثمن ، وإن كنّ أربعاً أو دون ذلك فهنّ فيه سواء ، ولا تزاد الإخوة من الأُمّ على الثلث ولا ينقصون من السدس وهم فيه سواء الذكر والأُنثى ، ولا يحجبهم عن الثلث إلاّ الولد ، والوالد ، والدية تقسم على من أحرز الميراث</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بصير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يدخل عليهم ضرر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 والزوج ، والمرأة</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وبما أنّ المراد من المرأة هي الزوجة فلا بدّ من تقييد الرواية بإدخال كلالة الأُمّ فيها ، لأنّها أيضاً لا يدخل عليها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هؤلاء من قدّمهم الله ولا يزيد عليهم النقص ، فيكون من أخّره الله عبارة عن البنت أو البنتين أو من يتقرّب بالأب والأُم أو بالأب من الأُخت أو الأخوات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تركت زوجها وإخوتها لأُمّها وإخوة وأخوات لأبيها؟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للزوج النصف ثلاثة </w:t>
      </w:r>
      <w:bookmarkStart w:id="489" w:name="pg10155_105443"/>
    </w:p>
    <w:p>
      <w:pPr>
        <w:pStyle w:val="BookText"/>
        <w:rPr/>
      </w:pPr>
      <w:bookmarkEnd w:id="489"/>
      <w:r>
        <w:rPr>
          <w:rFonts w:ascii="Amiri" w:hAnsi="Amiri" w:eastAsia="Amiri" w:cs="Amiri"/>
          <w:color w:val="111111"/>
          <w:sz w:val="28"/>
          <w:sz w:val="28"/>
          <w:szCs w:val="28"/>
          <w:rtl w:val="true"/>
          <w:lang w:bidi="ar-SA"/>
        </w:rPr>
        <w:t xml:space="preserve">أسهم ، ولإخوتها من أُمّها الثلث سهمان الذكر والأُنثى فيه سواء ، وما بقي سهم للإخوة والأخوات من الأب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السهام لا تعول ، ولأنّ الزوج لا ينقص من النصف ، ولا الإخوة من الأُمّ من ثلثهم فإن كانوا أكثر من ذلك فهم شركاء في الثلث</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تعبير لطيف في رواية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المأمون وهو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وذو السهم أحقّ ممّن لا سهم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90" w:name="__RefHeading___Toc1272995_1067777946"/>
      <w:bookmarkStart w:id="491" w:name="_Toc173"/>
      <w:bookmarkEnd w:id="490"/>
      <w:r>
        <w:rPr>
          <w:rtl w:val="true"/>
        </w:rPr>
        <w:t>ما الفرق بين البنت وكلالة الأُمّ؟</w:t>
      </w:r>
      <w:bookmarkEnd w:id="491"/>
    </w:p>
    <w:p>
      <w:pPr>
        <w:pStyle w:val="BookText"/>
        <w:rPr/>
      </w:pPr>
      <w:r>
        <w:rPr>
          <w:rFonts w:ascii="Amiri" w:hAnsi="Amiri" w:eastAsia="Amiri" w:cs="Amiri"/>
          <w:color w:val="111111"/>
          <w:sz w:val="28"/>
          <w:sz w:val="28"/>
          <w:szCs w:val="28"/>
          <w:rtl w:val="true"/>
          <w:lang w:bidi="ar-SA"/>
        </w:rPr>
        <w:t>بقي الكلام في عدّ البنت والبنات والأُخت والأخوات ، ممّن يدخل عليهم النقص دون الأُخت والأخ من الأُمّ ، مع أنّ الطوائف الثلاث على وتيرة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الثلثان والنصف ، وللأُخت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الثلثان والنصف ، ولكلالة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الفارق بين الطائفة الثالثة والأُوليين؟</w:t>
      </w:r>
    </w:p>
    <w:p>
      <w:pPr>
        <w:pStyle w:val="BookText"/>
        <w:rPr/>
      </w:pPr>
      <w:r>
        <w:rPr>
          <w:rFonts w:ascii="Amiri" w:hAnsi="Amiri" w:eastAsia="Amiri" w:cs="Amiri"/>
          <w:color w:val="111111"/>
          <w:sz w:val="28"/>
          <w:sz w:val="28"/>
          <w:szCs w:val="28"/>
          <w:rtl w:val="true"/>
          <w:lang w:bidi="ar-SA"/>
        </w:rPr>
        <w:t xml:space="preserve">يتّضح الجواب ببيان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دخول الأخ في كلالة الأُمّ ، لا يخرجها عن كونها وارثة بالفرض ، فالواحد منها سواء كان ذكراً أم أُنثى له السدس ، وغير الواحد ، سواء كان ذكراً أم أُنثى ، أو ذكراً وأُنثى لهم الثلث يقتسمون بالمناصفة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الطائفتين الأُوليين فللبنت والأُخت الواحدتين النصف ، ولأزيد من الواحد الثلثان ، ولو انضمّ إليهما الأخ فللذكر مثل حظّ الأُنثيين في الطائفتين ، أي لا يرثن بالفرض بل بالقرابة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فكلالة الأُمّ مطلقاً وارثة بالفرض لا ترث إلاّ به ، بخلاف البنت وأزيد ، أو الأُخت وأزيد ، فربّما يرثن بالقرابة وذلك فيما إذا انضمّ إليهنّ الأخ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ما ذكرنا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كلالة الأُمّ ، ترث بالفرض مطلقاً كان معهم ذكر أو لا ، تفرّدت من الطبقة بالإرث أو لا ، فلو لم يكن وارث سواها وكانت واحدة ترث السدس ، وإن كانت غير واحدة ترث الثلث فرضاً والباقي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ينقص حظّهم في صورة من الصور لو لم يزد عند الرد ، وهذا آية عدم ورود النقص عند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فيهم أيّ إزالة من الفرض في حال من الحالات إلاّ إلى فرض آخر ولا ورود نقص عليهم عند تطوّر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البنت والأُخت فلو دخل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 يتغيّر الفرض من النصف أو الثلثين ، إلى مجموع ما ترك بعد دفع سهام الآخرين كالوالدين ، أو كلالة الأُمّ ، ثم يقتسمون بالتثليث وتنقص حظوظ البنت أو البنات أو الأُخت والأخوات عن النصف والثلثين بكثير ، وهذا آية جواز دخول النقص عليهم عند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كلالة الأُمّ ترث دائماً بالفرض حتى فيما إذا تفرّدت ، وأمّا الطائفتان الأُوليتان فإنّما ترثان بالفرض تارة كما إذا لم يكن بينهم أخ ، وأُخرى بالقرابة فقط كما إذا انضمّ الأخ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كلالة الأُمّ لا يرد عليها النقص ولا ينقص حظهم عن الثلث والسدس ، بخلاف الأخيرتين فينقص حظّهما عن النصف والثلثين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ما ذكرنا من التوضيح يشير صاحب الجواهر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من يتقرّب بالأُم الذي لا يرث إلاّ بفرض ، بخلاف غيره فإنّه يرث به تارة وبالقرابة أُخرى كالبنت والبنتين ، اللَّتين ينقص إذا اجتمعن مع البنين عن النصف أو الثلثين بنصّ الآية ، لأنّ للذكر حينئذ مثل حظّ الأُنثيين</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النقص على البنت والبنات ، لأنّهنّ إذا اجتمعن مع </w:t>
      </w:r>
    </w:p>
    <w:p>
      <w:pPr>
        <w:pStyle w:val="BookText"/>
        <w:rPr/>
      </w:pPr>
      <w:r>
        <w:rPr>
          <w:rFonts w:ascii="Amiri" w:hAnsi="Amiri" w:eastAsia="Amiri" w:cs="Amiri"/>
          <w:color w:val="111111"/>
          <w:sz w:val="28"/>
          <w:sz w:val="28"/>
          <w:szCs w:val="28"/>
          <w:rtl w:val="true"/>
          <w:lang w:bidi="ar-SA"/>
        </w:rPr>
        <w:t xml:space="preserve">البنين ربّما نقص عن العشر أو نصفه لنصّ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الحال في الإخوة والأخوات من قبل الأب أو من قبلهما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النقص داخلاً على الأب أو البنت أو البنتين ، أو من يتقرّب بالأب والأُم أو بالأب من الأُخت والأخوات دون من يتقرّب بالأُم</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وليعلم أنّ عامل العول هو الزوج أو الزوجة إذا اجتمع أحدهما مع البنت أو البنات ، أو مع الأُخت أو الأخوات من قبل الأبوين أو لأب ، وإلاّ لم يلزم 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خلفت زوجاً وأبوين وبنتاً ، يختصّ النقص بالبنت بعد الربع والسدس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خلّفت زوجاً وأحد الأبوين وبنتين ، يختصّ النقص بهما بعد الربع والسدس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خلّف زوجة وأبوين وبنتين ، يختصّ النقص بهما بعد الثمن والسدسين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خلّفت زوجاً مع كلالة الأُمّ وأُختاً أو أخوات لأب وأُم أو لأب ، يدخل النقص بالأُخت أو الأخوات بعد النصف والسدس إن كانت الكلالة واحدة أو الثلث إن كانت متعدّدة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ذكرناه من أنّ عامل العول هو الزوج والزوجة إنّما يتم على أُصولنا في الإرث ، وأمّا على أُصول غيرنا فيأتي العول من غير جهة الزوج والزوجة ، كما إذا مات عن أبوين مع الأُختين ، فانّهما لا يرثان على أُصولنا مع وجود الأبوين ، لأنّهما أقرب من الأُختين بخلافه على أُصول غيرنا حيث ترث الأُختين بالتعصيب ، </w:t>
      </w:r>
      <w:bookmarkStart w:id="492" w:name="pg10155_105446"/>
    </w:p>
    <w:p>
      <w:pPr>
        <w:pStyle w:val="BookText"/>
        <w:rPr/>
      </w:pPr>
      <w:bookmarkEnd w:id="492"/>
      <w:r>
        <w:rPr>
          <w:rFonts w:ascii="Amiri" w:hAnsi="Amiri" w:eastAsia="Amiri" w:cs="Amiri"/>
          <w:color w:val="111111"/>
          <w:sz w:val="28"/>
          <w:sz w:val="28"/>
          <w:szCs w:val="28"/>
          <w:rtl w:val="true"/>
          <w:lang w:bidi="ar-SA"/>
        </w:rPr>
        <w:t>فعندئذ يلزم العول ، لأنّ فرض الأُمّ عند عدم الولد للميت هو الثلث وفرض الأُختين هو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يبقى من التركة للأب شيء إذا بدأنا بالأُم والأُختين</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272997_1067777946"/>
      <w:bookmarkStart w:id="494" w:name="_Toc174"/>
      <w:bookmarkEnd w:id="493"/>
      <w:r>
        <w:rPr>
          <w:rtl w:val="true"/>
        </w:rPr>
        <w:t xml:space="preserve">بقيت هنا نكات نذكرها </w:t>
      </w:r>
      <w:r>
        <w:rPr>
          <w:rtl w:val="true"/>
        </w:rPr>
        <w:t>:</w:t>
      </w:r>
      <w:bookmarkEnd w:id="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الآثار المروية عن ابن عباس تشهد على أنّ حبر الأُمّة كان صارماً في رأيه ببطلان العول إلى حد كان معه مستعدّاً للمباهلة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عباس أنّه قال في زوج وأُخت 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أنّ المسائل لا تعول ، إنّ الذي أحصى رمل عالج عدداً ، أعدل من أن يجعل في مال نصفاً ونصفاً وثلثاً ، هذان نصفان ذهبا بالمال فأين موضع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هذه المسألة ، مسألة المباهلة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 الغريب انّ العول أسفر عن طرح مسائل اشتهرت بألقاب خاصة نذكر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وصورتها إذا ماتت المرأة عن زوج وأُمّ وأُخت وجدّ ، فللزوج النصف وللأُمّ الثلث وللأُخت النصف وللجد السدس ، وتسمّى هذه المسألة الأكدريّة ، قيل لأنّ عبد الملك بن مروان سأل عنها رجلاً اسمه الأكدر ، وقد اختلفت فتاوى فقهاء السنة بل التابعين في المسألة ، والمسألة من فروع العول حتّى ولو لم نقل انّ للجدّ سهماً في المقام ، لأنّ للزوج النصف وللأُخت النصف وللأُمّ الثلث فلا تتسع التركة لهذه الفروض فكيف إذا قلنا بوجوب السدس للجد؟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وصورتها ست أخوات متفرقات وزوج ، للزوج النصف وللأُختين لأبوين الثلثان وللأُختين لأُم الثلث ، سميت المروانيّة لوقوعها في فرض مروان بن </w:t>
      </w:r>
    </w:p>
    <w:p>
      <w:pPr>
        <w:pStyle w:val="BookText"/>
        <w:rPr/>
      </w:pPr>
      <w:r>
        <w:rPr>
          <w:rFonts w:ascii="Amiri" w:hAnsi="Amiri" w:eastAsia="Amiri" w:cs="Amiri"/>
          <w:color w:val="111111"/>
          <w:sz w:val="28"/>
          <w:sz w:val="28"/>
          <w:szCs w:val="28"/>
          <w:rtl w:val="true"/>
          <w:lang w:bidi="ar-SA"/>
        </w:rPr>
        <w:t>الحكم ، وتسمّى العراء لاشتهارها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ألقاب أُخرى لبعض المسائل في الموسوعة الفقهية</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وإن كان بعض هذه الصور خارجاً عن مسألة العول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القول بالعول لا يصمد أمام الأدلّة الدالّة على خلافه ، والذي يصدّ الفقهاء الأربعة والتابعين عن العدول عن العول هو إفتاء عمر بن الخطاب بالعول ، وقد عرفت أنّ الرجل كان مهاباً لا يجرأ أحد على مخالفته ، ولم يكن الخليفة ملمّاً بأحكام الفرائض ، ولذلك كان يفتي بحكم في واقعة يخالفها في واقعة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البيهقي في سننه عن عبيدة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لأحفظ عن عمر في الجد مائة قضية كلّها ينقض بعضها بعضاً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ولا بأس بنقل ما قضى به في مسألة سمّيت بالحمارية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البيهقي بسنده عن الحكم بن مسعود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عمرَ بن الخطاب أشرك الإخوة من الأب والأُم مع الإخوة من الأُمّ في الثلث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في هذا عام أوّل بغير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للإخوة من الأُمّ ولم تجعل للإخوة من الأب والأُمّ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على ما قضينا وهذا على ما قضينا</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وفي رواية السرخسي انّ الإخوة لأب وأُم سألوا عمر عن هذه المسألة ، فأفتى بنفي التشريك كما كان يقوله أوّلاً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 أبانا كان حماراً ، ألسنا من أُمّ واحدة؟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ورجع إلى القول بالتشريك</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ذلك سمّيت هذه المسألة بالحمارية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فقيه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كان يستحسن فتوى ابن عباس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الحجّة لو لا أنّه تقدّم عليه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عبد الله وزفر بن أوس البصري أنّهما سألا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من أعال الفرائض؟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أشرت به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هبته وكان أمره مهيباً ، 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تقدّم ابن عباس ، إمام عدل وحكم به وأمضاه وتابعه الناس على ذلك ، لما اختلف على ابن عباس اثنان</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أطنب موسى جار الله في الكلام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مملّ جداً وأخذ يجترّ كلاماً واحداً ، وحصيلة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على ظنّي أنّ القول بأنّ لا عول عند الشيعة ، قول ظاهري ، فإنّ العول هو النقص ، فإن كان النقص في جميع السهام بنسبة متناسبة ، فهو العول العادل أخذت به الأُمّة وقد حافظت على نصوص الكتاب ، وإن كان النقص في سهم المؤخّر ، فهو العول الجائر أخذت به الشيعة وخالفت به نصوص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المناسب للعول في المقام هو الارتفاع أو الميل إلى الجور ، وتفسيره بالنقص وإن كان صحيحاً كما مرّ في صدر المسألة لكن الأنسب في المقام هو الزيادة ، لظهور ارتفاع الفرائض عن سهام التركة ، وارتفاعها وإن كان ملازماً لنقص التركة عن الإجابة لجميع الفروض ، لكن ينظر إلى المسألة من زاوية ارتفاع الفرائض دون نقصان سهام التركة ، ولأجل ذلك يقول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لو قدّموا من قدّم الله ، وأخّروا من أخّر الله ما عالت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عدم صحّة تفسيره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نقصت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العول بمعنى النقص لكن رمي الشيعة بأنّهم يقولون به حيث إنّهم يوردون النقص على المؤخّر ، غفلة من نظره ، فانّ النقص إنّما يتصوّر إذا كان المؤخّر ذا فرض ، ولكنّه عندهم ليس بذي فرض ، بل يرث بالقرابة كسائر من يرثون بها ، وعندئذ لا يصدق النقص أبداً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بذلك كلام ابن عباس حيث يفسّر المقدّم بأنّه ممّن له فرضان ، والمؤخّر بأنّه ممّن ليس له إلاّ فرض واحد وهو في غير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سأله عمّن قدّمه ومن أخّره؟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أهبطه من فرض إلى فرض فذلك الذي قدّمه ، والذي أهبطه من فرض إلى ما بقى فذلك الذي أخّره الله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أخّره الله لم يجعل له حقّاً مفروضاً في حالة التزاحم والاجتماع فيرث ما بقى ، وليس هو بذي فرض في هذا الفرض لكونه وارثاً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تبيّن أنّه لا عول عند الشيعة بالمعنى المصطلح عند الفقهاء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 السنّة حافظت على نصوص الكتاب ولكن الشيعة بإدخال النقص على المؤخّر خالفت نصوصه ، من أعاجيب الكلام ، فإذا كان في دخول النقص على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لظاهر الكتاب ، ففي دخولها على الجميع مخالفة مضاعفة ، فقد عرفت في ما سبق أنّ من فرض الله له النصف أعطوه أقلّ منه ، ومن فرض له الثلثان أعطوه أقلّ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يكون فيه مخالفة</w:t>
      </w:r>
      <w:r>
        <w:rPr>
          <w:rFonts w:eastAsia="Amiri" w:cs="Amiri" w:ascii="Amiri" w:hAnsi="Amiri"/>
          <w:color w:val="111111"/>
          <w:sz w:val="28"/>
          <w:szCs w:val="28"/>
          <w:rtl w:val="true"/>
          <w:lang w:bidi="ar-SA"/>
        </w:rPr>
        <w:t xml:space="preserve">. </w:t>
      </w:r>
      <w:r>
        <w:rPr>
          <w:rStyle w:val="FootnoteAnchor"/>
          <w:rtl w:val="true"/>
        </w:rPr>
        <w:footnoteReference w:id="461"/>
      </w:r>
      <w:bookmarkStart w:id="495" w:name="pg10155_105450"/>
    </w:p>
    <w:p>
      <w:pPr>
        <w:pStyle w:val="Heading2"/>
        <w:numPr>
          <w:ilvl w:val="1"/>
          <w:numId w:val="1"/>
        </w:numPr>
        <w:rPr/>
      </w:pPr>
      <w:bookmarkStart w:id="496" w:name="__RefHeading___Toc1272999_1067777946"/>
      <w:bookmarkStart w:id="497" w:name="_Toc175"/>
      <w:bookmarkEnd w:id="495"/>
      <w:bookmarkEnd w:id="496"/>
      <w:r>
        <w:rPr/>
        <w:t>24</w:t>
      </w:r>
      <w:r>
        <w:rPr>
          <w:rtl w:val="true"/>
        </w:rPr>
        <w:t xml:space="preserve">- </w:t>
      </w:r>
      <w:r>
        <w:rPr>
          <w:rtl w:val="true"/>
        </w:rPr>
        <w:t>التقية في الكتاب والسنّة</w:t>
      </w:r>
      <w:bookmarkEnd w:id="49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1273001_1067777946"/>
      <w:bookmarkStart w:id="499" w:name="_Toc176"/>
      <w:bookmarkEnd w:id="498"/>
      <w:r>
        <w:rPr>
          <w:rtl w:val="true"/>
        </w:rPr>
        <w:t>اشارة</w:t>
      </w:r>
      <w:bookmarkEnd w:id="49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تُعنى الشعوب الحيّة بتاريخها ، وتقف طويلاً عند أحداثه ووقائعه ، وتتطلّع إلى ما يزخر به من مواقف مضيئة ، ساهم في صنعها العظماء ، لتستهدي بها في بناء حاضرها ومستقبلها ، وتعزير وجودها وكيانها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ذات الوقت لا تنفكّ عن ملاحظة ما شابَ تاريخَها من مساحات سوداء وصفحات مظلمة ، ودراسة الأسباب التي أدت إلى تواجدها ، بهدف إثراء التجربة وإنماء الوعي وصولاً إلى رسم حاضر ومستقبل زاهر ، تضيق فيه تلك المساحات أو تزول ، على حسب ما تتمتع به هذه الشعوب من وعي وعزم وإرادة تحثّها على تجاوز أسباب الضعف والتخلف والتقهقر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دراسة وإعادة تقييم على ضوء الأفكار والمعطيات الجديدة والمناهج الحديثة لكي تنتفع به الأُمّة في مسيرتها الفكرية والاجتماعية والسياسية ، فإنّ التاريخ الإسلامي لا يشذّ عن ذلك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حاجة إلى ذلك من غيره ، لتعدّد وتنوّع العوامل التي ساهمت في العبث به تحريفاً للحقائق وتزويراً للأقوال واختلافاً للأحداث</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دُوِّن جانب كبير من تاريخنا بيد حكام الجور من بني أُميّة وبني العباس وأشياعهم من تجّار الحديث والتاريخ ، وبيد مستسلمة أهل الكتاب وغيرهم من أصحاب الأهواء والأطماع والأحقاد ، الذين جهدوا في طمس الحقائق ونشر الأباطيل وترويج الأكاذيب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لا شكّ فيه أنّ أتباع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نالهم على مرّ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التشويه والطعن والتحامل نصيب وافر ، ولا زالت معاناتهم في هذا المجال قائمة ، ولله درّ الشاعر الأزري ،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بعصرك ما الأهواءُ تكتبهُ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يُنْبِئْكَ عمّا جرى في سالف الحُقُبِ</w:t>
      </w:r>
    </w:p>
    <w:p>
      <w:pPr>
        <w:pStyle w:val="BookText"/>
        <w:rPr/>
      </w:pPr>
      <w:r>
        <w:rPr>
          <w:rFonts w:ascii="Amiri" w:hAnsi="Amiri" w:eastAsia="Amiri" w:cs="Amiri"/>
          <w:color w:val="111111"/>
          <w:sz w:val="28"/>
          <w:sz w:val="28"/>
          <w:szCs w:val="28"/>
          <w:rtl w:val="true"/>
          <w:lang w:bidi="ar-SA"/>
        </w:rPr>
        <w:t>لقد آن الأوان لإماطة اللثام عن وجه الحقيقة ، ورفع الحيف عن المظلومين من خلال دراسة جادّة للتاريخ ، تُعيد تفسير أحداثه ووقائعه انطلاقاً من مقاييس وموازين ومفاهيم صحيحة تعتمد الصدق والاخلاص والأمانة التاريخية والمناهج العلمية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نعتقد أنّ النقد البنّاء للتاريخ لإجلاء حقائقه سوف ينعكس بنتائجه الايجابية على حاضرنا ومستقبلنا ويوطّد عرى الوحدة والتعاون بين المسلمين ، ويذيب الخلافات بينهم والصراعات التي تُنهك القوى وتُبعثر الجهود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النقد يُصلحُ للشعوب كيانَها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وتُماثُ فيه الفتنة الصمّاء</w:t>
      </w:r>
    </w:p>
    <w:p>
      <w:pPr>
        <w:pStyle w:val="BookText"/>
        <w:rPr/>
      </w:pPr>
      <w:r>
        <w:rPr>
          <w:rFonts w:ascii="Amiri" w:hAnsi="Amiri" w:eastAsia="Amiri" w:cs="Amiri"/>
          <w:color w:val="111111"/>
          <w:sz w:val="28"/>
          <w:sz w:val="28"/>
          <w:szCs w:val="28"/>
          <w:rtl w:val="true"/>
          <w:lang w:bidi="ar-SA"/>
        </w:rPr>
        <w:t xml:space="preserve">وإذا تمّ اعتماد ما سبق ، وكُسرت قيود التعصب ، وأُغمد سيف التهديد والإرعاب ، فإنّ الآفاق ستتسع للتعبير الأفكار والمفاهيم والرؤى دون خوف أو وجل ، وعندها سترحل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اشتهر بالعمل بها أتباع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واقعنا ، وسيحلّ محلّها الاطمئنان والثقة المتبادلة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التقيّة قد أُحيطت بالغموض ، وأُثيرت حولها الشبهات ، فإنّنا نعمد إلى الكشف عن حقيقتها بهذا البيان القائم على الحجج التاريخية الصحيحة التي أُسدل عليها ستار الجهل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التقية من المفاهيم الإسلامية الأصيلة ، المنسجمة مع حكم العقل ، </w:t>
      </w:r>
    </w:p>
    <w:p>
      <w:pPr>
        <w:pStyle w:val="BookText"/>
        <w:rPr/>
      </w:pPr>
      <w:r>
        <w:rPr>
          <w:rFonts w:ascii="Amiri" w:hAnsi="Amiri" w:eastAsia="Amiri" w:cs="Amiri"/>
          <w:color w:val="111111"/>
          <w:sz w:val="28"/>
          <w:sz w:val="28"/>
          <w:szCs w:val="28"/>
          <w:rtl w:val="true"/>
          <w:lang w:bidi="ar-SA"/>
        </w:rPr>
        <w:t>وروح الإسلام ، ومرونة الشريعة المقدسة وسماحتها ، وضرورات العمل الإسلامي ، وقد وردت في القرآن الكريم ، وأكّدتها السنة الشريفة ، وآمن بمشروعيتها 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وبحكم الظروف العصيبة التي حاقت بهم على امتداد فترات تاريخية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اشتهروا بالعمل بالتقية ، واللّياذ بظلها كلما اشتدت عليهم وطأة القهر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سعى الصائدون في الماء العكر من حُكّام الجور والمغرضين والمتعصّبين إلى استغلال هذا الأمر ، وذرّ الرماد في العيون من خلال إيجاد تصوّرات وأوهام باطلة ، وغرسها في أذهان الناس ، بدعوى أنّ التقية عند الشيعة ضرب من النفاق والخداع والتموية ، وأنّها تجعل منهم منظّمة سرية غايتها الالتفاف على الإسلام وتشويه صورته وتهديم أركانه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العمل بالتقية والاحتراز عن الإفصاح عن المبادئ والأفكار لا يعنيان أبداً أنّ للشيعة أسراراً وطلاسم يتداولونها بينهم ، ولا يتيحون للآخرين فرصة الاطلاع عليها ومعرفتها ، ولا يعنيان أيضاً أنّ لهم نوايا عدوانية ضدّ الإسلام وأهله ، وإنّما يتعلّق الأمر كلّه بإرهاب فكري وسياسي مُورس ضدهم ، وجرائم وحشية ارتكبت بحقهم ، ألجأتهم إلى اتخاذ التكتّم والاحتراز أسلوباً لصيانة النفوس والأعراض والمحافظة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إذا نظرنا إليهم في بعض العهود التي استطاعوا أن يتنفسوا فيها نسائم الحرية ، نجد كيف أنّهم بادروا وبنشاط إلى نشر أفكارهم وآرائهم وبثّ مبادئهم وتعاليمهم ، وكيف أنّهم ساهموا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إخوانهم من سائر المذاهب والطوائف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صنع حضارة الإسلام الخالدة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الانصاف يدعو إلى تبرير موقف ضحايا القمع والاستبداد بالالتجاء إلى حمى التقية لضمان السلامة والتوقّي من الشر المستطير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الضمير الحي يدعو إلى مواساة هؤلاء المظلومين الذين تُحصى عليهم أنفاسهم ويعانون أفانين الضغط والإكراه ، وأشكال التضييق والمحاربة ، فإنّ شيئاً من هذا ولا ذاك لم يحصل ، بل حصل العكس ، إذ عمد الكثير من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الإغضاء عن الجزّارين أو معاضدتهم ، وإلى التنديد بالضحايا والتشهير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 نحن نعتقد أنّ العمل بالتقية أمر لا مفرّ منه ، وأنّ مجانبتها تماماً وفي كلّ الأحوال والعصور أمر لا واقع ولا 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رميت ببصرك إلى بعض الشعوب التي تحكمها أنظمة قمعية استبدادية ، لوجدت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من هم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تتجنّب الإعلان عن آرائها وأهدافها جهرةً ، وتسكت عمّا يُمارس بين ظهرانيها من أعمال منافية للإسلام ، وما ذلك إلاّ خوفاً من البطش والقتل والأذى الذي سيصيبها لو أنّها نطقت بما يخالف إرادة المستبدين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الرسالة المتواضعة ، ستميط الستر عن وجه الحقيقة وتثبت ، انّ التقية ثمرة البيئة التي صودرت فيها الحريات ، ولو كان هناك لومٌ وانتقاد ، فالأجدر أن نتوجه بهما إلى من حمل المستضعفين على التقية ، لا إليهم أنفسهم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وستتضح للقارئ في غضون هذه الرسالة ، انّ التقيّة من المفاهيم القرآنية التي وردت في أكثر من موضع في القرآن الكريم ، وفي تلك الآيات إشارات واضحة إلى الموارد التي يلجأ فيها المؤمن إلى استخدام هذا المسلك الشرعي خلال حياته أثناء الظروف العصيبة ، ليصون بها نفسه وعرضه وماله ، أو نفسَ من </w:t>
      </w:r>
    </w:p>
    <w:p>
      <w:pPr>
        <w:pStyle w:val="BookText"/>
        <w:rPr/>
      </w:pPr>
      <w:r>
        <w:rPr>
          <w:rFonts w:ascii="Amiri" w:hAnsi="Amiri" w:eastAsia="Amiri" w:cs="Amiri"/>
          <w:color w:val="111111"/>
          <w:sz w:val="28"/>
          <w:sz w:val="28"/>
          <w:szCs w:val="28"/>
          <w:rtl w:val="true"/>
          <w:lang w:bidi="ar-SA"/>
        </w:rPr>
        <w:t xml:space="preserve">يمتُّ إليه بصلة وعرضَه ومالَه ، كما استعملها مؤمن آل فرعون لصيانة الكليم عن القتل والتنكيل </w:t>
      </w:r>
      <w:r>
        <w:rPr>
          <w:rStyle w:val="FootnoteAnchor"/>
          <w:rtl w:val="true"/>
        </w:rPr>
        <w:footnoteReference w:id="462"/>
      </w:r>
      <w:r>
        <w:rPr>
          <w:rFonts w:ascii="Amiri" w:hAnsi="Amiri" w:eastAsia="Amiri" w:cs="Amiri"/>
          <w:color w:val="111111"/>
          <w:sz w:val="28"/>
          <w:sz w:val="28"/>
          <w:szCs w:val="28"/>
          <w:rtl w:val="true"/>
          <w:lang w:bidi="ar-SA"/>
        </w:rPr>
        <w:t xml:space="preserve">ولاذ بها عمّار عند ما أُخذ وأُسِر وهُدِّد بالقتل </w:t>
      </w:r>
      <w:r>
        <w:rPr>
          <w:rStyle w:val="FootnoteAnchor"/>
          <w:rtl w:val="true"/>
        </w:rPr>
        <w:footnoteReference w:id="463"/>
      </w:r>
      <w:r>
        <w:rPr>
          <w:rFonts w:ascii="Amiri" w:hAnsi="Amiri" w:eastAsia="Amiri" w:cs="Amiri"/>
          <w:color w:val="111111"/>
          <w:sz w:val="28"/>
          <w:sz w:val="28"/>
          <w:szCs w:val="28"/>
          <w:rtl w:val="true"/>
          <w:lang w:bidi="ar-SA"/>
        </w:rPr>
        <w:t xml:space="preserve">، إلى غير ذلك من الموارد الواردة في الكتاب والسنّة ، فمن المحتّم علينا أن نتعرّف عليها ، 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وتاريخاً وغايةً ودليلاً وحدّاً ، حتى نتجنَّب الافراط والتفريط في مقام القضاء والتطبيق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المسألة يتم ببيان أُمور </w:t>
      </w:r>
      <w:r>
        <w:rPr>
          <w:rFonts w:eastAsia="Amiri" w:cs="Amiri" w:ascii="Amiri" w:hAnsi="Amiri"/>
          <w:color w:val="111111"/>
          <w:sz w:val="28"/>
          <w:szCs w:val="28"/>
          <w:rtl w:val="true"/>
          <w:lang w:bidi="ar-SA"/>
        </w:rPr>
        <w:t xml:space="preserve">: </w:t>
      </w:r>
      <w:bookmarkStart w:id="500" w:name="pg10155_105457"/>
    </w:p>
    <w:p>
      <w:pPr>
        <w:pStyle w:val="Heading3"/>
        <w:numPr>
          <w:ilvl w:val="2"/>
          <w:numId w:val="1"/>
        </w:numPr>
        <w:rPr/>
      </w:pPr>
      <w:bookmarkStart w:id="501" w:name="__RefHeading___Toc1273003_1067777946"/>
      <w:bookmarkStart w:id="502" w:name="_Toc177"/>
      <w:bookmarkEnd w:id="500"/>
      <w:bookmarkEnd w:id="501"/>
      <w:r>
        <w:rPr/>
        <w:t>1</w:t>
      </w:r>
      <w:r>
        <w:rPr>
          <w:rtl w:val="true"/>
        </w:rPr>
        <w:t xml:space="preserve">- </w:t>
      </w:r>
      <w:r>
        <w:rPr>
          <w:rtl w:val="true"/>
        </w:rPr>
        <w:t>التقية لغة</w:t>
      </w:r>
      <w:bookmarkEnd w:id="502"/>
    </w:p>
    <w:p>
      <w:pPr>
        <w:pStyle w:val="BookText"/>
        <w:rPr/>
      </w:pPr>
      <w:r>
        <w:rPr>
          <w:rFonts w:ascii="Amiri" w:hAnsi="Amiri" w:eastAsia="Amiri" w:cs="Amiri"/>
          <w:color w:val="111111"/>
          <w:sz w:val="28"/>
          <w:sz w:val="28"/>
          <w:szCs w:val="28"/>
          <w:rtl w:val="true"/>
          <w:lang w:bidi="ar-SA"/>
        </w:rPr>
        <w:t xml:space="preserve">التقية اسم مصدر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 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اوتقى فقلبت الواو ياءً للكسرة قبلها ، ثمّ أُبدلت تاءً وادغمت وقد تكرر ذكر الاتقاء في الحديث ومنه حديث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احمرّ البأس اتقينا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جعلناه وقاية لنا من العدو</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وقد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وقي الشيء ، يقيه إذا صانه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حماه </w:t>
      </w:r>
      <w:r>
        <w:rPr>
          <w:rStyle w:val="FootnoteAnchor"/>
          <w:rtl w:val="true"/>
        </w:rPr>
        <w:footnoteReference w:id="465"/>
      </w:r>
      <w:r>
        <w:rPr>
          <w:rFonts w:ascii="Amiri" w:hAnsi="Amiri" w:eastAsia="Amiri" w:cs="Amiri"/>
          <w:color w:val="111111"/>
          <w:sz w:val="28"/>
          <w:sz w:val="28"/>
          <w:szCs w:val="28"/>
          <w:rtl w:val="true"/>
          <w:lang w:bidi="ar-SA"/>
        </w:rPr>
        <w:t>منهم فلم يضرّه 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تستعمل مكان التقية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يعقوب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مصدر لفعل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فتقاة ،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 الواو تاءً كما أبدلوها في تُجاة وتكاة وانقلبت الياء الفاً لتحركها وانفتاح ما قبلها ، وهو مصدر على وزن فُعل كتؤدة وتخمة</w:t>
      </w:r>
      <w:r>
        <w:rPr>
          <w:rFonts w:eastAsia="Amiri" w:cs="Amiri" w:ascii="Amiri" w:hAnsi="Amiri"/>
          <w:color w:val="111111"/>
          <w:sz w:val="28"/>
          <w:szCs w:val="28"/>
          <w:rtl w:val="true"/>
          <w:lang w:bidi="ar-SA"/>
        </w:rPr>
        <w:t xml:space="preserve">. </w:t>
      </w:r>
      <w:r>
        <w:rPr>
          <w:rStyle w:val="FootnoteAnchor"/>
          <w:rtl w:val="true"/>
        </w:rPr>
        <w:footnoteReference w:id="467"/>
      </w:r>
      <w:bookmarkStart w:id="503" w:name="pg10155_105458"/>
    </w:p>
    <w:p>
      <w:pPr>
        <w:pStyle w:val="Heading3"/>
        <w:numPr>
          <w:ilvl w:val="2"/>
          <w:numId w:val="1"/>
        </w:numPr>
        <w:rPr/>
      </w:pPr>
      <w:bookmarkStart w:id="504" w:name="__RefHeading___Toc1273005_1067777946"/>
      <w:bookmarkStart w:id="505" w:name="_Toc178"/>
      <w:bookmarkEnd w:id="503"/>
      <w:bookmarkEnd w:id="504"/>
      <w:r>
        <w:rPr/>
        <w:t>2</w:t>
      </w:r>
      <w:r>
        <w:rPr>
          <w:rtl w:val="true"/>
        </w:rPr>
        <w:t xml:space="preserve">- </w:t>
      </w:r>
      <w:r>
        <w:rPr>
          <w:rtl w:val="true"/>
        </w:rPr>
        <w:t>التقية اصطلاحاً</w:t>
      </w:r>
      <w:bookmarkEnd w:id="505"/>
    </w:p>
    <w:p>
      <w:pPr>
        <w:pStyle w:val="BookText"/>
        <w:rPr/>
      </w:pPr>
      <w:r>
        <w:rPr>
          <w:rFonts w:ascii="Amiri" w:hAnsi="Amiri" w:eastAsia="Amiri" w:cs="Amiri"/>
          <w:color w:val="111111"/>
          <w:sz w:val="28"/>
          <w:sz w:val="28"/>
          <w:szCs w:val="28"/>
          <w:rtl w:val="true"/>
          <w:lang w:bidi="ar-SA"/>
        </w:rPr>
        <w:t>التقية كما عرّفها السرخسي هي أن يقي الإنسان نفسه بما يظهره وإن كان ما يضمر خلافه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إظهار ما في النفس من معتقد وغيره للغير</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وعرفها صاحب المنار بأنّها ما يقال أو يفعل مخالفاً للحقّ لأجل توقّي الضرر</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وعرفها الشيخ محمد أبو زهرة بأنّها أن يخفي الشخص ما يعتقد دفعاً للأذى</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والتعريف الثالث أشمل من الرابع لاختصاص الأخير بالعقيدة وعمومية الآخر لها وللفعل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الشيعة فقد عرّفها الشيخ المفيد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كتمان الحقّ وستر الاعتقاد فيه ، ومكاتمة المخالفين وترك مظاهرتهم بما يعقب ضرراً في الدين أو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ذلك ، إذا علم بالضرورة أو قوي في الظن ، فمتى لم يعلم ضرراً بإظهار الحقّ ولا قوي في الظن ذلك لم يجب فرض التقية</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وعرفها الشيخ الأنصاري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عن ضرر الغير بموافقته في قول أو فعل مخالف للحقّ</w:t>
      </w:r>
      <w:r>
        <w:rPr>
          <w:rFonts w:eastAsia="Amiri" w:cs="Amiri" w:ascii="Amiri" w:hAnsi="Amiri"/>
          <w:color w:val="111111"/>
          <w:sz w:val="28"/>
          <w:szCs w:val="28"/>
          <w:rtl w:val="true"/>
          <w:lang w:bidi="ar-SA"/>
        </w:rPr>
        <w:t xml:space="preserve">. </w:t>
      </w:r>
      <w:r>
        <w:rPr>
          <w:rStyle w:val="FootnoteAnchor"/>
          <w:rtl w:val="true"/>
        </w:rPr>
        <w:footnoteReference w:id="473"/>
      </w:r>
      <w:bookmarkStart w:id="506" w:name="pg10155_105460"/>
    </w:p>
    <w:p>
      <w:pPr>
        <w:pStyle w:val="Heading3"/>
        <w:numPr>
          <w:ilvl w:val="2"/>
          <w:numId w:val="1"/>
        </w:numPr>
        <w:rPr/>
      </w:pPr>
      <w:bookmarkStart w:id="507" w:name="__RefHeading___Toc1273007_1067777946"/>
      <w:bookmarkStart w:id="508" w:name="_Toc179"/>
      <w:bookmarkEnd w:id="506"/>
      <w:bookmarkEnd w:id="507"/>
      <w:r>
        <w:rPr/>
        <w:t>3</w:t>
      </w:r>
      <w:r>
        <w:rPr>
          <w:rtl w:val="true"/>
        </w:rPr>
        <w:t xml:space="preserve">- </w:t>
      </w:r>
      <w:r>
        <w:rPr>
          <w:rtl w:val="true"/>
        </w:rPr>
        <w:t>التقية تاريخيّاً</w:t>
      </w:r>
      <w:bookmarkEnd w:id="508"/>
    </w:p>
    <w:p>
      <w:pPr>
        <w:pStyle w:val="Heading4"/>
        <w:numPr>
          <w:ilvl w:val="3"/>
          <w:numId w:val="1"/>
        </w:numPr>
        <w:rPr/>
      </w:pPr>
      <w:bookmarkStart w:id="509" w:name="__RefHeading___Toc1273009_1067777946"/>
      <w:bookmarkStart w:id="510" w:name="_Toc180"/>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ربما يتصوّر لأوّل وهلة انّ للتقية مبدأً تاريخياً ظهر في المجتمع الإنساني ، ولكن هذا التصور يجانب الحقّ ، فظاهرةُ التقية زامنت وجود الإنسان على هذا الكوكب يوم برز بين البشر القويّ والضعيف ، وصادر الأوّل حريات الثاني ولم يسمح له بإبداء ما يضمره عن طريق القول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فظهور التقية في المجتمع البشري إذن ، كان تعبيراً عن مصادرة الحريات ، وسلاحاً لم يجد الضعيف بدّاً من اللجوء إليه للدفاع عن نفسه وعرضه وماله</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273011_1067777946"/>
      <w:bookmarkStart w:id="512" w:name="_Toc181"/>
      <w:bookmarkEnd w:id="511"/>
      <w:r>
        <w:rPr/>
        <w:t>1</w:t>
      </w:r>
      <w:r>
        <w:rPr>
          <w:rtl w:val="true"/>
        </w:rPr>
        <w:t xml:space="preserve">. </w:t>
      </w:r>
      <w:r>
        <w:rPr>
          <w:rtl w:val="true"/>
        </w:rPr>
        <w:t>التقيّة في عصر الكليم</w:t>
      </w:r>
      <w:bookmarkEnd w:id="512"/>
    </w:p>
    <w:p>
      <w:pPr>
        <w:pStyle w:val="BookText"/>
        <w:rPr/>
      </w:pPr>
      <w:r>
        <w:rPr>
          <w:rFonts w:ascii="Amiri" w:hAnsi="Amiri" w:eastAsia="Amiri" w:cs="Amiri"/>
          <w:color w:val="111111"/>
          <w:sz w:val="28"/>
          <w:sz w:val="28"/>
          <w:szCs w:val="28"/>
          <w:rtl w:val="true"/>
          <w:lang w:bidi="ar-SA"/>
        </w:rPr>
        <w:t xml:space="preserve">وأظهر مورد تبنّاه القرآن الكريم في هذا الصدد هو مؤمن آل فرعون ، يقول الله تعالى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w:t>
      </w:r>
      <w:r>
        <w:rPr>
          <w:rFonts w:eastAsia="Amiri" w:cs="Amiri" w:ascii="Amiri" w:hAnsi="Amiri"/>
          <w:color w:val="111111"/>
          <w:sz w:val="28"/>
          <w:szCs w:val="28"/>
          <w:rtl w:val="true"/>
          <w:lang w:bidi="ar-SA"/>
        </w:rPr>
        <w:t xml:space="preserve">). </w:t>
      </w:r>
      <w:r>
        <w:rPr>
          <w:rStyle w:val="FootnoteAnchor"/>
          <w:rtl w:val="true"/>
        </w:rPr>
        <w:footnoteReference w:id="474"/>
      </w:r>
      <w:bookmarkStart w:id="513" w:name="pg10155_105461"/>
    </w:p>
    <w:p>
      <w:pPr>
        <w:pStyle w:val="BookText"/>
        <w:rPr/>
      </w:pPr>
      <w:bookmarkEnd w:id="513"/>
      <w:r>
        <w:rPr>
          <w:rFonts w:ascii="Amiri" w:hAnsi="Amiri" w:eastAsia="Amiri" w:cs="Amiri"/>
          <w:color w:val="111111"/>
          <w:sz w:val="28"/>
          <w:sz w:val="28"/>
          <w:szCs w:val="28"/>
          <w:rtl w:val="true"/>
          <w:lang w:bidi="ar-SA"/>
        </w:rPr>
        <w:t xml:space="preserve">وكانت عاقبة أمره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سَيِّئاتِ ما مَكَرُوا وَحاقَ بِآلِ فِرْعَوْنَ سُوءُ الْعَذابِ</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وما كان ذلك إلاّ لأنّه بتعميته ، استطاع أن ينجّي نبيَّ الله من القتل كما يحكيه سبحانه عنه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مُوسى إِنَّ الْمَلَأَ يَأْتَمِرُونَ بِكَ لِيَقْتُلُوكَ فَاخْرُجْ إِنِّي لَكَ مِنَ النَّاصِحِينَ</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نقل الثعلبي عن السدي ومقاتل انّ مؤمن آل فرعون كان ابن عم فرعون وهو الذي أخبر الله تعالى عنه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رَجُلٌ مِنْ أَقْصَى الْمَدِينَةِ يَسْعى</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إسرائيلياً ، ومجاز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يكتم إيمانه من آل فرعونْ ، واختلفوا أيضاً في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وأكثر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حزبيل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حزيقال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خبرل</w:t>
      </w:r>
      <w:r>
        <w:rPr>
          <w:rFonts w:eastAsia="IRNazanin" w:cs="IRNazanin"/>
          <w:color w:val="111111"/>
          <w:sz w:val="28"/>
          <w:szCs w:val="28"/>
          <w:rtl w:val="true"/>
          <w:lang w:bidi="fa-IR"/>
        </w:rPr>
        <w:t xml:space="preserve">. </w:t>
      </w:r>
      <w:r>
        <w:rPr>
          <w:rStyle w:val="FootnoteAnchor"/>
          <w:rtl w:val="true"/>
        </w:rPr>
        <w:footnoteReference w:id="478"/>
      </w:r>
    </w:p>
    <w:p>
      <w:pPr>
        <w:pStyle w:val="Heading4"/>
        <w:numPr>
          <w:ilvl w:val="3"/>
          <w:numId w:val="1"/>
        </w:numPr>
        <w:rPr/>
      </w:pPr>
      <w:bookmarkStart w:id="514" w:name="__RefHeading___Toc1273013_1067777946"/>
      <w:bookmarkStart w:id="515" w:name="_Toc182"/>
      <w:bookmarkEnd w:id="514"/>
      <w:r>
        <w:rPr/>
        <w:t>2</w:t>
      </w:r>
      <w:r>
        <w:rPr>
          <w:rtl w:val="true"/>
        </w:rPr>
        <w:t xml:space="preserve">. </w:t>
      </w:r>
      <w:r>
        <w:rPr>
          <w:rtl w:val="true"/>
        </w:rPr>
        <w:t xml:space="preserve">التقية في عصر الرسول </w:t>
      </w:r>
      <w:r>
        <w:rPr>
          <w:rtl w:val="true"/>
        </w:rPr>
        <w:t xml:space="preserve">- </w:t>
      </w:r>
      <w:r>
        <w:rPr>
          <w:rtl w:val="true"/>
        </w:rPr>
        <w:t>صلى الله عليه وآله وسلم</w:t>
      </w:r>
      <w:bookmarkEnd w:id="515"/>
    </w:p>
    <w:p>
      <w:pPr>
        <w:pStyle w:val="BookText"/>
        <w:rPr/>
      </w:pPr>
      <w:r>
        <w:rPr>
          <w:rFonts w:ascii="Amiri" w:hAnsi="Amiri" w:eastAsia="Amiri" w:cs="Amiri"/>
          <w:color w:val="111111"/>
          <w:sz w:val="28"/>
          <w:sz w:val="28"/>
          <w:szCs w:val="28"/>
          <w:rtl w:val="true"/>
          <w:lang w:bidi="ar-SA"/>
        </w:rPr>
        <w:t xml:space="preserve">هناك حوادث تاريخية تدلّ على شرعية التقية في عصر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نكتفي بهذين النموذجين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 الآية في جماعة أُكْرِهُوا على الكفر ، وهم عمّار وأبوه </w:t>
      </w:r>
      <w:bookmarkStart w:id="516" w:name="pg10155_105462"/>
    </w:p>
    <w:p>
      <w:pPr>
        <w:pStyle w:val="BookText"/>
        <w:rPr/>
      </w:pPr>
      <w:bookmarkEnd w:id="516"/>
      <w:r>
        <w:rPr>
          <w:rFonts w:ascii="Amiri" w:hAnsi="Amiri" w:eastAsia="Amiri" w:cs="Amiri"/>
          <w:color w:val="111111"/>
          <w:sz w:val="28"/>
          <w:sz w:val="28"/>
          <w:szCs w:val="28"/>
          <w:rtl w:val="true"/>
          <w:lang w:bidi="ar-SA"/>
        </w:rPr>
        <w:t xml:space="preserve">ياسر وأُمّه سُميّة ، وقُتل الأبوان لأنّهما لم يُظهرا الكفر ولم ينالا من النبي ، وأعطاهم عمّار ما أرادوا منه فأطلقوه ، ثمّ أخبر بذلك رسول الله ، وانتشر خبره بين المسلمين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عمار ، فقال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كلاّ انّ عماراً ملئ إيماناً من قرنه إلى قدمه ، واختلط الإيمان بلحمه ودمه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نزلت الآية السابقة ، وكان عمّار يبكي ، فجعل رسول الله يَمْسَحَ عينيه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أبي شيبة عن الحسن ، انّ مسيلمة الكذاب أخذ رجلين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أتشهد انّ محمّداً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أفتشهد أنّي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دعا بالآخر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أتشهد أنّ محمّداً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أفتشهد انّي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 كل ذلك يجيبه بمثل الأوّل ، فضرب عُنقُه ، فبلغ ذلك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ذلك المقتول فقد مضى على صدقه ويقينه ، وأخذ بفضله ، فهنيئاً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 فقبلَ رخصة الله فلا تبعةَ عليه</w:t>
      </w:r>
      <w:r>
        <w:rPr>
          <w:rFonts w:eastAsia="Amiri" w:cs="Amiri" w:ascii="Amiri" w:hAnsi="Amiri"/>
          <w:color w:val="111111"/>
          <w:sz w:val="28"/>
          <w:szCs w:val="28"/>
          <w:rtl w:val="true"/>
          <w:lang w:bidi="ar-SA"/>
        </w:rPr>
        <w:t xml:space="preserve">. </w:t>
      </w:r>
      <w:r>
        <w:rPr>
          <w:rStyle w:val="FootnoteAnchor"/>
          <w:rtl w:val="true"/>
        </w:rPr>
        <w:footnoteReference w:id="480"/>
      </w:r>
    </w:p>
    <w:p>
      <w:pPr>
        <w:pStyle w:val="Heading4"/>
        <w:numPr>
          <w:ilvl w:val="3"/>
          <w:numId w:val="1"/>
        </w:numPr>
        <w:rPr/>
      </w:pPr>
      <w:bookmarkStart w:id="517" w:name="__RefHeading___Toc1273015_1067777946"/>
      <w:bookmarkStart w:id="518" w:name="_Toc183"/>
      <w:bookmarkEnd w:id="517"/>
      <w:r>
        <w:rPr/>
        <w:t>3</w:t>
      </w:r>
      <w:r>
        <w:rPr>
          <w:rtl w:val="true"/>
        </w:rPr>
        <w:t xml:space="preserve">. </w:t>
      </w:r>
      <w:r>
        <w:rPr>
          <w:rtl w:val="true"/>
        </w:rPr>
        <w:t xml:space="preserve">التقية بعد رحيل الرسول </w:t>
      </w:r>
      <w:r>
        <w:rPr>
          <w:rtl w:val="true"/>
        </w:rPr>
        <w:t xml:space="preserve">- </w:t>
      </w:r>
      <w:r>
        <w:rPr>
          <w:rtl w:val="true"/>
        </w:rPr>
        <w:t>صلى الله عليه وآله وسلم</w:t>
      </w:r>
      <w:bookmarkEnd w:id="51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استغل الأمويُّون مسألة القضاء والقدر وركّزوا على أنّ كلّ ما يجري في </w:t>
      </w:r>
    </w:p>
    <w:p>
      <w:pPr>
        <w:pStyle w:val="BookText"/>
        <w:rPr/>
      </w:pPr>
      <w:r>
        <w:rPr>
          <w:rFonts w:ascii="Amiri" w:hAnsi="Amiri" w:eastAsia="Amiri" w:cs="Amiri"/>
          <w:color w:val="111111"/>
          <w:sz w:val="28"/>
          <w:sz w:val="28"/>
          <w:szCs w:val="28"/>
          <w:rtl w:val="true"/>
          <w:lang w:bidi="ar-SA"/>
        </w:rPr>
        <w:t>المجتمع الإسلامي بقضاء وقدر من الله سبحانه وليس لأحد فيه الاختيار ولا الاعتراض ، وعلى ذلك فالفقر المدقع السائد بين أكثر المسلمين تقدير من الله ، والترف الذي يعيشه الأمويون ، والظلم الذي يُلحقونه بالمسلمين تقدير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تلك المزعمة مخالفة لضرورة الدين وبعثة الأنبياء ، قام غير واحد بوجه هذه الفكرة ، وسكت كثيرون خوفاً من بطش الأمويين ، فكتموا عقيدتهم وسلكوا مسلك التقيّة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ابن سعد يروي عن الحسن البصري بانّه كان يخالف الأمويين في القدر بالمعنى الذي تتبنّاه السلطة آنذاك فلما خوّفه بعض أصدقائه من السلطان ، وعد أن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سعد في طبقاته عن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نازلت الحسن في القدر غير مرة حتّى خوّفته من السلطان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بعد اليوم</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المأمون إلى إسحاق بن إبراهيم رئيس الشرطة في بغداد أن يُشخص إليه سبعة نفر من المحدثين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سعد كاتب الواقدي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 مستملي يزيد بن هارون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حرب أبو خثيمة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داود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مسعود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الدورقي فامتحنهم المأمون وسألهم عن خلق القرآن ، فأجابوا جميعاً انّ القرآن مخلوق فأشخصهم إلى مدينة السلام ، وأحضرهم إسحاق بن إبراهيم داره فشهّر أمرهم وقولهم بحضرة الفقهاء والمشايخ من أهل الحديث فأقرّوا بمثل ما أجابوا به المأمون فخلّى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إسحاق بن إبراهيم ذلك بأمر 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يُذكر أن الرأي الذي كان سائداً بين المحدّثين هو قدم القرآن أو عدم حدوثه ولكنّهم اتّقوا واعترفوا بخلق القرآن ، وهذا هو نفس التقية التي يعمل بها الشيعة ، وقد مارسها المحدِّثون في عصر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رسالة أُخرى للمأمون إلى إسحاق بن إبراهيم رئيس الشرطة ، وممّا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يَرى أمير المؤمنين لمن قال بهذه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ليس بمخلوق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حظاً في الدين ولا نصيباً من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جاءت الرسالة إلى إسحاق بن إبراهيم أحضر لفيفاً من المحدّثين ربما يبلغ عددهم إلى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عليهم رسالة المأمون مرتين حتّى فهموها ثمّ انّ إسحاق دعا بهم رجلاً رجلاً فأجاب القوم كلّهم واعترفوا بانّ القرآن مخلوق إلاّ أربعة نفر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 وسجادة ، والقواريري ، ومحمد بن نوح المضروب ، فأمر بهم إسحاق بن إبراهيم فشُدُّوا في الحديد ، فلما كان من الغد دعا بهم جميعاً يساقون في الحديد فأعاد عليهم المحنة فأجابه سجادة إلى أنّ القرآن مخلوق فأمر بإطلاق قيده وخلّى سبيله وأصرّ الآخرون على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بعد الغد عاودهم أيضاً فأعاد عليهم القول ، فأجاب القواريري بأنّ القرآن مخلوق فأمر بإطلاق قيده وخلّى سبيله ، وأصرّ أحمد بن حنبل ومحمد بن نوح على قولهما ولم يرجعا فشدّا جميعاً في الحديد ووُجِّها إلى طرسوس وكتب معهما كتاباً بإشخاصهما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اعتُرض على الراجعين عن عقيدتهم ، برّروا عملهم بعمل عمار بن ياسر حيث أكره على الشرك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كلّ ذلك يدلّ على انّ التقية أصل مشروع التزم بها المسلمون عند الشعور بالضعف أمام السلطة الغاشمة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اتهام الشيعة بتفرّدها بالقول بالتقية يضادُّ الذكر الحكيم والسنة النبوية وسيرة المسلمين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سلاح الضعيف ، سلاح من صُودرتْ حقوقه وحرّياته من قبل سلطة غاشمة ، قاهرة ، لا تُبدي أية مرونة في مواقفها ، وهذا هو حكم العقل وهو دفع الضرر عن النفس والنفيس بإظهار الموافقة لساناً وعملاً حتّى يرتفع الضرر ثمّ يعود الإنسان إلى ما كان عليه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لا يمكن أن يختص بفرقة دون أُخرى</w:t>
      </w:r>
      <w:r>
        <w:rPr>
          <w:rFonts w:eastAsia="Amiri" w:cs="Amiri" w:ascii="Amiri" w:hAnsi="Amiri"/>
          <w:color w:val="111111"/>
          <w:sz w:val="28"/>
          <w:szCs w:val="28"/>
          <w:rtl w:val="true"/>
          <w:lang w:bidi="ar-SA"/>
        </w:rPr>
        <w:t xml:space="preserve">. </w:t>
      </w:r>
      <w:bookmarkStart w:id="519" w:name="pg10155_105466"/>
    </w:p>
    <w:p>
      <w:pPr>
        <w:pStyle w:val="Heading3"/>
        <w:numPr>
          <w:ilvl w:val="2"/>
          <w:numId w:val="1"/>
        </w:numPr>
        <w:rPr/>
      </w:pPr>
      <w:bookmarkStart w:id="520" w:name="__RefHeading___Toc1273017_1067777946"/>
      <w:bookmarkStart w:id="521" w:name="_Toc184"/>
      <w:bookmarkEnd w:id="519"/>
      <w:bookmarkEnd w:id="520"/>
      <w:r>
        <w:rPr/>
        <w:t>4</w:t>
      </w:r>
      <w:r>
        <w:rPr>
          <w:rtl w:val="true"/>
        </w:rPr>
        <w:t xml:space="preserve">- </w:t>
      </w:r>
      <w:r>
        <w:rPr>
          <w:rtl w:val="true"/>
        </w:rPr>
        <w:t>محنة الشيعة في عصر الأمويين والعباسيين</w:t>
      </w:r>
      <w:bookmarkEnd w:id="521"/>
    </w:p>
    <w:p>
      <w:pPr>
        <w:pStyle w:val="Heading4"/>
        <w:numPr>
          <w:ilvl w:val="3"/>
          <w:numId w:val="1"/>
        </w:numPr>
        <w:rPr/>
      </w:pPr>
      <w:bookmarkStart w:id="522" w:name="__RefHeading___Toc1273019_1067777946"/>
      <w:bookmarkStart w:id="523" w:name="_Toc185"/>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اشتهرت الشيعة بالتقيّة أكثر من سائر الفرق ، ولكونهم أكثر من غيرهم من حيث التعرّض للضغط ، ومصادرة الحريّات ، والأخذ بالظنّة ، والتشريد والقتل تحت كلّ حجر ومدر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دفع بالشيعة إلى التقية بين إخوانهم وأبناء دينهم إنّما هو الخوف من السلطات الغاشمة ، فلو لم يكن هناك في غابر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عصر الأمويين ثمّ العباسيين والعثمانيين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ضغط على الشيعة ، ولم تكن بلادهم وعُقر دارهم مخضّبة بدمائهم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والتاريخ خير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لأصبح من المعقول أن تَنْسى الشيعة كلمة التقية وأن تحذفها من قاموس حياتها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إخوانهم كانوا أداة طيّعة بيد الأمويين والعباسيين الذين كانوا يرون في مذهب الشيعة خطراً على مناصبهم ، فكانوا يؤلِّبون العامة من أهل السنّة على الشيعة يقتلونهم ويضطهدونهم وينكلون بهم ، ولذا ونتيجة لتلك الظروف الصعبة ، لم يكن للشيعة ، بل لكل من يملك شيئاً من العقل وسيلة إلاّ اللجوء إلى التقية أو رفع اليد عن المبادئ المقدّسة التي هي أغلى عنده من نفسه وماله</w:t>
      </w:r>
      <w:r>
        <w:rPr>
          <w:rFonts w:eastAsia="Amiri" w:cs="Amiri" w:ascii="Amiri" w:hAnsi="Amiri"/>
          <w:color w:val="111111"/>
          <w:sz w:val="28"/>
          <w:szCs w:val="28"/>
          <w:rtl w:val="true"/>
          <w:lang w:bidi="ar-SA"/>
        </w:rPr>
        <w:t xml:space="preserve">. </w:t>
      </w:r>
      <w:bookmarkStart w:id="524" w:name="pg10155_105467"/>
    </w:p>
    <w:p>
      <w:pPr>
        <w:pStyle w:val="BookText"/>
        <w:rPr/>
      </w:pPr>
      <w:bookmarkEnd w:id="524"/>
      <w:r>
        <w:rPr>
          <w:rFonts w:ascii="Amiri" w:hAnsi="Amiri" w:eastAsia="Amiri" w:cs="Amiri"/>
          <w:color w:val="111111"/>
          <w:sz w:val="28"/>
          <w:sz w:val="28"/>
          <w:szCs w:val="28"/>
          <w:rtl w:val="true"/>
          <w:lang w:bidi="ar-SA"/>
        </w:rPr>
        <w:t xml:space="preserve">والشواهد على ذلك أكثر من أن تُحصى أو أن تعدَّ ، إلاّ أنّا سنستعرض جانباً مختصراً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كتبه معاوية بن أبي سفيان باستباحة دماء الشيعة أينما كانوا وكيفما كانوا ، وإليك نص ما ذكرته المصادر عن هذه الواقعة لتدرك محنة الشيعة </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273021_1067777946"/>
      <w:bookmarkStart w:id="526" w:name="_Toc186"/>
      <w:bookmarkEnd w:id="525"/>
      <w:r>
        <w:rPr>
          <w:rtl w:val="true"/>
        </w:rPr>
        <w:t>محنة الشيعة في العصر الأموي</w:t>
      </w:r>
      <w:bookmarkEnd w:id="526"/>
    </w:p>
    <w:p>
      <w:pPr>
        <w:pStyle w:val="BookText"/>
        <w:rPr/>
      </w:pPr>
      <w:r>
        <w:rPr>
          <w:rFonts w:ascii="Amiri" w:hAnsi="Amiri" w:eastAsia="Amiri" w:cs="Amiri"/>
          <w:color w:val="111111"/>
          <w:sz w:val="28"/>
          <w:sz w:val="28"/>
          <w:szCs w:val="28"/>
          <w:rtl w:val="true"/>
          <w:lang w:bidi="ar-SA"/>
        </w:rPr>
        <w:t xml:space="preserve">روى أبو الحسن علي بن محمّد بن أبي سيف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إلى عُمّاله بعد 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شيئاً من فضل أبي تراب وأهل بيته ، فقامت الخطباء في كل كورة ، وعلى كل منبر ، يلعنون علياً ويتبرءون منه ويقعون فيه وفي أهل بيته ، وكان أشد الناس بلاء حينئذ أهل الكوفة ، لكثرة مَن بها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عليها زياد بن سمية ، وضم إليه البصرة ، فكان يتتبَّع الشيعة وهو بهم عارف ، لأنّه كان منهم أيام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فقتلهم تحت كل حجر ومدر ، وأخافهم ، وقطع الأيدي والأرجل ، وسَمَلَ العيون ، وصلبهم على جذوع النخل ، وطردهم وشرَّدهم عن العراق ، فلم يبق بها معروف منهم ، وكتب معاوية إلى عمّاله في جميع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يجيزوا لأحد من شيعة علي وأهل بيته شهادة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إلى عمّاله نسخة واحدة إلى جميع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قامت عليه البيّنة أنّه يحبّ علياً وأهل بيته ، فامحوه من الديوان ، وأسقطوا عطاءه ورزقه ، وشفع ذلك بنسخة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 فنكّلوا به ، واهدموا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البلاء أشد ولا أكثر منه بالعراق ، ولا سيّما بالكوفة حتّى أنّ الرجل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ليأتيه من يثق به ، فيدخل بيته ، فيُلقي إليه سرّه ، ويخاف من خادمه ومملوكه ، ولا يحدّثه حتى يأخذ عليه الأيمان الغليظة ، ليكتمنَّ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وأضاف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الأمر كذلك حتى مات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فازداد البلاء والفتنة ، فلم يبق أحد من هذا القبيل إلاّ وهو خائف على دمه ، أو طريد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تفاقم الأمر بعد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وولي عبد الملك بن مروان ، فاشتد على الشيعة ، وولّى عليهم الحجاج بن يوسف ، فتقرَّب إليه أهل النسك والصلاح والدين ببغض علي وموالاة أعدائه ، وموالاة من يدعي من الناس أنّهم أيضاً أعداؤه ، فأكثروا في الرواية في فضلهم وسوابقهم ومناقبهم ، وأكثروا من البغض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وعيبه ، والطعن فيه ، والشنئان له ، حتى أنّ إنساناً وقف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إنّه جد الأصمعي عبد الملك بن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أهلي عقوني فسمّوني علياً ، وإنّي فقير وبائس وأنا إلى صلة الأمير محتاج ، فتضاحك له الحجاج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 قد ولّيتك موضع كذا</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واستمر الحزب الأموي في الإرهاب وسفك الدماء على امتداد مراحل وجوده في السلطة ، حيث سجّل لنا التاريخ حوادث أُخرى تحكي أبشع صور الإرهاب والاستخفاف بقيم الحق والعدل أيام عبد الملك بن مروان وقتله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كتاب عبد الملك بن مروان الذي ولى فيه خالد بن عبد الله القسري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 فانّي ولّيت عليكم خالد بن عبد الله القسري ، فاسمعوا له وأطيعوا ، ولا يجعلن امرؤ على نفسه سبيلاً ، فإنّما هو القتل لا غير ، وقد برئت الذمة من رجل آوى سعيد بن جبير ،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إليهم خالد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نحلف به ، ونحجُّ إليه ، لا أجده في دار أحد إلاّ قتلته وهدمت داره ودار كلّ من جاوره واستبحت حرمته ، وقد أجلّت لكم فيه ثلاثة أيّام</w:t>
      </w:r>
      <w:r>
        <w:rPr>
          <w:rFonts w:eastAsia="Amiri" w:cs="Amiri" w:ascii="Amiri" w:hAnsi="Amiri"/>
          <w:color w:val="111111"/>
          <w:sz w:val="28"/>
          <w:szCs w:val="28"/>
          <w:rtl w:val="true"/>
          <w:lang w:bidi="ar-SA"/>
        </w:rPr>
        <w:t xml:space="preserve">. </w:t>
      </w:r>
      <w:r>
        <w:rPr>
          <w:rStyle w:val="FootnoteAnchor"/>
          <w:rtl w:val="true"/>
        </w:rPr>
        <w:footnoteReference w:id="484"/>
      </w:r>
      <w:bookmarkStart w:id="527" w:name="pg10155_105469"/>
    </w:p>
    <w:p>
      <w:pPr>
        <w:pStyle w:val="BookText"/>
        <w:rPr/>
      </w:pPr>
      <w:bookmarkEnd w:id="527"/>
      <w:r>
        <w:rPr>
          <w:rFonts w:ascii="Amiri" w:hAnsi="Amiri" w:eastAsia="Amiri" w:cs="Amiri"/>
          <w:color w:val="111111"/>
          <w:sz w:val="28"/>
          <w:sz w:val="28"/>
          <w:szCs w:val="28"/>
          <w:rtl w:val="true"/>
          <w:lang w:bidi="ar-SA"/>
        </w:rPr>
        <w:t>ثمّ يُلقى القبض على سعيد بن جبير الذي كان من طلائع الموالين لآل البيت النبوي ، ويُسلَّم إلى الحجاج السفّاح الشهير في تاريخ الإسلام الذي قتل عشرات الآلاف من معارضي السلطة ،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بيئته والمجتمع الذي كان يعيش فيه حيث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ما لقينا من ظلم قريش إيانا ، وتظاهرهم علينا ، وما لقي شيعتنا ومحبونا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نُستذل ونُستضام ، ونُقصى ونُمتهن ، ونُحرم ونُقتل ، ونخاف ولا نأمن على دمائنا ودماء أوليائنا ، ووجد الكاذبون الجاحدون ، لكذبهم وجحودهم موضعاً يتقربون به إلى أوليائهم ، وقضاة السوء وعمال السوء في كلّ بلدة ، فحدثوهم بالأحاديث الموضوعة المكذوبة ورووا عنّا ما لم نقله وما لم نفعله ، ليبغّضونا إلى الناس ، وكان عظم ذلك وكبره زمن معاوية بعد موت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شيعتنا بكلّ بلدة ، وقطعت الأيدي والأرجل على الظنة ، وكان من يذكر بحبنا والانقطاع إلينا سُجن أو نُهب ماله ، أو هدمت داره ، ثمّ لم يزل البلاء يشتد ويزداد إلى زمان عبيد الله بن زياد قاتل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الحجاج فقتلهم كلّ قتلة وأخذهم بكلّ ظنة وتهمة ، حتّى انّ الرجل ليقال له زنديق أو كافر أحبّ إليه من أن يقال شيعة علي</w:t>
      </w:r>
      <w:r>
        <w:rPr>
          <w:rFonts w:eastAsia="Amiri" w:cs="Amiri" w:ascii="Amiri" w:hAnsi="Amiri"/>
          <w:color w:val="111111"/>
          <w:sz w:val="28"/>
          <w:szCs w:val="28"/>
          <w:rtl w:val="true"/>
          <w:lang w:bidi="ar-SA"/>
        </w:rPr>
        <w:t xml:space="preserve">. </w:t>
      </w:r>
      <w:r>
        <w:rPr>
          <w:rStyle w:val="FootnoteAnchor"/>
          <w:rtl w:val="true"/>
        </w:rPr>
        <w:footnoteReference w:id="485"/>
      </w:r>
    </w:p>
    <w:p>
      <w:pPr>
        <w:pStyle w:val="Heading4"/>
        <w:numPr>
          <w:ilvl w:val="3"/>
          <w:numId w:val="1"/>
        </w:numPr>
        <w:rPr/>
      </w:pPr>
      <w:bookmarkStart w:id="528" w:name="__RefHeading___Toc1273023_1067777946"/>
      <w:bookmarkStart w:id="529" w:name="_Toc187"/>
      <w:bookmarkEnd w:id="528"/>
      <w:r>
        <w:rPr>
          <w:rtl w:val="true"/>
        </w:rPr>
        <w:t>محنة الشيعة في العصر العباسي</w:t>
      </w:r>
      <w:bookmarkEnd w:id="52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مارست السلطة العباسية سياسة البطش والقتل والتشريد كنظيرتها </w:t>
      </w:r>
    </w:p>
    <w:p>
      <w:pPr>
        <w:pStyle w:val="BookText"/>
        <w:rPr/>
      </w:pPr>
      <w:r>
        <w:rPr>
          <w:rFonts w:ascii="Amiri" w:hAnsi="Amiri" w:eastAsia="Amiri" w:cs="Amiri"/>
          <w:color w:val="111111"/>
          <w:sz w:val="28"/>
          <w:sz w:val="28"/>
          <w:szCs w:val="28"/>
          <w:rtl w:val="true"/>
          <w:lang w:bidi="ar-SA"/>
        </w:rPr>
        <w:t xml:space="preserve">السلطة الأموية بل كانت أكثر بطشاً وتنكيلاً ، وهذا هو أبو الفرج الاصفهاني يقول في حقّ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المتوكل شديد الوطأة على آل أبي طالب ، غليظاً في جماعتهم ، شديد الغيظ والحقد عليهم ، وسوء الظن والتهمة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على المدينة ومكة عمر بن الفرج الرخجي ، فمنع آل أبي طالب من التعرض لمسألة الناس ومنع الناس من البرّ بهم ، وكان لا يبلغه انّ أحداً أبرّ أحداً منهم بشيء ، وإن قل إلاّ أنهكه عقوبة ، واثقله غرماً ، حتّى كان القميص يكون بين جماعة من العلويات يصلّين فيه واحدة بعد واحدة ثمّ يرقعنه ، ويجلسن على مغازلهن عواري حاسرات</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هكذا شاء أمير المؤمنين المتوكل على الله ، أن تقبع العلويات في بيوتهن عاريات يتبادلن القميص المرقع عند الصلاة ، وان تختال الفاجرات العاهرات بالحلي وحلل الديباج بين الاماء والعبيد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 الرشيد إلى بنات الرسول من يسلب الثياب عن أبدانهن ، أمّا المتوكّل فقد شدد وضيق عليهن ، حتّى ألجأهن إلى العري ، وهكذا تتطور الفلسفات والمناهج مع الزمن على أيدي القرشيين العرب أبناء الأمجاد والأشراف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تفرق العلويون أيام المتوكل ، فمنهم من توارى فمات في حال تواريه كأحمد بن عيسى الحسين وعبد الله بن موسى الحسيني ، ومنهم من ثار على القهر والجور كمحمد بن صالح ومحمد بن جعفر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المتوكل بالتنكيل بالأحياء ، حتّى اعتدى على قبور الأموات فهدم </w:t>
      </w:r>
    </w:p>
    <w:p>
      <w:pPr>
        <w:pStyle w:val="BookText"/>
        <w:rPr/>
      </w:pPr>
      <w:r>
        <w:rPr>
          <w:rFonts w:ascii="Amiri" w:hAnsi="Amiri" w:eastAsia="Amiri" w:cs="Amiri"/>
          <w:color w:val="111111"/>
          <w:sz w:val="28"/>
          <w:sz w:val="28"/>
          <w:szCs w:val="28"/>
          <w:rtl w:val="true"/>
          <w:lang w:bidi="ar-SA"/>
        </w:rPr>
        <w:t xml:space="preserve">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حوله من المنازل والدور ، ومنَع الناس من زيارته ونادى مناديه من وجدناه عند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حبسناه في المطبق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سجن تحت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 xml:space="preserve">أسفوا على أن لا يكونوا شايعوا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نعم كانت التقية بين الشيعة تزداد تارة وتتضاءل أُخرى ، حسب قوّة الضغط وضآلته ، فشتّان بين عصر المأمون الذي يجيز مادحي أهل البيت ، ويكرم العلويين ، وبين عصر المتوكل الذي يقطع لسان ذاكرهم بفضيلة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ابن السكيت أحد أعلام الأدب في زمن المتوكل ، وقد اختاره معلّماً لولديه فسأله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ابناي هذان أم الحسن والحسين؟ 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قنبر خادم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منك ومن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 ، ففعلوا ذلك به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سيَّر المتوكل لولده يوسف عشرة آلاف درهم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دية والدك</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ابن الرومي الشاعر العبقري يقول في قصيدته التي يرثي بها يحيى بن عمر بن الحسين بن زيد بن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أكلّ أوان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زكيّ بالدماء مضرَّجُ</w:t>
      </w:r>
    </w:p>
    <w:p>
      <w:pPr>
        <w:pStyle w:val="BookText"/>
        <w:rPr/>
      </w:pPr>
      <w:r>
        <w:rPr>
          <w:rFonts w:ascii="Amiri" w:hAnsi="Amiri" w:eastAsia="Amiri" w:cs="Amiri"/>
          <w:color w:val="111111"/>
          <w:sz w:val="28"/>
          <w:sz w:val="28"/>
          <w:szCs w:val="28"/>
          <w:rtl w:val="true"/>
          <w:lang w:bidi="ar-SA"/>
        </w:rPr>
        <w:t xml:space="preserve">بني المصطفى كم يأكل الناس شلوكم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لبلواكم عمّا قليل مفرِّجُ</w:t>
      </w:r>
    </w:p>
    <w:p>
      <w:pPr>
        <w:pStyle w:val="BookText"/>
        <w:rPr/>
      </w:pPr>
      <w:r>
        <w:rPr>
          <w:rFonts w:ascii="Amiri" w:hAnsi="Amiri" w:eastAsia="Amiri" w:cs="Amiri"/>
          <w:color w:val="111111"/>
          <w:sz w:val="28"/>
          <w:sz w:val="28"/>
          <w:szCs w:val="28"/>
          <w:rtl w:val="true"/>
          <w:lang w:bidi="ar-SA"/>
        </w:rPr>
        <w:t xml:space="preserve">أبعد المكنّى بالحسين شهيدكم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تضيء مصابيح السماء فتسرجُ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وكان العباسيون أشدّ كرهاً للعلويين من الأمويين ، وأعظم بغضاً فأمعنوا فيهم قتلاً وحرقاً واضطهاداً وتعذيباً ، فهذا هو المنصور يُحمل إليه من المدينة كلّ من كان فيها من العلويين مقيدين بالسلاسل والأغلال ، ولما وصلوا إليه حبسهم في سجن مظلم لا يعرف فيه ليل من نهار ، وكان إذا مات أحدهم تُرك معهم وأخيراً أمر بهدم السجن عليهم ، وفي ذلك يقول أحد شعراء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فعلت أمية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 العباس</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 جور بني مروان دام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عدل بني العباس في النار</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وقال أبو فراس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نال منهم بنو حرب وإن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الجرائم إلاّ دون نيلكم</w:t>
      </w:r>
    </w:p>
    <w:p>
      <w:pPr>
        <w:pStyle w:val="BookText"/>
        <w:rPr/>
      </w:pP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ليس فعل الأولين وإن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قبح فعل الآخرين بزائد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الذي كان يعيش في عصر ازدهار الخلافة العباسية ، وهو يصف حال الشيعة </w:t>
      </w:r>
      <w:r>
        <w:rPr>
          <w:rFonts w:eastAsia="Amiri" w:cs="Amiri" w:ascii="Amiri" w:hAnsi="Amiri"/>
          <w:color w:val="111111"/>
          <w:sz w:val="28"/>
          <w:szCs w:val="28"/>
          <w:rtl w:val="true"/>
          <w:lang w:bidi="ar-SA"/>
        </w:rPr>
        <w:t xml:space="preserve">: </w:t>
      </w:r>
      <w:bookmarkStart w:id="530" w:name="pg10155_105473"/>
    </w:p>
    <w:p>
      <w:pPr>
        <w:pStyle w:val="BookText"/>
        <w:rPr/>
      </w:pPr>
      <w:bookmarkEnd w:id="530"/>
      <w:r>
        <w:rPr>
          <w:rFonts w:ascii="Amiri" w:hAnsi="Amiri" w:eastAsia="Amiri" w:cs="Amiri"/>
          <w:color w:val="111111"/>
          <w:sz w:val="28"/>
          <w:sz w:val="28"/>
          <w:szCs w:val="28"/>
          <w:rtl w:val="true"/>
          <w:lang w:bidi="ar-SA"/>
        </w:rPr>
        <w:t>لم تلق فرقة ولا بُلي أهل مذهب بما بُليت به الشيعة ، حتّى إنّا لا نكاد نعرف زماناً تقدّم سلمت فيه الشيعة من الخوف ولزوم التقية ، ولا حالاً عريت فيه من قصد السلطان وعصبيته وميله وانحرافه</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هذه لمحة خاطفة لمحنة الشيعة في العصر العباسي وقد دام الأمر على هذه الوتيرة في العصور المتأخرة لا سيما في عصر الأيوبيين والعثمانيين</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273025_1067777946"/>
      <w:bookmarkStart w:id="532" w:name="_Toc188"/>
      <w:bookmarkEnd w:id="531"/>
      <w:r>
        <w:rPr>
          <w:rtl w:val="true"/>
        </w:rPr>
        <w:t xml:space="preserve">محنة الشيعة في العصرين </w:t>
      </w:r>
      <w:r>
        <w:rPr>
          <w:rtl w:val="true"/>
        </w:rPr>
        <w:t xml:space="preserve">: </w:t>
      </w:r>
      <w:r>
        <w:rPr>
          <w:rtl w:val="true"/>
        </w:rPr>
        <w:t>الأيوبي والعثماني</w:t>
      </w:r>
      <w:bookmarkEnd w:id="532"/>
    </w:p>
    <w:p>
      <w:pPr>
        <w:pStyle w:val="BookText"/>
        <w:rPr/>
      </w:pPr>
      <w:r>
        <w:rPr>
          <w:rFonts w:ascii="Amiri" w:hAnsi="Amiri" w:eastAsia="Amiri" w:cs="Amiri"/>
          <w:color w:val="111111"/>
          <w:sz w:val="28"/>
          <w:sz w:val="28"/>
          <w:szCs w:val="28"/>
          <w:rtl w:val="true"/>
          <w:lang w:bidi="ar-SA"/>
        </w:rPr>
        <w:t xml:space="preserve">ما إن انتزع صلاح الدين الأيّوبي الملك من الفاطميين حتّى قام بعزل القضاة الشيعة واستناب عنهم قضاة شافعية ، وأبطل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وتظاهر الناس بمذهب مالك والشافعي ، واختفى مذهب التشيع إلى أن نسي من مصر ، وكان يحمل الناس على التسنن وعقيدة الأشعري ، ومن خالف ضربت عنقه ، وأمر أن لا تقبل شهادة أحد ولا يقدم للخطابة ولا للتدريس إلاّ إذا كان مقلداً لأحد المذاهب الأربعة ، قال الخفاجي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في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 </w:t>
      </w:r>
      <w:r>
        <w:rPr>
          <w:rStyle w:val="FootnoteAnchor"/>
          <w:rtl w:val="true"/>
        </w:rPr>
        <w:footnoteReference w:id="492"/>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غالى الأيوبيون في القضاء على كلّ أثر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العصر العثماني فقد تولى السلطان سليم زعامة السنة واستحصل على فتوى من شيوخ السوء بأنّ الشيعة خارجون على الدين يجب قتلهم ولذلك أمر بقتل كلّ من كان معروفاً بالتشيع داخل بلاده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الأمر قُتل في الأناطول وحدها أربعون ألفاً وقيل سبعون ، لا لشيء إلاّ لأنّهم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انّ الشيخ نوح الحنفي </w:t>
      </w:r>
    </w:p>
    <w:p>
      <w:pPr>
        <w:pStyle w:val="BookText"/>
        <w:rPr/>
      </w:pPr>
      <w:r>
        <w:rPr>
          <w:rFonts w:ascii="Amiri" w:hAnsi="Amiri" w:eastAsia="Amiri" w:cs="Amiri"/>
          <w:color w:val="111111"/>
          <w:sz w:val="28"/>
          <w:sz w:val="28"/>
          <w:szCs w:val="28"/>
          <w:rtl w:val="true"/>
          <w:lang w:bidi="ar-SA"/>
        </w:rPr>
        <w:t xml:space="preserve">أفتى بكفر الشيعة ووجوب قتلهم ، فقتل من جراء هذه الفتوى عشرات الألوف من شيعة حلب حتّى لم يبق فيها شيعي واحد وكان التشيّع فيها راسخاً ومنتشراً منذ كانت حلب عاصمة الدولة الحمدانية ، وقد نشأ في حلب منذ القديم العديد من كبار العلماء وأئمة الفقه كبني زهرة وآل أبي جرادة وغيرهم ممن جاء ذكرهم في كتب السير والتراجم خاصة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وقتل العثمانيون الشهيد الثاني المشهور بفضله وورعه وكتبه العلمية الجليلة التي يدرس بعضها حتّى اليوم في جامعة النجف وقم ، وفَعل الجزار والي عكا بجبل عامل ما فَعل الحجاج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وانتهب الجزار أموال العامليين ومكتباتهم ، وكان في مكتبة آل خاتون خمسة آلاف مجلد ، وبقيت أفران عكا توقد أسبوعاً كاملاً من كتب العامليين ، ولم يسلم من ظلم الجزار إلاّ من استطاع الفرار ، وفي عهده هاجر علماء جبل عامل مشردين في الأقطار ، ومن هؤلاء الشاعر الشيعي إبراهيم يحيى الذي هرب إلى دمشق ، وفي نفسه لوعة وحسرة ، وذكرى فظائع الجزار لا تفارقه بحال ، وقد صورها وهو شاهد عيان في قصائد تدمي الأفئدة والقلوب منها قصيدة طويلة ، يقول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مضى ما مضى والدهر بؤس وأنعم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وبصر الفتى ان مسه الضر أحزم</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يعز علينا أن نروح ومصرنا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لفرعون مغنى ، يصطفيه ومغنم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منازل أهل العدل منهم 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لأهل الجور جيش عرمرم </w:t>
      </w:r>
    </w:p>
    <w:p>
      <w:pPr>
        <w:pStyle w:val="BookText"/>
        <w:rPr/>
      </w:pPr>
      <w:r>
        <w:rPr>
          <w:rFonts w:ascii="Amiri" w:hAnsi="Amiri" w:eastAsia="Amiri" w:cs="Amiri"/>
          <w:color w:val="111111"/>
          <w:sz w:val="28"/>
          <w:sz w:val="28"/>
          <w:szCs w:val="28"/>
          <w:rtl w:val="true"/>
          <w:lang w:bidi="ar-SA"/>
        </w:rPr>
        <w:t>هذه لمحة خاطفة لمحنة الشيعة في العصر العثماني ، وعلى الرغم من شيوع الحرية في عصرنا الراهن فلم تزل الشيعة في أكثر نقاط العالم تمارس التقية ، وإلاّ يضيق عليها الخناق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السيّد هبة الدين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شعار كلّ ضعيف مسلوب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قد اشتهرت بالتقية أكثر من غيرها لأنّها مُنيت باستمرار الضغط عليها أكثر من أية أُمّة أُخرى ، فكانت مسلوبة الحرية في عهد الدولة الأموية كلّه ، وفي عهد العباسيين على طوله ، وفي أكثر أيام الدولة العثمانية ، ولأجله استشعروا بشعار التقية أكثر من أيّ قوم ، ولما كانت الشيعة ، تختلف عن الطوائف المخالفة لها في قسم مهم من الاعتقادات في أُصول الدين وفي كثير من الأحكام الفقهيّة ، والمخالفة تستجلب بالطبع رقابة وتصدقه التجارب ، لذلك أضحت شيعة الأئمّة من آل البيت مضطرّة في أكثر الأحيان إلى كتمان ما تختص به من عادة أو عقيدة أو فتوى أو كتاب أو غير ذلك ، تبتغي بهذا الكتمان ، صيانةَ النفس والنفيس ، والمحافظة على الوداد والاخوة مع سائر اخوانهم المسلمين ، لئلاّ تنشق عصا الطاعة ، ولكي لا يحسّ الكفّار بوجود اختلاف ما في المجتمع الإسلامي فيوسع الخلاف بين الأُمّة المحمدية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لهذه الغايات النزيهة كانت الشيعة تستعمل التقية وتحافظ على وفاقها في الظواهر مع الطوائف الاخرى ، متبعة في ذلك سيرة الأئمّة من آل محمد وأحكامهم الصارمة حول وجوب التقية من قبيل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أنّ دين الله يمشي على سنّة التقية لمسلوبي الحرية ، دلّت على ذلك آيات من القرآن العظيم</w:t>
      </w:r>
      <w:r>
        <w:rPr>
          <w:rFonts w:eastAsia="Amiri" w:cs="Amiri" w:ascii="Amiri" w:hAnsi="Amiri"/>
          <w:color w:val="111111"/>
          <w:sz w:val="28"/>
          <w:szCs w:val="28"/>
          <w:rtl w:val="true"/>
          <w:lang w:bidi="ar-SA"/>
        </w:rPr>
        <w:t xml:space="preserve">. </w:t>
      </w:r>
      <w:r>
        <w:rPr>
          <w:rStyle w:val="FootnoteAnchor"/>
          <w:rtl w:val="true"/>
        </w:rPr>
        <w:footnoteReference w:id="494"/>
      </w:r>
      <w:bookmarkStart w:id="533" w:name="pg10155_105476"/>
    </w:p>
    <w:p>
      <w:pPr>
        <w:pStyle w:val="BookText"/>
        <w:rPr/>
      </w:pPr>
      <w:bookmarkEnd w:id="533"/>
      <w:r>
        <w:rPr>
          <w:rFonts w:ascii="Amiri" w:hAnsi="Amiri" w:eastAsia="Amiri" w:cs="Amiri"/>
          <w:color w:val="111111"/>
          <w:sz w:val="28"/>
          <w:sz w:val="28"/>
          <w:szCs w:val="28"/>
          <w:rtl w:val="true"/>
          <w:lang w:bidi="ar-SA"/>
        </w:rPr>
        <w:t xml:space="preserve">روي عن صادق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الأثر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التقية شعاراً لآل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للضرر عنهم ، وعن أتباعهم ، وحقناً لدمائهم ، واستصلاحاً لحال المسلمين ، وجمعاً لكلمتهم ، ولمّاً لشعثهم ، وما زالت سمة تُعرف بها الإمامية دون غيرها من الطوائف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إنسان إذا أحسّ بالخطر على نفسه ، أو ماله بسبب نشر معتقده ، أو التظاهر به لا بد أن يتكتم ويتقي مواضع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تقتضيه فطرة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 الإمامية وأئمّتهم لاقوا من ضروب المحن ، وصنوف الضيق على حرياتهم في جميع العهود ما لم تلاقه أية طائفة ، أو أُمّة أُخرى ، فاضطروا في أكثر عهودهم إلى استعمال التقية في تعاملهم مع المخالفين لهم ، وترك مظاهرتهم ، وستر عقائدهم ، وأعمالهم المختصة بهم عنهم ، لما كان يعقب ذلك من الضرر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امتازوا بالتقية وعرفوا بها دون سواهم</w:t>
      </w:r>
      <w:r>
        <w:rPr>
          <w:rFonts w:eastAsia="Amiri" w:cs="Amiri" w:ascii="Amiri" w:hAnsi="Amiri"/>
          <w:color w:val="111111"/>
          <w:sz w:val="28"/>
          <w:szCs w:val="28"/>
          <w:rtl w:val="true"/>
          <w:lang w:bidi="ar-SA"/>
        </w:rPr>
        <w:t xml:space="preserve">. </w:t>
      </w:r>
      <w:r>
        <w:rPr>
          <w:rStyle w:val="FootnoteAnchor"/>
          <w:rtl w:val="true"/>
        </w:rPr>
        <w:footnoteReference w:id="495"/>
      </w:r>
    </w:p>
    <w:p>
      <w:pPr>
        <w:pStyle w:val="Heading4"/>
        <w:numPr>
          <w:ilvl w:val="3"/>
          <w:numId w:val="1"/>
        </w:numPr>
        <w:rPr/>
      </w:pPr>
      <w:bookmarkStart w:id="534" w:name="__RefHeading___Toc1273027_1067777946"/>
      <w:bookmarkStart w:id="535" w:name="_Toc189"/>
      <w:bookmarkEnd w:id="534"/>
      <w:r>
        <w:rPr>
          <w:rtl w:val="true"/>
        </w:rPr>
        <w:t>حصيلة البحث</w:t>
      </w:r>
      <w:bookmarkEnd w:id="53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فحصيلة البحث انّ أوساط الشيعة شهدت مجازر بشعه على يد السلطات الغاشمة ، فقتل الآلاف منهم ، وأمّا من بقي منهم على قيد الحياة فقد تعرض إلى شتى صنوف التنكيل والارهاب والتخويف ، والحقّ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الأُمور العجيبة أن يبقى لهذه الطائفة باقية رغم كلّ ذلك الظلم الكبير والقتل الذريع بل العجب العجاب أن تجد هذه الطائفة قد ازدادت قوة وعدة وأقامت دولاً وشيّدت </w:t>
      </w:r>
    </w:p>
    <w:p>
      <w:pPr>
        <w:pStyle w:val="BookText"/>
        <w:rPr/>
      </w:pPr>
      <w:r>
        <w:rPr>
          <w:rFonts w:ascii="Amiri" w:hAnsi="Amiri" w:eastAsia="Amiri" w:cs="Amiri"/>
          <w:color w:val="111111"/>
          <w:sz w:val="28"/>
          <w:sz w:val="28"/>
          <w:szCs w:val="28"/>
          <w:rtl w:val="true"/>
          <w:lang w:bidi="ar-SA"/>
        </w:rPr>
        <w:t>حضارات وبرز منها الكثير من العلماء والمفكرين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الأخ السني يرى التقية أمراً محرماً فليعمل على رفع الضغط عن أخيه الشيعي وأن لا يضيق عليه في الحرية التي سمح بها الإسلام لأبنائه ، وليعذره في عقيدته وعمله كما عذَرَ أُناساً كثيرين خالفوا الكتاب والسنّة وأراقوا الدماء ونهبوا الديار ، فكيف بطائفة تدين بدينه وتتفق معه في كثير من معتقداته ، وإذا كان معاوية وأبناء بيته والعباسيون كلّهم عنده مجتهدين في بطشهم وإراقة دماء مخالفيهم فما ذا يمنعه عن إعذار الشيعة باعتبارهم مجتهدين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هو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الخروج على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مضرّ بعدالة الخارجين والثائرين عليه ، وفي مقدمتهم طلحة والزبير وأُمّ المؤمنين عائشة ، وإنّ إثارة الفتن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انتهت إلى قتل كثير من الصحابة والتابعين وإراقة دماء الآلاف من العراقيين والشاميين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تنقص شيئاً من ورع المحاربين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بعد ذلك مجتهدون معذورون لهم ثواب من اجتهد وأخطأ ، فَلِمَ لا يتعامل مع الشيعة ضمن هذا الفهم ولا يذهب إلى أنّهم معذورون ومثابون</w:t>
      </w:r>
      <w:r>
        <w:rPr>
          <w:rFonts w:eastAsia="Amiri" w:cs="Amiri" w:ascii="Amiri" w:hAnsi="Amiri"/>
          <w:color w:val="111111"/>
          <w:sz w:val="28"/>
          <w:szCs w:val="28"/>
          <w:rtl w:val="true"/>
          <w:lang w:bidi="ar-SA"/>
        </w:rPr>
        <w:t xml:space="preserve">!! </w:t>
      </w:r>
      <w:bookmarkStart w:id="536" w:name="pg10155_105478"/>
    </w:p>
    <w:p>
      <w:pPr>
        <w:pStyle w:val="Heading3"/>
        <w:numPr>
          <w:ilvl w:val="2"/>
          <w:numId w:val="1"/>
        </w:numPr>
        <w:rPr/>
      </w:pPr>
      <w:bookmarkStart w:id="537" w:name="__RefHeading___Toc1273029_1067777946"/>
      <w:bookmarkStart w:id="538" w:name="_Toc190"/>
      <w:bookmarkEnd w:id="536"/>
      <w:bookmarkEnd w:id="537"/>
      <w:r>
        <w:rPr/>
        <w:t>5</w:t>
      </w:r>
      <w:r>
        <w:rPr>
          <w:rtl w:val="true"/>
        </w:rPr>
        <w:t xml:space="preserve">- </w:t>
      </w:r>
      <w:r>
        <w:rPr>
          <w:rtl w:val="true"/>
        </w:rPr>
        <w:t>الغاية من تشريع التقية</w:t>
      </w:r>
      <w:bookmarkEnd w:id="538"/>
    </w:p>
    <w:p>
      <w:pPr>
        <w:pStyle w:val="BookText"/>
        <w:rPr/>
      </w:pPr>
      <w:r>
        <w:rPr>
          <w:rFonts w:ascii="Amiri" w:hAnsi="Amiri" w:eastAsia="Amiri" w:cs="Amiri"/>
          <w:color w:val="111111"/>
          <w:sz w:val="28"/>
          <w:sz w:val="28"/>
          <w:szCs w:val="28"/>
          <w:rtl w:val="true"/>
          <w:lang w:bidi="ar-SA"/>
        </w:rPr>
        <w:t xml:space="preserve">الغاية من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صيانة النفس والعرض والمال ، وذلك في ظروف قاهرة لا يستطيع فيها المؤمن أن يعلن عن موقفه الحق صريحاً خوفاً من أن تترتّب على ذلك مضار وتهلكة من قوى ظالمة غاشمة تمارس الارهابَ ، والتشريد والنفي ، والقتل والتنكيل ، ومصادرة الأموال ، وسلب الحقوق الحقة ، وعندئذ لا يجد صاحبُ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نفسه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محيصاً من إبطانها ، والتظاهر بما يوافق هوى الحاكم وتوجّهاته حتى يسلم من الاضطهاد والتنكيل والقتل ، إلى أن يُحدِث الله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سلاح الضعيف في مقابل القوي الغاشم ، سلاح من يُبتلى بمن لا يحترم دمه وعرضه وماله ، لا لشيء إلاّ لأنّه لا يتفق معه في بعض المبادئ والأفكار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يمارس التقية من يعيش في بيئة صودرت فيها الحرية في القول والعمل ، والرأي والعقيدة فلا ينجو المخالف إلاّ بالصمت والسكوت مُرغماً أو بالتظاهر بما يوافق هوى السلطة وأفكارها ، أو قد يلجأ إليها البعض كوسيلة لا بدّ منها من أجل اغاثة الملهوف المضطهد والمستضعف الذي لا حول له ولا قوة ، فيتظاهر بالعمل إلى جانب الحكومة الظالمة وصولاً إلى ذلك كما كان عليه مؤمن آل فرعون الذي </w:t>
      </w:r>
    </w:p>
    <w:p>
      <w:pPr>
        <w:pStyle w:val="BookText"/>
        <w:rPr/>
      </w:pPr>
      <w:r>
        <w:rPr>
          <w:rFonts w:ascii="Amiri" w:hAnsi="Amiri" w:eastAsia="Amiri" w:cs="Amiri"/>
          <w:color w:val="111111"/>
          <w:sz w:val="28"/>
          <w:sz w:val="28"/>
          <w:szCs w:val="28"/>
          <w:rtl w:val="true"/>
          <w:lang w:bidi="ar-SA"/>
        </w:rPr>
        <w:t>حكاه سبحانه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أكثر من يَعيبُ التقية على مستعملها ، يتصوّر أو يصوِّر أنّ الغاية منها هو تشكيل جماعات سرية هدفها الهدم والتخريب ، كما هو المعروف من الباطنيين والأحزاب الإلحادية السرية ، وهو تصوّر خاطئ ذهب إليه أُولئك جهلاً أو عمداً دون أن يرتكزوا في رأيهم هذا على دليل ما أو حجة مقنعة ، فأين ما ذكرناه من هذا الذي يُذكر ، ولو لم تستبد الظروف القاهرة والأحكام المتعسفة بهذه الجموع المستضعفة من المؤمنين لما كانوا عمدوا إلى التقية ، ولما تحمّلوا عبء إخفاء معتقداتهم ولَدَعوا الناس إليها علناً ، ودون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العمل الدفاعي بصورة بدائية من الأعمال التي يرتكبها أصحاب الجماعات السرية للإطاحة بالسلطة وامتطاء منصّة الحكم؟ وهي أعمال كلها تخطيطات مدبّرة لغايات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هم الذين يحملون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 تبرّر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قبيح عقلي أو ممنوع شرعي يستباح عندهم لغاية الوصول إلى المقاصد المشئومة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بالتشابه بين هؤلاء وبين من يتخذ التقية غطاءً ، وسلاحاً دفاعياً ليسلم من شر الغير ، حتى لا يُقْتَل ولا يُستأصل ، ولا تُنهب داره وماله ، إلى أن يُحدث الله أمراً ، من قبيل عطف المباين على مثله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المسلمين القاطنين في الاتحاد السوفيتي السابق قد لاقوا من المصائب والمحن ما لا يمكن للعقول أن تحتملها ولا أن تتصورها ، فإنّ الشيوعيّين طيلة تسلّطهم على المناطق الإسلامية قلبوا لهم ظهر المِجَنّ ، فصادروا أموالهم وأراضيهم ، ومساكنهم ، ومساجدهم ، ومدارسهم ، وأحرقوا مكتباتهم ، وقتلوا كثيراً منهم قتلاً ذريعاً ووحشياً ، فلم ينج منهم إلاّ من اتقاهم بشيء من التظاهر </w:t>
      </w:r>
    </w:p>
    <w:p>
      <w:pPr>
        <w:pStyle w:val="BookText"/>
        <w:rPr/>
      </w:pPr>
      <w:r>
        <w:rPr>
          <w:rFonts w:ascii="Amiri" w:hAnsi="Amiri" w:eastAsia="Amiri" w:cs="Amiri"/>
          <w:color w:val="111111"/>
          <w:sz w:val="28"/>
          <w:sz w:val="28"/>
          <w:szCs w:val="28"/>
          <w:rtl w:val="true"/>
          <w:lang w:bidi="ar-SA"/>
        </w:rPr>
        <w:t>بالمرونة ، وإخفاء المراسيم الدينية ، والعمل على إقامة الصلاة في البيوت إلى أن نجّاهم الله سبحانه بانحلال تلك القوة الكافرة ، فبرز المسلمون إلى الساحة من جديد ، فملكوا أرضهم وديارهم ، وأخذوا يستعيدون مجدهم وكرامتهم شيئاً فشيئاً ، وما هذا إلاّ ثمرة من ثمار التقية المشروعة التي أباحها الله تعالى لعباده بفضله وكرمه سبحانه على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هذا معنى التقية ومفهومها ، وكانت هذه غايتَها وهدفَها ، فهي أمر فطريّ ، يسوق الإنسان إليها قبل كل شيء عقلُه ولبُّه ، وتدعوه إليها فطرته ، ولأجل ذلك يلوذ بها كل من ابتُلي بالملوك والساسة الذين لا يحترمون شيئاً سوى رأيهم وفكرتهم ومطامعهم وسلطتهم ولا يترددون عن التنكيل بكل من يعارضهم في ذلك ، من غير فرق بين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 كان أم سنيّاً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ومن هنا تظهر جدوى التقية وعمق فائدتها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دعم هذا الأصل الحيويّ ، ندرس دليله من القرآن والسنّة</w:t>
      </w:r>
      <w:r>
        <w:rPr>
          <w:rFonts w:eastAsia="Amiri" w:cs="Amiri" w:ascii="Amiri" w:hAnsi="Amiri"/>
          <w:color w:val="111111"/>
          <w:sz w:val="28"/>
          <w:szCs w:val="28"/>
          <w:rtl w:val="true"/>
          <w:lang w:bidi="ar-SA"/>
        </w:rPr>
        <w:t xml:space="preserve">. </w:t>
      </w:r>
      <w:bookmarkStart w:id="539" w:name="pg10155_105481"/>
    </w:p>
    <w:p>
      <w:pPr>
        <w:pStyle w:val="Heading3"/>
        <w:numPr>
          <w:ilvl w:val="2"/>
          <w:numId w:val="1"/>
        </w:numPr>
        <w:rPr/>
      </w:pPr>
      <w:bookmarkStart w:id="540" w:name="__RefHeading___Toc1273031_1067777946"/>
      <w:bookmarkStart w:id="541" w:name="_Toc191"/>
      <w:bookmarkEnd w:id="539"/>
      <w:bookmarkEnd w:id="540"/>
      <w:r>
        <w:rPr/>
        <w:t>6</w:t>
      </w:r>
      <w:r>
        <w:rPr>
          <w:rtl w:val="true"/>
        </w:rPr>
        <w:t xml:space="preserve">- </w:t>
      </w:r>
      <w:r>
        <w:rPr>
          <w:rtl w:val="true"/>
        </w:rPr>
        <w:t>التقية في الكتاب العزيز</w:t>
      </w:r>
      <w:bookmarkEnd w:id="541"/>
    </w:p>
    <w:p>
      <w:pPr>
        <w:pStyle w:val="Heading4"/>
        <w:numPr>
          <w:ilvl w:val="3"/>
          <w:numId w:val="1"/>
        </w:numPr>
        <w:rPr/>
      </w:pPr>
      <w:bookmarkStart w:id="542" w:name="__RefHeading___Toc1273033_1067777946"/>
      <w:bookmarkStart w:id="543" w:name="_Toc192"/>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 xml:space="preserve">شرّعت التقية بنص القرآن الكريم ، حيث وردت فيها جملة من الآيات الكريمة </w:t>
      </w:r>
      <w:r>
        <w:rPr>
          <w:rStyle w:val="FootnoteAnchor"/>
          <w:rtl w:val="true"/>
        </w:rPr>
        <w:footnoteReference w:id="496"/>
      </w:r>
      <w:r>
        <w:rPr>
          <w:rFonts w:ascii="Amiri" w:hAnsi="Amiri" w:eastAsia="Amiri" w:cs="Amiri"/>
          <w:color w:val="111111"/>
          <w:sz w:val="28"/>
          <w:sz w:val="28"/>
          <w:szCs w:val="28"/>
          <w:rtl w:val="true"/>
          <w:lang w:bidi="ar-SA"/>
        </w:rPr>
        <w:t xml:space="preserve">سنحاول استعراضها في الصفحات التالية </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273035_1067777946"/>
      <w:bookmarkStart w:id="545" w:name="_Toc193"/>
      <w:bookmarkEnd w:id="544"/>
      <w:r>
        <w:rPr>
          <w:rtl w:val="true"/>
        </w:rPr>
        <w:t xml:space="preserve">الآية الأُولى </w:t>
      </w:r>
      <w:r>
        <w:rPr>
          <w:rtl w:val="true"/>
        </w:rPr>
        <w:t>:</w:t>
      </w:r>
      <w:bookmarkEnd w:id="545"/>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وَقَلْبُهُ مُطْمَئِنٌّ بِالْإِيمانِ وَلكِنْ مَنْ شَرَحَ بِالْكُفْرِ صَدْراً فَعَلَيْهِمْ غَضَبٌ مِنَ اللهِ وَلَهُمْ عَذابٌ عَظِيمٌ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ترى أنّه سبحانه يجوّز إظهار الكفر كرهاً ومجاراةً للكافرين خوفاً منهم ، بشرط أن يكون القلب مطمئناً بالإيمان ، وصرّح بذلك لفيف من المفسرين القدامى والجُدد ، سنحاول أن نستعرض كلمات البعض منهم تجنّباً عن الإطالة والاسهاب ، ولمن يبتغي المزيد فعليه مراجعة كتب التفسير المختلفة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الآية في جماعة أُكرهوا على الكفر ، وهم عمّار</w:t>
      </w:r>
    </w:p>
    <w:p>
      <w:pPr>
        <w:pStyle w:val="BookText"/>
        <w:rPr/>
      </w:pPr>
      <w:r>
        <w:rPr>
          <w:rFonts w:ascii="Amiri" w:hAnsi="Amiri" w:eastAsia="Amiri" w:cs="Amiri"/>
          <w:color w:val="111111"/>
          <w:sz w:val="28"/>
          <w:sz w:val="28"/>
          <w:szCs w:val="28"/>
          <w:rtl w:val="true"/>
          <w:lang w:bidi="ar-SA"/>
        </w:rPr>
        <w:t xml:space="preserve">وأبوه ياسر وأُمّه سمية ، وقُتلَ الأبوان لأنّهما لم يظهرا الكفر ولم ينالا من النبيّ ، وأعطاهم عمّار ما أرادوا منه ، فأطلقوه ، ثمّ أخبر عمّار بذلك رسول الله ، وانتشر خبره بين المسلمين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عمّار ، فقال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عمّاراً مُلئ إيماناً من قرنه إلى قدمه ، واختلط الإيمان بلحمه ودمه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نزلت الآية السابقة ، وكان عمّار يبكي ، فجعل رسول الله يمسح عينيه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أُناساً من أهل مكّة فُتِنُوا فارتدّوا عن الإسلام بعد دخولهم فيه ، وكان فيهم من أُكره وأجرى كلمة الكفر على لسانه وهو معتقد للإيمان ، منهم عمّار بن ياسر وأبواه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وسمية ، وصهيب وبلال وخبّاب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عمّار فأعطاهم ما أرادوا بلسانه مكرهاً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الاعطاء أن وافقوا المشركين على ما أرادوا منهم تقية ، والتقية في مثل هذه الحال جائزة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جائزة للإنسان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أهل العلم على أنّ من أُكره على الكفر حتّى خشى على نفسه القتل إنّه لا إثم عليه إن كفر وقلبه مطمئن بالإيمان ولا تَبين منه زوجته ولا يُحكم عليه بالكفر ، هذا قول مالك والكوفيين والشافعي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546" w:name="pg10155_105483"/>
    </w:p>
    <w:p>
      <w:pPr>
        <w:pStyle w:val="BookText"/>
        <w:rPr/>
      </w:pPr>
      <w:bookmarkEnd w:id="54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لا تكون إلاّ مع خوف القتل مع سلامة النيّة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التقية رخصة</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الشربيني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التلفّظ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لأنّ محل الإيمان هو القلب</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إسماعيل حقّي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على ذلك اللفظ بأمر يخاف على نفسه أو عضو من 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الكفر اعتقاد ، والإكراه على القول دون الاعتقاد ، والمعنى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المكره على الكفر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تتغير عقيدته ، وفيه دليل على أنّ الإيمان المنجي المعتبر عند الله ، هو التصديق بالقلب</w:t>
      </w:r>
      <w:r>
        <w:rPr>
          <w:rFonts w:eastAsia="Amiri" w:cs="Amiri" w:ascii="Amiri" w:hAnsi="Amiri"/>
          <w:color w:val="111111"/>
          <w:sz w:val="28"/>
          <w:szCs w:val="28"/>
          <w:rtl w:val="true"/>
          <w:lang w:bidi="ar-SA"/>
        </w:rPr>
        <w:t xml:space="preserve">. </w:t>
      </w:r>
      <w:r>
        <w:rPr>
          <w:rStyle w:val="FootnoteAnchor"/>
          <w:rtl w:val="true"/>
        </w:rPr>
        <w:footnoteReference w:id="504"/>
      </w:r>
    </w:p>
    <w:p>
      <w:pPr>
        <w:pStyle w:val="Heading4"/>
        <w:numPr>
          <w:ilvl w:val="3"/>
          <w:numId w:val="1"/>
        </w:numPr>
        <w:rPr/>
      </w:pPr>
      <w:bookmarkStart w:id="547" w:name="__RefHeading___Toc1273037_1067777946"/>
      <w:bookmarkStart w:id="548" w:name="_Toc194"/>
      <w:bookmarkEnd w:id="547"/>
      <w:r>
        <w:rPr>
          <w:rtl w:val="true"/>
        </w:rPr>
        <w:t xml:space="preserve">الآية الثانية </w:t>
      </w:r>
      <w:r>
        <w:rPr>
          <w:rtl w:val="true"/>
        </w:rPr>
        <w:t>:</w:t>
      </w:r>
      <w:bookmarkEnd w:id="548"/>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وكلمات المفسّرين حول الآية تغنينا عن أي توضيح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باللسان ، وليس بالعمل ، حُدّثت عن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الضحّاك يقول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باللسان من حُمِلَ على أمر يتكلّم به وهو لله معصية فتكلم مخافة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 ، إنّما التقية باللسان</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الزمخشري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رخّص لهم في موالاتهم إذا خافوهم ، والمراد بتلك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ومعاشرة ظاهرة ، والقلب مطمئن بالعداوة والبغضاء وانتظار زوال المانع</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الرازي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للتقية أحكاماً كثيرة ، ونحن نذكر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إنّما تكون إذا كان الرجل في قوم كفّار ، ويخاف منهم على نفسه ، وماله ، فيداريهم باللسان ، وذلك بأن لا يظهر العداوة باللسان ، بل يجوز أيضاً أن يظهر الكلام الموهم للمحبة والموالاة ، ولكن بشرط أن يضمر خلافه وأن يعرض في كل ما يقول ، فإنّ للتقيّة تأثيرها في الظاهر لا في أحوال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جائزة لصون النفس ، وهل هي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لصون المال؟ يحتمل أن يحكم فيها بالجواز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النسفي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تخافوا جهتهم أمراً يجب اتّقاؤه ، أي ألاّ يكون للكافر عليك سلطان فتخافه على نفسك ومالك فحينئذ يجوز لك اظهار الموالاة وإبطان المعاداة</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دليل على مشروعية التقية وعرَّفوها بمحافظة </w:t>
      </w:r>
    </w:p>
    <w:p>
      <w:pPr>
        <w:pStyle w:val="BookText"/>
        <w:rPr/>
      </w:pPr>
      <w:r>
        <w:rPr>
          <w:rFonts w:ascii="IRNazanin" w:hAnsi="IRNazanin" w:eastAsia="IRNazanin"/>
          <w:color w:val="111111"/>
          <w:sz w:val="28"/>
          <w:sz w:val="28"/>
          <w:szCs w:val="28"/>
          <w:rtl w:val="true"/>
          <w:lang w:bidi="fa-IR"/>
        </w:rPr>
        <w:t>النفس أو العرض أو المال من شر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والعدو قسمان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عداوته مبنية على اختلاف الدين ، كالكافر والمسلم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عداوته مبنية على أغراض دنيوية ، كالمال والمتاع والملك والامارة</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جمال الدين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استنبط الأئمّة مشروعية التقية عند الخوف ، وقد نقل الإجماع على جوازها عند ذلك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المراغي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ترك موالاة المؤمنين للكافرين حتم لازم في كل حال إلاّ في حال الخوف من شيء تتّقونه منهم ، فلكم حينئذ أن تتّقوهم بقدر ما يتقى ذلك الشيء ، إذ القاعدة الشرعية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درء المفاسد مقدّم على جلب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جازت موالاتهم لاتّقاء الضرر فأولى أن تجوز لمنفعة المسلمين ، إذاً فلا مانع من أن تحالف دولة إسلامية دولة غير مسلمة ، لفائدة تعود إلى الأُولى ، إمّا بدفع ضرر أو جلب منفعة ، وليس لها أن تواليها في شيء يضر المسلمين ، ولا تختص هذه الموالاة بحال الضعف ، بل هي جائزة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استنبط العلماء من هذه الآية جواز التقية بأن يقول الإنسان أو يفعل ما يخالف الحق ، لأجل التوقّي من ضرر يعود من الأعداء إلى النفس ، أو العرض ، أو المال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نطق بكلمة الكفر مكرهاً وقاية لنفسه من الهلاك ، وقلبه مطمئن </w:t>
      </w:r>
      <w:bookmarkStart w:id="549" w:name="pg10155_105486"/>
    </w:p>
    <w:p>
      <w:pPr>
        <w:pStyle w:val="BookText"/>
        <w:rPr/>
      </w:pPr>
      <w:bookmarkEnd w:id="549"/>
      <w:r>
        <w:rPr>
          <w:rFonts w:ascii="Amiri" w:hAnsi="Amiri" w:eastAsia="Amiri" w:cs="Amiri"/>
          <w:color w:val="111111"/>
          <w:sz w:val="28"/>
          <w:sz w:val="28"/>
          <w:szCs w:val="28"/>
          <w:rtl w:val="true"/>
          <w:lang w:bidi="ar-SA"/>
        </w:rPr>
        <w:t xml:space="preserve">بالإيمان ، لا يكون كافراً بل يُعذر كما فعل عمّار بن ياسر حين أكرهته قريش على الكفر فوافقها مكرهاً وقلبه مطمئن بالإيمان ، وفيه نزلت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هذه الجمل الوافية والعبارات المستفيضة لا تدع لقائل مقالاً إلاّ أن يحكم بشرعية التقيّة بالمعنى الذي عرفته ، بل قد لا يجد أحد مفسّراً أو فقيهاً وقف على مفهومها وغايتها ، وهو يتردد في الحكم بجوازها ، كما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إنساناً واعياً لا يستعملها في ظروف عصيبة ، ما لم تترتّب عليها مفسدة عظيمة ، كما سيوافيك بيانها عند البحث عن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المعارض لجوازها أو المغالط في مشروعيتها ، فإنّما يفسّرها بالتقية الرائجة بين أصحاب التنظيمات السرية والمذاهب الهدّامة كالباطنية وأمثالهم ، إلاّ أنّ المسلمين جميعاً بريئون من هذه التقية الهدّامة لكل فضيلة رابية</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273039_1067777946"/>
      <w:bookmarkStart w:id="551" w:name="_Toc195"/>
      <w:bookmarkEnd w:id="550"/>
      <w:r>
        <w:rPr>
          <w:rtl w:val="true"/>
        </w:rPr>
        <w:t xml:space="preserve">الآية الثالثة </w:t>
      </w:r>
      <w:r>
        <w:rPr>
          <w:rtl w:val="true"/>
        </w:rPr>
        <w:t>:</w:t>
      </w:r>
      <w:bookmarkEnd w:id="551"/>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عاقبة أمره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فَوَقاهُ اللهُ سَيِّئاتِ ما مَكَرُوا وَحاقَ بِآلِ فِرْعَوْنَ سُوءُ </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وما كان ذلك إلاّ لأنّه بتقيّته استطاع أن ينجي نبيّ الله من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مُوسى إِنَّ الْمَلَأَ يَأْتَمِرُونَ بِكَ لِيَقْتُلُوكَ فَاخْرُجْ إِنِّي لَكَ مِنَ النَّاصِحِينَ</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الآيات تدل على جواز التقية لإنقاذ المؤمن من شرّ عدوّه الكافر</w:t>
      </w:r>
      <w:r>
        <w:rPr>
          <w:rFonts w:eastAsia="Amiri" w:cs="Amiri" w:ascii="Amiri" w:hAnsi="Amiri"/>
          <w:color w:val="111111"/>
          <w:sz w:val="28"/>
          <w:szCs w:val="28"/>
          <w:rtl w:val="true"/>
          <w:lang w:bidi="ar-SA"/>
        </w:rPr>
        <w:t xml:space="preserve">. </w:t>
      </w:r>
      <w:bookmarkStart w:id="552" w:name="pg10155_105488"/>
    </w:p>
    <w:p>
      <w:pPr>
        <w:pStyle w:val="Heading3"/>
        <w:numPr>
          <w:ilvl w:val="2"/>
          <w:numId w:val="1"/>
        </w:numPr>
        <w:rPr/>
      </w:pPr>
      <w:bookmarkStart w:id="553" w:name="__RefHeading___Toc1273041_1067777946"/>
      <w:bookmarkStart w:id="554" w:name="_Toc196"/>
      <w:bookmarkEnd w:id="552"/>
      <w:bookmarkEnd w:id="553"/>
      <w:r>
        <w:rPr/>
        <w:t>7</w:t>
      </w:r>
      <w:r>
        <w:rPr>
          <w:rtl w:val="true"/>
        </w:rPr>
        <w:t xml:space="preserve">- </w:t>
      </w:r>
      <w:r>
        <w:rPr>
          <w:rtl w:val="true"/>
        </w:rPr>
        <w:t>التقيّة في السنّة النبويّة</w:t>
      </w:r>
      <w:bookmarkEnd w:id="554"/>
    </w:p>
    <w:p>
      <w:pPr>
        <w:pStyle w:val="Heading4"/>
        <w:numPr>
          <w:ilvl w:val="3"/>
          <w:numId w:val="1"/>
        </w:numPr>
        <w:rPr/>
      </w:pPr>
      <w:bookmarkStart w:id="555" w:name="__RefHeading___Toc1273043_1067777946"/>
      <w:bookmarkStart w:id="556" w:name="_Toc197"/>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دلّت الروايات على أنّ الوجوب والحرمة ترتفع عند طروء الاضطرار ، الذي تعدّ التقية من مصاديقه وأوضح دليل على ذلك هو حديث الرفع الذي رواه الفريقان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بسند صحيح في خصاله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 والنسيان ، وما أُكرهوا عليه ، وما لا يطيقون ، وما لا يعلمون ، وما اضطروا إليه ، والحسد ، والطيرة ، والتفكّر في الوسوسة في الخلق ما لم ينطق بشفة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للحديث دوراً في مبحث البراءة والاشتغال في علم الأُصول ، وقد فصلنا الكلام حوله في بحوثنا الأُصولية</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وعلى كلّ تقدير فالحديث صريح في أنّ الاضطرار يبيح المحظور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بسند صحيح عن زرارة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 ، وصاحبها أعلم بها حين تنزل به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عن محمد بن مسلم وزرارة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557" w:name="pg10155_105489"/>
    </w:p>
    <w:p>
      <w:pPr>
        <w:pStyle w:val="BookText"/>
        <w:rPr/>
      </w:pPr>
      <w:bookmarkEnd w:id="557"/>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يعمل المؤمن بينهم لمكان التقية ممّا لا يؤدي إلى الفساد في الدين فانّه جائز</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حنث ولا كفّارة على من حلف تقية يدفع بذلك ظلماً عن نفسه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التقية لأوسع ممّا بين السماء والأرض</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إلى غير ذلك من الروايات الواردة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تضيف إلى ذلك الاستدلال بالآيات التي رخصت عند الاضطرار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ومورد الآية وإن كان الاضطرار لأجل الجوع ، ولكن الموضوع هو الاضطرار ، سواء أكان العامل داخلياً كاضطراره إلى أكل الميتة ، أو خارجياً قاهراً مُلْزِماً على العمل بالخلاف على نحو لو لم يفعله لأدّى إلى إلحاق الضرر بنفسه ونفيسه</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273045_1067777946"/>
      <w:bookmarkStart w:id="559" w:name="_Toc198"/>
      <w:bookmarkEnd w:id="558"/>
      <w:r>
        <w:rPr>
          <w:rtl w:val="true"/>
        </w:rPr>
        <w:t>التقية في كلمات العلماء</w:t>
      </w:r>
      <w:bookmarkEnd w:id="5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باللسان والقلب مطمئن بالإيمان ولا يبسط يده للقتل</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للمؤمن إلى يوم القيامة إلاّ في قتل النفس</w:t>
      </w:r>
      <w:r>
        <w:rPr>
          <w:rFonts w:eastAsia="Amiri" w:cs="Amiri" w:ascii="Amiri" w:hAnsi="Amiri"/>
          <w:color w:val="111111"/>
          <w:sz w:val="28"/>
          <w:szCs w:val="28"/>
          <w:rtl w:val="true"/>
          <w:lang w:bidi="ar-SA"/>
        </w:rPr>
        <w:t xml:space="preserve">. </w:t>
      </w:r>
      <w:r>
        <w:rPr>
          <w:rStyle w:val="FootnoteAnchor"/>
          <w:rtl w:val="true"/>
        </w:rPr>
        <w:footnoteReference w:id="524"/>
      </w:r>
      <w:bookmarkStart w:id="560" w:name="pg10155_105490"/>
    </w:p>
    <w:p>
      <w:pPr>
        <w:pStyle w:val="BookText"/>
        <w:rPr/>
      </w:pPr>
      <w:bookmarkEnd w:id="56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التقية لصون المال على الأصح كما يجوز صون النفس</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 الميتة في المخمصة وإساغة اللقمة في الخمر ، والتلفظ بكلمة الكفر ، ولو عمّ الحرام قطراً بحيث لا يوجد فيه حلال إلاّ نادراً فانّه يجوز استعمال ما يحتاج إليه</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وقد أنكر الشاطبي على الخوارج إنكارهم التقية في القول والفعل ، وعدها من جملة مخالفاتهم للكليات الشرعية أصلية وعملية</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عندنا واجبة عند الخوف على النفس ، وقد روي رخصة في جواز الإفصاح بالحق عنده</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متطابقان في جوازها في الجملة ، والاعتبار العقلي يؤيده ، إذ لا بغية للدين ولا همَّ لشارعه إلاّ ظهور الحقّ وحياته ، وربما يترتّب على التقية والمجاراة مع أعداء الدين ومخالفي الحقّ حفظ مصلحة الدين وحياة الحق ما لا يترتب على تركها وإنكار ذلك مكابرة وتعسف</w:t>
      </w:r>
      <w:r>
        <w:rPr>
          <w:rFonts w:eastAsia="Amiri" w:cs="Amiri" w:ascii="Amiri" w:hAnsi="Amiri"/>
          <w:color w:val="111111"/>
          <w:sz w:val="28"/>
          <w:szCs w:val="28"/>
          <w:rtl w:val="true"/>
          <w:lang w:bidi="ar-SA"/>
        </w:rPr>
        <w:t xml:space="preserve">. </w:t>
      </w:r>
      <w:r>
        <w:rPr>
          <w:rStyle w:val="FootnoteAnchor"/>
          <w:rtl w:val="true"/>
        </w:rPr>
        <w:footnoteReference w:id="529"/>
      </w:r>
    </w:p>
    <w:p>
      <w:pPr>
        <w:pStyle w:val="Heading4"/>
        <w:numPr>
          <w:ilvl w:val="3"/>
          <w:numId w:val="1"/>
        </w:numPr>
        <w:rPr/>
      </w:pPr>
      <w:bookmarkStart w:id="561" w:name="__RefHeading___Toc1273047_1067777946"/>
      <w:bookmarkStart w:id="562" w:name="_Toc199"/>
      <w:bookmarkEnd w:id="561"/>
      <w:r>
        <w:rPr>
          <w:rtl w:val="true"/>
        </w:rPr>
        <w:t>مجال التقية هو الأُمور الشخصية</w:t>
      </w:r>
      <w:bookmarkEnd w:id="56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الشيعة بالتقية وأنّهم يتّقون في أقوالهم وأفعالهم ، فصار ذلك مبدأ لوهم عَلِقَ بأذهان بعض السطحيين والمغالطين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التقية من مبادئ التشيّع فلا يصح الاعتماد على كلّ ما يقولون ويكتبون وينشرون ، إذ من المحتمل جداً أن تكون هذه الكتب دعايات والواقع عندهم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نسمعه منهم مرّة بعد مرّة ، ويكرّره الكاتب الباكستاني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إلهي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السقيمة </w:t>
      </w:r>
    </w:p>
    <w:p>
      <w:pPr>
        <w:pStyle w:val="BookText"/>
        <w:rPr/>
      </w:pPr>
      <w:r>
        <w:rPr>
          <w:rFonts w:ascii="Amiri" w:hAnsi="Amiri" w:eastAsia="Amiri" w:cs="Amiri"/>
          <w:color w:val="111111"/>
          <w:sz w:val="28"/>
          <w:sz w:val="28"/>
          <w:szCs w:val="28"/>
          <w:rtl w:val="true"/>
          <w:lang w:bidi="ar-SA"/>
        </w:rPr>
        <w:t>التي يتحامل بها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نلفت نظر القارئ الكريم إلى أنّ مجال التقية إنّما هو في حدود القضايا الشخصية الجزئية عند وجود الخوف على النفس والنفيس ، فإذا دلّت القرائن على أنّ في إظهار العقيدة أو تطبيق العمل على مذهب أهل البيت ما يُلحق بالمؤمن الضرر ، يُصبح هذا المورد من مواردها ، ويحكم العقل والشرع بلزوم الاتقاء حتى يصون بذلك نفسه ونفيسه عن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الأُمور الكلّية الخارجة عن إطار الخوف فلا تتصوّر فيها التقية ، والكتب المنتشرة من جانب الشيعة داخلة في هذا النوع الأخير ، إذ لا خوف هناك حتى يكتب خلاف ما يعتقد ، حيث ليس هناك أيُّ مُلْزم للكتابة أصلاً في هذه الأحوال فله أن يسكت ولا يكتب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يدعيه هؤلاء أنّ هذه الكتب دعايات لا واقعيات ناشئ عن قلّة معرفتهم بحقيقة التقية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إنّما كانت تتّقي في عصر لم تكن لهم دولة تحميهم ، ولا قدرة ولا منعة تدفع عنهم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هذه الأعصار فلا مسوّغ ولا مبرّر للتقية إلاّ في موارد جزئيّة خاصة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كما ذكرنا لم تلجأ إلى التقية إلاّ بعد أن اضطرّت إلى ذلك ، وهو حق لا أعتقد أنّ أحداً ممّن ينظر إلى الآُمور بلبّه لا بعواطفه يخالفها فيه ، إلاّ أنّ من الأُمور المسلّمة في تاريخ التشيّع ، كثرة التقية على مستوى الفتاوى ، وأمّا على المستوى العمليّ فالشيعة من أكثر الناس تضحية ، وبوسع كل باحث أن يرجع إلى مواقف رجال الشيعة مع معاوية وغيره من الحكّام الأمويين ، والحكام العباسيين ، أمثال حجر بن عدي ، وميثم التمار ، ورشيد الهجري ، وكميل بن زياد ، ومئات من غيرهم ، وكمواقف العلويين على امتداد التاريخ وثوراتهم المتتالية وقد مرّ تفصيله في بعض الفصول</w:t>
      </w:r>
      <w:r>
        <w:rPr>
          <w:rFonts w:eastAsia="Amiri" w:cs="Amiri" w:ascii="Amiri" w:hAnsi="Amiri"/>
          <w:color w:val="111111"/>
          <w:sz w:val="28"/>
          <w:szCs w:val="28"/>
          <w:rtl w:val="true"/>
          <w:lang w:bidi="ar-SA"/>
        </w:rPr>
        <w:t xml:space="preserve">. </w:t>
      </w:r>
      <w:bookmarkStart w:id="563" w:name="pg10155_105492"/>
    </w:p>
    <w:p>
      <w:pPr>
        <w:pStyle w:val="Heading3"/>
        <w:numPr>
          <w:ilvl w:val="2"/>
          <w:numId w:val="1"/>
        </w:numPr>
        <w:rPr/>
      </w:pPr>
      <w:bookmarkStart w:id="564" w:name="__RefHeading___Toc1273049_1067777946"/>
      <w:bookmarkStart w:id="565" w:name="_Toc200"/>
      <w:bookmarkEnd w:id="563"/>
      <w:bookmarkEnd w:id="564"/>
      <w:r>
        <w:rPr/>
        <w:t>8</w:t>
      </w:r>
      <w:r>
        <w:rPr>
          <w:rtl w:val="true"/>
        </w:rPr>
        <w:t xml:space="preserve">- </w:t>
      </w:r>
      <w:r>
        <w:rPr>
          <w:rtl w:val="true"/>
        </w:rPr>
        <w:t>أقسام التقية</w:t>
      </w:r>
      <w:bookmarkEnd w:id="565"/>
    </w:p>
    <w:p>
      <w:pPr>
        <w:pStyle w:val="BookText"/>
        <w:rPr/>
      </w:pPr>
      <w:r>
        <w:rPr>
          <w:rFonts w:ascii="Amiri" w:hAnsi="Amiri" w:eastAsia="Amiri" w:cs="Amiri"/>
          <w:color w:val="111111"/>
          <w:sz w:val="28"/>
          <w:sz w:val="28"/>
          <w:szCs w:val="28"/>
          <w:rtl w:val="true"/>
          <w:lang w:bidi="ar-SA"/>
        </w:rPr>
        <w:t xml:space="preserve">تنقسم التقية حسب انقسام الأحكام إلى خمسة ، والمهم هو الإشارة إلى الأقسام الثلاثة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التقية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كانت لدفع الخوف على نفس أو عرض محترمين ، أو ضرر لا يتحمل عن نفسه أو غيره من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التقية 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كانت لدفع ما يرجح دفعه من ضرر يسير يتحمّل عادة ، سواء تعلق بنفسه أو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المحرمة وهي ما يترتّب عليها مفسدة أعظم ، كهدم الدين وخفاء الحقيقة على الأجيال الآتية ، وتسلّط الأعداء على شئون المسلمين وحرماتهم ومعابدهم ، ولأجل ذلك ترى أنّ كثيراً من أكابر الشيعة رفضوا التقية في بعض الأحيان وقدّموا أنفسهم وأرواحهم أضاحي من أجل الدين ، فللتقية مواضع معينة ، كما أنّ للقسم المحرم منها مواضع خاصة أيضاً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التقية في جوهرها كتم ما يحذر من إظهاره حتى يزول الخطر ، فهي أفضل السبل للخلاص من البطش ، ولكن ذلك لا يعني أنّ الشيعي جبان خائر العزيمة ، خائف متردّد الخطوات يملأ حناياه الذل ، كلاّ إنّ للتقية حدوداً لا </w:t>
      </w:r>
    </w:p>
    <w:p>
      <w:pPr>
        <w:pStyle w:val="BookText"/>
        <w:rPr/>
      </w:pPr>
      <w:r>
        <w:rPr>
          <w:rFonts w:ascii="Amiri" w:hAnsi="Amiri" w:eastAsia="Amiri" w:cs="Amiri"/>
          <w:color w:val="111111"/>
          <w:sz w:val="28"/>
          <w:sz w:val="28"/>
          <w:szCs w:val="28"/>
          <w:rtl w:val="true"/>
          <w:lang w:bidi="ar-SA"/>
        </w:rPr>
        <w:t>تتعداها ، فكما هي واجبة في حين ، هي حرام في حين آخر ، فالتقية أمام الحاكم الجائر كيزيد بن معاوية مثلاً محرّمة ، إذ فيها الذل والهوان ونسيان المُثُل والرجوع إلى الوراء ، فليست التقية في جوازها ومنعها تابعة للقوّة والضعف ، وإنّما تحددها جوازاً ومنعاً مصالح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في المقام ننقله بنصّه حتى يقف القارئ على أنّ للتقية أحكاماً خاصة وربّما تحرم لمصالح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تحرم التقية في بعض المحرّمات والواجبات التي تمثّل في نظر الشارع والمتشرّعة مكانة بالغة ، مثل هدم الكعبة ، والمشاهد المشرّفة ، والرد على الإسلام والقرآن والتفسير بما يفسد المذهب ويطابق الإلحاد وغيرها من عظائم المحرّمات ، ولا تعمّها أدلة التقية ولا الاضطرار ولا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معتبرة مسعدة بن صدقة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ما إذا كان المتقي ممن له شأن وأهمية في نظر الخلق ، بحيث يكون ارتكابه لبعض المحرّمات تقية أو تركه لبعض الواجبات كذلك مما يعد موهناً للمذهب وهاتكاً لحرمه ، كما لو أُكره على شرب المسكر والزنا مثلاً ، فإنّ جواز التقية في مثله متمسّكاً بحكومة دليل الرفع </w:t>
      </w:r>
      <w:r>
        <w:rPr>
          <w:rStyle w:val="FootnoteAnchor"/>
          <w:rtl w:val="true"/>
        </w:rPr>
        <w:footnoteReference w:id="531"/>
      </w:r>
      <w:r>
        <w:rPr>
          <w:rFonts w:ascii="Amiri" w:hAnsi="Amiri" w:eastAsia="Amiri" w:cs="Amiri"/>
          <w:color w:val="111111"/>
          <w:sz w:val="28"/>
          <w:sz w:val="28"/>
          <w:szCs w:val="28"/>
          <w:rtl w:val="true"/>
          <w:lang w:bidi="ar-SA"/>
        </w:rPr>
        <w:t xml:space="preserve">وأدلّة التقية مشكل بل ممنوع ، وأولى من ذلك كلّه في عدم جواز التقية ، ما لو كان أصل من أُصول الإسلام أو المذهب أو ضروري من ضروريات الدين في معرض الزوال والهدم والتغيير ، كما لو </w:t>
      </w:r>
    </w:p>
    <w:p>
      <w:pPr>
        <w:pStyle w:val="BookText"/>
        <w:rPr/>
      </w:pPr>
      <w:r>
        <w:rPr>
          <w:rFonts w:ascii="Amiri" w:hAnsi="Amiri" w:eastAsia="Amiri" w:cs="Amiri"/>
          <w:color w:val="111111"/>
          <w:sz w:val="28"/>
          <w:sz w:val="28"/>
          <w:szCs w:val="28"/>
          <w:rtl w:val="true"/>
          <w:lang w:bidi="ar-SA"/>
        </w:rPr>
        <w:t>أراد المنحرفون الطغاة تغيير أحكام الإرث والطلاق والصلاة والحج وغيرها من أُصول الأحكام فضلاً عن أُصول الدين أو المذهب ، فإنّ التقية في مثلها غير جائزة ، ضرورة أنّ تشريعها لبقاء المذهب وحفظ الاصول وجمع شتات المسلمين لإقامة الدين وأُصوله ، فإذا بلغ الأمر إلى هدمها فلا تجوز التقية ، وهو مع وضوحه يظهر من الموثقة المتقدمة</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وعلى ضوء ما تقدّم ، نخرج بالنتائج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التقية أصل قرآني مدعم بالسنّة النبوية ، وقد عمل بها في عصر الرسالة من ابتلي من الصحابة ، لصيانة نفسه ، فلم يعارضه الرسول ، بل أيّده بالنص القرآني كما في قضية عمّار بن ياسر ، حيث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بالعودة إذا عادوا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التقيّة ليست بمعنى تشكيل جماعات سرية لغاية التخريب والهدم ، وهذا لا يمتّ إلى التقية بصلة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المفسّرون عند التعرّض لتفسير الآيات الواردة في التقية على ما ذهبت إليه الشيعة من إباحتها للتقية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تنقسم التقية حسب انقسام الأحكام إلى أقسام خمسة ، فبينما هي واجبة في موضع ، تجدْها محرّمة في موضع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مجال التقية لا يتجاوز القضايا الشخصية ، وهي فيما إذا كان الخوف قائماً ، وأمّا إذا ارتفع الخوف والضغط ، فلا مجال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هذا البحث نقول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نفترض أنّ التقية جريمة يرتكبها المتقي لصيانة دمه وعرضه وماله ، ولكنّها </w:t>
      </w:r>
    </w:p>
    <w:p>
      <w:pPr>
        <w:pStyle w:val="BookText"/>
        <w:rPr/>
      </w:pPr>
      <w:r>
        <w:rPr>
          <w:rFonts w:ascii="Amiri" w:hAnsi="Amiri" w:eastAsia="Amiri" w:cs="Amiri"/>
          <w:color w:val="111111"/>
          <w:sz w:val="28"/>
          <w:sz w:val="28"/>
          <w:szCs w:val="28"/>
          <w:rtl w:val="true"/>
          <w:lang w:bidi="ar-SA"/>
        </w:rPr>
        <w:t>في الحقيقة ترجع إلى السبب الذي يفرض التقيّة على الشيعي المسلم ويدفعه إلى أن يتظاهر بشيء من القول والفعل الذي لا يعتقد به ، فعلى من يعيب التقية للمسلم المضطهد ، أن يسمح له بالحرية في مجال الحياة ويتركه بحاله ، وأقصى ما يصح في منطق العقل ، أن يسأله عن دليل عقيدته ومصدر عمله ، فإن كان على حجّة بيّنة يتبعه ، وإن كان على خلافها يعذره في اجتهاده وجهاده العلمي والفكري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ندعو المسلمين للتأمّل في الدواعي التي دفعت بالشيعة إلى التقية ، وأن يعملوا قدر الإمكان على فسح المجال لإخوانهم في الدين فإنّ لكل فقيه مسلم ، رأيَه ونظرَه ، وجهدَه وطاقتَه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الشيعة يقتفون أثر أئمّة أهل البيت في العقيدة والشريعة ، ويرون رأيهم ، لأنّهم هم الذين أذهب الله عنهم الرجس وطهّرهم تطهيراً ، وأحد الثقلين اللّذين أمر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بهما في مجالي العقيدة والشريعة ، وهذه عقائدهم لا تخفى على أحد ، وهي حجّة على الجميع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 أن يصون دماء المسلمين وأعراضهم عن تعرض أي متعرض ، ويوحّد صفوفهم ، ويؤلّف بين قلوبهم ، ويجمع شملهم ، ويجعلهم صفّاً واحداً في وجه الأعداء ، إنّه على ذلك قدير وبالإجابة جدير</w:t>
      </w:r>
      <w:r>
        <w:rPr>
          <w:rFonts w:eastAsia="Amiri" w:cs="Amiri" w:ascii="Amiri" w:hAnsi="Amiri"/>
          <w:color w:val="111111"/>
          <w:sz w:val="28"/>
          <w:szCs w:val="28"/>
          <w:rtl w:val="true"/>
          <w:lang w:bidi="ar-SA"/>
        </w:rPr>
        <w:t xml:space="preserve">. </w:t>
      </w:r>
      <w:bookmarkStart w:id="566" w:name="pg10155_105496"/>
    </w:p>
    <w:p>
      <w:pPr>
        <w:pStyle w:val="Heading3"/>
        <w:numPr>
          <w:ilvl w:val="2"/>
          <w:numId w:val="1"/>
        </w:numPr>
        <w:rPr/>
      </w:pPr>
      <w:bookmarkStart w:id="567" w:name="__RefHeading___Toc1273051_1067777946"/>
      <w:bookmarkStart w:id="568" w:name="_Toc201"/>
      <w:bookmarkEnd w:id="566"/>
      <w:bookmarkEnd w:id="567"/>
      <w:r>
        <w:rPr/>
        <w:t>9</w:t>
      </w:r>
      <w:r>
        <w:rPr>
          <w:rtl w:val="true"/>
        </w:rPr>
        <w:t xml:space="preserve">- </w:t>
      </w:r>
      <w:r>
        <w:rPr>
          <w:rtl w:val="true"/>
        </w:rPr>
        <w:t>شبهات حول التقية</w:t>
      </w:r>
      <w:bookmarkEnd w:id="568"/>
    </w:p>
    <w:p>
      <w:pPr>
        <w:pStyle w:val="Heading4"/>
        <w:numPr>
          <w:ilvl w:val="3"/>
          <w:numId w:val="1"/>
        </w:numPr>
        <w:rPr/>
      </w:pPr>
      <w:bookmarkStart w:id="569" w:name="__RefHeading___Toc1273053_1067777946"/>
      <w:bookmarkStart w:id="570" w:name="_Toc202"/>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 xml:space="preserve">لقد تعرفت على حقيقة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واصطلاحاً وتاريخاً ، كما تعرفت على أدلّتها من الكتاب والسنّة وظهر انّ سيرة المسلمين جرت على ممارسة التقية عند الشدة ، وبقيت ثمّة شبهات تدور حول التقية ، نطرحها على طاولة البحث</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273055_1067777946"/>
      <w:bookmarkStart w:id="572" w:name="_Toc203"/>
      <w:bookmarkEnd w:id="571"/>
      <w:r>
        <w:rPr>
          <w:rtl w:val="true"/>
        </w:rPr>
        <w:t xml:space="preserve">الشبهة الأُولى </w:t>
      </w:r>
      <w:r>
        <w:rPr>
          <w:rtl w:val="true"/>
        </w:rPr>
        <w:t xml:space="preserve">: </w:t>
      </w:r>
      <w:r>
        <w:rPr>
          <w:rtl w:val="true"/>
        </w:rPr>
        <w:t>التقية من شعب النفاق</w:t>
      </w:r>
      <w:bookmarkEnd w:id="572"/>
    </w:p>
    <w:p>
      <w:pPr>
        <w:pStyle w:val="BookText"/>
        <w:rPr/>
      </w:pPr>
      <w:r>
        <w:rPr>
          <w:rFonts w:ascii="Amiri" w:hAnsi="Amiri" w:eastAsia="Amiri" w:cs="Amiri"/>
          <w:color w:val="111111"/>
          <w:sz w:val="28"/>
          <w:sz w:val="28"/>
          <w:szCs w:val="28"/>
          <w:rtl w:val="true"/>
          <w:lang w:bidi="ar-SA"/>
        </w:rPr>
        <w:t>إذا كانت التقية إظهارَ ما يُضمر القلبُ خلافَه أو ارتكاب عمل يخالف العقيدة ، فهي إذن شعبة من شعب النفاق ، لأجل انّ النفاق عبارة عن التظاهر بشيء على خلاف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عنها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مفهوم التقية في الكتاب والسنّة هو إظهار الكفر وإبطان الايمان ، أو التظاهر بالباطل وإخفاء الحق ، وإذا كان هذا مفهومها ، فهي تقابل النفاق ، تقابلَ الإيمان والكفر ، فانّ النفاق ضدها وخلافها ، فهو عبارة عن إظهار الإيمان وإبطان الكفر ، والتظاهر بالحق وإخفاء الباطل ، ومع وجود هذا التباين بينهما فلا يصحّ عدّها من فروع النفاق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النفاق في الدين ستر الكفر بالقلب ، وإظهار الإيمان </w:t>
      </w:r>
      <w:bookmarkStart w:id="573" w:name="pg10155_105497"/>
    </w:p>
    <w:p>
      <w:pPr>
        <w:pStyle w:val="BookText"/>
        <w:rPr/>
      </w:pPr>
      <w:bookmarkEnd w:id="573"/>
      <w:r>
        <w:rPr>
          <w:rFonts w:ascii="Amiri" w:hAnsi="Amiri" w:eastAsia="Amiri" w:cs="Amiri"/>
          <w:color w:val="111111"/>
          <w:sz w:val="28"/>
          <w:sz w:val="28"/>
          <w:szCs w:val="28"/>
          <w:rtl w:val="true"/>
          <w:lang w:bidi="ar-SA"/>
        </w:rPr>
        <w:t xml:space="preserve">باللسان ، وأين هذا من التقية التي هي على العكس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إظهار الكفر وإخفاء الإيمان وستره بالقلب ، وأمّا تقية الشيعة فهي تَكْمُنُ في إخفاء الاعتقاد بالإمامة والولاية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ستر التشيع مع التظاهر بموافقة الآخرين في عقيدتهم تجاه الإمامة وفي الوقت نفسه يشاركون المسلمين في الشهادتين والإيمان بالقيامة ، ويمارسون العبادات ويعملون بالفروع ويعتقدون ذلك بقلوبهم ويعيشون هذه العقيدة بوجدانهم وبأرواحهم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فسر النفاق بمطلق مخالفة الظاهر للباطن وبه صوّر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فروعه ، فقد فسره بمفهوم أوسع ممّا هو عليه في القرآن ، فانّه يعرف المنافقين بالمتظاهرين بالإيمان والمبطنين للكفر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فإذا كان هذا حدّ المنافق فكيف يعمّ من يستعمل التقية تجاه الكفار والعصاة فيُخفي إيمانه أو عقيدته في ولاء أهل البيت ويظهر الموافقة لغاية صيانة النفس والنفيس والعرض والمال من التعرض؟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صدق ذلك إذا وقفنا على ورودها في التشريع الإسلامي ، ولو كانت من قسم النفاق ، لكان ذلك أمراً بالقبيح ويستحيل على الحكيم أن يأمر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اللهَ لا يَأْمُرُ بِالْفَحْشاءِ أَتَقُولُونَ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534"/>
      </w:r>
    </w:p>
    <w:p>
      <w:pPr>
        <w:pStyle w:val="Heading4"/>
        <w:numPr>
          <w:ilvl w:val="3"/>
          <w:numId w:val="1"/>
        </w:numPr>
        <w:rPr/>
      </w:pPr>
      <w:bookmarkStart w:id="574" w:name="__RefHeading___Toc1273057_1067777946"/>
      <w:bookmarkStart w:id="575" w:name="_Toc204"/>
      <w:bookmarkEnd w:id="574"/>
      <w:r>
        <w:rPr>
          <w:rtl w:val="true"/>
        </w:rPr>
        <w:t xml:space="preserve">الشبهة الثانية </w:t>
      </w:r>
      <w:r>
        <w:rPr>
          <w:rtl w:val="true"/>
        </w:rPr>
        <w:t xml:space="preserve">: </w:t>
      </w:r>
      <w:r>
        <w:rPr>
          <w:rtl w:val="true"/>
        </w:rPr>
        <w:t>لما ذا عُدَّت التقية من أُصول الدين؟</w:t>
      </w:r>
      <w:bookmarkEnd w:id="57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نقل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ديني ودين آبائي ، ولا </w:t>
      </w:r>
    </w:p>
    <w:p>
      <w:pPr>
        <w:pStyle w:val="BookText"/>
        <w:rPr/>
      </w:pPr>
      <w:r>
        <w:rPr>
          <w:rFonts w:ascii="Amiri" w:hAnsi="Amiri" w:eastAsia="Amiri" w:cs="Amiri"/>
          <w:color w:val="111111"/>
          <w:sz w:val="28"/>
          <w:sz w:val="28"/>
          <w:szCs w:val="28"/>
          <w:rtl w:val="true"/>
          <w:lang w:bidi="ar-SA"/>
        </w:rPr>
        <w:t>دين لمن لا تقية له</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وظاهر هذه الروايات انّ الاعتقاد بالتقية وتطبيق العمل على ضوئها من أُصول الدين فمن لم يتق فقد خرج عن الدين وليس له من الإيمان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التقية من الموضوعات الفقهية ، تخضع كسائر الموضوعات للأحكام الخمسة ، فتارة تجب وأُخرى تحرم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ومعه كيف يمكن أن تكون من أُصول الدين ، وقد ذكرها فقهاء الشيعة في باب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التي عدتها من الدين فهي من باب الاستعارة وغايتها ، التأكيد على أهميتها وتطبيقها في الحياة لصيانة النفس والنفيس ، وبما انّ بعض الشيعة كانوا يجاهرون بعقائدهم وشعائرهم ، الأمر الذي يؤدي إلى إلقاء القبض عليهم وتعذيبهم وإراقة دمائهم ، فالإمام وللحيلولة دون وقوع ذلك يقول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لحثّهم على الاقتداء بهم ، وأمّا 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فالغاية التأكيد على الالتزام بالتقيّة ،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الدين هو الأُصول العامة كالتوحيد والنبوة والمعاد التي بالاعتقاد بها يرد إلى حظيرة الإسلام وبإنكارها أو إنكار واحد منها أو إنكار ما يلازم إنكار أحد الأُصول الثلاثة يخرج عنها ، وإنّما المراد به هو الشأن الذي يتعبد به الإمام ويعمل بدين الله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من شئوننا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فاقتدوا بنا ، وأمّا من يتصور انّ التقية تمس كرامته فهو إنسان جاهل خارج عن هذا الشأن الذي عليه تدين الأئمة به</w:t>
      </w:r>
      <w:r>
        <w:rPr>
          <w:rFonts w:eastAsia="Amiri" w:cs="Amiri" w:ascii="Amiri" w:hAnsi="Amiri"/>
          <w:color w:val="111111"/>
          <w:sz w:val="28"/>
          <w:szCs w:val="28"/>
          <w:rtl w:val="true"/>
          <w:lang w:bidi="ar-SA"/>
        </w:rPr>
        <w:t xml:space="preserve">. </w:t>
      </w:r>
      <w:bookmarkStart w:id="576" w:name="pg10155_105499"/>
    </w:p>
    <w:p>
      <w:pPr>
        <w:pStyle w:val="Heading4"/>
        <w:numPr>
          <w:ilvl w:val="3"/>
          <w:numId w:val="1"/>
        </w:numPr>
        <w:rPr/>
      </w:pPr>
      <w:bookmarkStart w:id="577" w:name="__RefHeading___Toc1273059_1067777946"/>
      <w:bookmarkStart w:id="578" w:name="_Toc205"/>
      <w:bookmarkEnd w:id="576"/>
      <w:bookmarkEnd w:id="577"/>
      <w:r>
        <w:rPr>
          <w:rtl w:val="true"/>
        </w:rPr>
        <w:t xml:space="preserve">الشبهة الثالثة </w:t>
      </w:r>
      <w:r>
        <w:rPr>
          <w:rtl w:val="true"/>
        </w:rPr>
        <w:t xml:space="preserve">: </w:t>
      </w:r>
      <w:r>
        <w:rPr>
          <w:rtl w:val="true"/>
        </w:rPr>
        <w:t>التقية تؤدي إلى محق الدين</w:t>
      </w:r>
      <w:bookmarkEnd w:id="578"/>
    </w:p>
    <w:p>
      <w:pPr>
        <w:pStyle w:val="BookText"/>
        <w:rPr/>
      </w:pPr>
      <w:r>
        <w:rPr>
          <w:rFonts w:ascii="Amiri" w:hAnsi="Amiri" w:eastAsia="Amiri" w:cs="Amiri"/>
          <w:color w:val="111111"/>
          <w:sz w:val="28"/>
          <w:sz w:val="28"/>
          <w:szCs w:val="28"/>
          <w:rtl w:val="true"/>
          <w:lang w:bidi="ar-SA"/>
        </w:rPr>
        <w:t>إذا مارست جماعةٌ التقية فترة طويلة في أُصول الدين وفروعه ، ربما يتجلى للجيل المقبل بأنّ ما مارسه آباؤهم من صميم الدين وواقعه ، فعند ذلك تنتهي التقية إلى محق الدين واندثاره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الظروف مختلفة وليست على منوال واحد ، فربما يشتد الضغط فلا يجد المحقّ مجالاً للإعراب عن رأيه وعقيدته وشريعته ، وقد تتبدّل الظروف إلى ظروف مناسبة تسمح بممارسة الشعائر بكلّ حرية ، وقد عاشت الشيعة بين الحين والآخر في هذه الظروف المختلفة ، وبذلك صانت أُصولها وفروعها وثقافتها والله سبحانه هو المعين لحفظ الدين وشريعته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للتقية سيطرة على الظاهر دون الباطن ، فالأقلّية التي صودرت حرياتها يمارسونها في الظاهر ، وأمّا في المجالس الخاصة فيقومون بواجبهم على ما هو عليه ويربّون أولادهم على وفق التعاليم التي ورثوها عن آبائهم عن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افترضنا انّ مراعاة التقية فترة طويلة تنتهي إلى محق الدين فالتقية عندئذ تكون محرمة يجب الاجتناب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انّ التقية لها أحكام خمسة ، فالتقية المنتهية إلى محق الدين محظورة</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273061_1067777946"/>
      <w:bookmarkStart w:id="580" w:name="_Toc206"/>
      <w:bookmarkEnd w:id="579"/>
      <w:r>
        <w:rPr>
          <w:rtl w:val="true"/>
        </w:rPr>
        <w:t xml:space="preserve">الشبهة الرابعة </w:t>
      </w:r>
      <w:r>
        <w:rPr>
          <w:rtl w:val="true"/>
        </w:rPr>
        <w:t xml:space="preserve">: </w:t>
      </w:r>
      <w:r>
        <w:rPr>
          <w:rtl w:val="true"/>
        </w:rPr>
        <w:t>التقية تؤدي إلى تعطيل الأمر بالمعروف</w:t>
      </w:r>
      <w:bookmarkEnd w:id="58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التقية فكرة تحوّل المسلم إلى إنسان يتعايش مع الأمر الواقع على ما فيه من ظلم وفساد وانحراف ، فتعود إلى الرضا بكلّ ما يحيط بها من الظلم والفساد </w:t>
      </w:r>
      <w:bookmarkStart w:id="581" w:name="pg10155_105500"/>
    </w:p>
    <w:p>
      <w:pPr>
        <w:pStyle w:val="BookText"/>
        <w:rPr/>
      </w:pPr>
      <w:bookmarkEnd w:id="581"/>
      <w:r>
        <w:rPr>
          <w:rFonts w:ascii="IRNazanin" w:hAnsi="IRNazanin" w:eastAsia="IRNazanin"/>
          <w:color w:val="111111"/>
          <w:sz w:val="28"/>
          <w:sz w:val="28"/>
          <w:szCs w:val="28"/>
          <w:rtl w:val="true"/>
          <w:lang w:bidi="fa-IR"/>
        </w:rPr>
        <w:t>والانحراف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بالمعروف والنهي عن المنكر مشروط بالتمكن منه ، فمرتبة منه وظيفة الفرد وهو الأمر بالمعروف بكراهية القلب واللسان ، ومرتبة منه وظيفة المجتمع وعلى رأسه الدولة صاحبة القدرة والمنعة ، فالممارس للتقية يأمر بالمعروف وينهى عن المنكر حسب مقدرته ولو لا القدرة فلا حكم عليه ، لأنّ الله سبحانه لا يكلف نفساً إلاّ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فالممارس للتقية يتحيّن الفرص للانقضاض على الواقع الفاسد وتغييره ، فلو ساعدته الظروف على هذا التغيير فحينها يتخلّى عن التقية ويجاهر بالحقّ قولاً وعملاً</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273063_1067777946"/>
      <w:bookmarkStart w:id="583" w:name="_Toc207"/>
      <w:bookmarkEnd w:id="582"/>
      <w:r>
        <w:rPr>
          <w:rtl w:val="true"/>
        </w:rPr>
        <w:t xml:space="preserve">الشبهة الخامسة </w:t>
      </w:r>
      <w:r>
        <w:rPr>
          <w:rtl w:val="true"/>
        </w:rPr>
        <w:t xml:space="preserve">: </w:t>
      </w:r>
      <w:r>
        <w:rPr>
          <w:rtl w:val="true"/>
        </w:rPr>
        <w:t>التقية من المسلم من البدع</w:t>
      </w:r>
      <w:bookmarkEnd w:id="583"/>
    </w:p>
    <w:p>
      <w:pPr>
        <w:pStyle w:val="BookText"/>
        <w:rPr/>
      </w:pPr>
      <w:r>
        <w:rPr>
          <w:rFonts w:ascii="Amiri" w:hAnsi="Amiri" w:eastAsia="Amiri" w:cs="Amiri"/>
          <w:color w:val="111111"/>
          <w:sz w:val="28"/>
          <w:sz w:val="28"/>
          <w:szCs w:val="28"/>
          <w:rtl w:val="true"/>
          <w:lang w:bidi="ar-SA"/>
        </w:rPr>
        <w:t>ربما يتصور انّ التقية من اختلافات الشيعة وانّها لا دليل عليها من الكتاب والسنّة ، وذلك لأنّ الآيات الواردة في التقية ترجع إلى اتّقاء المسلم من الكافر ، وأمّا اتّقاء المسلم من المسلم فهذا ما لا دليل عليه من الكتاب والسنة</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273065_1067777946"/>
      <w:bookmarkStart w:id="585" w:name="_Toc208"/>
      <w:bookmarkEnd w:id="584"/>
      <w:r>
        <w:rPr>
          <w:rtl w:val="true"/>
        </w:rPr>
        <w:t>الجواب</w:t>
      </w:r>
      <w:bookmarkEnd w:id="58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مورد الآيات وإن كان هو اتّقاء المسلم من الكافر ، ولكن المورد كما هو المسلم لا يكون مخصِّصاً ، إذ ليس الغرض من تشريع التقية عند الابتلاء بالكفار إلاّ صيانة النفس والنفيس من الشر ، فإذا ابتُلي المسلم بأخيه المسلم الذي يخالفه في بعض الفروع ولا يتردد الطرف القوي عن إيذاء الطرف الآخر ، كأن ينكل به أو ينهب أمواله أو يقتله ، ففي تلك الظروف الحرجة يحكم العقل السليم بصيانة </w:t>
      </w:r>
    </w:p>
    <w:p>
      <w:pPr>
        <w:pStyle w:val="BookText"/>
        <w:rPr/>
      </w:pPr>
      <w:r>
        <w:rPr>
          <w:rFonts w:ascii="Amiri" w:hAnsi="Amiri" w:eastAsia="Amiri" w:cs="Amiri"/>
          <w:color w:val="111111"/>
          <w:sz w:val="28"/>
          <w:sz w:val="28"/>
          <w:szCs w:val="28"/>
          <w:rtl w:val="true"/>
          <w:lang w:bidi="ar-SA"/>
        </w:rPr>
        <w:t>النفس والنفيس عن طريق كتمان العقيدة واستعمال التقية ، ولو كان هناك وزر فإنّما يحمله من يُتّقى منه لا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نعتقد أنّه إذا سادت الحرية جميع الفرق الإسلامية ، وتحمّلت كل فرقة آراء الفرقة الأُخرى لوقفت على أنّ الرأي الآخر هو نتيجة اجتهادها ، وعندها لا يضطر أحد من المسلمين إلى استخدام التقية ، ولساد الوئام مكان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فهم ذلك لفيف من العلماء وصرّحوا به ، وإليك نصوص بعضهم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التقية بين المسلمين كما تجوز بين الكافرين محاماة عن النفس</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الرازي في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الآية يدل على أنّ التقية إنّما تحل مع الكفّار الغالبين ، إلاّ أنّ 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الحالة بين المسلمين إذا شاكلت الحالة بين المسلمين والكافرين حلّت التقية محاماة عن النفس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جائزة لصون النفس ، وهل هي جائزة لصون المال؟ يحتمل أن يحكم فيها بالجواز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جمال الدين القاسمي عن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الحق غموضاً وخفاءً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السوء وسلاطين الجور وشياطين الخلق مع جواز التقية عند ذلك بنص القرآن ، وإجماع أهل الإسلام ، وما زال الخوف مانعاً من إظهار الحق ، ولا برح المحق عدوّاً لأكثر الخلق ، وقد صحّ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العصر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وعاءين ، أمّا أحدهما فبثثته في الناس ، وأمّا الآخر فلو بثثته لقطع هذا البلعوم</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المراغي في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ويدخل في التقية مداراة الكفرة والظلمة والفسقة ، وإلانة الكلام لهم ، والتبسّم في وجوههم ، وبذل المال لهم ، لكف أذاهم وصيانة العرض منهم ، ولا يعد هذا من الموالاة المنهي عنها ، بل هو مشروع ، فقد أخرج الطبراني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وَقَى المؤمن به عرضَه فهو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الشيعة تتقي الكفّار في ظروف خاصة لنفس الغاية التي لأجلها يتّقيهم السنّي ، غير أنّ الشيعي ولأسباب لا تخفى ، يلجأ إلى اتّقاء أخيه المسلم لا لتقصير في الشيعي ، بل في أخيه الذي دفعه إلى ذلك ، لأنّه يدرك أنّ الفتك والقتل مصيره إذا صرّح بمعتقده الذي هو عنده موافق لأُصول الشرع الإسلامي وعقائده ، نعم كان الشيعي وإلى وقت قريب يتحاشى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له جهة ، أو أنّه تعالى لا يُرى يوم القيامة ، وإنّ المرجعية العلمية والسياسية لأهل البيت بعد رحلة النبي الأكرم ، أو أنّ حكم المتعة غير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الشيعي إذا صرّح بهذه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استنبطت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يُعرّض نفسه ونفيسه للمهالك والمخاطر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عليك كلام الرازي وجمال الدين القاسمي والمراغي الصريح في جواز هذا النوع من التقية ، فتخصيص التقية بالتقية من الكافر فحسب ، جمود على ظاهر الآية وسد لباب الفهم ، ورفض للملاك الذي شُرّعت لأجله التقية ، وإعدام لحكم العقل القاضي بحفظ الأهم إذا عارض المهم</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الكلام عن لجوء جملة من كبار المحدّثين إلى التقية في ظروف عصيبة أوشكت أن تؤدي بحياتهم وبما يملكون ، وخير مثال على ذلك ما أورده الطبري في تاريخه </w:t>
      </w:r>
      <w:r>
        <w:rPr>
          <w:rStyle w:val="FootnoteAnchor"/>
          <w:rtl w:val="true"/>
        </w:rPr>
        <w:footnoteReference w:id="539"/>
      </w:r>
      <w:r>
        <w:rPr>
          <w:rFonts w:ascii="Amiri" w:hAnsi="Amiri" w:eastAsia="Amiri" w:cs="Amiri"/>
          <w:color w:val="111111"/>
          <w:sz w:val="28"/>
          <w:sz w:val="28"/>
          <w:szCs w:val="28"/>
          <w:rtl w:val="true"/>
          <w:lang w:bidi="ar-SA"/>
        </w:rPr>
        <w:t>عن محاولة المأمون دفع وجوه القضاة والمحدّثين في زمانه إلى الإقرار بخلق القرآن قسراً وقد علموا انّ إنكاره يستعقب قتل الجميع دون رحمة ، ولما أبصر أُولئك المحدّثون لَمَعان ، حد السيف عمدوا إلى مصانعة المأمون في دعواه وأسرّوا معتقدهم في صدورهم ، ولمّا عُوتبوا على ما ذهبوا إليه من موافقة المأمون برّروا عملهم بعمل عمّار بن ياسر حين أُكره على الشرك وقلبه مطمئن بالإيمان ، والقصّة شهيرة وصريحة في جواز اللجوء إلى التقية التي دأب البعض بالتشنيع فيها على الشيعة وكأنّهم هم الذين ابتدعوها من بنات أفكارهم دون أن تكون لها قواعد وأُصول إسلامية ثابتة ومعلومة</w:t>
      </w:r>
      <w:r>
        <w:rPr>
          <w:rFonts w:eastAsia="Amiri" w:cs="Amiri" w:ascii="Amiri" w:hAnsi="Amiri"/>
          <w:color w:val="111111"/>
          <w:sz w:val="28"/>
          <w:szCs w:val="28"/>
          <w:rtl w:val="true"/>
          <w:lang w:bidi="ar-SA"/>
        </w:rPr>
        <w:t xml:space="preserve">. </w:t>
      </w:r>
      <w:bookmarkStart w:id="586" w:name="pg10155_105504"/>
    </w:p>
    <w:p>
      <w:pPr>
        <w:pStyle w:val="Heading3"/>
        <w:numPr>
          <w:ilvl w:val="2"/>
          <w:numId w:val="1"/>
        </w:numPr>
        <w:rPr/>
      </w:pPr>
      <w:bookmarkStart w:id="587" w:name="__RefHeading___Toc1273067_1067777946"/>
      <w:bookmarkStart w:id="588" w:name="_Toc209"/>
      <w:bookmarkEnd w:id="586"/>
      <w:bookmarkEnd w:id="587"/>
      <w:r>
        <w:rPr/>
        <w:t>10</w:t>
      </w:r>
      <w:r>
        <w:rPr>
          <w:rtl w:val="true"/>
        </w:rPr>
        <w:t xml:space="preserve">- </w:t>
      </w:r>
      <w:r>
        <w:rPr>
          <w:rtl w:val="true"/>
        </w:rPr>
        <w:t>الآثار البنّاءة للتقية</w:t>
      </w:r>
      <w:bookmarkEnd w:id="588"/>
    </w:p>
    <w:p>
      <w:pPr>
        <w:pStyle w:val="Heading4"/>
        <w:numPr>
          <w:ilvl w:val="3"/>
          <w:numId w:val="1"/>
        </w:numPr>
        <w:rPr/>
      </w:pPr>
      <w:bookmarkStart w:id="589" w:name="__RefHeading___Toc1273069_1067777946"/>
      <w:bookmarkStart w:id="590" w:name="_Toc210"/>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 xml:space="preserve">إذا ساد الاستبداد المجتمعَ الإنساني وصودرت فيه الحريات وهُضمت فيه الحقوق وأُخمدت فيه أصوات الأحرار ، فحينئذ لا تجد الأقلية المهضومة ، حيلة سوى اللجوء إلى التقية والتعايش مع الأمر الواقع ، وهذا الأمر وان يتلقّاه البعض أمراً مرغوباً عنه ، ولكن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سيوافيك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 بأنّه رخصة من الله تفضّل الله بها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يترتّب على ممارسة التقية آثار بنّاءة تتلخّص في الأُمور التالية </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273071_1067777946"/>
      <w:bookmarkStart w:id="592" w:name="_Toc211"/>
      <w:bookmarkEnd w:id="591"/>
      <w:r>
        <w:rPr/>
        <w:t>1</w:t>
      </w:r>
      <w:r>
        <w:rPr>
          <w:rtl w:val="true"/>
        </w:rPr>
        <w:t xml:space="preserve">. </w:t>
      </w:r>
      <w:r>
        <w:rPr>
          <w:rtl w:val="true"/>
        </w:rPr>
        <w:t>حفظ النفس والنفيس</w:t>
      </w:r>
      <w:bookmarkEnd w:id="592"/>
    </w:p>
    <w:p>
      <w:pPr>
        <w:pStyle w:val="BookText"/>
        <w:rPr/>
      </w:pPr>
      <w:r>
        <w:rPr>
          <w:rFonts w:ascii="Amiri" w:hAnsi="Amiri" w:eastAsia="Amiri" w:cs="Amiri"/>
          <w:color w:val="111111"/>
          <w:sz w:val="28"/>
          <w:sz w:val="28"/>
          <w:szCs w:val="28"/>
          <w:rtl w:val="true"/>
          <w:lang w:bidi="ar-SA"/>
        </w:rPr>
        <w:t xml:space="preserve">إنّ ممارسة التقية والمداراة مع الظالم المستبد يصون الأقلية من البطش والكبت والقتل ومصادرة الأموال بخلاف عدم ممارستها فانّه يعرِّضها للقتل والفناء ، ولذلك يعبر عنها بالترس والجُنّة ، 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التقية ترس المؤمن ، ولا إيمان لمن لا تقية له</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أقرّ لعيني من التقية ، انّ التقية جُنّة المؤمن</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روى شيخنا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الشيعي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الوضوء؟ فكتب إليه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فهمت ما ذكرت من الاختلاف في الوضوء ، والذي آمرك به في ذلك أن تمضمض ثلاثاً ، وتستنشق ثلاثاً ، وتغسل وجهك ثلاثاً ، وتخلّل شعر لحيتك ، وتغسل يديك من أصابعك إلى المرفقين ثلاثاً ، وتمسح رأسك كلّه ، وتمسح ظاهر أُذنيك وباطنهما ، وتغسل رجليك إلى الكعبين ثلاثاً ، ولا تخالف ذلك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الكتاب إلى علي بن يقطين تعجب مما رسم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ممّا أجمع العصابة على خلافه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أعلم 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أمتثل أمره ، فكان يعمل في وضوئه على هذا الحد ، ويخالف ما عليه جميع الشيعة امتثالاً لأمر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وسُعِيَ بعلي بن يقطين إلى الرشيد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رافضي ، فامتحنه الرشيد من حيث لا يشعر ، فلمّا نظر إلى وضوئه 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يا علي بن يقطين من زعم أنّك من الرافضة ، وصلحت حاله عنده ، وورد عليه كتاب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ابتدأ من الآن يا علي بن يقطين وتوضّأ كما أمرك الله تعالى ، اغسل وجهك مرة فريضة وأُخرى إسباغاً واغسل يديك من المرفقين كذلك ، وامسح بمقدم رأسك وظاهر قدميك من فضل نداوة وضوئك ، فقد زال ما كنّا نخاف منه عليك ، والسلام</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الإمام أنقذ علي بن يقطين من الموت من خلال أمره بالتقية وكم له في التاريخ من نظير ، وكفى شاهداً قصة عمّار وأبيه وأُمّه المتقدّمة</w:t>
      </w:r>
      <w:r>
        <w:rPr>
          <w:rFonts w:eastAsia="Amiri" w:cs="Amiri" w:ascii="Amiri" w:hAnsi="Amiri"/>
          <w:color w:val="111111"/>
          <w:sz w:val="28"/>
          <w:szCs w:val="28"/>
          <w:rtl w:val="true"/>
          <w:lang w:bidi="ar-SA"/>
        </w:rPr>
        <w:t xml:space="preserve">. </w:t>
      </w:r>
      <w:bookmarkStart w:id="593" w:name="pg10155_105506"/>
    </w:p>
    <w:p>
      <w:pPr>
        <w:pStyle w:val="Heading4"/>
        <w:numPr>
          <w:ilvl w:val="3"/>
          <w:numId w:val="1"/>
        </w:numPr>
        <w:rPr/>
      </w:pPr>
      <w:bookmarkStart w:id="594" w:name="__RefHeading___Toc1273073_1067777946"/>
      <w:bookmarkStart w:id="595" w:name="_Toc212"/>
      <w:bookmarkEnd w:id="593"/>
      <w:bookmarkEnd w:id="594"/>
      <w:r>
        <w:rPr/>
        <w:t>2</w:t>
      </w:r>
      <w:r>
        <w:rPr>
          <w:rtl w:val="true"/>
        </w:rPr>
        <w:t xml:space="preserve">. </w:t>
      </w:r>
      <w:r>
        <w:rPr>
          <w:rtl w:val="true"/>
        </w:rPr>
        <w:t>حفظ وحدة الأُمّة</w:t>
      </w:r>
      <w:bookmarkEnd w:id="595"/>
    </w:p>
    <w:p>
      <w:pPr>
        <w:pStyle w:val="BookText"/>
        <w:rPr/>
      </w:pPr>
      <w:r>
        <w:rPr>
          <w:rFonts w:ascii="Amiri" w:hAnsi="Amiri" w:eastAsia="Amiri" w:cs="Amiri"/>
          <w:color w:val="111111"/>
          <w:sz w:val="28"/>
          <w:sz w:val="28"/>
          <w:szCs w:val="28"/>
          <w:rtl w:val="true"/>
          <w:lang w:bidi="ar-SA"/>
        </w:rPr>
        <w:t xml:space="preserve">لا شكّ انّ وحدة الكلمة هي مصدر قوة الأُمّة وازدهارها ، وهي حبل الله الوثيق الذي لا بدّ من الاعتصام به ، حيث قال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فقد عدّ سبحانه التفريق والتشرذم والتشتت عذاباً يستأصل الأُمّة ويستنفد قواها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إلى غير ذلك من الآيات الحاثّة على الوحدة والمحذِّرة من التفرق والتبدد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وتشريع التقية يعين على الوحدة ويمسك الأُمة عن التبدد ، فلذلك يصفها الإمام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 تفضّل بها الله على المؤمنين رحمة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الإفراط في ممارسة التقية حتّى إذا توفرت الفرص المناسبة للتعبير عن رأيه ومنهجه ، فعند ذلك تحرم التقية ، لأنّه يترتب عليها طمس الدين وكتمان الحقيقة</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273075_1067777946"/>
      <w:bookmarkStart w:id="597" w:name="_Toc213"/>
      <w:bookmarkEnd w:id="596"/>
      <w:r>
        <w:rPr/>
        <w:t>3</w:t>
      </w:r>
      <w:r>
        <w:rPr>
          <w:rtl w:val="true"/>
        </w:rPr>
        <w:t xml:space="preserve">. </w:t>
      </w:r>
      <w:r>
        <w:rPr>
          <w:rtl w:val="true"/>
        </w:rPr>
        <w:t>الحفاظ على القوى من الاستنزاف</w:t>
      </w:r>
      <w:bookmarkEnd w:id="59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الجماعة المهضومة ، بممارسة التقية تحمي قواها وطاقاتها من الاستنزاف ، وبالتالي تربّي جماعة واعية لأهدافها ، فإذا هبّ على مجتمعها نسيم الحرية فيتيسّر عندها أن تُجاهر بأفكارها وآرائها دون أي خوف أو وجل وتطالب بحقوقها ، وهذا من آثار التقية حيث صانت الجماعة الضعيفة من استنزاف قواها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انّ هذه الآثار البنّاءة تعبير واضح للرحمة ، التي أشار إليها الإمام أمير المؤمنين ، نأتي بنص كلمته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الشريف المرتضى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الله منّ على المؤمن بإطلاق الرخصة له عند التقية في الظاهر ، أن يصوم بصيامه ويفطر بإفطاره ويصلّي بصلاته ويعمل بعمله ويظهر له استعمال ذلك ، موسعاً عليه فيه ، وعليه أن يدين الله تعالى في الباطن بخلاف ما يظهر لمن يخافه من المخالفين المستولين على الأُمّة ، فهذه رخصة تفضّل الله بها على المؤمنين رحمة لهم ليستعملوها عند التقية في الظاهر</w:t>
      </w:r>
      <w:r>
        <w:rPr>
          <w:rFonts w:eastAsia="Amiri" w:cs="Amiri" w:ascii="Amiri" w:hAnsi="Amiri"/>
          <w:color w:val="111111"/>
          <w:sz w:val="28"/>
          <w:szCs w:val="28"/>
          <w:rtl w:val="true"/>
          <w:lang w:bidi="ar-SA"/>
        </w:rPr>
        <w:t xml:space="preserve">». </w:t>
      </w:r>
      <w:r>
        <w:rPr>
          <w:rStyle w:val="FootnoteAnchor"/>
          <w:rtl w:val="true"/>
        </w:rPr>
        <w:footnoteReference w:id="545"/>
      </w:r>
      <w:bookmarkStart w:id="598" w:name="pg10155_105508"/>
    </w:p>
    <w:p>
      <w:pPr>
        <w:pStyle w:val="Heading3"/>
        <w:numPr>
          <w:ilvl w:val="2"/>
          <w:numId w:val="1"/>
        </w:numPr>
        <w:rPr/>
      </w:pPr>
      <w:bookmarkStart w:id="599" w:name="__RefHeading___Toc1273077_1067777946"/>
      <w:bookmarkStart w:id="600" w:name="_Toc214"/>
      <w:bookmarkEnd w:id="598"/>
      <w:bookmarkEnd w:id="599"/>
      <w:r>
        <w:rPr/>
        <w:t>11</w:t>
      </w:r>
      <w:r>
        <w:rPr>
          <w:rtl w:val="true"/>
        </w:rPr>
        <w:t xml:space="preserve">- </w:t>
      </w:r>
      <w:r>
        <w:rPr>
          <w:rtl w:val="true"/>
        </w:rPr>
        <w:t xml:space="preserve">موقف أئمة أهل البيت </w:t>
      </w:r>
      <w:r>
        <w:rPr>
          <w:rtl w:val="true"/>
        </w:rPr>
        <w:t xml:space="preserve">- </w:t>
      </w:r>
      <w:r>
        <w:rPr>
          <w:rtl w:val="true"/>
        </w:rPr>
        <w:t xml:space="preserve">عليهم السلام </w:t>
      </w:r>
      <w:r>
        <w:rPr>
          <w:rtl w:val="true"/>
        </w:rPr>
        <w:t xml:space="preserve">- </w:t>
      </w:r>
      <w:r>
        <w:rPr>
          <w:rtl w:val="true"/>
        </w:rPr>
        <w:t>من التقية</w:t>
      </w:r>
      <w:bookmarkEnd w:id="600"/>
    </w:p>
    <w:p>
      <w:pPr>
        <w:pStyle w:val="BookText"/>
        <w:rPr/>
      </w:pPr>
      <w:r>
        <w:rPr>
          <w:rFonts w:ascii="Amiri" w:hAnsi="Amiri" w:eastAsia="Amiri" w:cs="Amiri"/>
          <w:color w:val="111111"/>
          <w:sz w:val="28"/>
          <w:sz w:val="28"/>
          <w:szCs w:val="28"/>
          <w:rtl w:val="true"/>
          <w:lang w:bidi="ar-SA"/>
        </w:rPr>
        <w:t xml:space="preserve">إنّ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الرسول في الخلافة والإمامة ، فهم ساسة العباد في حقل قيادة المجتمع إلى المنهج المهيع ، والمرجع العلمي في تفسير الكتاب والسنّة وما تحتاج إليه الأُمّة إلى يوم القيامة في حقل الأحكام ، هذا عندنا وأمّا غيرنا ، فقد اتّفقت كلمة الأُمّة على أنّ العترة الطاهرة باب علم النبي بحكم حديث الثقلين ، ولذلك يرجع إليهم الموافق والمخالف في حلّ المشاكل العقائدية والتشريعية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فأئمّة المذاهب الأربعة وغيرهم من التابعين قد نهلوا من نمير علومهم ، ولا يشكّ في ذلك مَن له أدنى إلمام بتاريخ الحديث والفقه ، ولا يسع المقام هنا لبيان التفصيل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يمارسوا التقية في حياتهم الشخصية إلاّ في المجالات السياسية التي تمس سياسة الخلفاء ، ولم تكن لديهم أيّة خشية في الإفصاح عن أفكارهم وآرائهم أمام فقهاء عصرهم ، كيف وانّ الفقهاء والمحدّثين كلّهم كانوا معترفين بفضلهم ومغترفين من علومهم ، وكانوا عيالاً عليهم ، وبذلك يظهر ما ينسب إلى الأئمّة من التقية في حياتهم لا يجانب </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كانوا يمارسون التقية في الأُمور التي تتعلّق بالسلطان ولا يخالفونه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بسند صحيح عن عيسى بن أبي منصور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يشك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اذهب فانظر أصام السلطان أم لا؟ فذهب 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فدعا بالغداء فتغدّينا</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وهنا سؤال يطرح نفسه وهو انّه لا يشكّ مَن أمعن في الأخبار المروية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آراء فقهاء عصرهم تقية مع أنّ الحكم الواقعي لديهم غير ذلك ، فما هو الوجه في الإفتاء بالتقية؟</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الإفتاء بالتقية لم يكن لأجل الحفاظ على أنفسهم من القتل والتعذيب ، وإنّما كان الغرض صيانة شيعتهم من أن يُعرَّضوا ويُؤخذوا لمخالفتهم الرأي العام في حقل العقيدة والشريعة ، ولما قلناه شواهد كثيرة في تاريخ الحديث والفقه ، نكتفي بهذين الحديثين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سلمة بن محرز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مات وأوصى إليّ بتركته وترك ابنته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زرارة بذلك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 إنّما المال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بعدُ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زعموا أنّك اتّقيتني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اتّقيتك ، ولكنّي اتّقيت عليك أن تُضْمن ، فهل علم بذلك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فاعطها ما بقي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عبد الله بن محرز بياع القلانس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إليّ رجل ، وترك خمسمائة درهم أو ستمائة درهم ، وترك ابنة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عصبة بالشام ، فسألت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 الابنة النصف ، والعصبة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قدمت الكوفة أخبرت أصحابنا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 ، فأعطيت الابنة النصف الآخر ، ثمّ حججت فلقيت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قال أصحابنا وأخبرته انّي دفعت النصف الآخر إلى الابنة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إنّما أفتيتك مخافة العصبة عليك</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إنّ مذهب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أمراً ذائعاً بين الناس وكان خلافهم مع سائر الفقهاء والمحدّثين في مسائل كثيرة واضحة ، ولذلك لم يكن أيّ ضغط عليهم بالإفصاح بالحقيقة ، نعم الإفتاء على وفق الواقع واجتماع الشيعة على العمل به يورث سوء الظن للسلطة وتقف في وجههم بحجة انّهم بصدد الثورة عليها ، فلذلك كان الإمام يكره اجتماعهم على فكرة واحدة لئلاّ يؤخذوا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البطانة من أصحاب الأئمة كانوا يميزون الحكم الواقعي عن الحكم الصادر تقية ، يقول الشيخ جعفر كاشف الغطاء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مذهبنا أقل وضوحاً من مذهب الحنفية والشافعية والحنبلية والمالكية والزيدية والناووسية والواقفية والفطحية وغيرهم ، فانّ لكلّ طائفة طريقة مستمرة يتوارثونها صاغراً عن كابر ، بل أهل الملل من عدا المسلمين على بُعد عهدهم عن أنبيائهم الماضين لهم طرائق وسير يمشون فيها على الأثر ولا يصغون إلى إنكار من أنكر</w:t>
      </w:r>
      <w:r>
        <w:rPr>
          <w:rFonts w:eastAsia="Amiri" w:cs="Amiri" w:ascii="Amiri" w:hAnsi="Amiri"/>
          <w:color w:val="111111"/>
          <w:sz w:val="28"/>
          <w:szCs w:val="28"/>
          <w:rtl w:val="true"/>
          <w:lang w:bidi="ar-SA"/>
        </w:rPr>
        <w:t xml:space="preserve">. </w:t>
      </w:r>
      <w:r>
        <w:rPr>
          <w:rStyle w:val="FootnoteAnchor"/>
          <w:rtl w:val="true"/>
        </w:rPr>
        <w:footnoteReference w:id="548"/>
      </w:r>
      <w:bookmarkStart w:id="601" w:name="pg10155_105511"/>
    </w:p>
    <w:p>
      <w:pPr>
        <w:pStyle w:val="Heading3"/>
        <w:numPr>
          <w:ilvl w:val="2"/>
          <w:numId w:val="1"/>
        </w:numPr>
        <w:rPr/>
      </w:pPr>
      <w:bookmarkStart w:id="602" w:name="__RefHeading___Toc1273079_1067777946"/>
      <w:bookmarkStart w:id="603" w:name="_Toc215"/>
      <w:bookmarkEnd w:id="601"/>
      <w:bookmarkEnd w:id="602"/>
      <w:r>
        <w:rPr/>
        <w:t>12</w:t>
      </w:r>
      <w:r>
        <w:rPr>
          <w:rtl w:val="true"/>
        </w:rPr>
        <w:t xml:space="preserve">- </w:t>
      </w:r>
      <w:r>
        <w:rPr>
          <w:rtl w:val="true"/>
        </w:rPr>
        <w:t>في إجزاء العمل الموافق للتقية</w:t>
      </w:r>
      <w:bookmarkEnd w:id="603"/>
    </w:p>
    <w:p>
      <w:pPr>
        <w:pStyle w:val="Heading4"/>
        <w:numPr>
          <w:ilvl w:val="3"/>
          <w:numId w:val="1"/>
        </w:numPr>
        <w:rPr/>
      </w:pPr>
      <w:bookmarkStart w:id="604" w:name="__RefHeading___Toc1273081_1067777946"/>
      <w:bookmarkStart w:id="605" w:name="_Toc216"/>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قد تقدّم البحث في أقسام التقية وأحكامها التكليفية ، بقي الكلام في أحكامها الوضعيّة ، والمراد منها هو صحّة العمل الموافق للتقية المخالف للواقع ، وله أقسام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تكون التقية في العمل بالحكم الواقعي كغسل القدمين مكان مسحهما ، والمسح على الخفّين ، والنكس في غسل اليدين والصلاة في جلد الميتة وما لا يؤكل لحمه ، والتكفير في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اليسرى باليمنى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والتأمين في الصلاة ، والسجود على ما لا يصحّ السجود عليه ، والطلاق بلا حضور عدلين أو مع كون المطلقة حائضاً ، إلى غير ذلك من الأعمال التي تخالف الواقع وتوافق التقية ، ومورد التقيّة هو الأحكام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تكون التقية في الموضوعات لا في الأحكام الشرعية ، سواء كان الموضوع عاماً غير مقيد بزمان دون زمان ، ككون المغرب متحقّقاً بسقوط القرص ؛ أو في الموضوعات الخاصة كثبوت هلال ذي الحجة أو شهر رمضان أو شوال في سنة معينة ، وعندئذ يقع الكلام في صحّة العمل في هذه الموارد فالعمل موافق للتقية لكنّه مخالف للوظيفة الواقعية في مجال الحكم والموضوع</w:t>
      </w:r>
      <w:r>
        <w:rPr>
          <w:rFonts w:eastAsia="Amiri" w:cs="Amiri" w:ascii="Amiri" w:hAnsi="Amiri"/>
          <w:color w:val="111111"/>
          <w:sz w:val="28"/>
          <w:szCs w:val="28"/>
          <w:rtl w:val="true"/>
          <w:lang w:bidi="ar-SA"/>
        </w:rPr>
        <w:t xml:space="preserve">. </w:t>
      </w:r>
      <w:bookmarkStart w:id="606" w:name="pg10155_105512"/>
    </w:p>
    <w:p>
      <w:pPr>
        <w:pStyle w:val="BookText"/>
        <w:rPr/>
      </w:pPr>
      <w:bookmarkEnd w:id="606"/>
      <w:r>
        <w:rPr>
          <w:rFonts w:ascii="Amiri" w:hAnsi="Amiri" w:eastAsia="Amiri" w:cs="Amiri"/>
          <w:color w:val="111111"/>
          <w:sz w:val="28"/>
          <w:sz w:val="28"/>
          <w:szCs w:val="28"/>
          <w:rtl w:val="true"/>
          <w:lang w:bidi="ar-SA"/>
        </w:rPr>
        <w:t xml:space="preserve">والظاهر الصحّة في جميع الأقسام وفاقاً للشيخ كاشف الغطاء في كتابه </w:t>
      </w:r>
      <w:r>
        <w:rPr>
          <w:rStyle w:val="FootnoteAnchor"/>
          <w:rtl w:val="true"/>
        </w:rPr>
        <w:footnoteReference w:id="549"/>
      </w:r>
      <w:r>
        <w:rPr>
          <w:rFonts w:ascii="Amiri" w:hAnsi="Amiri" w:eastAsia="Amiri" w:cs="Amiri"/>
          <w:color w:val="111111"/>
          <w:sz w:val="28"/>
          <w:sz w:val="28"/>
          <w:szCs w:val="28"/>
          <w:rtl w:val="true"/>
          <w:lang w:bidi="ar-SA"/>
        </w:rPr>
        <w:t>والسيد الأُستاذ الإمام الخميني كما أفاد في محاضراته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الروايات الدالّة على صحّة العمل الصادر عن التقية على أصناف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دلّ على صحّة العمل المضطر إليه ، فيختصّ هذا الصنف بالتقية الاضطرارية التي تنبع عن خوف الضرر على النفس والنفيس ، ضرراً لا يتحمل 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دلّ على صحّة العمل المأتي به تقية والظاهر انصراف هذا الصنف إلى التقية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فعنوان الحكم في الصنف الأوّل هو الاضطرار وفي الصنف الثاني هو التقية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دلّ على صحّة العمل المخالف للواقع والموافق للمخالف مداراة له حفظاً للوحدة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نحن نتناول لغاية الاختصار من كلّ صنف بعض الروايات</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273083_1067777946"/>
      <w:bookmarkStart w:id="608" w:name="_Toc217"/>
      <w:bookmarkEnd w:id="607"/>
      <w:r>
        <w:rPr>
          <w:rtl w:val="true"/>
        </w:rPr>
        <w:t xml:space="preserve">الصنف الأوّل </w:t>
      </w:r>
      <w:r>
        <w:rPr>
          <w:rtl w:val="true"/>
        </w:rPr>
        <w:t xml:space="preserve">: </w:t>
      </w:r>
      <w:r>
        <w:rPr>
          <w:rtl w:val="true"/>
        </w:rPr>
        <w:t>ما يكون فيه الموضوع هو الاضطرار</w:t>
      </w:r>
      <w:bookmarkEnd w:id="608"/>
    </w:p>
    <w:p>
      <w:pPr>
        <w:pStyle w:val="BookText"/>
        <w:rPr/>
      </w:pPr>
      <w:r>
        <w:rPr>
          <w:rFonts w:ascii="Amiri" w:hAnsi="Amiri" w:eastAsia="Amiri" w:cs="Amiri"/>
          <w:color w:val="111111"/>
          <w:sz w:val="28"/>
          <w:sz w:val="28"/>
          <w:szCs w:val="28"/>
          <w:rtl w:val="true"/>
          <w:lang w:bidi="ar-SA"/>
        </w:rPr>
        <w:t xml:space="preserve">إذا أتى بعمل مخالف للواقع لأجل الاضطرار ، فيدلّ على صحّته الروايات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الرفع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رفع عن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صحيحة سنداً لكن المهم تحقيق مدلولها ، فإنّ الرفع يتعلّق بأمر وجودي وهو دائر بين أحد أُمور ثلاثة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والعقاب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المناسب لكلّ واحد من الأُمور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الآثار المترتبة على الأمر المرفوع في لسان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غير صحيح ، لوضوح انّ الرواية بصدد الإخبار عن رفع أمر تشريعي من الوجوب والحرمة أو الجزئية والمانعية ، وأمّا المؤاخذة والعقاب الأُخروي فهو أمر تكويني لا 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انّه لا يصحّ تقديرها في رفع النسيان والخطأ اللّذين هما من الأُمور التسعة ، لعدم وجود العقوبة فيهما حتّى يصحّ الامتنان من الشرع على الأُمّة برفعها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بعيد أيضاً فانّه يحتاج إلى الفحص عن الأثر المناسب لكلّ واحد من الأُمور التسعة وربّما لا يصل الإنسان إليه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هو المتعيّن ، أي رفع تمام الآثار الشرعية المترتبة على الموضوع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التكفير في الصلاة ، كما تجب السورة كاملة فيها ، فينتزع من حرمة التكفير ، مانعيته للصلاة ؛ ومن وجوب السورة ، جزئيتها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اضطر إلى التكفير أو إلى ترك قراءة السورة الكاملة ، فالآثار المترتبة على التكفير أو السورة مرفوعة ، فالمرفوع في التكفير هو الحرمة وبالتالي المانعية ، كما أنّ المرفوع في ترك السورة الكاملة اضطراراً هو الوجوب وبالتالي الجزئية ، وكأنّ الشارع لم يحكم على التكفير والسورة بشيء من الأحكام ، فينحصر المأمور به فيما أتى على وفق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يتعلّق بأمر وجودي ، وعندئذ يصحّ التمسك بحديث الرفع في التكفير الذي هو أمر وجودي دون ترك السورة الذي هو أمر عدمي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في الاستدلال هو تعلّق الرفع بعنوان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إليه وهو أمر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المنطبَق والمصداق أمراً وجودياً أو أمراً عدمياً ، </w:t>
      </w:r>
    </w:p>
    <w:p>
      <w:pPr>
        <w:pStyle w:val="BookText"/>
        <w:rPr/>
      </w:pPr>
      <w:r>
        <w:rPr>
          <w:rFonts w:ascii="Amiri" w:hAnsi="Amiri" w:eastAsia="Amiri" w:cs="Amiri"/>
          <w:color w:val="111111"/>
          <w:sz w:val="28"/>
          <w:sz w:val="28"/>
          <w:szCs w:val="28"/>
          <w:rtl w:val="true"/>
          <w:lang w:bidi="ar-SA"/>
        </w:rPr>
        <w:t xml:space="preserve">فالمصحِّح لصدق الرفع هو متعلّقه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فلو اضطرّ إلى ترك الوقوف في عرفات دون المشعر أمكن التمسّك في صحّة العمل بحديث الرفع ، لأنّ العنوان في الحديث الذي تعلّق به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وجودي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زرارة ،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التقية في كلّ شيء يضطر إليه ابن آدم ، فقد أحلّه الله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يضطر إلى التكفير وترك الوقوف بعرفة وغير ذلك من الأفعال والتروك الممنوعة شرعاً في عباداته ، فكلّ ذلك أحلّه الله ورفع المنع الثابت فيها لو لا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بالإحلال رفع المنع السابق ، والرفع في كلّ ممنوع بحسب حاله سواء كان الممنوع حكماً تكليفياً كشرب النبيذ أو الفقاع أو حكماً غيرياً كالتكفير وترك الوقوف بعرفة ، فالمنع في كلا الموردين مرفوع بحكم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الله ، وينتج صحّة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موثّقة سماعة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رجل تقية لم يضرّ إذا هو أُكره أو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 الله إلاّ وقد أحلّه الله لمن اضطر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على صحّة العمل المأتي به اضطراراً ، هو انّ حنث الحلف حرام تكليفاً ووضعاً بمعنى ترتب الكفّارة عليه في حالة الاختيار ، وهذا العمل إذا صدر عن إكراه واضطرار يتجرّد عن كلا الحكمين ، فلا هو حرام تكليفاً ولا وضعاً بمعنى </w:t>
      </w:r>
      <w:bookmarkStart w:id="609" w:name="pg10155_105515"/>
    </w:p>
    <w:p>
      <w:pPr>
        <w:pStyle w:val="BookText"/>
        <w:rPr/>
      </w:pPr>
      <w:bookmarkEnd w:id="609"/>
      <w:r>
        <w:rPr>
          <w:rFonts w:ascii="Amiri" w:hAnsi="Amiri" w:eastAsia="Amiri" w:cs="Amiri"/>
          <w:color w:val="111111"/>
          <w:sz w:val="28"/>
          <w:sz w:val="28"/>
          <w:szCs w:val="28"/>
          <w:rtl w:val="true"/>
          <w:lang w:bidi="ar-SA"/>
        </w:rPr>
        <w:t>وجوب الكفّارة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ضرورة ، وصاحبها أعلم بها حين تنزل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والظاهر انّ الضرورة أعمّ من الاضطرار من حيث المورد ، فانّ الثاني يختصّ بما إذا كان الخوف على نفس الشخص ونفيسه ، بخلاف الضرورة فهي أعمّ ، فتصدق أيضاً على ما إذا كان في ترك العمل خطر يهدد كيان الإسلام والمسلمين أو طائفة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دلّ على صحّة العمل المخالف للواقع لأجل الاضطرار والضرورة ، وعلى ضوء ذلك فلو اضطر الإنسان أو دعت الضرورة إلى فعل المانع كالتكفير أو ترك الجزء كالسورة الكاملة فالعمل جائز وماض ، وسيوافيك في روايات الصنف الثاني انّ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تنفيذ العمل وقبوله لا بمعنى حلّيته وعدم حرمته</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273085_1067777946"/>
      <w:bookmarkStart w:id="611" w:name="_Toc218"/>
      <w:bookmarkEnd w:id="610"/>
      <w:r>
        <w:rPr>
          <w:rtl w:val="true"/>
        </w:rPr>
        <w:t xml:space="preserve">الصنف الثاني </w:t>
      </w:r>
      <w:r>
        <w:rPr>
          <w:rtl w:val="true"/>
        </w:rPr>
        <w:t xml:space="preserve">: </w:t>
      </w:r>
      <w:r>
        <w:rPr>
          <w:rtl w:val="true"/>
        </w:rPr>
        <w:t xml:space="preserve">ما يكون الموضوع فيه </w:t>
      </w:r>
      <w:r>
        <w:rPr>
          <w:rtl w:val="true"/>
        </w:rPr>
        <w:t>«</w:t>
      </w:r>
      <w:r>
        <w:rPr>
          <w:rtl w:val="true"/>
        </w:rPr>
        <w:t>التقيّة</w:t>
      </w:r>
      <w:r>
        <w:rPr>
          <w:rtl w:val="true"/>
        </w:rPr>
        <w:t>»</w:t>
      </w:r>
      <w:bookmarkEnd w:id="611"/>
    </w:p>
    <w:p>
      <w:pPr>
        <w:pStyle w:val="BookText"/>
        <w:rPr/>
      </w:pPr>
      <w:r>
        <w:rPr>
          <w:rFonts w:ascii="Amiri" w:hAnsi="Amiri" w:eastAsia="Amiri" w:cs="Amiri"/>
          <w:color w:val="111111"/>
          <w:sz w:val="28"/>
          <w:sz w:val="28"/>
          <w:szCs w:val="28"/>
          <w:rtl w:val="true"/>
          <w:lang w:bidi="ar-SA"/>
        </w:rPr>
        <w:t xml:space="preserve">ما اتّخذ عنوان التقيّة موضوعاً لتنفيذ العمل وتصحيحه فيدلّ عليه الروايات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موثّقة مسعدة بن صدقة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وتفسير ما يتّقى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أن يكون قوم سوء ظاهر حكمهم وفعلهم على غير حكم الحقّ وفعله ، فكلّ شيء يعمل المؤمن بينهم لمكان التقية ممّا لا يؤدي إلى الفساد في الدين فانّه جائز</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فلو أُريد من الجواز الإباحة فيدلّ على حلية العمل إذا كان حراماً في الواقع ، وأمّا لو أُريد به نفوذ العمل ومضيّه عند الشارع فيدلّ على صحّة العمل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فإفطار المؤمن عند سقوط القرص أو وقوفه بعرفات قبل وقته أو إيقاعه الطلاق مع عدم العدلين كلّها جائزة أي نافذة ومقبولة لدى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المتبادر من التقية هي التقية الاضطرارية ، ولا يعمّ القسم المدارائي الذي يتجرّد عن الخوف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أبي الصباح إبراهيم بن النعيم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قال لي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علم نبيه التنزيل والتأويل ، فعلمه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منعتم من شيء أو حلفتم عليه من يمين في تقية ، فأنتم منه في 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منعتم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كلّ عمل صدر من الإنسان تقية فهو في سعة منه ، أي لا يترتب عليه الأثر ، فلو كفّر أو ترك سورة كاملة أو سجد على ما لا يجوز السجود عليه ، فالمصلي في سعة من هذا العمل يعني لا يعد عمله هذا محرّماً ولا يترتب عليه الإعادة والقضاء ، وتوهم انّ المراد من السعة هو خصوص عدم الحرمة لا رفع الكفّارة فقط كما ترى ، مخالف لإطلاقها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يصلّي ، فخرج الإمام وقد صلّى الرجل ركعة من صلاة فريضة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إماماً عدلاً فليصل أُخرى وينصرف ويجعلها تطوعاً ، وليدخل مع الإمام في صلاته كما هو ، وإن لم يكن إمام عدل فليبن على صلاته كما هو ، ويصلّي ركعة أُخرى ، ويجلس قدر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w:t>
      </w:r>
    </w:p>
    <w:p>
      <w:pPr>
        <w:pStyle w:val="BookText"/>
        <w:rPr/>
      </w:pPr>
      <w:r>
        <w:rPr>
          <w:rFonts w:ascii="Amiri" w:hAnsi="Amiri" w:eastAsia="Amiri" w:cs="Amiri"/>
          <w:color w:val="111111"/>
          <w:sz w:val="28"/>
          <w:sz w:val="28"/>
          <w:szCs w:val="28"/>
          <w:rtl w:val="true"/>
          <w:lang w:bidi="ar-SA"/>
        </w:rPr>
        <w:t>إله إلاّ الله وحده لا شريك له ، وأشهد أنّ محمّداً عبده ورسوله ، ثمّ ليتم صلاته معه على ما استطاع فانّ التقية واسعة ، وليس شيء من التقية إلاّ وصاحبها مأجور عليها إن شاء الله</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والرواية صريحة في صحّة صلاته بمحضر منهم مع ترك ما لم يستطع فعله أو إتيان ما لم يستطع تركه من الأجزاء والشرائط والموانع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كالضابطة الكلية في كافة الأعمال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التقية واسعة ، وليس شيء من التقية إلاّ وصاحبها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وحصيلة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الإنسان إذا تأمّل في العناوين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عن أُمّتي ما اضطروا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شيء يضطر إليه ابن آدم فقد أحلّه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شيء ممّا حرم الله إلاّ وقد أحلّه الله لمن اضطر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في كلّ ضرورة وصاحبها أعلم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شيء يعمل المؤمن بينهم لمكان التقية فانّه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صنعتم من شيء أو حلفتم عليه في يمين في تقية فأنتم منه في 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شيء من التقية إلاّ وصاحبها مأجور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أمعن في هذه العناوين وما حمل عليها من الأحكام يقف على أنّ طروء الاضطرار والضرورة والتقية سبب لرفع الحكم أو نفوذ العمل وجوازه فينتزع منه صحّة العمل في مجالي التكليف والوضع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في أُصول الكافي بسنده عن أبي جعفر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إلاّ في شرب المسكر والمسح على الخفّين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دلّت الرواية على ثبوت التقية ومشروعيتها في كلّ شيء ممنوع لو لا التقية ، إلاّ في الفعلين المذكورين ، فاستثناء المسح على الخفين مع كون المنع فيه عند عدم التقية منعاً غيرياً دليل على عموم الشيء لكلّ ما يشبهه من الممنوعات ، لأجل التوصّل بتركها إلى صحّة العمل ، فدلّ على رفع التقية لمثل هذا المنع الغيري وتأثيرها في ارتفاع أثر ذلك الممنوع منه ، فيدلّ على أنّ التقية ثابتة في التكفير في الصلاة مثلاً ، بمعنى عدم كونه ممنوعاً عليه فيها عند التقية ، وكذا في غسل الرجلين واستعمال النبيذ في الوضوء ونحوهما</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فظهر ببركة هذه الروايات انّ العمل الموافق للتقية مجزي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بعض الروايات وجوب القضاء لمن أفطر في شهر رمضان تقية ، نظير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الكليني بسند صحيح عن داود بن الحصين ، عن رجل من أصحابه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وهو بالحيرة في زمان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عليه وقد شك الناس في الصوم وهو والله من شهر رمضان ، فسلّمت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أصمت اليوم؟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والمائدة بين يديه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فادنُ فكل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فأكلت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معك والفطر معك ، فقال الرجل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تفطر يوماً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والله أفطر يوماً من شهر رمضان وأقضي أحبّ إليّ من أن يضرب عنقي</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عن رفاعة ، عن رجل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العباس بالحيرة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تقول في الصيام اليوم؟ فقال </w:t>
      </w:r>
      <w:r>
        <w:rPr>
          <w:rFonts w:eastAsia="Amiri" w:cs="Amiri" w:ascii="Amiri" w:hAnsi="Amiri"/>
          <w:color w:val="111111"/>
          <w:sz w:val="28"/>
          <w:szCs w:val="28"/>
          <w:rtl w:val="true"/>
          <w:lang w:bidi="ar-SA"/>
        </w:rPr>
        <w:t xml:space="preserve">: </w:t>
      </w:r>
      <w:bookmarkStart w:id="612" w:name="pg10155_105519"/>
    </w:p>
    <w:p>
      <w:pPr>
        <w:pStyle w:val="BookText"/>
        <w:rPr/>
      </w:pPr>
      <w:bookmarkEnd w:id="6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إلى الإمام إن صمت صمنا ، وإن أفطرت أفطرنا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بالمائدة فأكلت معه ، وأنا أعلم والله انّه يوم من شهر رمضان ، فكان إفطاري يوماً وقضاؤه أيسر عليّ من أن يضرب عنقي ولا يعبد الله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فهاتان الروايتان تدلاّن على لزوم القضاء وعدم كفاية التقية في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الروايتين لا يحتجّ بهما لوجود الإرسال في آخرهما أنّ الكلام في الإجزاء وعدمه في العمل الموافق للتقية ، كما إذا أتى العمل على وفق التقية لا فيما إذا تركه رأساً كما في المقام ، لأنّ مصب روايات التقية هو العمل المأتي به لتلك الغاية لا ترك العمل للتقية ، وعندئذ الروايات الدالة على وجوب القضاء لمن أفطر يوم الشك ولو عن عذر حاكم في المقام لو عملنا بالروايتين وقد علمت ضعفهما</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273087_1067777946"/>
      <w:bookmarkStart w:id="614" w:name="_Toc219"/>
      <w:bookmarkEnd w:id="613"/>
      <w:r>
        <w:rPr>
          <w:rtl w:val="true"/>
        </w:rPr>
        <w:t xml:space="preserve">الصنف الثالث </w:t>
      </w:r>
      <w:r>
        <w:rPr>
          <w:rtl w:val="true"/>
        </w:rPr>
        <w:t xml:space="preserve">: </w:t>
      </w:r>
      <w:r>
        <w:rPr>
          <w:rtl w:val="true"/>
        </w:rPr>
        <w:t>التقية لغاية المداراة</w:t>
      </w:r>
      <w:bookmarkEnd w:id="614"/>
    </w:p>
    <w:p>
      <w:pPr>
        <w:pStyle w:val="BookText"/>
        <w:rPr/>
      </w:pPr>
      <w:r>
        <w:rPr>
          <w:rFonts w:ascii="Amiri" w:hAnsi="Amiri" w:eastAsia="Amiri" w:cs="Amiri"/>
          <w:color w:val="111111"/>
          <w:sz w:val="28"/>
          <w:sz w:val="28"/>
          <w:szCs w:val="28"/>
          <w:rtl w:val="true"/>
          <w:lang w:bidi="ar-SA"/>
        </w:rPr>
        <w:t>كان الكلام في السابق في التقية الناشئة من الخوف وهناك قسم آخر من التقية وهو المسمّى بالتقية المدارائية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منها هو حسن المعاشرة مع العامة بالحضور في شعائرهم والمشاركة في عباداتهم تحبيباً للقلوب ، دون أيّ خوف على النفس والنفيس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روايات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هشام بن الحكم 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تعملوا عملاً نُعيَّر به ، فإنّ ولد السوء يُعيّر والده بعمله ، كونوا لمن انقطعتم إليه زيناً ، ولا تكونوا عليه شيناً ، صلّوا في عشائرهم ، وعوِّدوا مرضاهم ،</w:t>
      </w:r>
    </w:p>
    <w:p>
      <w:pPr>
        <w:pStyle w:val="BookText"/>
        <w:rPr/>
      </w:pPr>
      <w:r>
        <w:rPr>
          <w:rFonts w:ascii="Amiri" w:hAnsi="Amiri" w:eastAsia="Amiri" w:cs="Amiri"/>
          <w:color w:val="111111"/>
          <w:sz w:val="28"/>
          <w:sz w:val="28"/>
          <w:szCs w:val="28"/>
          <w:rtl w:val="true"/>
          <w:lang w:bidi="ar-SA"/>
        </w:rPr>
        <w:t>واشهدوا جنائزهم ، ولا يسبقونكم إلى شيء من الخير فأنتم أولى به منهم ، والله ما عبد الله بشيء أحب إليه من 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الخبء؟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الصدوق عن حماد بن عثمان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معهم في الصف الأوّل كمن صلّى مع رسول الله في الصف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وليست الرواية ناظرة إلى صورة الخوف ، وإلاّ لأشار إليه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حفص البختري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لك إذا دخلت معهم وإن كنت ، لا تقتدي بهم ، مثل ما يحسب لك إذا كنت مع من تقتدي به</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حماد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معهم في الصف الأوّل كان كمن صلّى خلف رسول الله</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إسحاق بن عمار ، 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إسحاق ، أتصلّي معهم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معهم ، فانّ المصلّي معهم في الصف الأوّل كالشاهر سيفه في سبيل الله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البرقي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عز وجل ، ولا تحملوا الناس على أكتافكم فتُذلّوا ، إنّ الله تبارك وتعالى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عودوا مرضاهم ، واشهدوا جنائزهم ، واشهدوا لهم وعليهم ، وصلوا معهم في مساجدهم</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مناكحتهم والصلاة خلفهم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أمر شديد لم تستطيعوا ذلك ، قد أنكح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الدعوة إلى معاشرتهم وإقامة الصلاة في مساجدهم وجماعاتهم ربما يترتّب عليه فعل المانع في الصلاة أو ترك الجزء أو غير ذلك من الأُمور المبطلة للصلاة عندنا ومع ذلك نرى أنّ الإمام يرغب إلى العمل في صفوفهم وعشائرهم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في صحيحة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عبد الله بشيء أحبّ إليه من 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الخبء؟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دفع استبعاد المخاطب صحّة العمل المخالف للواقع وانّه كيف يكون أحب العبادات وأحسنها ، ولكن القدر المتيقن من هذا الصنف هو الصلاة وشموليّتها لسائر الأُمور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روايات ربما يستظهر منها خلاف ما ذكرناه ، مثلاً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عمرو بن ربيع انّه سأل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أكن أثق به أُصلّي خلفه وأقرأ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صلّ قبله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أفأُصلّي خلفه وأجعلها تطوعاً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قبلت التطوع لقبلت الفريضة ولكنّها اجعلها سبحة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ضعيفة وفي سندها مجهول ، وهو أحمد بن محمد بن يحيى الخازني ، كما أنّ في سندها الحسن بن الحسين وهو مشترك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ناصح المؤذن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أُصلّي في البيت وأخرج إليهم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اجعلها نافلة ولا تكبر معهم فتدخل معهم في صلاتهم ، فانّ مفتاح الصلاة التكبيرة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والرواية ضعيفة ، والناصح المؤذن مجهول على أنّ الرواية ظاهرة في الصحّة إذا كبّر ودخل معهم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عبيد بن زرارة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المسجد وقد صليت فأُصلّي معهم فلا أحتسب تلك الصلاة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أنا فأُصلّي معهم وأُريهم إنّي أسجد وما أسجد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ضعيفة لوجود قاسم بن عروة في سندها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التي يستشم منها عدم الاعتداد بالأعمال التي يؤتى بها معهم ، فالجل لو لا الكلّ ضعاف وما دلّ على الصحّة أكثر عدداً وأوضح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اخترنا من صحّة العمل في مجالي الاضطرار والمداراة نستغني عن عقد البحث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عدم المندوحة في صحّة العمل المأتي به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 يخفي كما نستغني عن البحث حول وجوب اعمال الحيلة والتورية لفظاً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مباحث طفيفة تظهر الحال فيها ممّا ذكرنا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5" w:name="pg10155_105524"/>
      <w:bookmarkStart w:id="616" w:name="pg10155_105524"/>
      <w:bookmarkEnd w:id="616"/>
    </w:p>
    <w:p>
      <w:pPr>
        <w:pStyle w:val="Heading2"/>
        <w:numPr>
          <w:ilvl w:val="1"/>
          <w:numId w:val="1"/>
        </w:numPr>
        <w:rPr/>
      </w:pPr>
      <w:bookmarkStart w:id="617" w:name="pg10155_105524"/>
      <w:bookmarkStart w:id="618" w:name="__RefHeading___Toc1273089_1067777946"/>
      <w:bookmarkStart w:id="619" w:name="_Toc220"/>
      <w:bookmarkEnd w:id="617"/>
      <w:bookmarkEnd w:id="618"/>
      <w:r>
        <w:rPr>
          <w:rtl w:val="true"/>
        </w:rPr>
        <w:t>خاتمة المطاف</w:t>
      </w:r>
      <w:r>
        <w:rPr>
          <w:rtl w:val="true"/>
        </w:rPr>
        <w:t xml:space="preserve">: </w:t>
      </w:r>
      <w:r>
        <w:rPr>
          <w:rtl w:val="true"/>
        </w:rPr>
        <w:t>جذور الاختلاف بين الفريقين</w:t>
      </w:r>
      <w:bookmarkEnd w:id="61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0" w:name="__RefHeading___Toc1273091_1067777946"/>
      <w:bookmarkStart w:id="621" w:name="_Toc221"/>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 xml:space="preserve">إنّ الاختلاف بين الفقهاء أمر مستحسن ، إذ في ظلّه تتلاقى الأفكار وتتلاقح الآراء ، ويُثمر عن نتائج بنّاءة تعود بالنفع إلى الأُمّة الإسلامية ، ولعلّ على هذا ورد في بعض الآثار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هذا الاختلاف هو جانبه الإيجابي ، المؤدّي إلى الوصول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وجه مشترك بين الاختلاف والشكّ ، فكما أنّ الشكّ قنطرة إلى اليقين فكذلك الاختلاف الموضوعي هو القنطرة الأُخرى لنيل الحقيقة شريطة أن لا يراوح في مكانه بل يتجاوزه إلى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هذه الغاية طرحت هذه المسائل على طاولة البحث ، ليكون حافزاً للمفكرين على مناقشة هذه المسائل في ظل إقامة مؤتمر فقهي يجمع كافة المذاهب الإسلامية حتّى ينفض عن وجهها غبار الاختلاف المضني ، ويتجلى وجه الحقيقة بأنصع صورها ولا ينال هذا الهدف إلاّ بإزالة العراقيل أمام الجهود المخلصة للوصول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العراقيل عبارة عن ضرورة التعرف على جذور الاختلاف ومحاولة استئصالها على ضوء المنهج الموضوعي بعيداً عن التعصب المقيت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دونت هذه البحوث لتكون خطوة متواضعة للوقوف على جذور الاختلاف كي يُبان الحقُ ويُتَّبع ، ويأتي ذلك في ضمن فصول </w:t>
      </w:r>
      <w:r>
        <w:rPr>
          <w:rFonts w:eastAsia="Amiri" w:cs="Amiri" w:ascii="Amiri" w:hAnsi="Amiri"/>
          <w:color w:val="111111"/>
          <w:sz w:val="28"/>
          <w:szCs w:val="28"/>
          <w:rtl w:val="true"/>
          <w:lang w:bidi="ar-SA"/>
        </w:rPr>
        <w:t xml:space="preserve">: </w:t>
      </w:r>
      <w:bookmarkStart w:id="622" w:name="pg10155_105526"/>
    </w:p>
    <w:p>
      <w:pPr>
        <w:pStyle w:val="Heading3"/>
        <w:numPr>
          <w:ilvl w:val="2"/>
          <w:numId w:val="1"/>
        </w:numPr>
        <w:rPr/>
      </w:pPr>
      <w:bookmarkStart w:id="623" w:name="__RefHeading___Toc1273093_1067777946"/>
      <w:bookmarkStart w:id="624" w:name="_Toc222"/>
      <w:bookmarkEnd w:id="622"/>
      <w:bookmarkEnd w:id="623"/>
      <w:r>
        <w:rPr>
          <w:rtl w:val="true"/>
        </w:rPr>
        <w:t>الفصل الأوّل</w:t>
      </w:r>
      <w:r>
        <w:rPr>
          <w:rtl w:val="true"/>
        </w:rPr>
        <w:t xml:space="preserve">: </w:t>
      </w:r>
      <w:r>
        <w:rPr>
          <w:rtl w:val="true"/>
        </w:rPr>
        <w:t xml:space="preserve">أئمّة أهل البيت </w:t>
      </w:r>
      <w:r>
        <w:rPr>
          <w:rtl w:val="true"/>
        </w:rPr>
        <w:t xml:space="preserve">- </w:t>
      </w:r>
      <w:r>
        <w:rPr>
          <w:rtl w:val="true"/>
        </w:rPr>
        <w:t xml:space="preserve">عليهم السلام </w:t>
      </w:r>
      <w:r>
        <w:rPr>
          <w:rtl w:val="true"/>
        </w:rPr>
        <w:t xml:space="preserve">- </w:t>
      </w:r>
      <w:r>
        <w:rPr>
          <w:rtl w:val="true"/>
        </w:rPr>
        <w:t>هم المرجع العلمي للمسلمين بعد النبي صلى الله عليه وآله وسلم</w:t>
      </w:r>
      <w:bookmarkEnd w:id="624"/>
    </w:p>
    <w:p>
      <w:pPr>
        <w:pStyle w:val="Heading4"/>
        <w:numPr>
          <w:ilvl w:val="3"/>
          <w:numId w:val="1"/>
        </w:numPr>
        <w:rPr/>
      </w:pPr>
      <w:bookmarkStart w:id="625" w:name="__RefHeading___Toc1273095_1067777946"/>
      <w:bookmarkStart w:id="626" w:name="_Toc223"/>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 xml:space="preserve">إنّ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تصدر عن الكتاب والسنّة في مجالي العقيدة والشريعة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تصدر عن أحاديث أئمّة أهل البيت وترى قولهم وفعلهم وتقريرهم حجّة ، وهذا لا يعني أنّ أحاديثهم ، حجّة ثالثة ، في عرض الكتاب والسنّة أو أنّهم أنبياء يوحى إليهم كما ربّما يتخيّله من ليس له إلمام بعقائدهم وأُصولهم ، بل العترة الطاهرة لما كانوا وعاة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وحفظة سنّته ، وخلفاءه بعده ، يحكون بقولهم وأفعالهم وتقريرهم ، سنّة النبي الأكرم ، فالاحتجاج بأحاديثهم ، احتجاج في الحقيقة بحديث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إيضاح الموضوع ، نأتي بتفصيل ذلك </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273097_1067777946"/>
      <w:bookmarkStart w:id="628" w:name="_Toc224"/>
      <w:bookmarkEnd w:id="627"/>
      <w:r>
        <w:rPr>
          <w:rtl w:val="true"/>
        </w:rPr>
        <w:t>أئمّة الشيعة أوصياء الرسول</w:t>
      </w:r>
      <w:bookmarkEnd w:id="628"/>
    </w:p>
    <w:p>
      <w:pPr>
        <w:pStyle w:val="Heading5"/>
        <w:numPr>
          <w:ilvl w:val="4"/>
          <w:numId w:val="1"/>
        </w:numPr>
        <w:rPr/>
      </w:pPr>
      <w:bookmarkStart w:id="629" w:name="__RefHeading___Toc1273099_1067777946"/>
      <w:bookmarkStart w:id="630" w:name="_Toc225"/>
      <w:bookmarkEnd w:id="629"/>
      <w:r>
        <w:rPr>
          <w:rtl w:val="true"/>
        </w:rPr>
        <w:t>اشارة</w:t>
      </w:r>
      <w:bookmarkEnd w:id="63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الشيعة على أنّ الأئمّة الاثني عشر أوصياء الرسول ، وأنّهم أئمّة الأُمّة وأحد الثقلين اللَّذين أوصى بهما رسول الله في غير موقف من المواقف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من التواتر بمكان أغنانا عن </w:t>
      </w:r>
    </w:p>
    <w:p>
      <w:pPr>
        <w:pStyle w:val="BookText"/>
        <w:rPr/>
      </w:pPr>
      <w:r>
        <w:rPr>
          <w:rFonts w:ascii="Amiri" w:hAnsi="Amiri" w:eastAsia="Amiri" w:cs="Amiri"/>
          <w:color w:val="111111"/>
          <w:sz w:val="28"/>
          <w:sz w:val="28"/>
          <w:szCs w:val="28"/>
          <w:rtl w:val="true"/>
          <w:lang w:bidi="ar-SA"/>
        </w:rPr>
        <w:t>ذكر مصادره ، ويكفي في ذلك ما نشرته دار التقريب بين المذاهب الإسلامية في القاهرة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الشيعة الإماميّة كسائر المسلمين مؤمنون بعالمية رسالة النبيّ الأكرم كما هم مؤمنون بخاتمية رسالته ، مستدلين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إلى غير ذلك من الآيات والأحاديث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خاتمية رسالة النبي الأكرم من الأُمور الدينية الضرورية تكفّل لبيانها الذكر الحكيم والأحاديث المتضافرة التي بلغت حدّ التواتر ،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خرج إلى غزوة تبوك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فبكى علي ،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وهذا علي أمير المؤمنين أوّل الأئمّة الاثني عشر قال وهو يلي غسل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بأبي أنت وأُمّي لقد انقطع بموتك ما لم ينقطع بموت غيرك من النبوّة والأنباء وأخبار السماء</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آخر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رسول الله فخاتم النبيّين ليس بعده نبيّ ولا رسول ، </w:t>
      </w:r>
    </w:p>
    <w:p>
      <w:pPr>
        <w:pStyle w:val="BookText"/>
        <w:rPr/>
      </w:pPr>
      <w:r>
        <w:rPr>
          <w:rFonts w:ascii="Amiri" w:hAnsi="Amiri" w:eastAsia="Amiri" w:cs="Amiri"/>
          <w:color w:val="111111"/>
          <w:sz w:val="28"/>
          <w:sz w:val="28"/>
          <w:szCs w:val="28"/>
          <w:rtl w:val="true"/>
          <w:lang w:bidi="ar-SA"/>
        </w:rPr>
        <w:t>وختم رسول الله الأنبياء إلى يوم القيامة</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ونكتفي في هذه العجالة بهذا المقدار من النصوص فمن أراد أن يقف على نصوص الأئمّة الاثني عشر على ختم النبوّة وانقطاع الوحي وسدّ باب التشريع بعد رحلة الرسول ، فعليه الرجوع إلى الجزء الثالث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فيه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من النبي الأكرم وأهل بيته الطاهرين في ذلك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فقهاء الشيعة حكموا بارتداد من أنكر عالمية الرسالة ، أو خاتميتها ، فلأجل ذلك فالبابية والبهائية وهكذا القاديانية مرتدّون عندهم ارتداداً فطرياً أو ملّيّاً </w:t>
      </w:r>
      <w:r>
        <w:rPr>
          <w:rStyle w:val="FootnoteAnchor"/>
          <w:rtl w:val="true"/>
        </w:rPr>
        <w:footnoteReference w:id="564"/>
      </w:r>
      <w:r>
        <w:rPr>
          <w:rFonts w:ascii="Amiri" w:hAnsi="Amiri" w:eastAsia="Amiri" w:cs="Amiri"/>
          <w:color w:val="111111"/>
          <w:sz w:val="28"/>
          <w:sz w:val="28"/>
          <w:szCs w:val="28"/>
          <w:rtl w:val="true"/>
          <w:lang w:bidi="ar-SA"/>
        </w:rPr>
        <w:t>أحياناً ، وهذه كتبهم الفقهية في باب الحدود وأحكام المرتد وغير ذلك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قليل من كثير اكتفينا به لتبيين عقيدة الشيعة في حقّ الرسول الأعظم وأنّهم عن بكرة أبيهم معتقدون بعالمية رسالة الرسول وخاتميته ، ولم ينحرفوا عن هذا الخط قيد شعرة ، ويظهر ذلك من المرور على الكتب الاعتقادية المدوّنة من بداية القرن الثالث الهجري إلى عصرنا هذا ، فقد ألّفوا مئات الكتب والرسائل ، بل الموسوعات الكبيرة حول العقائد الإسلامية وهي بين مخطوطة ومطبوعة منتشرة في العالم وهذه كتبهم ومكتباتهم وجامعاتهم العلمية ، وخطباؤهم ومنشوراتهم الرسمية لا تجد فيها كلمة تشير إلى نبوّة غير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بنزول الوحي على غيره فلا محيص عن القول بأنّ هذه النظرية الخاطئة ، استنبطها البعض من خلال أُمور لا دلالة لها على ما يرتئيه ولا بأس بالإشارة إلى بعض هذه الأُمور التي كانت </w:t>
      </w:r>
    </w:p>
    <w:p>
      <w:pPr>
        <w:pStyle w:val="BookText"/>
        <w:rPr/>
      </w:pPr>
      <w:r>
        <w:rPr>
          <w:rFonts w:ascii="Amiri" w:hAnsi="Amiri" w:eastAsia="Amiri" w:cs="Amiri"/>
          <w:color w:val="111111"/>
          <w:sz w:val="28"/>
          <w:sz w:val="28"/>
          <w:szCs w:val="28"/>
          <w:rtl w:val="true"/>
          <w:lang w:bidi="ar-SA"/>
        </w:rPr>
        <w:t xml:space="preserve">سبباً لهذا الوهم ، وقد ألمح إليها بعض دكاترة العصر من المستهترين وهي لا تتجاوز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أحاديثهم وأفعالهم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بعصمتهم من الإثم والخطأ</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تحليل هذين الأمرين </w:t>
      </w:r>
      <w:r>
        <w:rPr>
          <w:rFonts w:eastAsia="Amiri" w:cs="Amiri" w:ascii="Amiri" w:hAnsi="Amiri"/>
          <w:color w:val="111111"/>
          <w:sz w:val="28"/>
          <w:szCs w:val="28"/>
          <w:rtl w:val="true"/>
          <w:lang w:bidi="ar-SA"/>
        </w:rPr>
        <w:t xml:space="preserve">: </w:t>
      </w:r>
      <w:bookmarkStart w:id="631" w:name="pg10155_105530"/>
    </w:p>
    <w:p>
      <w:pPr>
        <w:pStyle w:val="Heading5"/>
        <w:numPr>
          <w:ilvl w:val="4"/>
          <w:numId w:val="1"/>
        </w:numPr>
        <w:rPr/>
      </w:pPr>
      <w:bookmarkStart w:id="632" w:name="__RefHeading___Toc1273101_1067777946"/>
      <w:bookmarkStart w:id="633" w:name="_Toc226"/>
      <w:bookmarkEnd w:id="631"/>
      <w:bookmarkEnd w:id="632"/>
      <w:r>
        <w:rPr/>
        <w:t>1</w:t>
      </w:r>
      <w:r>
        <w:rPr>
          <w:rtl w:val="true"/>
        </w:rPr>
        <w:t xml:space="preserve">- </w:t>
      </w:r>
      <w:r>
        <w:rPr>
          <w:rtl w:val="true"/>
        </w:rPr>
        <w:t>حجّية أقوال العترة الطاهرة</w:t>
      </w:r>
      <w:bookmarkEnd w:id="633"/>
    </w:p>
    <w:p>
      <w:pPr>
        <w:pStyle w:val="Heading6"/>
        <w:numPr>
          <w:ilvl w:val="5"/>
          <w:numId w:val="1"/>
        </w:numPr>
        <w:rPr/>
      </w:pPr>
      <w:bookmarkStart w:id="634" w:name="__RefHeading___Toc1273103_1067777946"/>
      <w:bookmarkStart w:id="635" w:name="_Toc227"/>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إنّ الشيعة يتعاملون مع أحاديث العترة الطاهرة كالتعامل مع أحاديث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فلولا كونهم أنبياء أو طرفاً للوحي فكيف تكون أحاديثهم حجّة؟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الإمامية تأخذ بأقوالهم للأُمور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الأكرم هو الذي أمر المسلمين قاطبة بالأخذ بأقوال العترة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فالتمسّك بأحاديثهم وأقوالهم امتثال لقول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لا يصدر إلاّ عن الحق ، فمن أخذ بالثقلين فقد تمسّك بما ينقذه من الضلالة ، ومن أخذ بواحد منهما فقد خالف الرسول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الأُمّة بالصلاة على آل محمد في الفرائض والنوافل ، والمسلمون في مشارق الأرض ومغاربها يذكرون العترة بعد النبيّ الأكرم في تشهّدهم ويصلّون عليهم مثل الصلاة عليه ، والفقهاء وإن </w:t>
      </w:r>
    </w:p>
    <w:p>
      <w:pPr>
        <w:pStyle w:val="BookText"/>
        <w:rPr/>
      </w:pPr>
      <w:r>
        <w:rPr>
          <w:rFonts w:ascii="Amiri" w:hAnsi="Amiri" w:eastAsia="Amiri" w:cs="Amiri"/>
          <w:color w:val="111111"/>
          <w:sz w:val="28"/>
          <w:sz w:val="28"/>
          <w:szCs w:val="28"/>
          <w:rtl w:val="true"/>
          <w:lang w:bidi="ar-SA"/>
        </w:rPr>
        <w:t xml:space="preserve">اختلفوا في صيغة التشهّد ولكنّهم لا يختلفون في لزوم الصلاة على النبي وآله وفيها يقول الإمام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الشأن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فلو لم يكن للعترة شأن ومقام في مجال هداية الأُمّة ولزوم الاقتفاء بهم ، فما معنى جعل الصلاة عليهم فريضة في التشهّد وتكرارها في جميع الصلوات ليلاً ونهاراً ، فريضة ونافلة؟</w:t>
      </w:r>
    </w:p>
    <w:p>
      <w:pPr>
        <w:pStyle w:val="BookText"/>
        <w:rPr/>
      </w:pPr>
      <w:r>
        <w:rPr>
          <w:rFonts w:ascii="Amiri" w:hAnsi="Amiri" w:eastAsia="Amiri" w:cs="Amiri"/>
          <w:color w:val="111111"/>
          <w:sz w:val="28"/>
          <w:sz w:val="28"/>
          <w:szCs w:val="28"/>
          <w:rtl w:val="true"/>
          <w:lang w:bidi="ar-SA"/>
        </w:rPr>
        <w:t xml:space="preserve">وهذا يعرب عن سرّ نقف عليه من خلال أمر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 وهو أنّ لآل محمّد شأناً خاصّاً في الأُمور الدينية والقيادة الإسلامية 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أقوالهم وآراءهم حجّة على المسلمين ، وأنّ لهم المرجعية الكبرى بعد رحلة الرسول ، سواء أكان في مجال العقيدة والشريعة أم في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العترة الطاهرة بسفينة نوح ، وأنّه من ركبها نجا ، وأنّ من تخلّف عنها غرق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حجّية أقوالهم وأفعالهم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الوصايا الواردة في حقّ العترة التي نقلها أصحاب الصحاح والمسانيد ، ومن أراد فليرجع إلى مصادرها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فالمسلم المؤمن بصحّة هذه الوصايا لا يشك في حجّية أقوال العترة سواء أعلم مصدر علومهم أم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636" w:name="pg10155_105532"/>
    </w:p>
    <w:p>
      <w:pPr>
        <w:pStyle w:val="BookText"/>
        <w:rPr/>
      </w:pPr>
      <w:bookmarkEnd w:id="636"/>
      <w:r>
        <w:rPr>
          <w:rFonts w:ascii="Amiri" w:hAnsi="Amiri" w:eastAsia="Amiri" w:cs="Amiri"/>
          <w:color w:val="111111"/>
          <w:sz w:val="28"/>
          <w:sz w:val="28"/>
          <w:szCs w:val="28"/>
          <w:rtl w:val="true"/>
          <w:lang w:bidi="ar-SA"/>
        </w:rPr>
        <w:t xml:space="preserve">ومع ذلك كلّه نحن نشير إلى بعض مصادر علومهم حتى يتّضح أنّ حجية أقوالهم لا تدلّ على أنّهم أنبياء أو فوّض إليهم أمر التشريع </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1273105_1067777946"/>
      <w:bookmarkStart w:id="638" w:name="_Toc228"/>
      <w:bookmarkEnd w:id="637"/>
      <w:r>
        <w:rPr/>
        <w:t>1</w:t>
      </w:r>
      <w:r>
        <w:rPr>
          <w:rtl w:val="true"/>
        </w:rPr>
        <w:t xml:space="preserve">. </w:t>
      </w:r>
      <w:r>
        <w:rPr>
          <w:rtl w:val="true"/>
        </w:rPr>
        <w:t xml:space="preserve">السماع عن رسول الله </w:t>
      </w:r>
      <w:r>
        <w:rPr>
          <w:rtl w:val="true"/>
        </w:rPr>
        <w:t xml:space="preserve">- </w:t>
      </w:r>
      <w:r>
        <w:rPr>
          <w:rtl w:val="true"/>
        </w:rPr>
        <w:t xml:space="preserve">صلى الله عليه وآله وسلم </w:t>
      </w:r>
      <w:r>
        <w:rPr>
          <w:rtl w:val="true"/>
        </w:rPr>
        <w:t>- :</w:t>
      </w:r>
      <w:bookmarkEnd w:id="638"/>
    </w:p>
    <w:p>
      <w:pPr>
        <w:pStyle w:val="BookText"/>
        <w:rPr/>
      </w:pPr>
      <w:r>
        <w:rPr>
          <w:rFonts w:ascii="Amiri" w:hAnsi="Amiri" w:eastAsia="Amiri" w:cs="Amiri"/>
          <w:color w:val="111111"/>
          <w:sz w:val="28"/>
          <w:sz w:val="28"/>
          <w:szCs w:val="28"/>
          <w:rtl w:val="true"/>
          <w:lang w:bidi="ar-SA"/>
        </w:rPr>
        <w:t xml:space="preserve">إنّ الأئمّة يروون أحاديث رسول الله سماعاً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بلا واسطة أو بواسطة آبائهم ، ولأجل ذلك ترى في كثير من الروايات أنّ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زين العابدين ، عن أبيه الحسين بن علي ، عن عليّ أمير المؤمنين ، عن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النمط في الروايات كثير في أحاديثهم ، وقد تضافر عن الإمام الصادق أنّه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 حديث أبي ، وحديث أبي حديث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 هذا الطريق تحمّلوا أحاديث كثيرة عن الرسول الأكرم وبلّغوها ، من دون أن يعتمدوا على الأحبار والرهبان ، أو على أُناس مجاهيل ، أو شخصيات متسترة بالنفاق وهذا النوع من الأحاديث ليس بقليل</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1273107_1067777946"/>
      <w:bookmarkStart w:id="640" w:name="_Toc229"/>
      <w:bookmarkEnd w:id="639"/>
      <w:r>
        <w:rPr/>
        <w:t>2</w:t>
      </w:r>
      <w:r>
        <w:rPr>
          <w:rtl w:val="true"/>
        </w:rPr>
        <w:t xml:space="preserve">. </w:t>
      </w:r>
      <w:r>
        <w:rPr>
          <w:rtl w:val="true"/>
        </w:rPr>
        <w:t xml:space="preserve">كتاب عليّ </w:t>
      </w:r>
      <w:r>
        <w:rPr>
          <w:rtl w:val="true"/>
        </w:rPr>
        <w:t xml:space="preserve">- </w:t>
      </w:r>
      <w:r>
        <w:rPr>
          <w:rtl w:val="true"/>
        </w:rPr>
        <w:t xml:space="preserve">عليه السلام </w:t>
      </w:r>
      <w:r>
        <w:rPr>
          <w:rtl w:val="true"/>
        </w:rPr>
        <w:t>- :</w:t>
      </w:r>
      <w:bookmarkEnd w:id="640"/>
    </w:p>
    <w:p>
      <w:pPr>
        <w:pStyle w:val="BookText"/>
        <w:rPr/>
      </w:pPr>
      <w:r>
        <w:rPr>
          <w:rFonts w:ascii="Amiri" w:hAnsi="Amiri" w:eastAsia="Amiri" w:cs="Amiri"/>
          <w:color w:val="111111"/>
          <w:sz w:val="28"/>
          <w:sz w:val="28"/>
          <w:szCs w:val="28"/>
          <w:rtl w:val="true"/>
          <w:lang w:bidi="ar-SA"/>
        </w:rPr>
        <w:t>يرجع قسم آخر من أحاديثهم إلى ما أخذوه عن كتاب الإمام أمير المؤمنين بإملاء رسول الله وخطّ عليّ ، وقد أشار أصحاب الصحاح والمسانيد إلى بعض هذه الكتب</w:t>
      </w:r>
      <w:r>
        <w:rPr>
          <w:rFonts w:eastAsia="Amiri" w:cs="Amiri" w:ascii="Amiri" w:hAnsi="Amiri"/>
          <w:color w:val="111111"/>
          <w:sz w:val="28"/>
          <w:szCs w:val="28"/>
          <w:rtl w:val="true"/>
          <w:lang w:bidi="ar-SA"/>
        </w:rPr>
        <w:t xml:space="preserve">. </w:t>
      </w:r>
      <w:r>
        <w:rPr>
          <w:rStyle w:val="FootnoteAnchor"/>
          <w:rtl w:val="true"/>
        </w:rPr>
        <w:footnoteReference w:id="56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لعليّ كتاب خاص بإملاء رسول الله وقد حفظته العترة الطاهرة وصدرت عنه في مواضع كثيرة ونقلت نصوصه في موضوعات مختلفة ، وقد بثّ الحر العاملي في موسوعته الحديثية ، أحاديث ذلك الكتاب حسب الكتب الفقهية </w:t>
      </w:r>
    </w:p>
    <w:p>
      <w:pPr>
        <w:pStyle w:val="BookText"/>
        <w:rPr/>
      </w:pPr>
      <w:r>
        <w:rPr>
          <w:rFonts w:ascii="Amiri" w:hAnsi="Amiri" w:eastAsia="Amiri" w:cs="Amiri"/>
          <w:color w:val="111111"/>
          <w:sz w:val="28"/>
          <w:sz w:val="28"/>
          <w:szCs w:val="28"/>
          <w:rtl w:val="true"/>
          <w:lang w:bidi="ar-SA"/>
        </w:rPr>
        <w:t>من الطهارة إلى الديات ومن أراد فليرجع إلى تلك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سئل عن الجامعة؟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كل ما يحتاج الناس إليه وليس من قضية إلاّ فيها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كتاب علي مصدراً لأحاديث العترة الطاهرة يرثونه واحداً بعد آخر وينقلون عنه ويستدلّون به على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أبو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لأحد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إلى بيت 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حمران إنّ في هذا البيت صحيفة طولها سبعون ذراعاً بخطّ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ولّينا الناس لحكمنا بما أنزل الله لم نعد ما 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كتاب طوله سبعون ذراعاً 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فلق فِيهِ وخطّ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 فيه والله جميع ما يحتاج إليه الناس إلى يوم القيامة حتى أنّ فيه أرش الخدش والجلدة ونصف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عندنا لصحيفة طولها سبعون ذراعاً 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 ما من حلال ولا حرام إلاّ وهو فيها حتى أرش الخدش</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أبو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إنّا لو كنّا نحدّثكم برأينا وهوانا لكنّا من الهالكين ، ولكنّا نحدّثكم بأحاديث نكنزها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641" w:name="pg10155_105534"/>
    </w:p>
    <w:p>
      <w:pPr>
        <w:pStyle w:val="Heading6"/>
        <w:numPr>
          <w:ilvl w:val="5"/>
          <w:numId w:val="1"/>
        </w:numPr>
        <w:rPr/>
      </w:pPr>
      <w:bookmarkStart w:id="642" w:name="__RefHeading___Toc1273109_1067777946"/>
      <w:bookmarkStart w:id="643" w:name="_Toc230"/>
      <w:bookmarkEnd w:id="641"/>
      <w:bookmarkEnd w:id="642"/>
      <w:r>
        <w:rPr/>
        <w:t>3</w:t>
      </w:r>
      <w:r>
        <w:rPr>
          <w:rtl w:val="true"/>
        </w:rPr>
        <w:t xml:space="preserve">. </w:t>
      </w:r>
      <w:r>
        <w:rPr>
          <w:rtl w:val="true"/>
        </w:rPr>
        <w:t xml:space="preserve">الاستنباط من الكتاب والسنّة </w:t>
      </w:r>
      <w:r>
        <w:rPr>
          <w:rtl w:val="true"/>
        </w:rPr>
        <w:t>:</w:t>
      </w:r>
      <w:bookmarkEnd w:id="643"/>
    </w:p>
    <w:p>
      <w:pPr>
        <w:pStyle w:val="BookText"/>
        <w:rPr/>
      </w:pPr>
      <w:r>
        <w:rPr>
          <w:rFonts w:ascii="Amiri" w:hAnsi="Amiri" w:eastAsia="Amiri" w:cs="Amiri"/>
          <w:color w:val="111111"/>
          <w:sz w:val="28"/>
          <w:sz w:val="28"/>
          <w:szCs w:val="28"/>
          <w:rtl w:val="true"/>
          <w:lang w:bidi="ar-SA"/>
        </w:rPr>
        <w:t xml:space="preserve">المصدر الثالث لأقوالهم ، هو إمعانهم في الكتاب والسنّة وتدبّرهم فيهما ، فاستخرجوا من المصدرين الرئيسيين ما يخصّ العقيدة والشريعة بصورة يقصر عنها أكثر الأفهام ، وهذا هو الذي جعلهم متميّزين بين المسلمين بالوعي والدقّة والفهم ، وخضع لهم أئمّة الفقه في مواقف شتّى حتى قال الإمام أبو حنيفة بعد تتلمذه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السنتان لهلك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كانوا يستدلّون على كثير من الأحكام عن طريق الكتاب والسنّة 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وله أصل في 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باسناده عن عمر بن قيس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يدع شيئاً تحتاج إليه الأُمة إلاّ أنزله في كتابه وبيّنه لرسوله وجعل لكلّ شيء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عليه دليلاً يدلّ عليه ، وجعل على من تعدّى ذلك الحدّ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باسناده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وفيه كتاب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عن سماعة عن 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شيء في كتاب الله وسنّة نبيّه أو تقولون فيه؟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 شيء في كتاب الله وسنّة نبيّه</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وقف على الأحاديث المروية عنهم يقف على أنّهم كيف يستدلّون على الأحكام الإلهية عن المصدرين بفهم خاص ووعي متميّز يبهر العقول ، ويورث </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الخوف من الإطالة لنقلت في المقام نماذج من ذلك ونكتفي ببيان موردين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إلى المتوكّل رجل نصراني فجر بامرأة مسلمة فأراد أن يقيم عليه الحد ، فأسلم ، فقال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يمحو ما قبله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ثلاثة حدود ، فكتب المتوكّل إلى الإمام الهادي يسأله ، فلمّا قرأ الكتاب ،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حتى يموت ، فأنكر الفقهاء ذلك ، فكتب إليه يسأله عن العلّة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وَخَسِرَ هُنالِكَ الْكافِرُونَ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الهادي ببيانه هذا شقّ طريقاً خاصّاً لاستنباط الأحكام من الذكر الحكيم ، طريقاً لم يكن يحلم به فقهاء عصره ، وكانوا يزعمون أنّ مصادر الأحكام الشرعية هي الآيات الواضحة في مجال الفقه التي لا تتجاوز ثلاثمائة آية ، وبذلك أبان للقرآن وجهاً خاصّاً لدلالته ، لا يلتفت إليه إلاّ من نزل القرآن في بيته ، وليس هذا الحديث غريباً في مورده ، بل له نظائر في كلمات الإمام وغيره من آبائه وأبنائه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سمّ المتوكّل نذر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رزقه الله العافية أن يتصدّق بمال كثير ، أو بدراهم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عوفي اختلف الفقهاء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المتوكّل عندهم فرجاً ، فبعث إلى الإمام عليّ الهادي فسأله؟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بثلاثة وثمانين ديناراً ، 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w:t>
      </w:r>
      <w:bookmarkStart w:id="644" w:name="pg10155_105536"/>
    </w:p>
    <w:p>
      <w:pPr>
        <w:pStyle w:val="BookText"/>
        <w:rPr/>
      </w:pPr>
      <w:bookmarkEnd w:id="644"/>
      <w:r>
        <w:rPr>
          <w:rFonts w:ascii="Amiri" w:hAnsi="Amiri" w:eastAsia="Amiri" w:cs="Amiri"/>
          <w:color w:val="111111"/>
          <w:sz w:val="28"/>
          <w:sz w:val="28"/>
          <w:szCs w:val="28"/>
          <w:rtl w:val="true"/>
          <w:lang w:bidi="ar-SA"/>
        </w:rPr>
        <w:t xml:space="preserve">نَصَرَكُمُ اللهُ فِي مَواطِنَ كَثِيرَةٍ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والمواطن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هذه الجملة ، وذلك 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سبعاً وعشرين غزوة ، وبعث خمساً وخمسين سرية ، وآخر غزواته يوم حنين ، وعجب المتوكل والفقهاء من هذا الجواب</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وقد ورد عن طريق آخر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عدد المواطن التي نصر الله المسلمين فيها إلى يوم نزول هذه الآية كان أقلّ من ثلاثة وثمانين</w:t>
      </w:r>
      <w:r>
        <w:rPr>
          <w:rFonts w:eastAsia="Amiri" w:cs="Amiri" w:ascii="Amiri" w:hAnsi="Amiri"/>
          <w:color w:val="111111"/>
          <w:sz w:val="28"/>
          <w:szCs w:val="28"/>
          <w:rtl w:val="true"/>
          <w:lang w:bidi="ar-SA"/>
        </w:rPr>
        <w:t xml:space="preserve">. </w:t>
      </w:r>
      <w:r>
        <w:rPr>
          <w:rStyle w:val="FootnoteAnchor"/>
          <w:rtl w:val="true"/>
        </w:rPr>
        <w:footnoteReference w:id="573"/>
      </w:r>
    </w:p>
    <w:p>
      <w:pPr>
        <w:pStyle w:val="Heading6"/>
        <w:numPr>
          <w:ilvl w:val="5"/>
          <w:numId w:val="1"/>
        </w:numPr>
        <w:rPr/>
      </w:pPr>
      <w:bookmarkStart w:id="645" w:name="__RefHeading___Toc1273111_1067777946"/>
      <w:bookmarkStart w:id="646" w:name="_Toc231"/>
      <w:bookmarkEnd w:id="645"/>
      <w:r>
        <w:rPr/>
        <w:t>4</w:t>
      </w:r>
      <w:r>
        <w:rPr>
          <w:rtl w:val="true"/>
        </w:rPr>
        <w:t xml:space="preserve">. </w:t>
      </w:r>
      <w:r>
        <w:rPr>
          <w:rtl w:val="true"/>
        </w:rPr>
        <w:t xml:space="preserve">الإشراقات الإلهية </w:t>
      </w:r>
      <w:r>
        <w:rPr>
          <w:rtl w:val="true"/>
        </w:rPr>
        <w:t>:</w:t>
      </w:r>
      <w:bookmarkEnd w:id="646"/>
    </w:p>
    <w:p>
      <w:pPr>
        <w:pStyle w:val="BookText"/>
        <w:rPr/>
      </w:pPr>
      <w:r>
        <w:rPr>
          <w:rFonts w:ascii="Amiri" w:hAnsi="Amiri" w:eastAsia="Amiri" w:cs="Amiri"/>
          <w:color w:val="111111"/>
          <w:sz w:val="28"/>
          <w:sz w:val="28"/>
          <w:szCs w:val="28"/>
          <w:rtl w:val="true"/>
          <w:lang w:bidi="ar-SA"/>
        </w:rPr>
        <w:t xml:space="preserve">إنّ هناك مصدراً رابعاً لأحاديثهم نعبّر عنه بالإشراقات الإلهية ، وأيّ وازع من أن يخصّ سبحانه بعض عباده بعلوم خاصّة يرجع نفعها إلى العامّة من دون أن يكونوا أنبياء ، أو معدودين من المرسلين ، والله سبحانه يصف مصاحب موسى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المصاحب نبيّاً بل كان وليّاً من أولياء الله سبحانه وتعالى بلغ في العلم والمعرفة مكاناً حتى 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نبيّ مبعوث بشريعة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يصف سبحانه وتعالى جليس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برخيا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w:t>
      </w:r>
    </w:p>
    <w:p>
      <w:pPr>
        <w:pStyle w:val="BookText"/>
        <w:rPr/>
      </w:pPr>
      <w:r>
        <w:rPr>
          <w:rFonts w:ascii="Amiri" w:hAnsi="Amiri" w:eastAsia="Amiri" w:cs="Amiri"/>
          <w:color w:val="111111"/>
          <w:sz w:val="28"/>
          <w:sz w:val="28"/>
          <w:szCs w:val="28"/>
          <w:rtl w:val="true"/>
          <w:lang w:bidi="ar-SA"/>
        </w:rPr>
        <w:t>عِنْدَهُ قالَ هذا مِنْ فَضْلِ رَبِّي</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وهذا الجليس لم يكن نبيّاً ، ولكن كان عنده علم من الكتاب ، وهو لم يحصّله من الطرق العاديّة التي يتدرّج عليها الصبيان والشبان في المدارس والجامعات ، بل كان علماً إلهياً أُفيض إليه لصفاء قلبه وروحه ، ولأجل ذلك ينسب علمه إلى فضل ربّه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تضافرت الروايات على أنّ في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الأُمم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مخلصين محدَّثين تفاض عليهم حقائق من عالم الغيب من دون أن يكونوا أنبياء ، وإن كنت في شكّ من ذلك فارجع إلى ما رواه أهل السنّة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من كان قبلكم من بني إسرائيل يُكلّمون من غير أن يكونوا أنبياء ، فإن يكن من أُمّتي منهم أحد فعمر</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قال القسطلاني ليس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للترديد بل للتأكيد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لي صديق ففلان ، إذ المراد اختصاصه بكمال الصداقة لا نفي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أنّ هذا وجد في غير هذه الأُمّة المفضولة فوجوده في هذه الأُمّة الفاضلة أحرى</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البخاري في صحيحه بعد حديث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فيما مضى قبلكم من الأُمم محدَّثون إن كان في أُمّتي هذه منهم فإنّه عمر ابن الخطاب</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قال القسطلاني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ألسنتهم الصواب من غير نبوّة</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الشيء في روعه ، فكأنّه قد حُدِّث به يظن فيصيب ، ويخطر الشيء بباله فيكون ، وهي منزلة رفيعة من منازل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مسلم في صحيحه في باب فضائل عمر عن عائشة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كان في الأُمم قبلكم محدَّثون فإن يكن في أُمّتي منهم أحد فإنّ عمر بن الخطاب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متّفق عليه</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وأخرجه أبو جعفر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شتى عن عائشة وأبي هريرة ، وأخرج قراءة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ولا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محدَّثون أي ملهمون ، فكان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بما كان ينطق ملهماً</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قال النووي في 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تفسير العلماء للمراد بمحدّثون فقال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ملهمون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مصيبون إذا ظنّوا فكأنّهم حُدِّثوا بشيء فظنّوه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تكلّمهم الملائكة ، وجاء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الصواب على ألسنتهم وفيه إثبات كرامات الأولياء</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يلهمون الصواب ، ويجوز أن يحمل على ظاهره وتحدّثهم الملائكة لا </w:t>
      </w:r>
    </w:p>
    <w:p>
      <w:pPr>
        <w:pStyle w:val="BookText"/>
        <w:rPr/>
      </w:pPr>
      <w:r>
        <w:rPr>
          <w:rFonts w:ascii="Amiri" w:hAnsi="Amiri" w:eastAsia="Amiri" w:cs="Amiri"/>
          <w:color w:val="111111"/>
          <w:sz w:val="28"/>
          <w:sz w:val="28"/>
          <w:szCs w:val="28"/>
          <w:rtl w:val="true"/>
          <w:lang w:bidi="ar-SA"/>
        </w:rPr>
        <w:t>بوحي وإنّما بما يطلق عليه اسم حديث ، وتلك فضيلة عظيمة</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جمع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ملهم أو صادق الظن ، وهو من أُلقي في نفسه شيء على وجه الإلهام والمكاشفة من الملأ الأعلى ، أو من يجري الصواب على لسانه بلا قصد ، أو تكلّمه الملائكة بلا نبوّة ، أو من إذا رأى رأياً أو ظنّ ظنّاً أجاب كأنّه حدّث به ، وأُلقي في روعه من عالم الملكوت فيظهر على نحو ما وقع له ، وهذه كرامة يكرم الله بها من شاء من عباده ، وهذه منزلة جليلة من منازل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يكن من أُمّتي منهم أحد فإنّه عمر ، كأنّه جعله في انقطاع قرينة في ذلك كأنّه نبيّ ، فلذلك أتى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التعليق في الدلالة على التأكيد والاختصاص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صديق فهو زيد ، فإنّ قائله لا يريد به الشكّ في صداقته بل المبالغة في أنّ الصداقة مختصّة به لا تتخطّاه إلى غيره</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فإذا كان في الأُمم السالفة رجال بهذا القدر والشأن فلِمَ إذاً لا يكون بين الأُمّة الإسلامية رجال شملتهم العناية الإلهية فأحاطوا بالكتاب والسنّة إحاطة كاملة يرفعون حاجات الأُمّة في مجال العقيدة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زعم أنّ مثل هذه الإفاضة تساوق النبوّة والرسالة ، فقد خلط الأعم بالأخصّ فالنبوّة منصب إلهيّ يقع طرفاً للوحي يسمع كلام الله تعالى ويرى رسول الوحي ، ويكون إمّا صاحب شريعة مستقلّة أو مروّجاً لشريعة من قبله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الخازن لعلوم النبوّة في كل ما تحتاج إليه الأُمّة من دون أن </w:t>
      </w:r>
    </w:p>
    <w:p>
      <w:pPr>
        <w:pStyle w:val="BookText"/>
        <w:rPr/>
      </w:pPr>
      <w:r>
        <w:rPr>
          <w:rFonts w:ascii="Amiri" w:hAnsi="Amiri" w:eastAsia="Amiri" w:cs="Amiri"/>
          <w:color w:val="111111"/>
          <w:sz w:val="28"/>
          <w:sz w:val="28"/>
          <w:szCs w:val="28"/>
          <w:rtl w:val="true"/>
          <w:lang w:bidi="ar-SA"/>
        </w:rPr>
        <w:t>يكون طرفاً للوحي أو سامعاً كلامه سبحانه أو رائياً للملك الحامل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ولإحاطته بعلوم النبوّة طرقاً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التصوّر الخاطئ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كل من أُلهم من الله سبحانه أو كلّمه الملك فهو نبيّ ورسول ، مع أنّ الذكر الحكيم يعرّف أُناساً ، أُلهموا أو رأوا الملك ولم يكونوا بالنسبة إلى النبوّة في حلّ ولا 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أُمّ موسى يقول في حقّها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 تَحْزَنِي إِنَّا رَادُّوهُ إِلَيْكِ وَجاعِلُوهُ مِنَ الْمُرْسَلِينَ</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أفصارت أُمّ موسى بهذا الإلهام نبيّة من الأنبياء؟</w:t>
      </w:r>
    </w:p>
    <w:p>
      <w:pPr>
        <w:pStyle w:val="BookText"/>
        <w:rPr/>
      </w:pPr>
      <w:r>
        <w:rPr>
          <w:rFonts w:ascii="Amiri" w:hAnsi="Amiri" w:eastAsia="Amiri" w:cs="Amiri"/>
          <w:color w:val="111111"/>
          <w:sz w:val="28"/>
          <w:sz w:val="28"/>
          <w:szCs w:val="28"/>
          <w:rtl w:val="true"/>
          <w:lang w:bidi="ar-SA"/>
        </w:rPr>
        <w:t xml:space="preserve">وهذه مريم البتول ، تكلّمها الملائكة من دون أن تكون نبيّة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بلغت مريم العذراء مكاناً شاهدت رسول ربّها المتمثَّل لها بصورة البشر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فَأَرْسَلْنا إِلَيْها رُوحَنا 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أَنَّى يَكُونُ لِي غُلامٌ وَلَمْ يَمْسَسْنِي بَشَرٌ وَلَمْ أَكُ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قالَ رَبُّكِ هُوَ عَلَيَّ هَيِّنٌ وَلِنَجْعَلَهُ آيَةً لِلنَّاسِ وَرَحْمَةً مِنَّا وَكانَ أَمْراً مَقْضِيًّا</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 مريم البتول رأت الملك وسمعت كلامه ولم تصبح نبيّة ولا رسولة ، فمن تدبّر في الكتاب والسنّة يقف على أبدال شملتهم العناية الإلهية وقفوا على أسرار الشريعة ومكامن الدين بفضل من الله سبحانه من دون أن يصيروا أنبياء</w:t>
      </w:r>
      <w:r>
        <w:rPr>
          <w:rFonts w:eastAsia="Amiri" w:cs="Amiri" w:ascii="Amiri" w:hAnsi="Amiri"/>
          <w:color w:val="111111"/>
          <w:sz w:val="28"/>
          <w:szCs w:val="28"/>
          <w:rtl w:val="true"/>
          <w:lang w:bidi="ar-SA"/>
        </w:rPr>
        <w:t xml:space="preserve">. </w:t>
      </w:r>
      <w:bookmarkStart w:id="647" w:name="pg10155_105541"/>
    </w:p>
    <w:p>
      <w:pPr>
        <w:pStyle w:val="Heading5"/>
        <w:numPr>
          <w:ilvl w:val="4"/>
          <w:numId w:val="1"/>
        </w:numPr>
        <w:rPr/>
      </w:pPr>
      <w:bookmarkStart w:id="648" w:name="__RefHeading___Toc1273113_1067777946"/>
      <w:bookmarkStart w:id="649" w:name="_Toc232"/>
      <w:bookmarkEnd w:id="647"/>
      <w:bookmarkEnd w:id="648"/>
      <w:r>
        <w:rPr/>
        <w:t>2</w:t>
      </w:r>
      <w:r>
        <w:rPr>
          <w:rtl w:val="true"/>
        </w:rPr>
        <w:t xml:space="preserve">- </w:t>
      </w:r>
      <w:r>
        <w:rPr>
          <w:rtl w:val="true"/>
        </w:rPr>
        <w:t>عصمة الأئمّة الاثني عشر</w:t>
      </w:r>
      <w:bookmarkEnd w:id="649"/>
    </w:p>
    <w:p>
      <w:pPr>
        <w:pStyle w:val="BookText"/>
        <w:rPr/>
      </w:pPr>
      <w:r>
        <w:rPr>
          <w:rFonts w:ascii="Amiri" w:hAnsi="Amiri" w:eastAsia="Amiri" w:cs="Amiri"/>
          <w:color w:val="111111"/>
          <w:sz w:val="28"/>
          <w:sz w:val="28"/>
          <w:szCs w:val="28"/>
          <w:rtl w:val="true"/>
          <w:lang w:bidi="ar-SA"/>
        </w:rPr>
        <w:t xml:space="preserve">إنّ القول بعصمة الأئمّة الاثني عشر وقعت ذريعة لتخيّل أنّهم أنبياء ، زاعمين بأنّ العصمة تساوي النبوّة ، غافلين عن أنّها أعمّ من النبوّة وإليك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تمنع صاحبها من الوقوع في المعصية والخطأ ، حيث لا يترك واجباً ، ولا يفعل محرّماً مع قدرته على الترك والفعل ، وإلاّ لم يستحقّ مدحاً ولا ثواباً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المعصوم قد بلغ في التقوى حدّاً لا تتغلّب عليه الشهوات والأهواء ، وبلغ من العلم في الشريعة وأحكامها مرتبة لا يخطأ معها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العصمة شيئاً ابتدعته الشيعة وإنّما دلّهم عليها في حق العترة الطاهرة كتاب الله وسنّة رسوله ، أمّا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وليس المراد من الرجس إلاّ الرجس المعنوي وأظهره هو الفسق</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فنذكر بعضها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مع الحقّ والحقّ مع عليّ يدور معه كيفما دار</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ومن دار معه الحقّ كيفما دار محال أن يعصي أو أن يخطأ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العترة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 ما إن تمسّكتم بهما لن تضلّوا أبداً</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فإذا كانت العترة عدل القرآن ، تصبح معصومةً كالكتاب ، لا يخالف أحدهما الآخر وليس القول بعصمة العترة بأعظم من القول بكون الصحابة كلّهم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أظنّ أن يرتاب فيما ذكرنا أحد ، إلاّ أنّ اللازم التعرّف على أهل بيته عن طريق نصوص الرسول الأكرم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العترة وأهل البيت؟</w:t>
      </w:r>
    </w:p>
    <w:p>
      <w:pPr>
        <w:pStyle w:val="BookText"/>
        <w:rPr/>
      </w:pPr>
      <w:r>
        <w:rPr>
          <w:rFonts w:ascii="Amiri" w:hAnsi="Amiri" w:eastAsia="Amiri" w:cs="Amiri"/>
          <w:color w:val="111111"/>
          <w:sz w:val="28"/>
          <w:sz w:val="28"/>
          <w:szCs w:val="28"/>
          <w:rtl w:val="true"/>
          <w:lang w:bidi="ar-SA"/>
        </w:rPr>
        <w:t>لا أظنّ أنّ أحداً ، قرأ الحديث والتاريخ ، يشكّ في أنّ المراد من العترة وأهل البيت لفيف خاصّ من أهل بيته ، ويكفي في ذلك مراجعة الأحاديث التي جمعها ابن الأثير في جامعه عن الصحاح ، ونكتفي بالقليل من الكثير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الترمذي عن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وَأَبْناءَكُمْ وَنِساءَنا وَنِساءَكُمْ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 وفاطمة ، وحسناً ، وحسيناً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نزلت في بيتي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جالسة عند 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ألستُ من أهل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 أنت من أزواج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رسول الله ، </w:t>
      </w:r>
    </w:p>
    <w:p>
      <w:pPr>
        <w:pStyle w:val="BookText"/>
        <w:rPr/>
      </w:pPr>
      <w:r>
        <w:rPr>
          <w:rFonts w:ascii="Amiri" w:hAnsi="Amiri" w:eastAsia="Amiri" w:cs="Amiri"/>
          <w:color w:val="111111"/>
          <w:sz w:val="28"/>
          <w:sz w:val="28"/>
          <w:szCs w:val="28"/>
          <w:rtl w:val="true"/>
          <w:lang w:bidi="ar-SA"/>
        </w:rPr>
        <w:t xml:space="preserve">وعليّ ، وفاطمة ، وحسن ، وحسين ، فجلّلهم بكسائه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يمرُّ بباب فاطمة إذا خرج إلى الصلاة حين نزلت هذه الآية قريباً من ستة أشهر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أهل البيت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 بن مسلم ، إلى زيد بن أرقم ، فلمّا جلسنا إليه 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يا زيد خيراً كثيراً ،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وسمعت حديثه ، وغزوت معه ، وصلّيت خلفه ، لقد لقيت يا زيد خيراً كثيراً ، حدّثنا يا زيد ما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 لقد كبر سنّي ، وقدم عهدي ، فما حدّثتكم فاقبلوا وما لا فلا تكلّفونيه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فينا خطيباً بماء يدعى خمّاً ، بين مكّة والمدينة ، فحمد الله وأثنى عليه ، ووعظ وذكر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ألا أيّها الناس ، إنّما أنّا بشر ، يوشك أن يأتيني رسول ربّي فأُجيب ، وأنا تارك فيكم ثقلين ، أوّلهما كتاب الله فيه الهدى والنور ،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وأهل بيتي ، أُذكّركم الله في أهل بيتي ، أُذكّركم الله في أهل بيتي ، أُذكّركم الله في أهل بيتي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 إنّ المرأة تكون مع الرجل العصر من الدهر ، ثمّ يطلّقها فترجع إلى أبيها وقومها ، أهل بيته أصله وعصبته </w:t>
      </w:r>
    </w:p>
    <w:p>
      <w:pPr>
        <w:pStyle w:val="BookText"/>
        <w:rPr/>
      </w:pPr>
      <w:r>
        <w:rPr>
          <w:rFonts w:ascii="Amiri" w:hAnsi="Amiri" w:eastAsia="Amiri" w:cs="Amiri"/>
          <w:color w:val="111111"/>
          <w:sz w:val="28"/>
          <w:sz w:val="28"/>
          <w:szCs w:val="28"/>
          <w:rtl w:val="true"/>
          <w:lang w:bidi="ar-SA"/>
        </w:rPr>
        <w:t>الذين حرموا الصدقة بعده</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المحدّثون عن النبيّ الأكرم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 أُمّتي ، كمثل سفينة نوح من ركبها نجا ومن تخلّف عنها غرق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بسفينة نوح في أنّ من لجأ إليهم في الدين فأخذ أُصوله وفروعه منهم نجا من عذاب النار ، ومن تخلّف عنهم كان كمن آوى يوم الطوفان إلى جبل ليعصمه من أمر الله غير أنّ ذاك غرق في الماء وهذا في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هذه منزلة علماء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تُصْرَفُونَ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حجر في صواعقه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ووجه تشبيههم بالسفينة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أحبّهم وعظّمهم ، شكراً لنعمة مشرّفهم وأخذاً بهدي علمائهم ، نجا من ظلمة المخالفات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تخلّف عن ذلك ، غرق في بحر كفر النعم ، وهلك في مفاوز الطغيان</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كلامه هذا لما ذا لم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بهدي أئمتهم في شيء من فروع الدين وعقائده ، ولا في شيء من أُصول الفقه وقواعده ، ولا في شيء من علوم السنّة والكتاب ، ولا في شيء من الأخلاق والسلوك والآداب؟ ولما ذا تخلّف عنهم ، فأغرق نفسه في بحار كفر النعم ، وأهلكها في مفاوز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المراجعات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المراجعة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650" w:name="pg10155_105545"/>
    </w:p>
    <w:p>
      <w:pPr>
        <w:pStyle w:val="Heading4"/>
        <w:numPr>
          <w:ilvl w:val="3"/>
          <w:numId w:val="1"/>
        </w:numPr>
        <w:rPr/>
      </w:pPr>
      <w:bookmarkStart w:id="651" w:name="__RefHeading___Toc1273115_1067777946"/>
      <w:bookmarkStart w:id="652" w:name="_Toc233"/>
      <w:bookmarkEnd w:id="650"/>
      <w:bookmarkEnd w:id="651"/>
      <w:r>
        <w:rPr>
          <w:rtl w:val="true"/>
        </w:rPr>
        <w:t>عصمة الإمام في الكتاب</w:t>
      </w:r>
      <w:bookmarkEnd w:id="652"/>
    </w:p>
    <w:p>
      <w:pPr>
        <w:pStyle w:val="BookText"/>
        <w:rPr/>
      </w:pPr>
      <w:r>
        <w:rPr>
          <w:rFonts w:ascii="Amiri" w:hAnsi="Amiri" w:eastAsia="Amiri" w:cs="Amiri"/>
          <w:color w:val="111111"/>
          <w:sz w:val="28"/>
          <w:sz w:val="28"/>
          <w:szCs w:val="28"/>
          <w:rtl w:val="true"/>
          <w:lang w:bidi="ar-SA"/>
        </w:rPr>
        <w:t xml:space="preserve">وممّا يدلّ على عصمة الإمام على وجه الإطلاق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والاستدلال مبنيّ على دعامتين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أمر بطاعة أُولي الأمر على وجه الإطلاق ، أي في جميع الأزمنة والأمكنة وفي جميع الحالات والخصوصيات ، ولم يقيّد وجوب امتثال أوامرهم ونواهيهم بشيء كما هو مقتضى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البديهي أنّه سبحانه لا يرضى لعباده الكفر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يَرْضى لِعِبادِهِ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فرق </w:t>
      </w:r>
      <w:r>
        <w:rPr>
          <w:rStyle w:val="FootnoteAnchor"/>
          <w:rtl w:val="true"/>
        </w:rPr>
        <w:footnoteReference w:id="593"/>
      </w:r>
      <w:r>
        <w:rPr>
          <w:rFonts w:ascii="Amiri" w:hAnsi="Amiri" w:eastAsia="Amiri" w:cs="Amiri"/>
          <w:color w:val="111111"/>
          <w:sz w:val="28"/>
          <w:sz w:val="28"/>
          <w:szCs w:val="28"/>
          <w:rtl w:val="true"/>
          <w:lang w:bidi="ar-SA"/>
        </w:rPr>
        <w:t>بين أن يقوم به العباد ابتداءً من دون تدخّل أمر آمر أو نهي ناه ، أو يقومون به بعد صدور أمر ونهي من أُولي الأمر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الجمع بين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إطاعة أُولي الأمر على وجه الاطلاق وحرمة طاعتهم إذا أمروا بالعصيان ، وأن يتّصف أُولو الأمر الذين وجبت إطاعتهم على وجه الإطلاق ، بخصوصية ذاتية وعناية إلهية ربّانية ، تصدّهم عن الأمر بالمعصية والنهي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إلاّ عبارة أُخرى عن كونهم معصومين ، وإلاّ فلو كانوا غير واقعين تحت العناية ، لما صحّ الأمر بإطاعتهم على وجه الاطلاق ولما صحّ الأمر بالطاعة بلا قيد وشرط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من إطلاق الأمر بالطاعة اشتمال المتعلّق على خصوصية تصدّه عن الأمر بغير 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الآية تدلّ على عصمة من أمر الله بطاعتهم ولا تحدد مصداق المعصوم الواجب طاعته ، ولكن اتّفقت الأُمّة على عدم عصمة غير النبي والأئمّة الاثني عشر ، فلا محيص عن انطباقه عليهم لئلاّ تخلو الآية عن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بدلالة الآية على العصمة الإمام الرازي في تفسيره ويطيب لي أن أذكر نصّه حتى يمعن فيه من يعشق الحقيقة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 بطاعة أُولي الأمر على سبيل الجزم في هذه الآية ، ومن أمر الله بطاعته على سبيل الجزم والقطع ، لا بدّ وأن يكون معصوماً عن الخطأ ، إذ لو لم يكن معصوماً عن الخطأ كان بتقدير إقدامه على الخطأ يكون قد أمر الله بمتابعته ، فيكون ذلك أمراً بفعل ذلك الخطأ ، والخطأ لكونه خطأ منهيٌ عنه ، فهذا يفضي إلى اجتماع الأمر والنهي في الفعل الواحد بالاعتبار الواحد ، وأنّه محال فثبت أنّ الله تعالى أمر بطاعة أُولي الأمر على سبيل الجزم وثبت أنّ كلّ من أمر الله بطاعته على سبيل الجزم وجب أن يكون معصوماً عن الخطأ ، فثبت قطعاً أنّ أُولي الأمر المذكور في هذه الآية لا بدّ وأن يكون معصوماً</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الأدلّة والبراهين على لزوم اتّباع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شكّاً لمشكّك ولا جدلاً لمجادل ، ويفرض على المسلمين الرجوع إليهم فيما لا نصّ فيه في كتاب أو سنّة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انّ جماهير أهل السنّة ولجوا كلّ باب إلاّ باب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والفروع حتّى بلغ الأمر إلى حد أثار تعجب الشيخ سليم البشري شيخ الأزهر الأسبق من عدول أهل السنة عنهم ، والتوجه إلى غيرهم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ندري لما ذا عدل أهل القبلة عن أئمّة أهل البيت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يتعبدوا بمذاهبهم في شيء من الأُصول والفروع ، ولا وقفوا في المسائل الخلافية عند قولهم ، ولا كان علماء الأُمّة يبحثون عن رأيهم ، بل كانوا يعارضونهم في المسائل النظرية ولا يبالون بمخالفتهم ، وما برح عوام الأُمّة خلفاً عن سلف يرجعون في الدين إلى غير أهل البيت بلا نكير</w:t>
      </w:r>
      <w:r>
        <w:rPr>
          <w:rFonts w:eastAsia="Amiri" w:cs="Amiri" w:ascii="Amiri" w:hAnsi="Amiri"/>
          <w:color w:val="111111"/>
          <w:sz w:val="28"/>
          <w:szCs w:val="28"/>
          <w:rtl w:val="true"/>
          <w:lang w:bidi="ar-SA"/>
        </w:rPr>
        <w:t xml:space="preserve">». </w:t>
      </w:r>
      <w:r>
        <w:rPr>
          <w:rStyle w:val="FootnoteAnchor"/>
          <w:rtl w:val="true"/>
        </w:rPr>
        <w:footnoteReference w:id="595"/>
      </w:r>
      <w:bookmarkStart w:id="653" w:name="pg10155_105548"/>
    </w:p>
    <w:p>
      <w:pPr>
        <w:pStyle w:val="Heading3"/>
        <w:numPr>
          <w:ilvl w:val="2"/>
          <w:numId w:val="1"/>
        </w:numPr>
        <w:rPr/>
      </w:pPr>
      <w:bookmarkStart w:id="654" w:name="__RefHeading___Toc1273117_1067777946"/>
      <w:bookmarkStart w:id="655" w:name="_Toc234"/>
      <w:bookmarkEnd w:id="653"/>
      <w:bookmarkEnd w:id="654"/>
      <w:r>
        <w:rPr>
          <w:rtl w:val="true"/>
        </w:rPr>
        <w:t>الفصل الثاني</w:t>
      </w:r>
      <w:r>
        <w:rPr>
          <w:rtl w:val="true"/>
        </w:rPr>
        <w:t xml:space="preserve">: </w:t>
      </w:r>
      <w:r>
        <w:rPr>
          <w:rtl w:val="true"/>
        </w:rPr>
        <w:t xml:space="preserve">الصحابة والمرجعية العلميّة بعد رحيل النبي </w:t>
      </w:r>
      <w:r>
        <w:rPr>
          <w:rtl w:val="true"/>
        </w:rPr>
        <w:t xml:space="preserve">- </w:t>
      </w:r>
      <w:r>
        <w:rPr>
          <w:rtl w:val="true"/>
        </w:rPr>
        <w:t>صلى الله عليه وآله وسلم</w:t>
      </w:r>
      <w:bookmarkEnd w:id="655"/>
    </w:p>
    <w:p>
      <w:pPr>
        <w:pStyle w:val="Heading4"/>
        <w:numPr>
          <w:ilvl w:val="3"/>
          <w:numId w:val="1"/>
        </w:numPr>
        <w:rPr/>
      </w:pPr>
      <w:bookmarkStart w:id="656" w:name="__RefHeading___Toc1273119_1067777946"/>
      <w:bookmarkStart w:id="657" w:name="_Toc235"/>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 xml:space="preserve">إنّ الصحابة هم الذين رأوا نور الوحي واستضاءوا به ، وصحبوا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بين يديه ونشروا الإسلام وحملوا رايته خفّاقة ، كما تعلّموا منه العقيدة والشريعة في ظل تعلم القرآن والسنّة ، وأخذ منهم الخلف ، فلهم حقّ كبير على الأُمّة في حفظ الشريعة ونشرها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أنّهم بذلوا جهوداً كبيرة في تعلّم الدين وأحكام الشريعة ومعالمها ومعارفها ، ولكنّهم لم يستوعبوا كلّ ما تحتاج إليه الأُمّة عبْر القرون ، فهم وإن أخذوا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دينهم ولكنّهم لم يبلغوا مستوى يؤهّلُهم لرفع حاجات الأُمّة في مختلف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القارئ يتلقّى ما ذكرنا دعوة بلا برهان نظراً للقداسة التي حظي بها الصحابة عبر القرون على نحو عرفوا بمراجع الدين في العقيدة والشريعة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فكرة مرفوضة ، لأنّ التاريخ يشهد على خلافه ، وإليك نماذج من تلك الشواهد</w:t>
      </w:r>
      <w:r>
        <w:rPr>
          <w:rFonts w:eastAsia="Amiri" w:cs="Amiri" w:ascii="Amiri" w:hAnsi="Amiri"/>
          <w:color w:val="111111"/>
          <w:sz w:val="28"/>
          <w:szCs w:val="28"/>
          <w:rtl w:val="true"/>
          <w:lang w:bidi="ar-SA"/>
        </w:rPr>
        <w:t xml:space="preserve">. </w:t>
      </w:r>
      <w:bookmarkStart w:id="658" w:name="pg10155_105549"/>
    </w:p>
    <w:p>
      <w:pPr>
        <w:pStyle w:val="Heading4"/>
        <w:numPr>
          <w:ilvl w:val="3"/>
          <w:numId w:val="1"/>
        </w:numPr>
        <w:rPr/>
      </w:pPr>
      <w:bookmarkStart w:id="659" w:name="__RefHeading___Toc1273121_1067777946"/>
      <w:bookmarkStart w:id="660" w:name="_Toc236"/>
      <w:bookmarkEnd w:id="658"/>
      <w:bookmarkEnd w:id="659"/>
      <w:r>
        <w:rPr/>
        <w:t>1</w:t>
      </w:r>
      <w:r>
        <w:rPr>
          <w:rtl w:val="true"/>
        </w:rPr>
        <w:t xml:space="preserve">- </w:t>
      </w:r>
      <w:r>
        <w:rPr>
          <w:rtl w:val="true"/>
        </w:rPr>
        <w:t>الإفتاء بالرأي</w:t>
      </w:r>
      <w:bookmarkEnd w:id="660"/>
    </w:p>
    <w:p>
      <w:pPr>
        <w:pStyle w:val="BookText"/>
        <w:rPr/>
      </w:pPr>
      <w:r>
        <w:rPr>
          <w:rFonts w:ascii="Amiri" w:hAnsi="Amiri" w:eastAsia="Amiri" w:cs="Amiri"/>
          <w:color w:val="111111"/>
          <w:sz w:val="28"/>
          <w:sz w:val="28"/>
          <w:szCs w:val="28"/>
          <w:rtl w:val="true"/>
          <w:lang w:bidi="ar-SA"/>
        </w:rPr>
        <w:t>إنّ ردّ الفرع إلى الأصل ، واستخراج حكم الواقعة من الأُصول الكلية ، ليس إفتاءً بالرأي وإنّما هو إفتاء بالدليل وبالكتاب والسنّة ، غاية الأمر انّ الكتاب أدلى ، والسنّة أشارت إلى القاعدة ، والمستنبط يستخرج حكم الواقعة الجزئية من الضوابط الكلية ، وهذا هو الاجتهاد الصحيح الذي هو رمز بقاء الشريعة ولولاه لما قامت لخاتمية الإسلام دعامة ، ومن أنكره فإنّما ينكره بلسانه ويذعن به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الإفتاء بالمقاييس الظنية التي لم تثبت حجيتها بدليل قاطع هو الإفتاء بالرأي ، والصحابة بعد رحيل النبي إذا لم يجدوا في الواقعة المستجدة دليلاً من الكتاب والسنّة أفتوا بتلك المقاييس ، وربّما تشاوروا فأخذوا بالرأي الراجح المظنون انّه حكم الله سبحانه ، ومن المعلوم أنّ الإفتاء بهذا النوع من الرأي ، ليس إفتاءً بحكم الله سبحانه ، بل أشبه بالأحكام الوضعية الرائجة في الغرب غاية الأمر انّهم كانوا يلتجئون إلى هذا النوع من الحكم بعد اليأس عن وجود دليل في الكتاب والسنّة ، وإليك شواهد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ميمون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إذا ورد عليه الخصم نظر في كتاب الله ، فإن وجد فيه ما يَقْضي بينهم قضى به ، وإن لم يكن في الكتاب وعُلِمَ عن رسول الله في ذلك الأمر سنّة قضى بها ، فإن أعياه خرج ، فسأل المسلمين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كذا وكذا ، فهل علمتم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ذلك بقضاء؟ فربما اجتمع إليه النفر كلّهم يذكر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قضايا ، فيقول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فينا من يحفظ علينا علم نبيّنا ، فإن أعياه ان يجد فيه سنّة عن رسول الله ، جمع رءوس الناس وخيارهم فاستشارهم ، فإذا اجتمع رأيهم على أمر قضى به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وهذا اعتراف صريح من الخليفة بأنّ السنّة النبوية التي وعاها الصحابة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غير وافية بالحاجات الفقهية ، ولذلك كان يعمد إلى الأخذ بالرأي والمقاييس الظنيّة لاستنباط حكم الموضوع ، وهذا إن دلّ على شيء فإنّما يدلّ على أنّ الصحابة لم يكونوا بمنزلة ، تجعلهم مصادر الحكم ومراجع الدين على نحو تكون الشريعة مخزونة عندهم ، بل كانوا كسائر الناس في عدم المعرفة بالمستجدات وما ليس فيه نص معين وإن كانوا يتفاوتون عن الآخرين بصحبتهم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وأخذهم عنه قسماً من معالم الدين حسب ما سمح لهم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عمر بن الخطاب شريحاً قاضي بالكوفة وأوصاه على النحو التالي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جاءك شيء من كتاب الله ، فاقض به ولا يُلفتك عنه الرجال ، فإن جاءك ما ليس في كتاب الله ، فانظر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بها ، فإن جاءك ما ليس في كتاب الله ولم تكن في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ما اجتمع عليه الناس فخذ به ، فإن جاءك ما ليس في كتاب الله ولم يكن في سنّة رسول الله ولم يتكلّم فيه أحد قبلك فاختر أيّ الأمرين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تجتهد برأيك فتُقدِّم ، وإن شئت ان تتأخر فتأخر ، ولا أرى التأخير إلاّ خيراً لك</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فالمراد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تجتهد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بالمقاييس الظنية التي لم يدل عليه دليل ، وإلاّ فلو كان هناك دليل لما كان هناك حاجة إلى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العمل بالرأي لم يكن عملاً بالدليل الشرعي ، بل كان تخلّصاً من المأزق ، انّ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شريحاً على القضاء ، اشترط عليه ألاّ ينفذ القضاء حتى يعرضه عليه ، وما ذلك إلاّ لأجل انّ الإمام كان واقفاً بأنّ بعض المعايير التي يقضي على ضوئها شريح ، ليست معايير شرعية فلذلك اشترط عليه العرض</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علينا زمان لسنا نقضي ولسنا هنالك ، وان الله قد قدر من الأمر ان قد بلغنا ما ترون ، فمن عرض له قضاء بعد اليوم ، فليقض فيه بما في كتاب الله عزّ وجلّ ، فإن جاءه ما ليس في كتاب الله فليقض بما قضى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جاءه ما ليس في كتاب الله ولم يقض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فليقض فيه بما قضى به الصالحون ، ولا يقل إنّي أخاف وإنّي أرى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وزاد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لتاريخ الفلسفة 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جاء أمر ليس في كتاب الله ولم يقض به نبيُّه ولم يقض به الصالحون ، فليجتهد برأيه فإن لم يحسن فليقم ولا يستحيي</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فهو على النصّ الأوّل نهي عن الإفتاء بالرأي ، بخلاف النصّ الثاني فقد أجاز الإفتاء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عباس إذا سئل عن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القرآن أخْبِر به ، وإن لم</w:t>
      </w:r>
    </w:p>
    <w:p>
      <w:pPr>
        <w:pStyle w:val="BookText"/>
        <w:rPr/>
      </w:pPr>
      <w:r>
        <w:rPr>
          <w:rFonts w:ascii="Amiri" w:hAnsi="Amiri" w:eastAsia="Amiri" w:cs="Amiri"/>
          <w:color w:val="111111"/>
          <w:sz w:val="28"/>
          <w:sz w:val="28"/>
          <w:szCs w:val="28"/>
          <w:rtl w:val="true"/>
          <w:lang w:bidi="ar-SA"/>
        </w:rPr>
        <w:t xml:space="preserve">يكن في القرآن وكان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به ، فإن لم يكن فعن أبي بكر وعمر ، فإن لم يكن ، كان فيه رأيه</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إنّ هذه العبارات ونظائرها من الاعترافات ، تستطيع أن تكشف عن مدى قصور الصحابة في أخذ التعاليم والأحكام الإسلامية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تكشف بوضوح عن أنّ الصحابة كانوا يواجهون وقائع وحوادث جديدة لا يجدون لها حلولاً في الكتاب الكريم أو في ما تلقُّوه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كانوا يحاولون استنباط حلول لها من غير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لا نلومهم في أخذ الرأي لوقوفهم على قصور ما بأيديهم من مصادر التشريع عن إغنائهم من الإفتاء بالرأي ، كيف وكلّ الأحاديث الصحيحة التي نقلها أعلام السنّة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لا تتجاوز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محمد رشيد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الأحكام والأُصول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تمدّها أربعة آلاف فيما أذكر</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وما ذكره من الممدّات ، هي آثار موقوفة على الصحابة ، أو مراسيل ، لا يحتج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مصدر القوانين الأُمة ، ونحن نقول بذلك في غير المنصوص في الكتاب والسنّة كما قرره الإمام الرازي ، والمنصوص قليل جداً</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مصدر القوانين في غير المنصوص هو الأُمّة أو ليس سبحانه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ويصرح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التاريخي في حجة الوداع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والله ما من شيء يقربكم من الجنة ويباعدكم من النار إلاّ وقد أمرتكم به ، وما من شيء يقربكم من النار ويباعدكم من الجنة إلاّ وقد نهيتكم عنه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وقد أكد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الحقيقة أي اكتمال الدين وغناء الأُمّة عن الرجوع إلى القوانين الوضعية التي مصدرها رأي نواب الأُمّة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أنزل الله سبحانه ديناً ناقصاً فاستعان بهم على إتمامه؟ أم كانوا شركاء له ، فلهم أن يقولوا وعليه أن يرضى؟ أم أنزل الله سبحانه ديناً تاماً فقصّر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تبليغه وأدائه ، 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تبيان لكلّ شيء</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فإذا كان الله قد أكمل دينه فلا نقصان فيه ، والرسول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يقصِّر عن تبليغه وأدائه ، وكانت الصحابة عاجزة عن حل المعضلات الجديدة التي تواجهها في حياتها الاجتماعية والسياسية والاقتصادية ، فمن المرجع والمفزع للمسلمين عند ذاك؟</w:t>
      </w:r>
    </w:p>
    <w:p>
      <w:pPr>
        <w:pStyle w:val="BookText"/>
        <w:rPr/>
      </w:pPr>
      <w:r>
        <w:rPr>
          <w:rFonts w:ascii="Amiri" w:hAnsi="Amiri" w:eastAsia="Amiri" w:cs="Amiri"/>
          <w:color w:val="111111"/>
          <w:sz w:val="28"/>
          <w:sz w:val="28"/>
          <w:szCs w:val="28"/>
          <w:rtl w:val="true"/>
          <w:lang w:bidi="ar-SA"/>
        </w:rPr>
        <w:t>ترى أنّ الكتاب والسنّة يحكمان بكمال الدين في كلّ ما تحتاج إليه الأُمّة إلى يوم القيامة في الأُصول والفروع ، في الحوادث الفعلية ، أو المستجدة وعندئذ كيف يمكن القول بأنّ مصدر القوانين هو الأُمّة وما هذه إلاّ امتداد لنفس الفكرة في عصر الصحابة لكن بنحو آخر حيث قام رأي الأُمّة ، مكانَ رأي الصحابي واجتهاده وسعيه في بيان حكم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تبيّن انّ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يستوعبوا الأحكام الشرعية ولذلك التجئوا إلى العمل بالرأي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شواهد أُخرى على العمل بالرأي أعرضنا عن ذكرها مخافة الإطناب</w:t>
      </w:r>
      <w:r>
        <w:rPr>
          <w:rFonts w:eastAsia="Amiri" w:cs="Amiri" w:ascii="Amiri" w:hAnsi="Amiri"/>
          <w:color w:val="111111"/>
          <w:sz w:val="28"/>
          <w:szCs w:val="28"/>
          <w:rtl w:val="true"/>
          <w:lang w:bidi="ar-SA"/>
        </w:rPr>
        <w:t xml:space="preserve">. </w:t>
      </w:r>
      <w:bookmarkStart w:id="661" w:name="pg10155_105554"/>
    </w:p>
    <w:p>
      <w:pPr>
        <w:pStyle w:val="Heading4"/>
        <w:numPr>
          <w:ilvl w:val="3"/>
          <w:numId w:val="1"/>
        </w:numPr>
        <w:rPr/>
      </w:pPr>
      <w:bookmarkStart w:id="662" w:name="__RefHeading___Toc1273123_1067777946"/>
      <w:bookmarkStart w:id="663" w:name="_Toc237"/>
      <w:bookmarkEnd w:id="661"/>
      <w:bookmarkEnd w:id="662"/>
      <w:r>
        <w:rPr/>
        <w:t>2</w:t>
      </w:r>
      <w:r>
        <w:rPr>
          <w:rtl w:val="true"/>
        </w:rPr>
        <w:t xml:space="preserve">- </w:t>
      </w:r>
      <w:r>
        <w:rPr>
          <w:rtl w:val="true"/>
        </w:rPr>
        <w:t>اعتراف الصحابة بقصور علمهم بالشريعة</w:t>
      </w:r>
      <w:bookmarkEnd w:id="663"/>
    </w:p>
    <w:p>
      <w:pPr>
        <w:pStyle w:val="BookText"/>
        <w:rPr/>
      </w:pPr>
      <w:r>
        <w:rPr>
          <w:rFonts w:ascii="Amiri" w:hAnsi="Amiri" w:eastAsia="Amiri" w:cs="Amiri"/>
          <w:color w:val="111111"/>
          <w:sz w:val="28"/>
          <w:sz w:val="28"/>
          <w:szCs w:val="28"/>
          <w:rtl w:val="true"/>
          <w:lang w:bidi="ar-SA"/>
        </w:rPr>
        <w:t xml:space="preserve">إنّ هناك شواهد تاريخية تحفل بها كتب التاريخ والمعاجم على قصور علم جُلّ الصحابة عن الإحاطة بالأحكام ولذلك يرجع بعضهم إلى بعض ، وربما لا ينتهي إلى نتيجة ونذكر هنا نماذج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عساكر في تاريخه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عثمان إلى أبي يسأله عن رجل طلّق امرأته ثمّ راجعها حين دخلت في الحيضة الثالثة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يفتي منافق؟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نعيذك بالله أن تكون منافقاً ، ونعوذ بالله أن نسمّيك منافقاً ، ونعيذك بالله أن تكون مثل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أنّه إذاً أحقّ بها ما لم تغتسل من الحيضة الثالثة ، وتحل لها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عثمان إلاّ أخذ بذلك</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وذيل الرواية يدلّ على أنّ عثمان لم يكن جازماً بصحة ما أفتى به ابن مسعود ولكنّه أخذ به لأجل الضرورة ، فإذا كان هذا حال من جلس على منصَّة الحكم فما ظنك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عساكر في تاريخه عن أبي إسحاق عن الحارث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أُتي في فريضة ابني عم ، أحدهما أخ لأُمّ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ابن مسعود المال كلّه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ابن مسعود ، إن كان لفقيهاً لكني أعطيه سهم الأخ من الأُمّ من قبل أُمّه ،</w:t>
      </w:r>
    </w:p>
    <w:p>
      <w:pPr>
        <w:pStyle w:val="BookText"/>
        <w:rPr/>
      </w:pPr>
      <w:r>
        <w:rPr>
          <w:rFonts w:ascii="Amiri" w:hAnsi="Amiri" w:eastAsia="Amiri" w:cs="Amiri"/>
          <w:color w:val="111111"/>
          <w:sz w:val="28"/>
          <w:sz w:val="28"/>
          <w:szCs w:val="28"/>
          <w:rtl w:val="true"/>
          <w:lang w:bidi="ar-SA"/>
        </w:rPr>
        <w:t>ثمّ أقسم المال بينهما</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عساكر في تاريخه عن أبي عمرو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ابن مسعود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حجري بنت عم لي ، وإن امرأتي خافتني عليها فأرضعتْها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أحداً قبلي؟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أبا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يقول شيئاً ، لا أُحرّم من الرضاع إلاّ ما أنبت اللحم والدم ، فأتيت أبا موسى فذكرت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عن شيء ما دام هذا الحبر بين أظهركم ، فو الله لقد رأيته ، وما رأيته إلاّ عبد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عساكر في تاريخه عن ابن عطية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أبي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 ورم ثديها فمصصتُ فدخل حلقي شيء فسبقني ، فشدّد عليه أبو موسى فأتى ابن مسعود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أحداً غيري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أبا موسى ، فشدّد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أبا موسى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أرضيع هذا؟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 ما دام هذا الحبر بين أظهركم</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هذا حال أبي موسى الأشعري الصحابي الكبير الذي اختير حكماً في 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غير واحد من الروايات انّ عبد الله بن مسعود كان يختلف مع زيد بن ثابت في الفتيا والقراءة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ثابت أفرض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عساكر عن أبي وائل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من في رسول الله بضعاً وسبعين سورة وانّ زيد بن ثابت له ذؤابة يلعب مع الغلمان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خطب ابن مسعود على المنبر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يَغْلُلْ يَأْتِ بِما غَلَّ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مصاحفكم ، كيف تأمروني أن أقرأ على قراءة زيد بن ثابت؟ وقد قرأت من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بضعاً وسبعين سورة ، وانّ زيد بن ثابت ليأتي مع الغلمان له ذؤابتان ، والله ما نزل من القرآن إلاّ وأنا أعلم في أيّ شيء نزل ، ما أحد أعلم بكتاب الله مني ، وأما أنا خيركم ، ولو أعلم مكاناً تبلغه الإبل أعلم بكتاب الله مني لأتيته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عن المنبر جلست في الحِلَق فما أحد ينكر ما قال</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في غصون التاريخ شواهد كثيرة على اختلاف الصحابة بعضهم مع بعض في التشريع والقراءة وغير ذلك ، وهذا إن دل فإنّما يدلّ على عدم استيعابهم لأحكام الشريعة ومعالم الدين ، فكيف يكونوا مراجع الأحكام ومصادر التشريع ومنابع الحكم بعد رحيل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664" w:name="pg10155_105557"/>
    </w:p>
    <w:p>
      <w:pPr>
        <w:pStyle w:val="Heading4"/>
        <w:numPr>
          <w:ilvl w:val="3"/>
          <w:numId w:val="1"/>
        </w:numPr>
        <w:rPr/>
      </w:pPr>
      <w:bookmarkStart w:id="665" w:name="__RefHeading___Toc1273125_1067777946"/>
      <w:bookmarkStart w:id="666" w:name="_Toc238"/>
      <w:bookmarkEnd w:id="664"/>
      <w:bookmarkEnd w:id="665"/>
      <w:r>
        <w:rPr/>
        <w:t>3</w:t>
      </w:r>
      <w:r>
        <w:rPr>
          <w:rtl w:val="true"/>
        </w:rPr>
        <w:t xml:space="preserve">- </w:t>
      </w:r>
      <w:r>
        <w:rPr>
          <w:rtl w:val="true"/>
        </w:rPr>
        <w:t>قلة معرفتهم بالأحكام</w:t>
      </w:r>
      <w:bookmarkEnd w:id="666"/>
    </w:p>
    <w:p>
      <w:pPr>
        <w:pStyle w:val="BookText"/>
        <w:rPr/>
      </w:pPr>
      <w:r>
        <w:rPr>
          <w:rFonts w:ascii="Amiri" w:hAnsi="Amiri" w:eastAsia="Amiri" w:cs="Amiri"/>
          <w:color w:val="111111"/>
          <w:sz w:val="28"/>
          <w:sz w:val="28"/>
          <w:szCs w:val="28"/>
          <w:rtl w:val="true"/>
          <w:lang w:bidi="ar-SA"/>
        </w:rPr>
        <w:t xml:space="preserve">إنّ تاريخ الفقه سجل أُموراً يكثر بها الابتلاء ومع ذلك لم يكن عند الصحابة حلول واضحة لها ، لذلك تشبّثوا بالمقاييس والظنون ولنذكر أمثلة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شغلتْ مسألةُ العول بالَ الصحابة فترة من الزمن ، ويُعنى به أن تقصر التركة عن سهام ذوي الفروض ولا تقصر غالباً إلاّ بدخول الزوج أو الزوجة في الورثة كما في المثال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ترك الميت زوجة وأبوين وبنتين ، ففرض الزوجة هو الثمن ، وفرض الأبوين هو السدسان ، وفرض البنتين الثلثان مع أنّ التركة لا تسع للثمن والسدسين والثلثين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إذا ماتت امرأة وتركت زوجاً وأُختين للأب ، ففرض الزوج النصف ، وفرض الأُختين الثلثان ، فحينئذ زادت السهام عن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واجه الصحابة هذه المسألة ، فاختلفوا على قولين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النقص على من له فريضة واحدة في القرآن وذلك كالأب والبنتين والأُختين دون من له فريضتان في الكتاب لاستحالة أن يجعل الله في المال ثمناً وسدسين وثلثين ، كما أنّه محال أن يجعل فيه نصفاً وثلثين وإلاّ كان المشرع جاهلاً أو عابثاً ، 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كان عليه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وحبر الأُمّة </w:t>
      </w:r>
    </w:p>
    <w:p>
      <w:pPr>
        <w:pStyle w:val="BookText"/>
        <w:rPr/>
      </w:pPr>
      <w:r>
        <w:rPr>
          <w:rFonts w:ascii="Amiri" w:hAnsi="Amiri" w:eastAsia="Amiri" w:cs="Amiri"/>
          <w:color w:val="111111"/>
          <w:sz w:val="28"/>
          <w:sz w:val="28"/>
          <w:szCs w:val="28"/>
          <w:rtl w:val="true"/>
          <w:lang w:bidi="ar-SA"/>
        </w:rPr>
        <w:t>ابن عباس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الخليفة عمر بن الخطاب بعد ما تحيّر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وأيكم أخّر ، ولكنّي لا أجد شيئاً هو أوسع لي من أن أقسم المال عليكم بالحصص وادخل على ذي حقّ ما أدخل عليه من عول الفريضة</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وكم لهذه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نظير في حياة الصحابة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 رجل عمر بن الخطاب عن رجل طلق امرأته في الجاهلية تطليقتين وفي الإسلام تطليقة ، فهل يحسب ذلك ثلاثَ تطليقات؟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آمرك ولا أنهاك ، وقد احتاط الخليفة في الإفتاء وعمل بالوظيفة لكن ابنه عبد الرحمن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آمرك ليس طلاقك في الشرك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 يذكر دليل حكمه وقضائه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علي وابن مسعود وزيد بن ثابت وعثمان بن عفان وابن عباس في جد وأُمّ وأُخت لأب وأُمّ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للأُخت النصف ، وللأُمّ الثلث ، وللجدّ السدس ؛ وقال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للأُخت النصف ، وللأُمّ السدس ، وللجدّ الثلث ؛ وقال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 الثلث ، وللأُخت الثلث ، وللجدّ الثلث ؛ وقال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تسعة أسهم ، للأُمّ الثلث ثلاثة ، وما بقي فثلثان للجدّ ، والثلث للأُخت ؛ 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 وما بقي فللجد وليس للأُخت شيء</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ابن عباس إلى زيد بن ثابت أسأله عن زوج </w:t>
      </w:r>
    </w:p>
    <w:p>
      <w:pPr>
        <w:pStyle w:val="BookText"/>
        <w:rPr/>
      </w:pPr>
      <w:r>
        <w:rPr>
          <w:rFonts w:ascii="Amiri" w:hAnsi="Amiri" w:eastAsia="Amiri" w:cs="Amiri"/>
          <w:color w:val="111111"/>
          <w:sz w:val="28"/>
          <w:sz w:val="28"/>
          <w:szCs w:val="28"/>
          <w:rtl w:val="true"/>
          <w:lang w:bidi="ar-SA"/>
        </w:rPr>
        <w:t xml:space="preserve">وأبوين؟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 وللأُمّ الثلث ممّا بقي ، وللأب الفضل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كتاب الله وجدتَه أم رأي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أراه ، لا أرى ان أُفضل أُمّاً على أب ، وكان ابن عباس يجعل لها الثلث من جميع المال</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عن طريق أهل السنّة انّ زيد بن ثابت أفرض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ولكن روى بكير بن أعين من أصحاب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امرأة تركت زوجها واخوتها لأُمّها وأختاً لأب ، 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 النصف ثلاثة أسهم ، وللإخوة من الأُمّ الثلث سهمان ، وللأُخت للأب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فرائض زيد وابن مسعود وفرائض العامة والقضاة على غير ذا يا أبا جعفر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والأُمّ ثلاثة أسهم نصيب من ستة يعول إلى ثمانية؟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 قالوا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أُخْتٌ فَلَها نِصْفُ 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لكم نقصتم الأخ إن كنتم تحتجون بأمر الله فإنّ الله سمّى لها النصف وإن الله سمّى للأخ الكل ، فالكلّ أكثر من النصف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للأخ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جميع المال إن لم يكن لها ولد ، فلا تعطون الذي جعل له الجميع في بعض فرائضكم شيئاً وتعطون الذي جعل الله له النصف تاماً</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عمر بن الخطاب بخمسة نفر أُخذوا في زنا ، فأمر أن يقام على كلّ</w:t>
      </w:r>
    </w:p>
    <w:p>
      <w:pPr>
        <w:pStyle w:val="BookText"/>
        <w:rPr/>
      </w:pPr>
      <w:r>
        <w:rPr>
          <w:rFonts w:ascii="Amiri" w:hAnsi="Amiri" w:eastAsia="Amiri" w:cs="Amiri"/>
          <w:color w:val="111111"/>
          <w:sz w:val="28"/>
          <w:sz w:val="28"/>
          <w:szCs w:val="28"/>
          <w:rtl w:val="true"/>
          <w:lang w:bidi="ar-SA"/>
        </w:rPr>
        <w:t xml:space="preserve">واحد منهم الحدّ ، وكان أمير المؤمنين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 ليس هذا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أنت عليهم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واحداً منهم فضرب عنقه ، وقدّم الثاني فرجمه حتى مات ، وقدّم الثالث فضربه الحدّ ، وقدّم الرابع فضربه نصف الحدّ ، وقدّم الخامس فعزّره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الناس وتعجّب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خمسة نفر في قضية واحدة ، أقمت عليهم خمس حكومات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حكم يُشبه الآخر؟</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 أمّا الأوّل ، فكان ذمياً وخرج عن ذمّته فكان الحكم فيه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محصن قد زنا فرجمناه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محصن ، زنا فضربناه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عبد زنا فضربناه نصف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فمجنون مغلوب على عقله عزّرناه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في أُمّة لست فيها يا أبا الحسن</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نماذج قليلة من الموارد التي لم يرد فيها نصّ صريح ، وقد واجهتها كبار الصحابة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وعجزوا عن حلّ معضلاتها ممّا يدلّ بوضوح على أنّه لو كان الصحابة مستوعبين لكلّ أحكام الشريعة وأبعادها ، لأجابوا عليها دون تحير أو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انّ المرجع العلمي على الإطلاق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يعلمون كلّ الأحكام بلا تحيّر وتردد ، غيرهم</w:t>
      </w:r>
      <w:r>
        <w:rPr>
          <w:rFonts w:eastAsia="Amiri" w:cs="Amiri" w:ascii="Amiri" w:hAnsi="Amiri"/>
          <w:color w:val="111111"/>
          <w:sz w:val="28"/>
          <w:szCs w:val="28"/>
          <w:rtl w:val="true"/>
          <w:lang w:bidi="ar-SA"/>
        </w:rPr>
        <w:t xml:space="preserve">. </w:t>
      </w:r>
      <w:bookmarkStart w:id="667" w:name="pg10155_105561"/>
    </w:p>
    <w:p>
      <w:pPr>
        <w:pStyle w:val="Heading4"/>
        <w:numPr>
          <w:ilvl w:val="3"/>
          <w:numId w:val="1"/>
        </w:numPr>
        <w:rPr/>
      </w:pPr>
      <w:bookmarkStart w:id="668" w:name="__RefHeading___Toc1273127_1067777946"/>
      <w:bookmarkStart w:id="669" w:name="_Toc239"/>
      <w:bookmarkEnd w:id="667"/>
      <w:bookmarkEnd w:id="668"/>
      <w:r>
        <w:rPr/>
        <w:t>4</w:t>
      </w:r>
      <w:r>
        <w:rPr>
          <w:rtl w:val="true"/>
        </w:rPr>
        <w:t xml:space="preserve">- </w:t>
      </w:r>
      <w:r>
        <w:rPr>
          <w:rtl w:val="true"/>
        </w:rPr>
        <w:t>اختلافهم فيما يكثر الابتلاء به</w:t>
      </w:r>
      <w:bookmarkEnd w:id="669"/>
    </w:p>
    <w:p>
      <w:pPr>
        <w:pStyle w:val="BookText"/>
        <w:rPr/>
      </w:pPr>
      <w:r>
        <w:rPr>
          <w:rFonts w:ascii="Amiri" w:hAnsi="Amiri" w:eastAsia="Amiri" w:cs="Amiri"/>
          <w:color w:val="111111"/>
          <w:sz w:val="28"/>
          <w:sz w:val="28"/>
          <w:szCs w:val="28"/>
          <w:rtl w:val="true"/>
          <w:lang w:bidi="ar-SA"/>
        </w:rPr>
        <w:t xml:space="preserve">إنّ أدلّ دليل على عدم استيعابهم للسنّة النبوية ، اختلافهم في أبسط المسائل التي يعمل بها المسلمون كلّ يوم وليلة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صلاة الميت ، فهل يصلى عليه بخمس أو بالأربع فقد قال زيد بن أرقم وحذيفة بن اليمان انّها خمس تكبيرات </w:t>
      </w:r>
      <w:r>
        <w:rPr>
          <w:rStyle w:val="FootnoteAnchor"/>
          <w:rtl w:val="true"/>
        </w:rPr>
        <w:footnoteReference w:id="616"/>
      </w:r>
      <w:r>
        <w:rPr>
          <w:rFonts w:ascii="Amiri" w:hAnsi="Amiri" w:eastAsia="Amiri" w:cs="Amiri"/>
          <w:color w:val="111111"/>
          <w:sz w:val="28"/>
          <w:sz w:val="28"/>
          <w:szCs w:val="28"/>
          <w:rtl w:val="true"/>
          <w:lang w:bidi="ar-SA"/>
        </w:rPr>
        <w:t xml:space="preserve">، وقد كبر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سهل بن حنيف خمساً</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وكان أصحاب معاذ يكبرون على الجنازة خمساً</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وعليه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على الميت فقال خمس</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الفقهاء الأربعة والثوري والأوزاعي وداود وأبو ثور التكبير أربع ، ورووه عن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محمد بن الحنفية ، وعمر ، وابن عمر ، وزيد ، وجابر ، وأبي هريرة ، والبراء بن عازب ، وعتبة بن عامر ، وعطاء بن أبي رباح ، لأنّ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النجاشي للناس وكبّر بهم أربعاً</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وفي مقابل هاتين الطائفتين قال محمد بن سيرين </w:t>
      </w:r>
      <w:r>
        <w:rPr>
          <w:rStyle w:val="FootnoteAnchor"/>
          <w:rtl w:val="true"/>
        </w:rPr>
        <w:footnoteReference w:id="622"/>
      </w:r>
      <w:r>
        <w:rPr>
          <w:rFonts w:ascii="Amiri" w:hAnsi="Amiri" w:eastAsia="Amiri" w:cs="Amiri"/>
          <w:color w:val="111111"/>
          <w:sz w:val="28"/>
          <w:sz w:val="28"/>
          <w:szCs w:val="28"/>
          <w:rtl w:val="true"/>
          <w:lang w:bidi="ar-SA"/>
        </w:rPr>
        <w:t>وأبو الشعثاء جابر بن زيد انّه يُكبّر ثلاثاً ، ورواه الجمهور عن ابن عباس</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ما كبر الإمام أربعاً وخمساً وسبعاً وتسعاً</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وعن أحمد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أربعاً ، والأُخرى يتابع الإمام إلى خمس ، وأُخرى يتابعه إلى سبع</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ومن حاول أن يقف على اختلافهم في عدد التكبيرات على الميت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 فقد جمع عدداً كبيراً من الروايات الواردة حول التكبير على الميت تحت باب عدد التكبير في صلاة الجنائز والبابين التاليين</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وإذا كان هذا حال هذه المسألة فما ظنك بسائر المسائل التي لا يكثر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يقتصر اختلافهم عند هذا الحد بل تعداه إلى الاختلاف في تفسير الآيات التي تتضمن بيان الأحكام ، فلنأت بنماذج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في آية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 وَامْسَحُوا بِرُؤُسِكُمْ وَأَرْجُلَكُمْ إِلَى الْكَعْبَيْنِ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تضاربت الآراء في فهم هذه الآية ، وصارت الأُمّة إلى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عاطف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الرءوس فيحكم على الأرجل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عاطف له على الأيدي فيحكم على الأرجل بالغسل ، فأي الرأيين هو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حكم الله تعالى على السارق والسارقة بقطع الأيدي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اختلفت الأُمّة في مقدار القطع وموضع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من أُصول الأصابع دون الكف وترك الإبهام ، كما عليه الإمامية وجماعة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من الكوع ، وهو المفصل بين الكف والذراع ، كما عليه أبو حنيفة ومالك والشافعي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من المنكب كما عليه الخوارج</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من اختلافاتهم في حقل التفسير</w:t>
      </w:r>
      <w:r>
        <w:rPr>
          <w:rFonts w:eastAsia="Amiri" w:cs="Amiri" w:ascii="Amiri" w:hAnsi="Amiri"/>
          <w:color w:val="111111"/>
          <w:sz w:val="28"/>
          <w:szCs w:val="28"/>
          <w:rtl w:val="true"/>
          <w:lang w:bidi="ar-SA"/>
        </w:rPr>
        <w:t xml:space="preserve">. </w:t>
      </w:r>
      <w:bookmarkStart w:id="670" w:name="pg10155_105564"/>
    </w:p>
    <w:p>
      <w:pPr>
        <w:pStyle w:val="Heading4"/>
        <w:numPr>
          <w:ilvl w:val="3"/>
          <w:numId w:val="1"/>
        </w:numPr>
        <w:rPr/>
      </w:pPr>
      <w:bookmarkStart w:id="671" w:name="__RefHeading___Toc1273129_1067777946"/>
      <w:bookmarkStart w:id="672" w:name="_Toc240"/>
      <w:bookmarkEnd w:id="670"/>
      <w:bookmarkEnd w:id="671"/>
      <w:r>
        <w:rPr/>
        <w:t>5</w:t>
      </w:r>
      <w:r>
        <w:rPr>
          <w:rtl w:val="true"/>
        </w:rPr>
        <w:t xml:space="preserve">- </w:t>
      </w:r>
      <w:r>
        <w:rPr>
          <w:rtl w:val="true"/>
        </w:rPr>
        <w:t>المرجع العلمي وأصناف الصحابة</w:t>
      </w:r>
      <w:bookmarkEnd w:id="672"/>
    </w:p>
    <w:p>
      <w:pPr>
        <w:pStyle w:val="BookText"/>
        <w:rPr/>
      </w:pPr>
      <w:r>
        <w:rPr>
          <w:rFonts w:ascii="Amiri" w:hAnsi="Amiri" w:eastAsia="Amiri" w:cs="Amiri"/>
          <w:color w:val="111111"/>
          <w:sz w:val="28"/>
          <w:sz w:val="28"/>
          <w:szCs w:val="28"/>
          <w:rtl w:val="true"/>
          <w:lang w:bidi="ar-SA"/>
        </w:rPr>
        <w:t xml:space="preserve">نفترض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وجعل أصحابه المرجع العلمي بعده لاستنطاق الكتاب والسنّة وبيان معالم الشريعة ، ولكن الصحابة كانوا على أصناف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فصنف منهم هم المهاجرون والأنصار أهل الجهاد والإنفاق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وصنف آخر يشمل الأعراب والطلقاء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المرجع العلمي هو صنف خاص أو يعم جميع الأصناف؟</w:t>
      </w:r>
    </w:p>
    <w:p>
      <w:pPr>
        <w:pStyle w:val="BookText"/>
        <w:rPr/>
      </w:pPr>
      <w:r>
        <w:rPr>
          <w:rFonts w:ascii="Amiri" w:hAnsi="Amiri" w:eastAsia="Amiri" w:cs="Amiri"/>
          <w:color w:val="111111"/>
          <w:sz w:val="28"/>
          <w:sz w:val="28"/>
          <w:szCs w:val="28"/>
          <w:rtl w:val="true"/>
          <w:lang w:bidi="ar-SA"/>
        </w:rPr>
        <w:t xml:space="preserve">فعلى الأوّل ما هو سماتهم وصفاتهم ، وعلى الثاني فيعم الأعراب والطلقاء والمنافقين ومن رأى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 فهل يمكن أن يكون هؤلاء مراجع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وحصيلة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كانت المرجعية العلمية بعد رحيل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أصحابه لكان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يحدّدهم صنفاً ووصفاً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طائفة كبيرة من الصحابة اتهموا بالنفاق وقد سجّل وصفهم بالنفاق في المعاجم ، كما أنّ طائفة كبيرة منهم لم يُحسنوا الصحبة ومع ذلك كيف يكونون مراجع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قيس الأنصاري ، قيل انّه صاحب الجمل الأحمر ، وقد قال في</w:t>
      </w:r>
    </w:p>
    <w:p>
      <w:pPr>
        <w:pStyle w:val="BookText"/>
        <w:rPr/>
      </w:pPr>
      <w:r>
        <w:rPr>
          <w:rFonts w:ascii="Amiri" w:hAnsi="Amiri" w:eastAsia="Amiri" w:cs="Amiri"/>
          <w:color w:val="111111"/>
          <w:sz w:val="28"/>
          <w:sz w:val="28"/>
          <w:szCs w:val="28"/>
          <w:rtl w:val="true"/>
          <w:lang w:bidi="ar-SA"/>
        </w:rPr>
        <w:t xml:space="preserve">حقّه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مغفور له إلاّ صاحب الجمل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الحرقوص بن زهير السعدي شهد الرضوان لكنّه كان رأس الخوارج ، وهو الذي قال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اعدل يا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سويد بن الصامت ، عدّه ابن حزم من المتهمين بالنفاق ويظهر له براءته فقد شهد بدراً لكنّه قتل المجذر بن زياد يوم أحد لثأر جاهلي فأمر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الحارث بالمجذر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العرنيون الذين قتلهم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على فعلهم بقتل بعض الرعاة وسرقة الإبل ، كانوا قد صحبوا قبل الحديبية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محلم بن جثامة ، وقد قال فيه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تغفر لمحلم بن جثامة ، ولم يكن منافقاً لكنّه قتل صحابياً متعمّداً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مقيس بن صبابة ، قتل نفساً مؤمنة فأهدر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 فقتل في فتح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خطل ، كان صحابياً ثمّ ارتد ولحق بمكة وقتل يوم فتح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المغيرة بن شعبة ، اتّهم بالنفاق في غزوة الطائف ، وساءت سيرته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مدعم مولى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غلّ من غنائم 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كركرة مولى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 من غنائم خيبر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سمرة بن جندب ، لم يؤثر عنه نفاق لكنّه أساء السيرة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يبيع الخمر ويقتل البشر ويُرضي معاوية في سخط الخالق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جحش الأسدي كان من السابقين إلى الإسلام ومن مهاجرة الحبشة لكنّه تنصّر بالحبشة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ربيعة بن الأسود القرشي افتتن وارتد بمكة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أُميّة بن خلف افتتن بمكة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 بن المنبه بن الحجاج افتتن بمكة وقتل ببدر مع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عقبة الذي وصفه القرآن الكريم بالفسق في سورة الحجرات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عقبة الأشجعي الذي أباح القتل والنهب في المدينة المنورة ثلاثة أيام في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بسر بن أبي أرطاة الذي ذبح ولدي عبيد الله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أبي سفيان رأس الفئة الباغية وهو الذي قال في حقّه النبي مخاطباً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عمار ، تقتلك الفئة الباغية يدعوهم إلى الجنة ويدعونه إلى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الغالية قاتل عمار</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هذه نماذج من الصحابة الذين لم يُحسنوا الصحبة ، وأمّا ما ورد في القرآن الكريم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اطّلع على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الخبر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مشروط بسلامة العاقبة ، ولا يجوز أن يخبر الحكيم فرداً غير معصوم بأنّه لا عقاب عليه فليفعل ما شاء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ورد من الثناء على المهاجرين والأنصار في الكتاب </w:t>
      </w:r>
    </w:p>
    <w:p>
      <w:pPr>
        <w:pStyle w:val="BookText"/>
        <w:rPr/>
      </w:pPr>
      <w:r>
        <w:rPr>
          <w:rFonts w:ascii="Amiri" w:hAnsi="Amiri" w:eastAsia="Amiri" w:cs="Amiri"/>
          <w:color w:val="111111"/>
          <w:sz w:val="28"/>
          <w:sz w:val="28"/>
          <w:szCs w:val="28"/>
          <w:rtl w:val="true"/>
          <w:lang w:bidi="ar-SA"/>
        </w:rPr>
        <w:t xml:space="preserve">العزيز فإنّما هو ثناء على مجموعهم لا على كلّ فرد فرد منهم وإن تبيّن فسقه وبانت زلّته ، وكم له في الذكر الحكيم من نظير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سبحانه أثنى على بني إسرائيل في غير واحد من الآيات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وَأَنِّي فَضَّلْتُكُمْ عَلَى الْعالَمِينَ</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بَنِي إِسْرائِيلَ الْكِتابَ وَالْحُكْمَ وَالنُّبُوَّةَ وَرَزَقْناهُمْ مِنَ الطَّيِّباتِ وَفَضَّلْناهُمْ عَلَى الْعالَمِينَ</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فليس لأحد أن يستدل بهذه الآيات على تنزيه كلّ فرد من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حقّ أُمّة نبينا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فالآية تصف الأُمة المرحومة بأنّها خير أُمّة ولكنّها ليست بصالحة للاستدلال على صلاح كلّ مسلم وفلاحه ، وهل كلّ فرد من آحاد الأُمّة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لم نزل نسمع عن كلّ من يحاول اثبات عدالة كلّ صحابي الاستدلال بهذه الآيات ولكنّهم غفلوا عن 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الآيات نزلت في حقّ المهاجرين والأنصار ، فأين هي من الأعراب والطلقاء والمرتدين والمنافقين المندسين في الصحابة؟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ثناء على مجموعة ولا يخص كلّ فرد فرد منهم ، مثلاً إذا أُثني على الأُمة العربية فإنّما يراد المجموعة من الأُمة لا كلّ فرد فرد حتّى أُولئك الخونة الذين باعوا الأراضي الإسلامية بثمن بخس</w:t>
      </w:r>
      <w:r>
        <w:rPr>
          <w:rFonts w:eastAsia="Amiri" w:cs="Amiri" w:ascii="Amiri" w:hAnsi="Amiri"/>
          <w:color w:val="111111"/>
          <w:sz w:val="28"/>
          <w:szCs w:val="28"/>
          <w:rtl w:val="true"/>
          <w:lang w:bidi="ar-SA"/>
        </w:rPr>
        <w:t xml:space="preserve">. </w:t>
      </w:r>
      <w:bookmarkStart w:id="673" w:name="pg10155_105568"/>
    </w:p>
    <w:p>
      <w:pPr>
        <w:pStyle w:val="Heading4"/>
        <w:numPr>
          <w:ilvl w:val="3"/>
          <w:numId w:val="1"/>
        </w:numPr>
        <w:rPr/>
      </w:pPr>
      <w:bookmarkStart w:id="674" w:name="__RefHeading___Toc1273131_1067777946"/>
      <w:bookmarkStart w:id="675" w:name="_Toc241"/>
      <w:bookmarkEnd w:id="673"/>
      <w:bookmarkEnd w:id="674"/>
      <w:r>
        <w:rPr/>
        <w:t>6</w:t>
      </w:r>
      <w:r>
        <w:rPr>
          <w:rtl w:val="true"/>
        </w:rPr>
        <w:t xml:space="preserve">- </w:t>
      </w:r>
      <w:r>
        <w:rPr>
          <w:rtl w:val="true"/>
        </w:rPr>
        <w:t>المرجع العلمي وعدم تدوين الحديث و تفرق الصحابة</w:t>
      </w:r>
      <w:bookmarkEnd w:id="675"/>
    </w:p>
    <w:p>
      <w:pPr>
        <w:pStyle w:val="BookText"/>
        <w:rPr/>
      </w:pPr>
      <w:r>
        <w:rPr>
          <w:rFonts w:ascii="Amiri" w:hAnsi="Amiri" w:eastAsia="Amiri" w:cs="Amiri"/>
          <w:color w:val="111111"/>
          <w:sz w:val="28"/>
          <w:sz w:val="28"/>
          <w:szCs w:val="28"/>
          <w:rtl w:val="true"/>
          <w:lang w:bidi="ar-SA"/>
        </w:rPr>
        <w:t xml:space="preserve">إنّ مرجعية الصحابة بعد رحيل النبي في حلّ المشاكل والمعضلات الطارئة في مختلف الأصعدة ، بمعنى مرجعية سنّة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حدّث بها النبي أو شوهد منه فعل أو تقرير ، ولكنّها إنّما تُزيح العلة وترفع حاجات الأُمّة إذا كانت مدونة في ضمن صحف ورسائل حتّى يتيسّر رجوع بغاة العلم وأهل الفتيا إليها ،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مدونة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حالت الخلافة ، بينها وبين تدوينها قرابة قرن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بلغ السيل الزُّبى واندرس العلم وأُبيد معظمُ الصحابة والتابعين فعند ذلك وقف المسلمون على الرزيّة الكبرى التي مُنوا بها ، فعادوا يتداركونه ببذل جهود حثيثة في تقييد شوارد الحديث</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انتشر الإسلام ، واتسعت البلاد ، وتفرقت الصحابة في الاقطار ، وكثرت الفتوح ، ومات معظم الصحابة ، وتفرّق أصحابهم وأتباعهم وقلّ الضبط ، احتاج العلماء إلى تدوين الحديث وتقييده بالكتابة ولعمري انّها الأصل ، فانّ الخاطر يغفل ، والذهن يغيب ، والذكر يُهمِل والعلم يحفظ ولا </w:t>
      </w:r>
    </w:p>
    <w:p>
      <w:pPr>
        <w:pStyle w:val="BookText"/>
        <w:rPr/>
      </w:pPr>
      <w:r>
        <w:rPr>
          <w:rFonts w:ascii="Amiri" w:hAnsi="Amiri" w:eastAsia="Amiri" w:cs="Amiri"/>
          <w:color w:val="111111"/>
          <w:sz w:val="28"/>
          <w:sz w:val="28"/>
          <w:szCs w:val="28"/>
          <w:rtl w:val="true"/>
          <w:lang w:bidi="ar-SA"/>
        </w:rPr>
        <w:t>ينسى</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يقول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سنة مائة وثلاثة وأربعين شرع علماء الإسلام في تدوين الحديث والفقه والتفسير فصنف ابن جريج بمكة ، ومالك الموطّأ بالمدينة ، والأوزاعي بالشام ، وابن أبي عروبة وحماد بن سلمة وغيرهما بالبصرة ، ومعمر باليمن ، وسفيان الثوري بالكوفة ، وصنّف أبو إسحاق المغازي ، وصنف أبو حنيفة الفقه والرأي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هذا العصر كان الأئمة يتكلّمون من حفظهم أو يروون العلم من صحف صحيحة غير مرتبة</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أفيصحّ في منطق العلم ، اتهام صاحب الرسالة بعدم وضع ضمانات لازمة لحلّ العويصات التي تطرأ على المجتمع الإسلامي في هذه الفترة الطويلة ، فإذا لم يصحّ فما هي الضمانات اللازمة فيها ، وهل هناك مرجع آخر ، غير العترة الطاهرة الذين هم حَفَظة سُننه ورواةُ أحاديثه ، وعيبة علمه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مشكلة أُخرى وهي عدم حضور أكثر الصحابة في عامة القضايا والوقائع التي يقضي فيها النبي ويُفتي أو يحدّث أو يقرر ، لأنّ أكثر الصحابة كانوا على النعت الذي يصفهم به ابن حزم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مشاغيل في المعاش ، وتعذر القوت عليهم لجهد العيش في الحجاز ، وانّه كان يفتي بالفتيا ويحكم بالحكم بحضرة من حضره من أصحابه فقط ، وانّه إنّما قامت الحجة على سائر من لم يحضر بنقل من حضره وهم واحد أو اثنان</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هذا ويقول المحقّق الفقيد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الحكيم بعد نقل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جدّاً ، لأنّ التاريخ لم يحدثنا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يجمع الصحابة جميعاً ، ويبلّغهم بكلّ ما يجد من أحكام ، ولو تصورناه في أقواله فلا نتصوره في أفعاله وتقريراته وهما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يصنع من يريد التمسك بسنّته من بعده ولنفترضه من غير الصحابة؟</w:t>
      </w:r>
    </w:p>
    <w:p>
      <w:pPr>
        <w:pStyle w:val="BookText"/>
        <w:rPr/>
      </w:pPr>
      <w:r>
        <w:rPr>
          <w:rFonts w:ascii="Amiri" w:hAnsi="Amiri" w:eastAsia="Amiri" w:cs="Amiri"/>
          <w:color w:val="111111"/>
          <w:sz w:val="28"/>
          <w:sz w:val="28"/>
          <w:szCs w:val="28"/>
          <w:rtl w:val="true"/>
          <w:lang w:bidi="ar-SA"/>
        </w:rPr>
        <w:t xml:space="preserve">أيظل يبحث عن جميع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الولاة والحكام ، وفيهم القواد والجنود في الثغور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ليسألهم عن طبيعة ما يريد التعرف عليه من أحكام؟ أم يكتفي بالرجوع إلى الموجودين وهو لا يجزيه ، لاحتمال صدور الناسخ أو المقيِّد أو المخصِّص أمام واحد أو اثنين ممّن لم يكونوا بالمدينة؟ والحجية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حزم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تتقوّم إلاّ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والعمل بالعام أو المطلق لا يجوز قبل الفحص عن مخصِّصه أو مقيِّده ، ما دمنا نعلم أنّ من طريقة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التبليغ هو الاعتماد على القرائن المنفصلة ، فالإرجاع إلى شيء متشتّت وغير مدوّن تعجيز للأُمّة وتضييع للكثير من أحكامها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هذه المشكلة قائمة بالنسبة إلى من أدرك الصحابة وهم القلة نسبياً ، فما رأيكم بالمشكلة بعد تكثر الفتوح ، وانتشار الإسلام ، ومحاولة التعرف على أحكامه من قِبَل غير الصحابة من رواتهم ، وبخاصة بعد انتشار الكذب والوضع في الحديث للأغراض السياسية أو الدينية أو النفسية؟</w:t>
      </w:r>
    </w:p>
    <w:p>
      <w:pPr>
        <w:pStyle w:val="BookText"/>
        <w:rPr/>
      </w:pPr>
      <w:r>
        <w:rPr>
          <w:rFonts w:ascii="Amiri" w:hAnsi="Amiri" w:eastAsia="Amiri" w:cs="Amiri"/>
          <w:color w:val="111111"/>
          <w:sz w:val="28"/>
          <w:sz w:val="28"/>
          <w:szCs w:val="28"/>
          <w:rtl w:val="true"/>
          <w:lang w:bidi="ar-SA"/>
        </w:rPr>
        <w:t xml:space="preserve">ومثل هذه المشكلة هل يمكن أن لا تكون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المسئول عن وضع الضمانات لبقاء شريعته ما دامت خاتمة الشرائع؟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الشيء الطبيعي أن لا يفرض أيَّ مصدر تشريعي على الأُمّة ما لم يكن </w:t>
      </w:r>
    </w:p>
    <w:p>
      <w:pPr>
        <w:pStyle w:val="BookText"/>
        <w:rPr/>
      </w:pPr>
      <w:r>
        <w:rPr>
          <w:rFonts w:ascii="Amiri" w:hAnsi="Amiri" w:eastAsia="Amiri" w:cs="Amiri"/>
          <w:color w:val="111111"/>
          <w:sz w:val="28"/>
          <w:sz w:val="28"/>
          <w:szCs w:val="28"/>
          <w:rtl w:val="true"/>
          <w:lang w:bidi="ar-SA"/>
        </w:rPr>
        <w:t>مدوّناً ومحدَّد المفاهيم ، أو يكون هناك مسئول عنه يكون هو المرجع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دمنا نعلم أنّ السنّة لم تدوّن على عهد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التفريط برسالته ، فلا بدّ أن نفترض جعل مرجع تُحدَّد لديه السنّة بكلّ خصائصها</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هناك أي مرجع بهذا الوصف إلاّ العترة الطاهرة الذين هم أحد الثقلين ، اللذين أُنيط بالتمسك بهما ، النجاة من الضلالة في حديث الثقلين المتواتر أو المتضافر ، وحديث السفينة الذي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ركبها نجا ، ومن تخلّف عنها غرق</w:t>
      </w:r>
      <w:r>
        <w:rPr>
          <w:rFonts w:eastAsia="Amiri" w:cs="Amiri" w:ascii="Amiri" w:hAnsi="Amiri"/>
          <w:color w:val="111111"/>
          <w:sz w:val="28"/>
          <w:szCs w:val="28"/>
          <w:rtl w:val="true"/>
          <w:lang w:bidi="ar-SA"/>
        </w:rPr>
        <w:t xml:space="preserve">». </w:t>
      </w:r>
      <w:r>
        <w:rPr>
          <w:rStyle w:val="FootnoteAnchor"/>
          <w:rtl w:val="true"/>
        </w:rPr>
        <w:footnoteReference w:id="639"/>
      </w:r>
      <w:bookmarkStart w:id="676" w:name="pg10155_105572"/>
    </w:p>
    <w:p>
      <w:pPr>
        <w:pStyle w:val="Heading3"/>
        <w:numPr>
          <w:ilvl w:val="2"/>
          <w:numId w:val="1"/>
        </w:numPr>
        <w:rPr/>
      </w:pPr>
      <w:bookmarkStart w:id="677" w:name="__RefHeading___Toc1273133_1067777946"/>
      <w:bookmarkStart w:id="678" w:name="_Toc242"/>
      <w:bookmarkEnd w:id="676"/>
      <w:bookmarkEnd w:id="677"/>
      <w:r>
        <w:rPr>
          <w:rtl w:val="true"/>
        </w:rPr>
        <w:t>الفصل الثالث</w:t>
      </w:r>
      <w:r>
        <w:rPr>
          <w:rtl w:val="true"/>
        </w:rPr>
        <w:t xml:space="preserve">: </w:t>
      </w:r>
      <w:r>
        <w:rPr>
          <w:rtl w:val="true"/>
        </w:rPr>
        <w:t>حجّية العقل في مجالات خاصّة</w:t>
      </w:r>
      <w:bookmarkEnd w:id="678"/>
    </w:p>
    <w:p>
      <w:pPr>
        <w:pStyle w:val="Heading4"/>
        <w:numPr>
          <w:ilvl w:val="3"/>
          <w:numId w:val="1"/>
        </w:numPr>
        <w:rPr/>
      </w:pPr>
      <w:bookmarkStart w:id="679" w:name="__RefHeading___Toc1273135_1067777946"/>
      <w:bookmarkStart w:id="680" w:name="_Toc243"/>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إنّ الشيعة الإمامية أدخلت العقل في دائرة التشريع واعترفت بحجيته في الموارد التي يصلح له التدخل والقضاء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أحد الحجج الشرعية وفي مصافّ المصادر الأُخر للتشريع وبه يُكْشف الحكم الشرعي وتُبين وجهة نظر الشارع في مورده ، وانّه من الممتنع أن يحكم العقل بشيء ولا يحكم الشرع على وفاقه أو يحكم بخلافه إذا كان الموضوع من المواضيع التي يصلح للعقل أن يقضي فيه ، فالملازمة بين حكمي العقل والشرع 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البحث في أنّ ما يدركه العقل في مورد ، هل هو نفس الحكم الشرعي أو انّه يكشف عن نظر الشارع إذا توفّرت فيه الشروط التي اعتبرها الشارع في حجّية إدراكاته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المهم أن نقف على أنّ العقل احتلّ محلاً خاصاً في التشريع الإسلامي وانّ كلّ ما يحكم به العقل فكأنّه ينطق على لسان الشرع كالكتاب والسنّة ، وعند ذلك يستند إليه الشارع في تبليغ أحكامه إلى الناس كما يستند إلى القرآن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فتح هذا الاعتراف للإسلام بقاء وخلوداً ، وجعله صالحاً للانطباق مع عامة الحضارات الإنسانية ، وغدا التشريع الإسلامي في ضوئه ذا سعة وانطلاق وشمول لما يتجدد من الأحداث ولما يطرأ من الأوضاع الاجتماعية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إذا اعتبرناه عنصراً غريباً في صعيد التشريع وعزلناه عن الحكم ورفضنا كلّ ما يدركه من الأحكام العقلية المحضة ، فانّه يؤدي إلى تجميد المخطط القانوني ، وعدم صلاحيته للحكم والتطبيق في البيئات والظروف الاجتماعية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معنى الاعتراف بحجّية العقل ، انّه يطلق سراحه في جميع المجالات حتّى يتاح له أن يتسرع في الحكم في مصالح الفرد والمجتمع وشكل العلاقات والروابط الاجتماعية والعبادات والأحكام التوقيفية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يفسح له الحكم في مجالات خاصة إذا توفرت فيه الشرائط التي تصونه عن الاشتباه والخطأ واقترن بالضمانات الكافية التي تحفظه عن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أئمّة أهل البيت على حجّيته في مجالات خاصة ، فهذا هو الإمام موسى بن جعفر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تلميذه هشام بن الحكم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أنبياءَه ورسلَه إلى عباده إلاّ ليعقلوا عن الله فأحسنهم استجابة أحسنهم معرفة ، وأعلمهم بأمر الله أحسنهم عقلاً ، وأكملهم عقلاً أرفعهم درجة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انّ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 فأمّا الظاهرة فالرسل والأنبياء والأئمّة ، وأمّا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حجّة الله على العباد ، النبي ، والحجّة على ما بين العباد </w:t>
      </w:r>
    </w:p>
    <w:p>
      <w:pPr>
        <w:pStyle w:val="BookText"/>
        <w:rPr/>
      </w:pPr>
      <w:r>
        <w:rPr>
          <w:rFonts w:ascii="Amiri" w:hAnsi="Amiri" w:eastAsia="Amiri" w:cs="Amiri"/>
          <w:color w:val="111111"/>
          <w:sz w:val="28"/>
          <w:sz w:val="28"/>
          <w:szCs w:val="28"/>
          <w:rtl w:val="true"/>
          <w:lang w:bidi="ar-SA"/>
        </w:rPr>
        <w:t>وبين الله ، العقل</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هذا الحديث وما قبله وغيرهما يعرب عن نظر الإسلام السامي في الأحكام التي يستقل بها العقل بشرط أن يتجرّد عن الرواسب المنحرفة ، والغرائز الحيوانية ، والعواطف الإنسانية ، ويحكم حكماً باتاً عقلانياً محضاً غير منبعث عن هذه الجوانب ويحترز عن بعض الأساليب التي منع الشارع عن إعمالها في طريق استنباط الحكم الشرعي كالأقيسة والاستحسانات ، وما هذا لانّها تفيد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جرى علماؤنا من عصر مبكر إلى يومنا هذا ، فحصروا الأدلة الشرعية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 ، فلنذكر نصاً من أحد علمائنا القدامى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الحقّ لا يعدو أربع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كتاب الله سبحانه ، أو 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المتواترة المتفق عليها ، أو الإجماع ، أو دليل العقل ، فإذا فقدت الثلاثة فالمعتمد في المسائل الشرعية عند المحقّقين الباحثين عن مأخذ الشريعة ، التمسكُ بدليل العقل فيها ، فانّها مبقاة عليه وموكولة إليه ، فمن هذا الطريق يوصل إلى العلم بجميع الأحكام الشرعية في جميع مسائل أهل الفقه ، فيجب الاعتماد عليها والتمسّك بها فمن تنكّب عنها عسف وخبط خبط عشواء ، وفارق قولُه من المذهب</w:t>
      </w:r>
      <w:r>
        <w:rPr>
          <w:rFonts w:eastAsia="Amiri" w:cs="Amiri" w:ascii="Amiri" w:hAnsi="Amiri"/>
          <w:color w:val="111111"/>
          <w:sz w:val="28"/>
          <w:szCs w:val="28"/>
          <w:rtl w:val="true"/>
          <w:lang w:bidi="ar-SA"/>
        </w:rPr>
        <w:t xml:space="preserve">. </w:t>
      </w:r>
      <w:r>
        <w:rPr>
          <w:rStyle w:val="FootnoteAnchor"/>
          <w:rtl w:val="true"/>
        </w:rPr>
        <w:footnoteReference w:id="642"/>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وحصيلة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حكم العقل منبعثاً عن الجانب العقلي المحض ، غير متأثر بالجوانب اللاشعورية ، والغرائز الحيوانية ، والعواطف الإنسانية ، وتجنب عن الأساليب الممنوعة ، وحكم من صميم التدبر والتفكر بحكم بات </w:t>
      </w:r>
    </w:p>
    <w:p>
      <w:pPr>
        <w:pStyle w:val="BookText"/>
        <w:rPr/>
      </w:pPr>
      <w:r>
        <w:rPr>
          <w:rFonts w:ascii="Amiri" w:hAnsi="Amiri" w:eastAsia="Amiri" w:cs="Amiri"/>
          <w:color w:val="111111"/>
          <w:sz w:val="28"/>
          <w:sz w:val="28"/>
          <w:szCs w:val="28"/>
          <w:rtl w:val="true"/>
          <w:lang w:bidi="ar-SA"/>
        </w:rPr>
        <w:t>يصير حجة بين الله وعبده وتكون النتيجة تأسيسَ حكم شرعي أو تحديدَ إطلاق لحكم شرعي أو تخصيصاً لعموم ، ويصير عند ذاك أحد الأدلة التي يستنبط منها الحكم الشرعي ويدور عليها رحى الاستنباط ويعد قريناً للكتاب والسنّة والإجماع ولا ينفك عن قرنائه وأعداله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إجمال الموضوع ، وأمّا تفاصيله فتحتاج إلى بيان المجالات التي يكون العقل فيها حجّة قطعية</w:t>
      </w:r>
      <w:r>
        <w:rPr>
          <w:rFonts w:eastAsia="Amiri" w:cs="Amiri" w:ascii="Amiri" w:hAnsi="Amiri"/>
          <w:color w:val="111111"/>
          <w:sz w:val="28"/>
          <w:szCs w:val="28"/>
          <w:rtl w:val="true"/>
          <w:lang w:bidi="ar-SA"/>
        </w:rPr>
        <w:t xml:space="preserve">. </w:t>
      </w:r>
      <w:bookmarkStart w:id="681" w:name="pg10155_105576"/>
    </w:p>
    <w:p>
      <w:pPr>
        <w:pStyle w:val="Heading4"/>
        <w:numPr>
          <w:ilvl w:val="3"/>
          <w:numId w:val="1"/>
        </w:numPr>
        <w:rPr/>
      </w:pPr>
      <w:bookmarkStart w:id="682" w:name="__RefHeading___Toc1273137_1067777946"/>
      <w:bookmarkStart w:id="683" w:name="_Toc244"/>
      <w:bookmarkEnd w:id="681"/>
      <w:bookmarkEnd w:id="682"/>
      <w:r>
        <w:rPr/>
        <w:t>1</w:t>
      </w:r>
      <w:r>
        <w:rPr>
          <w:rtl w:val="true"/>
        </w:rPr>
        <w:t xml:space="preserve">- </w:t>
      </w:r>
      <w:r>
        <w:rPr>
          <w:rtl w:val="true"/>
        </w:rPr>
        <w:t>مجال التحسين والتقبيح</w:t>
      </w:r>
      <w:bookmarkEnd w:id="683"/>
    </w:p>
    <w:p>
      <w:pPr>
        <w:pStyle w:val="Heading5"/>
        <w:numPr>
          <w:ilvl w:val="4"/>
          <w:numId w:val="1"/>
        </w:numPr>
        <w:rPr/>
      </w:pPr>
      <w:bookmarkStart w:id="684" w:name="__RefHeading___Toc1273139_1067777946"/>
      <w:bookmarkStart w:id="685" w:name="_Toc245"/>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إذا استقل العقل بحسن فعل بما هو فعل صادر عن الفاعل المختار أو قبحه ، وتجرّد في قضائه عن كلّ شيء إلاّ النظر إلى نفس الفعل فهل يكون حكم العقل كاشفاً عن حكم الشرع ، نظير استقلال العقل بقبح العقاب بلا بيان ، وحسنه معه ، فهل يستكشف منه انّ حكم الشرع كذلك؟ والجواب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الحكم المزبور من الأحكام البديهية للعقل العملي وكلّ إنسان يجد من نفسه حسن العدل وقبح الظلم ، وإذا عرض الإنسان ذينك الأمرين على وجدانه وعقله يجد في نفسه نزوعاً إلى العدل وتنفراً عن الظلم وهكذا كلّ فعل يصدق عليه أحد العنوانين وهذا من الأحكام العقلية النابعة عن صميم العقل من دون أن يكون متأثراً عن الجوانب اللاشعورية أو الغرائز الحيوانية أو العواطف الإنسانية ، يقول العلاّمة الحلي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نعلم بالضرورة حسن بعض الأشياء وقبح بعضها من غير نظر إلى شرع ، فانّ كلّ عاقل يجزم بحسن الإحسان ويمدح عليه ويُقبِّح الإساءة والظلم ويذم عليه ، وهذا حكم ضروري لا يقبل الشك وليس مستفاداً من الشرع لحكم البراهمة والملاحدة به من غير اعتراف منهم بالشرائع</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ويقول أيضاً في كتاب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الأفعال ما هو معلوم الحُسن والقبح بضرورة العقل ، كعلمنا بحسن الصدق النافع ، وقبح الكذب الضار ، فكلّ عاقل لا يشكّ في ذلك ، وليس جزمه بهذا الحكم بأدون من الجزم بافتقار الممكن إلى السبب ، وأنّ الأشياء المساوية لشيء واحد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يعجز العقل عن العلم بحسنه أو قبحه فيكشف الشرع عنه كالعبادات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والقبح شرعيان ، ولا يقضي العقل بحسن شيء منها ولا بقبحه ، بل القاضي بذلك هو الشرع ، وما حسّنه فهو حسن وما قبحه فهو قبيح</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ومن حسن الحظ انّ الذكر الحكيم يشير إلى موقف العقل من درك تحسين الأشياء وتقبيحها ، فترى أنّه يحتج في موارد بقضاء فطرة الإنسان على حسن بعض الأفعال وفي الوقت نفسه يقبح بعضها على وجه يُسلِّم انّ الفطرة الإنسانية صالحة لهذين الإدراكين ، ولذلك يتخذ وجدان الإنسان قاضياً صادقاً في قضائه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الْمُسْلِمِينَ كَالْمُجْرِمِينَ</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الطائفة من الآيات يوكّل الذكرُ الحكيم القضاءَ إلى وجدان </w:t>
      </w:r>
      <w:bookmarkStart w:id="686" w:name="pg10155_105578"/>
    </w:p>
    <w:p>
      <w:pPr>
        <w:pStyle w:val="BookText"/>
        <w:rPr/>
      </w:pPr>
      <w:bookmarkEnd w:id="686"/>
      <w:r>
        <w:rPr>
          <w:rFonts w:ascii="Amiri" w:hAnsi="Amiri" w:eastAsia="Amiri" w:cs="Amiri"/>
          <w:color w:val="111111"/>
          <w:sz w:val="28"/>
          <w:sz w:val="28"/>
          <w:szCs w:val="28"/>
          <w:rtl w:val="true"/>
          <w:lang w:bidi="ar-SA"/>
        </w:rPr>
        <w:t xml:space="preserve">الإنسان ، وانّه هل يصحّ التسوية بين المفسدين والمتّقين ، والمسلمين والمجرمين ، كما يتّخذ من الوجدان قاضياً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أُخرى تأمر بالمعروف كالعدل والإحسان ، وإيتاء ذي القربى ، وتنهى عن الفحشاء والمنكر والبغي على نحو تسلِّم انّ المخاطب ، يعرفهما معرفة ذاتية ولا يحتاج إلى الشرع بغيَة التعرّف على الموضوع ، وكان الشرع يؤكد ما يجده الإنسان بفطرته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وَما بَطَنَ</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 وَيَنْهاهُمْ عَنِ الْمُنْكَرِ</w:t>
      </w:r>
      <w:r>
        <w:rPr>
          <w:rFonts w:eastAsia="Amiri" w:cs="Amiri" w:ascii="Amiri" w:hAnsi="Amiri"/>
          <w:color w:val="111111"/>
          <w:sz w:val="28"/>
          <w:szCs w:val="28"/>
          <w:rtl w:val="true"/>
          <w:lang w:bidi="ar-SA"/>
        </w:rPr>
        <w:t xml:space="preserve">). </w:t>
      </w:r>
      <w:r>
        <w:rPr>
          <w:rStyle w:val="FootnoteAnchor"/>
          <w:rtl w:val="true"/>
        </w:rPr>
        <w:footnoteReference w:id="650"/>
      </w:r>
    </w:p>
    <w:p>
      <w:pPr>
        <w:pStyle w:val="Heading5"/>
        <w:numPr>
          <w:ilvl w:val="4"/>
          <w:numId w:val="1"/>
        </w:numPr>
        <w:rPr/>
      </w:pPr>
      <w:bookmarkStart w:id="687" w:name="__RefHeading___Toc1273141_1067777946"/>
      <w:bookmarkStart w:id="688" w:name="_Toc246"/>
      <w:bookmarkEnd w:id="687"/>
      <w:r>
        <w:rPr>
          <w:rtl w:val="true"/>
        </w:rPr>
        <w:t>معنى درك حسن الفعل أو قبحه</w:t>
      </w:r>
      <w:bookmarkEnd w:id="68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بفضل سعة آفاق إدراكه ، يدرك انّ نفس الفعل بما هو هو إمّا حسن أو قبيح ، سواء كان الفاعل واجباً أو ممكناً ، مؤثراً في حفظ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مؤمِّناً لغرض الفاعل أو لا ، كلّ هذه القيود مرفوضة غير مأخوذة في الموضوع ، بل الموضوع هو نفس الفعل بما هو هو ، مع غض النظر عنها ، كردّ الأمانة ، والخيانة فيها ، والوفاء بالميثاق ونقضه ، وجزاء الإحسان بالإحسان ، وبالإساءة ، وهكذا</w:t>
      </w:r>
      <w:r>
        <w:rPr>
          <w:rFonts w:eastAsia="Amiri" w:cs="Amiri" w:ascii="Amiri" w:hAnsi="Amiri"/>
          <w:color w:val="111111"/>
          <w:sz w:val="28"/>
          <w:szCs w:val="28"/>
          <w:rtl w:val="true"/>
          <w:lang w:bidi="ar-SA"/>
        </w:rPr>
        <w:t xml:space="preserve">. </w:t>
      </w:r>
      <w:bookmarkStart w:id="689" w:name="pg10155_105579"/>
    </w:p>
    <w:p>
      <w:pPr>
        <w:pStyle w:val="BookText"/>
        <w:rPr/>
      </w:pPr>
      <w:bookmarkEnd w:id="689"/>
      <w:r>
        <w:rPr>
          <w:rFonts w:ascii="Amiri" w:hAnsi="Amiri" w:eastAsia="Amiri" w:cs="Amiri"/>
          <w:color w:val="111111"/>
          <w:sz w:val="28"/>
          <w:sz w:val="28"/>
          <w:szCs w:val="28"/>
          <w:rtl w:val="true"/>
          <w:lang w:bidi="ar-SA"/>
        </w:rPr>
        <w:t xml:space="preserve">فإذا كان الموضوع هو نفس الفعل ولا دور لأي قيد في وصفه بأحدهما فيكون حكمه بالحسن أو القبح 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إتيان الأوّل ، وترك الثاني ، حكماً عامّاً يحكي عن كونه كذلك عند الواجب والممكن فيستكشف من حسن الفعل وجوبه ، ومن قبحه ، حرمته ، وبذلك يُصبح العقل من منابع التشريع ومصادره في إطار خاص ، أي إطار إدراك العقل حسن الأفعال وقبحها</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1273143_1067777946"/>
      <w:bookmarkStart w:id="691" w:name="_Toc247"/>
      <w:bookmarkEnd w:id="690"/>
      <w:r>
        <w:rPr>
          <w:rtl w:val="true"/>
        </w:rPr>
        <w:t>الآثار المترتبة على التحسين والتقبيح</w:t>
      </w:r>
      <w:bookmarkEnd w:id="691"/>
    </w:p>
    <w:p>
      <w:pPr>
        <w:pStyle w:val="Heading6"/>
        <w:numPr>
          <w:ilvl w:val="5"/>
          <w:numId w:val="1"/>
        </w:numPr>
        <w:rPr/>
      </w:pPr>
      <w:bookmarkStart w:id="692" w:name="__RefHeading___Toc1273145_1067777946"/>
      <w:bookmarkStart w:id="693" w:name="_Toc248"/>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 xml:space="preserve">تحتل مسألة التحسين والتقبيح العقليين مكانة مرموقة في المعارف والعقائد والتشريع والأحكام ، ونذكر شيئاً من آثارهما ممّا يتعلق بباب التشريع ونترك ما يرجع إلى باب العقائد والمعارف </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1273147_1067777946"/>
      <w:bookmarkStart w:id="695" w:name="_Toc249"/>
      <w:bookmarkEnd w:id="694"/>
      <w:r>
        <w:rPr>
          <w:rtl w:val="true"/>
        </w:rPr>
        <w:t>أ</w:t>
      </w:r>
      <w:r>
        <w:rPr>
          <w:rtl w:val="true"/>
        </w:rPr>
        <w:t xml:space="preserve">. </w:t>
      </w:r>
      <w:r>
        <w:rPr>
          <w:rtl w:val="true"/>
        </w:rPr>
        <w:t>أصالة البراءة من التكليف</w:t>
      </w:r>
      <w:bookmarkEnd w:id="695"/>
    </w:p>
    <w:p>
      <w:pPr>
        <w:pStyle w:val="BookText"/>
        <w:rPr/>
      </w:pPr>
      <w:r>
        <w:rPr>
          <w:rFonts w:ascii="Amiri" w:hAnsi="Amiri" w:eastAsia="Amiri" w:cs="Amiri"/>
          <w:color w:val="111111"/>
          <w:sz w:val="28"/>
          <w:sz w:val="28"/>
          <w:szCs w:val="28"/>
          <w:rtl w:val="true"/>
          <w:lang w:bidi="ar-SA"/>
        </w:rPr>
        <w:t>إذا شكّ الإنسان في وجوب شيء أو حرمته ، وفحص عن مظان التكليف فحصاً كاملاً فلم يعثر على بيان الشارع ، فالعقل عندئذ يستقل بقبح العقاب بلا بيان ، وانّه لو كان في الواقع واجباً أو حراماً والعبد تركه أو ارتكبه ، لا يكون معاقباً فانّ عقابه عقاب بلا بيان وهو قبيح بحكم العقل لا يصدر من الله الحكيم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بنوا أصالة البراءة في عامة الشبهات شريطة أن لا يكون الشكّ مقترناً بالعلم الإجمالي</w:t>
      </w:r>
      <w:r>
        <w:rPr>
          <w:rFonts w:eastAsia="Amiri" w:cs="Amiri" w:ascii="Amiri" w:hAnsi="Amiri"/>
          <w:color w:val="111111"/>
          <w:sz w:val="28"/>
          <w:szCs w:val="28"/>
          <w:rtl w:val="true"/>
          <w:lang w:bidi="ar-SA"/>
        </w:rPr>
        <w:t xml:space="preserve">. </w:t>
      </w:r>
      <w:bookmarkStart w:id="696" w:name="pg10155_105580"/>
    </w:p>
    <w:p>
      <w:pPr>
        <w:pStyle w:val="Heading6"/>
        <w:numPr>
          <w:ilvl w:val="5"/>
          <w:numId w:val="1"/>
        </w:numPr>
        <w:rPr/>
      </w:pPr>
      <w:bookmarkStart w:id="697" w:name="__RefHeading___Toc1273149_1067777946"/>
      <w:bookmarkStart w:id="698" w:name="_Toc250"/>
      <w:bookmarkEnd w:id="696"/>
      <w:bookmarkEnd w:id="697"/>
      <w:r>
        <w:rPr>
          <w:rtl w:val="true"/>
        </w:rPr>
        <w:t xml:space="preserve">ب </w:t>
      </w:r>
      <w:r>
        <w:rPr>
          <w:rtl w:val="true"/>
        </w:rPr>
        <w:t xml:space="preserve">: </w:t>
      </w:r>
      <w:r>
        <w:rPr>
          <w:rtl w:val="true"/>
        </w:rPr>
        <w:t>وجوب الاحتياط عند العلم الإجمالي</w:t>
      </w:r>
      <w:bookmarkEnd w:id="698"/>
    </w:p>
    <w:p>
      <w:pPr>
        <w:pStyle w:val="BookText"/>
        <w:rPr/>
      </w:pPr>
      <w:r>
        <w:rPr>
          <w:rFonts w:ascii="Amiri" w:hAnsi="Amiri" w:eastAsia="Amiri" w:cs="Amiri"/>
          <w:color w:val="111111"/>
          <w:sz w:val="28"/>
          <w:sz w:val="28"/>
          <w:szCs w:val="28"/>
          <w:rtl w:val="true"/>
          <w:lang w:bidi="ar-SA"/>
        </w:rPr>
        <w:t>إذا علم المكلّف انّ أحد الفعلين واجب أو انّ أحدهما حرام فعندئذ يجب عليه إتيان الأوّلين معاً وترك الآخرين كذلك ، لأنّ العقل يستقل بالاحتياط ، في كلا الموردين ، لأنّ اشتغال ذمّته بأحد التكليفين قطعي ، والعقل يستقل بأنّ الاشتغال القطعي يبعث الإنسان إلى تحصل البراءة القطعية وهو لا يتحقّق إلاّ بفعل الأوّلين وترك الآخرين وذلك باب واسع في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مذهب الأشعري تبعاً لأهل الحديث أنكر التحسين والتقبيح العقليين ، وبذلك صار شعار أهل السنّة حذف العقل عن مجال المعارف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أدلّتهم على إنكار الحسن والقبح هو تخيّل انّ القول بالتحسين والتقبيح بمعنى فرض الوجوب على الله من جانب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فوق أن يقع معرضاً لحكم العقل عليه بالتحسين والتقبيح وبالتالي التكليف على الله بإيجاب الحسن ، وتحريم القبيح</w:t>
      </w:r>
      <w:r>
        <w:rPr>
          <w:rFonts w:eastAsia="Amiri" w:cs="Amiri" w:ascii="Amiri" w:hAnsi="Amiri"/>
          <w:color w:val="111111"/>
          <w:sz w:val="28"/>
          <w:szCs w:val="28"/>
          <w:rtl w:val="true"/>
          <w:lang w:bidi="ar-SA"/>
        </w:rPr>
        <w:t xml:space="preserve">. </w:t>
      </w:r>
      <w:r>
        <w:rPr>
          <w:rStyle w:val="FootnoteAnchor"/>
          <w:rtl w:val="true"/>
        </w:rPr>
        <w:footnoteReference w:id="65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المستدل خلط بين التكليف على الله وكشف ما عنده سبحانه من الحكم من خلال صفاته وكماله ، فالقائل بالملازمة لا يفرض التكليف على الله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التراب ورب الأرباب ، لكن هذا لا يمنع من أن نستكشف ما عنده من الأحكام من خلال دراسة صفاته الكمالية ، فهو بما انّه عادل لا يجور ، وحكيم لا يعبث ، وعالم لا يجهل ، نستكشف الأحكام اللائقة به حسب صفاته ، فالتكاليف المخوّلة إليه من قبيل التكاليف التي فرضتها عليه حكمته وعدله </w:t>
      </w:r>
    </w:p>
    <w:p>
      <w:pPr>
        <w:pStyle w:val="BookText"/>
        <w:rPr/>
      </w:pPr>
      <w:r>
        <w:rPr>
          <w:rFonts w:ascii="Amiri" w:hAnsi="Amiri" w:eastAsia="Amiri" w:cs="Amiri"/>
          <w:color w:val="111111"/>
          <w:sz w:val="28"/>
          <w:sz w:val="28"/>
          <w:szCs w:val="28"/>
          <w:rtl w:val="true"/>
          <w:lang w:bidi="ar-SA"/>
        </w:rPr>
        <w:t>وعلمه ، فلو قلنا لا يجوز على الله سبحانه تعذيب البريء أو أخذه بذنب المجرم لا نعني أن نفرض هذا التكليف عليه ، وانّه يجب أن يقوم به ، وإنّما يراد أنّ لازم صفاته الكمالية هو أن لا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يقوم به العلماء من كشف أسرار الطبيعة وقوانينها ، فلو قال القائل بأنّ زوايا المثلث تساوي قائمتين ، فهذا لا يعني إلاّ أنّه في الواقع كذلك لا انّه يجب أن يكون كذلك لأجل حكمه به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النظام السائد على الكون نظاماً مبنياً على العلم والعدل والحكمة ، فلازم ذلك أن لا يؤخذ البريء بذنب المجرم ، فكشف هذا الحكم نظير كشف القوانين السائدة على الكون في العلوم الطبيعية والرياضية والفلكية</w:t>
      </w:r>
      <w:r>
        <w:rPr>
          <w:rFonts w:eastAsia="Amiri" w:cs="Amiri" w:ascii="Amiri" w:hAnsi="Amiri"/>
          <w:color w:val="111111"/>
          <w:sz w:val="28"/>
          <w:szCs w:val="28"/>
          <w:rtl w:val="true"/>
          <w:lang w:bidi="ar-SA"/>
        </w:rPr>
        <w:t xml:space="preserve">. </w:t>
      </w:r>
      <w:bookmarkStart w:id="699" w:name="pg10155_105582"/>
    </w:p>
    <w:p>
      <w:pPr>
        <w:pStyle w:val="Heading4"/>
        <w:numPr>
          <w:ilvl w:val="3"/>
          <w:numId w:val="1"/>
        </w:numPr>
        <w:rPr/>
      </w:pPr>
      <w:bookmarkStart w:id="700" w:name="__RefHeading___Toc1273151_1067777946"/>
      <w:bookmarkStart w:id="701" w:name="_Toc251"/>
      <w:bookmarkEnd w:id="699"/>
      <w:bookmarkEnd w:id="700"/>
      <w:r>
        <w:rPr/>
        <w:t>2</w:t>
      </w:r>
      <w:r>
        <w:rPr>
          <w:rtl w:val="true"/>
        </w:rPr>
        <w:t xml:space="preserve">- </w:t>
      </w:r>
      <w:r>
        <w:rPr>
          <w:rtl w:val="true"/>
        </w:rPr>
        <w:t>في مجال الملازمات</w:t>
      </w:r>
      <w:bookmarkEnd w:id="701"/>
    </w:p>
    <w:p>
      <w:pPr>
        <w:pStyle w:val="BookText"/>
        <w:rPr/>
      </w:pPr>
      <w:r>
        <w:rPr>
          <w:rFonts w:ascii="Amiri" w:hAnsi="Amiri" w:eastAsia="Amiri" w:cs="Amiri"/>
          <w:color w:val="111111"/>
          <w:sz w:val="28"/>
          <w:sz w:val="28"/>
          <w:szCs w:val="28"/>
          <w:rtl w:val="true"/>
          <w:lang w:bidi="ar-SA"/>
        </w:rPr>
        <w:t xml:space="preserve">قد تقدّم انّ العقل حجّة في مجالات خاصة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بالتحسين والتقبيح على النحو الذي ذكرنا ، ومن المجالات التي يؤخذ فيها بحكم العقل ويستكشف حكم الشرع ، هو مجال الملازمات ، أعني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الوجوبين ، كوجوب الشيء وجوب مقدّمته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الحرمتين ، كحرمة الشيء وحرمة مقدّمته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وجوب الشيء وحرمة ضدّه ، كوجوب المضيق وحرمة الموسّع عند التزاحم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امتثال المأمور به ، وأجزائه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النهي عن العبادة ، وفسادها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النهي عن المعاملة ، وفسادها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الملازمة بين الوجود لدى الوجود ، والانتفاء لدى الانتفاء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وجوب الشيء وامتناع وصفه بالحرمة على القول بالامتناع وبالعكس ، أو عدم الملازمة على القول بالاجتماع كما في الصلاة في الدار المغصوبة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أبواب الملازمة الموصوفة عندهم بالملازمات غير المستقلة ، فانّ الحكم المستكشف في هذه الموارد عن طريق الملازمة ، حكم </w:t>
      </w:r>
    </w:p>
    <w:p>
      <w:pPr>
        <w:pStyle w:val="BookText"/>
        <w:rPr/>
      </w:pPr>
      <w:r>
        <w:rPr>
          <w:rFonts w:ascii="Amiri" w:hAnsi="Amiri" w:eastAsia="Amiri" w:cs="Amiri"/>
          <w:color w:val="111111"/>
          <w:sz w:val="28"/>
          <w:sz w:val="28"/>
          <w:szCs w:val="28"/>
          <w:rtl w:val="true"/>
          <w:lang w:bidi="ar-SA"/>
        </w:rPr>
        <w:t xml:space="preserve">شرعي نظير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كوجوب مقدّمة ،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مقدّمة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الضدّ الموسّع المزاحم للمضيق كالصلاة عند الابتلاء بإزالة النجاسة عن المسجد ، أو أداء الدين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إجزاء المأتي به وكونه مسقطاً عن الإعادة والقضاء ، سواء كان المأتي به واجباً بالأمر الواقعي ، أو الاضطراري ، كالصلاة مع الطهارة الترابية ، أو بالأمر الظاهري كالصلاة في ثوب نجس واقعاً محكوم بالطهارة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العبادة المنهية ، كالصوم في يوم الفطر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المعاملات كبيع المنابذة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انتفاء الحكم عند انتفاء القيد كما في قوله في سائمة الغنم 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الموضوع محكوماً بأحد الحكمين أو كلاهما في الصلاة في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التي توصف بباب الملازمات غير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 الشيعي والأُصول دور كبير لباب الملازمات ، فمن مثبت وناف ومفصِّل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انّ أهل السنة أعرضوا عن العقل في مجال التحسين والتقبيح ولكن لهم مواقف مشهورة في باب الملازمات حيث طرحوا في علم الأُصول وجوب المقدّمة وحرمتها وهكذا سائر أبواب الملازمات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السيد علي القزويني معلّقاً على قول المحقّق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ما يحكم به العقل بواسطة خطاب الشرع كالمفاهيم والاستلزامات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بملاحظته </w:t>
      </w:r>
    </w:p>
    <w:p>
      <w:pPr>
        <w:pStyle w:val="BookText"/>
        <w:rPr/>
      </w:pPr>
      <w:r>
        <w:rPr>
          <w:rFonts w:ascii="Amiri" w:hAnsi="Amiri" w:eastAsia="Amiri" w:cs="Amiri"/>
          <w:color w:val="111111"/>
          <w:sz w:val="28"/>
          <w:sz w:val="28"/>
          <w:szCs w:val="28"/>
          <w:rtl w:val="true"/>
          <w:lang w:bidi="ar-SA"/>
        </w:rPr>
        <w:t>كحكمه بوجوب المقدمة بملاحظة الخطاب بذي المقدمة ، وبحرمة الضد ، بملاحظة الخطاب بالمأمور به المضيق ، وبالانتفاء عند الانتفاء بملاحظة الخطاب المعلق على شرط أو وصف أو غيرهما ، لئلا يلغوا التعليق وذكر القيد ويسمّى بالاستلزامات العقلية كحكم العقل باستلزام إيجاب الشيء وجوب مقدماته واستلزام الأمر بالشيء لحرمة ضده ، واستلزام الوجود عند الوجود ، والانتفاء عند الانتفاء فالمفاهيم أيضاً مندرجة في الاستلزامات</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إلى هنا تبيّن حجّية حكم العقل في المجالين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 التحسين والتقبيح ويسمّى بالملازمات المستقلة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 الملازمات غير المستقلة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تسمية الأوّل بالمستقلات والثاني بغيرها ، هو انّ إدراك الموضوع والحكم في الأوّل ، راجع إلى العقل ولا يستعين في حكمه بالشرع ، بل يدرك الموضوع ويصدر الحكم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حسن والظلم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القسم الثاني ، فانّه في حكمه يستعين بالشرع ، فإنّ الشارع هو المعيّن للموضوع ، مثلاً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مقدمة للواجب ، والعقل يصدر الحكم ويقول مقدمة الواجب واجب ، ومثله سائر الموارد الثمانية</w:t>
      </w:r>
      <w:r>
        <w:rPr>
          <w:rFonts w:eastAsia="Amiri" w:cs="Amiri" w:ascii="Amiri" w:hAnsi="Amiri"/>
          <w:color w:val="111111"/>
          <w:sz w:val="28"/>
          <w:szCs w:val="28"/>
          <w:rtl w:val="true"/>
          <w:lang w:bidi="ar-SA"/>
        </w:rPr>
        <w:t xml:space="preserve">. </w:t>
      </w:r>
      <w:bookmarkStart w:id="702" w:name="pg10155_105585"/>
    </w:p>
    <w:p>
      <w:pPr>
        <w:pStyle w:val="Heading4"/>
        <w:numPr>
          <w:ilvl w:val="3"/>
          <w:numId w:val="1"/>
        </w:numPr>
        <w:rPr/>
      </w:pPr>
      <w:bookmarkStart w:id="703" w:name="__RefHeading___Toc1273153_1067777946"/>
      <w:bookmarkStart w:id="704" w:name="_Toc252"/>
      <w:bookmarkEnd w:id="702"/>
      <w:bookmarkEnd w:id="703"/>
      <w:r>
        <w:rPr/>
        <w:t>3</w:t>
      </w:r>
      <w:r>
        <w:rPr>
          <w:rtl w:val="true"/>
        </w:rPr>
        <w:t xml:space="preserve">- </w:t>
      </w:r>
      <w:r>
        <w:rPr>
          <w:rtl w:val="true"/>
        </w:rPr>
        <w:t>في مجال تنقيح المناط لا في مجال تخريجه</w:t>
      </w:r>
      <w:bookmarkEnd w:id="704"/>
    </w:p>
    <w:p>
      <w:pPr>
        <w:pStyle w:val="BookText"/>
        <w:rPr/>
      </w:pPr>
      <w:r>
        <w:rPr>
          <w:rFonts w:ascii="Amiri" w:hAnsi="Amiri" w:eastAsia="Amiri" w:cs="Amiri"/>
          <w:color w:val="111111"/>
          <w:sz w:val="28"/>
          <w:sz w:val="28"/>
          <w:szCs w:val="28"/>
          <w:rtl w:val="true"/>
          <w:lang w:bidi="ar-SA"/>
        </w:rPr>
        <w:t xml:space="preserve">إذا اقترن الموضوع في لسان الدليل بأوصاف وخصوصيات لا يراها العرف دخيلة في الموضوع ويتلقّاها من قبيل المثال ، كما إذا ورد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المسجد بين الثلاث والأربع فأجيب بأنّه يبني على كذا ، فانّ السائل وإن سأل عن الرجل الذي شكّ في المسجد ، لكنّه يتلقّى العرف تلك القيود ، مثالاً ، لا قيداً للحكم ، أي بأنّه يبني على كذا ، فيعمّ الرجل والأُنثى ومن شكّ في المسجد والبيت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تنقيح المناط على حدّ يساعده ، الفهم العرفي ممّا لا إشكال فيه ، ولا صلة له بالقياس ، إذ لا أصل ولا فرع ، بل الحكم يعمّ الرجل والأُنثى ، والشاك في المسجد والبيت ، مرة واحدة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تخريج المناط فهو ممنوع ومعناه أنّه إذا قضى الشارع على حكم في محل من دون أن ينصَّ لمناطه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الربا المعاوضي في البُرّ فيعمم إلى كل مكيل بدعوى انّ مناط التحريم هو الكيل ، وهذا ما ربما يعبر عنه باستنباط علّة الحكم بطريق من الطرق ، ثمّ تعميم الحكم حسب صدقها على مواردها وقد ذكر له طرقاً سبعة أو أكثر والمهم منها هو استنباط العلة عن طريق السبر والتقسيم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انّ تخريج المناط بهما ممنوع جدّاً ولا يفيد سوى الظن وسيوافيك توضيحه عند البحث في عدم حجّية القياس</w:t>
      </w:r>
      <w:r>
        <w:rPr>
          <w:rFonts w:eastAsia="Amiri" w:cs="Amiri" w:ascii="Amiri" w:hAnsi="Amiri"/>
          <w:color w:val="111111"/>
          <w:sz w:val="28"/>
          <w:szCs w:val="28"/>
          <w:rtl w:val="true"/>
          <w:lang w:bidi="ar-SA"/>
        </w:rPr>
        <w:t xml:space="preserve">. </w:t>
      </w:r>
      <w:bookmarkStart w:id="705" w:name="pg10155_105586"/>
    </w:p>
    <w:p>
      <w:pPr>
        <w:pStyle w:val="Heading4"/>
        <w:numPr>
          <w:ilvl w:val="3"/>
          <w:numId w:val="1"/>
        </w:numPr>
        <w:rPr/>
      </w:pPr>
      <w:bookmarkStart w:id="706" w:name="__RefHeading___Toc1273155_1067777946"/>
      <w:bookmarkStart w:id="707" w:name="_Toc253"/>
      <w:bookmarkEnd w:id="705"/>
      <w:bookmarkEnd w:id="706"/>
      <w:r>
        <w:rPr/>
        <w:t>4</w:t>
      </w:r>
      <w:r>
        <w:rPr>
          <w:rtl w:val="true"/>
        </w:rPr>
        <w:t xml:space="preserve">- </w:t>
      </w:r>
      <w:r>
        <w:rPr>
          <w:rtl w:val="true"/>
        </w:rPr>
        <w:t>في مجال درك مصالح الأفعال ومفاسدها</w:t>
      </w:r>
      <w:bookmarkEnd w:id="707"/>
    </w:p>
    <w:p>
      <w:pPr>
        <w:pStyle w:val="BookText"/>
        <w:rPr/>
      </w:pPr>
      <w:r>
        <w:rPr>
          <w:rFonts w:ascii="Amiri" w:hAnsi="Amiri" w:eastAsia="Amiri" w:cs="Amiri"/>
          <w:color w:val="111111"/>
          <w:sz w:val="28"/>
          <w:sz w:val="28"/>
          <w:szCs w:val="28"/>
          <w:rtl w:val="true"/>
          <w:lang w:bidi="ar-SA"/>
        </w:rPr>
        <w:t>إذا أدرك العقل وجود ا لمصلحة أو المفسدة في فعل إدراكاً نوعياً يستوي فيه جميع العقلاء كوجود المفسدة في استعمال المخدرات ففي مثله يكون حكم العقل ذريعة لاستكشاف الحكم الشرعي دون ما لا يكون كذلك ، كإدراك فرد أو فردين وجوب المصلحة الملزمة أو المفسدة ،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أدرك العقل المصلحة في شيء أو المفسدة ولم يكن إدراكه مستنداً إلى المصلحة أو المفسدة العامتين يتساوى في إدراكها جميع العقلاء فلا سبيل للعقل إلى الحكم بأنّ ما أدركه علّة ، هي العلة التامة التي يدور الحكم مدارها ، إذ يحتمل أن يكون هناك مانع يمنع من حكم الشارع على وفق ما أدركه العقل وإن كان ما أدرك مقتضياً لحكم الشرع</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يقول المحقّق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مصالح الأحكام الشرعية المولوية التي هي ملاكات تلك الأحكام ومناطاتها ، لا تندرج تحت ضابطة ، ولا تجب أن تكون هي بعينها ، المصالح العمومية ، المبنى عليها حفظ النظام وإبقاء النوع وعليه لا سبيل للعقل بما هو إليها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إذا وصل الأمر إلى المصالح والمفاسد العامة التي أطبق العقلاء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عامة على صلاحها أو فسادها على نحو صار من الضروريات وهذا كتعاطي المخدرات التي أطبق العقلاء على ضررها ، ومثله التلقيح الوقائي عند ظهور الأمراض السارية كالجدري والحصبة وغيرهما فقد أصبحت من الأُمور التي لا يتردد في صلاحيتها ذوو الاختصاص</w:t>
      </w:r>
      <w:r>
        <w:rPr>
          <w:rFonts w:eastAsia="Amiri" w:cs="Amiri" w:ascii="Amiri" w:hAnsi="Amiri"/>
          <w:color w:val="111111"/>
          <w:sz w:val="28"/>
          <w:szCs w:val="28"/>
          <w:rtl w:val="true"/>
          <w:lang w:bidi="ar-SA"/>
        </w:rPr>
        <w:t xml:space="preserve">. </w:t>
      </w:r>
      <w:bookmarkStart w:id="708" w:name="pg10155_105588"/>
    </w:p>
    <w:p>
      <w:pPr>
        <w:pStyle w:val="Heading3"/>
        <w:numPr>
          <w:ilvl w:val="2"/>
          <w:numId w:val="1"/>
        </w:numPr>
        <w:rPr/>
      </w:pPr>
      <w:bookmarkStart w:id="709" w:name="__RefHeading___Toc1273157_1067777946"/>
      <w:bookmarkStart w:id="710" w:name="_Toc254"/>
      <w:bookmarkEnd w:id="708"/>
      <w:bookmarkEnd w:id="709"/>
      <w:r>
        <w:rPr>
          <w:rtl w:val="true"/>
        </w:rPr>
        <w:t>الفصل الرابع</w:t>
      </w:r>
      <w:r>
        <w:rPr>
          <w:rtl w:val="true"/>
        </w:rPr>
        <w:t xml:space="preserve">: </w:t>
      </w:r>
      <w:r>
        <w:rPr>
          <w:rtl w:val="true"/>
        </w:rPr>
        <w:t>التشريع تابع للمصالح والمفاسد</w:t>
      </w:r>
      <w:bookmarkEnd w:id="710"/>
    </w:p>
    <w:p>
      <w:pPr>
        <w:pStyle w:val="Heading4"/>
        <w:numPr>
          <w:ilvl w:val="3"/>
          <w:numId w:val="1"/>
        </w:numPr>
        <w:rPr/>
      </w:pPr>
      <w:bookmarkStart w:id="711" w:name="__RefHeading___Toc1273159_1067777946"/>
      <w:bookmarkStart w:id="712" w:name="_Toc255"/>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إنّ الأحكام الشرعية عند الإمامية تابعة للمصالح والمفاسد ، فلا واجب إلاّ لمصلحة في فعله ، ولا حرام إلاّ لمفسدة في اقترافه وانّ التشريع الإسلامي بعيد عن الفوضى ، ونصوص الكتاب والسنّة يشهدان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سبحانه يعلِّل وجوب الاجتناب عن الخمر والميسر بأنّهما وسيلتان للعداوة والبغضاء والصدّ عن ذكر الله عموماً والصلاة خصوصاً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يعلل وجوب الصلاة بأنّها تنهى عن الفحشاء والمنكر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إِنَّ الصَّلاةَ تَنْهى عَنِ الْفَحْشاءِ وَالْمُنْكَرِ</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إلى غير ذلك من الآيات والروايات التي تشير إلى ملاكات التشريع في الذكر الحكيم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لم يبح أكلاً ولا شرباً إلاّ لما فيه المنفعة والصلاح ، ولم يُحرّم إلاّ ما فيه </w:t>
      </w:r>
    </w:p>
    <w:p>
      <w:pPr>
        <w:pStyle w:val="BookText"/>
        <w:rPr/>
      </w:pPr>
      <w:r>
        <w:rPr>
          <w:rFonts w:ascii="IRNazanin" w:hAnsi="IRNazanin" w:eastAsia="IRNazanin"/>
          <w:color w:val="111111"/>
          <w:sz w:val="28"/>
          <w:sz w:val="28"/>
          <w:szCs w:val="28"/>
          <w:rtl w:val="true"/>
          <w:lang w:bidi="fa-IR"/>
        </w:rPr>
        <w:t>الضرر والتلف والفساد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الدم انّه يُسيء الخُلْق ، ويورث القسْوة للقلب ، وقلّة الرأفةَ والرحمةَ ولا يؤمن أن يقتل ولده ووالده</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وقال أبو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مدْمن الخمر كعابد الوثن ، وپيورثه الارتعاشُ ويهدم مروّته ، ويحمله على التجسّر على المحارم من سفك الدماء وركوب الزنا</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إلى غير ذلك من النصوص المتضافرة عن أئمّة الدين</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ولكن المعروف عن الأشاعرة خلاف ذلك ، وذلك لأنّ أفعاله سبحانه عندهم ليست معلّلة بالأغراض ، واحتجّوا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فعله تعالى لغرض لكان ناقصاً لذاته ، مستكملاً بتحصيل ذلك الغرض ، لأنّه لا يصلح غرضاً للفاعل إلاّ ما هو أصلح له من عدمه ، وهو معنى الاستكمال</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فإذا كان فعله عارياً عن الغرض ، يكون تشريعه الذي هو أيضاً من أفعاله سبحانه ، خالياً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الاستدلال ضعيف غايته ، لأنّ الاستكمال بالغرض إنّما يلزم إذا كان الغرض عائداً إليه سبحانه ، لا إذا كان تفضلاً على العباد ، واستصلاحاً لأحوالهم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 غاية للفعل ، لا للفاعل ، وقد خلط الأشعري بين الغرض الراجع إلى الفاعل ، والغرض الراجع إلى الفعل ، فالاستكمال لازم المعنى </w:t>
      </w:r>
      <w:bookmarkStart w:id="713" w:name="pg10155_105590"/>
    </w:p>
    <w:p>
      <w:pPr>
        <w:pStyle w:val="BookText"/>
        <w:rPr/>
      </w:pPr>
      <w:bookmarkEnd w:id="713"/>
      <w:r>
        <w:rPr>
          <w:rFonts w:ascii="Amiri" w:hAnsi="Amiri" w:eastAsia="Amiri" w:cs="Amiri"/>
          <w:color w:val="111111"/>
          <w:sz w:val="28"/>
          <w:sz w:val="28"/>
          <w:szCs w:val="28"/>
          <w:rtl w:val="true"/>
          <w:lang w:bidi="ar-SA"/>
        </w:rPr>
        <w:t>الأوّل دون الثاني ، والقائل بكون أفعاله ومنها تشريعاته ، معللة بالأغراض والغايات والدواعي والمصالح ، انّما يعني المعنى الثاني دون الأوّل ، والغرض بالمعنى الأوّل ينافي كونه غنياً مطلقاً في ذاته ، وصفاته ، وأفعاله ولكن إثبات الغرض بالمعنى الثاني يخرج فعله سبحانه عن العبث واللغو ، فالجمع بين كونه سبحانه غنياً غير محتاج إلى شيء ، وكونه حكيماً منزهاً عن العبث واللغو يتحقّق بالقول باشتمال أفعاله على مصالح وحكم ترجع إلى العباد لا إلى وجوده وذاته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النصوص الصريحة تؤيد موقف الإمامية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السَّماواتِ وَالْأَرْضَ وَما بَيْنَهُما لاعِبِينَ</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باطِلاً 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إلى غير ذلك من الآيات التي تنفي العبث عن فعله وتصرح باقترانه بالحكمة والغرض</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273161_1067777946"/>
      <w:bookmarkStart w:id="715" w:name="_Toc256"/>
      <w:bookmarkEnd w:id="714"/>
      <w:r>
        <w:rPr>
          <w:rtl w:val="true"/>
        </w:rPr>
        <w:t>إجابة عن سؤال</w:t>
      </w:r>
      <w:bookmarkEnd w:id="715"/>
    </w:p>
    <w:p>
      <w:pPr>
        <w:pStyle w:val="BookText"/>
        <w:rPr/>
      </w:pPr>
      <w:r>
        <w:rPr>
          <w:rFonts w:ascii="Amiri" w:hAnsi="Amiri" w:eastAsia="Amiri" w:cs="Amiri"/>
          <w:color w:val="111111"/>
          <w:sz w:val="28"/>
          <w:sz w:val="28"/>
          <w:szCs w:val="28"/>
          <w:rtl w:val="true"/>
          <w:lang w:bidi="ar-SA"/>
        </w:rPr>
        <w:t xml:space="preserve">قد تقدّم في الفصل الثاني انّ العقل من مصادر التشريع في موردين فقط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استقل بحسن الفعل أو قبحه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أدرك الملازمة بين الحكمين</w:t>
      </w:r>
      <w:r>
        <w:rPr>
          <w:rFonts w:eastAsia="Amiri" w:cs="Amiri" w:ascii="Amiri" w:hAnsi="Amiri"/>
          <w:color w:val="111111"/>
          <w:sz w:val="28"/>
          <w:szCs w:val="28"/>
          <w:rtl w:val="true"/>
          <w:lang w:bidi="ar-SA"/>
        </w:rPr>
        <w:t xml:space="preserve">. </w:t>
      </w:r>
      <w:bookmarkStart w:id="716" w:name="pg10155_105591"/>
    </w:p>
    <w:p>
      <w:pPr>
        <w:pStyle w:val="BookText"/>
        <w:rPr/>
      </w:pPr>
      <w:bookmarkEnd w:id="716"/>
      <w:r>
        <w:rPr>
          <w:rFonts w:ascii="Amiri" w:hAnsi="Amiri" w:eastAsia="Amiri" w:cs="Amiri"/>
          <w:color w:val="111111"/>
          <w:sz w:val="28"/>
          <w:sz w:val="28"/>
          <w:szCs w:val="28"/>
          <w:rtl w:val="true"/>
          <w:lang w:bidi="ar-SA"/>
        </w:rPr>
        <w:t xml:space="preserve">وسبق انّه إذا أدرك الفعل مصالح ومفاسد في الفعل من عند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ورود نصّ حولهما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للفقيه أن يتخذه ذريعة إلى استكشاف الحكم الشرعي من الوجوب والحرمة ، بحيث يكون علمه بالمصالح والمفاسد من مصادر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الاعتراف كيف يصحّ القول بأنّ الأحكام الشرعية رهن المصالح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الإجابة فواضحة ، إذ لا منافاة بين الأمرين فانّ الكلام هنا في مقام الثبوت وانّ التشريع الإسلامي ، رهن الملاكات والمناطات عند الله سبحانه وربما يقف عليها العباد عن طريق النصّ كما أنّهم كثيراً ما يجهلون بعلل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التشريع فوضى غير خاضع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ما رفضناه من أنّه ليس للفقيه الخوض في تعيين مصالح الأفعال ومفاسدها فيحكم على الأوّل بالوجوب وعلى الثاني بالحرمة لقصور العقل عن الإحاطة بالمصالح والمفاسد الواقعية وربما يدرك العقل مصلحة أو مفسدة ويغفل عن موانعهما ، فإدراكه أحد الأمرين لا يكون دليلاً على التشريع</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273163_1067777946"/>
      <w:bookmarkStart w:id="718" w:name="_Toc257"/>
      <w:bookmarkEnd w:id="717"/>
      <w:r>
        <w:rPr>
          <w:rtl w:val="true"/>
        </w:rPr>
        <w:t>مرجّحات باب التزاحم</w:t>
      </w:r>
      <w:bookmarkEnd w:id="718"/>
    </w:p>
    <w:p>
      <w:pPr>
        <w:pStyle w:val="Heading5"/>
        <w:numPr>
          <w:ilvl w:val="4"/>
          <w:numId w:val="1"/>
        </w:numPr>
        <w:rPr/>
      </w:pPr>
      <w:bookmarkStart w:id="719" w:name="__RefHeading___Toc1273165_1067777946"/>
      <w:bookmarkStart w:id="720" w:name="_Toc258"/>
      <w:bookmarkEnd w:id="719"/>
      <w:r>
        <w:rPr>
          <w:rtl w:val="true"/>
        </w:rPr>
        <w:t>اشارة</w:t>
      </w:r>
      <w:bookmarkEnd w:id="72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المصالح والمفاسد ، لما لم تكن على وزان واحد ، بل رب واجب يسوغ في طريق إحرازه ، اقتراف بعض المحرّمات ، لاشتماله على مصلحة كثيرة لا يجوز تركها بحال ، كإنقاذ الإنسان المتوقف على استطراق أرض الغير ، بلا إذنه ، ورب حرام ذي مفسدة كبيرة لا يجوز اقترافه وإن استلزم ترك الواجب أو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يحكم العقل بتقديم الأهم على المهم عند التزاحم</w:t>
      </w:r>
      <w:r>
        <w:rPr>
          <w:rFonts w:eastAsia="Amiri" w:cs="Amiri" w:ascii="Amiri" w:hAnsi="Amiri"/>
          <w:color w:val="111111"/>
          <w:sz w:val="28"/>
          <w:szCs w:val="28"/>
          <w:rtl w:val="true"/>
          <w:lang w:bidi="ar-SA"/>
        </w:rPr>
        <w:t xml:space="preserve">. </w:t>
      </w:r>
      <w:bookmarkStart w:id="721" w:name="pg10155_105592"/>
    </w:p>
    <w:p>
      <w:pPr>
        <w:pStyle w:val="BookText"/>
        <w:rPr/>
      </w:pPr>
      <w:bookmarkEnd w:id="721"/>
      <w:r>
        <w:rPr>
          <w:rFonts w:ascii="Amiri" w:hAnsi="Amiri" w:eastAsia="Amiri" w:cs="Amiri"/>
          <w:color w:val="111111"/>
          <w:sz w:val="28"/>
          <w:sz w:val="28"/>
          <w:szCs w:val="28"/>
          <w:rtl w:val="true"/>
          <w:lang w:bidi="ar-SA"/>
        </w:rPr>
        <w:t xml:space="preserve">وعلى هذا الأساس ، فَتح الفقه الإمامي باباً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غير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إذا كان هناك تزاحم بين الواجبين أو الحرامين ، أو الواجب وارتكاب الحرام ، يقدّم الأهم منها على المهم ، وقد أعان ذلك على حل كثير من المشاكل الاجتماعية التي ربما يتوهم الجاهل انّها تعرقل خطا التشريع الإسلامي ، عن التحرك نحو الأمام ومسايرة الحياة ، ونأتي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تشريح بدن الإنسان في المختبرات من الضروريات الحيويّة التي يتوقف عليه نظام الطب الحديث فلا يتسنّى تعلم الطب إلاّ بالتشريح والاطّلاع على خفايا الأمراض والأدوية ، غير أنّ هذه المصلحة ، تصادمها مصلحة احترام المؤمن حيّه وميته إلى حد أوجب الشارع التسريعَ بتغسيله وتكفينه وتجهيزه للدفن ، كما حرّم نبش قبره إذا دفن وحرّم التمثيل به وتقطيع أعضائه ، لانّه من المحرمات التي لم يجوزها الشارع حتّى بالنسبة إلى 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عناية الشارع بالصحة العامة صارت سبباً لتسويغ هذا العمل لتلك الغاية الكبرى مقدِّماً بدن الكافر على المسلم ، والمسلم غير المعروف على المعروف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ولمعرفة التزاحم ومعرفة مرجحاته دور كبير في استنباط كثير من الأحكام التي لم ترد في الكتاب والسنّة بشرط تميز الأهم من المهم ، تمييزاً قطعياً ، مستند إلى الدليل ، ولأجل ذلك نذكر شيئاً من مرجحات ذلك الباب </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273167_1067777946"/>
      <w:bookmarkStart w:id="723" w:name="_Toc259"/>
      <w:bookmarkEnd w:id="722"/>
      <w:r>
        <w:rPr/>
        <w:t>1</w:t>
      </w:r>
      <w:r>
        <w:rPr>
          <w:rtl w:val="true"/>
        </w:rPr>
        <w:t xml:space="preserve">. </w:t>
      </w:r>
      <w:r>
        <w:rPr>
          <w:rtl w:val="true"/>
        </w:rPr>
        <w:t>تقديم ما لا بدل له على ما له بدل</w:t>
      </w:r>
      <w:bookmarkEnd w:id="72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واجبان لأحدهما بدل شرعاً دون الآخر ، فالعقل يحكم بتقديم الثاني على الأوّل جمعاً بين الامتثالين ، كالتزاحم الموجود بين رعاية الوقت وتحصيل </w:t>
      </w:r>
      <w:bookmarkStart w:id="724" w:name="pg10155_105593"/>
    </w:p>
    <w:p>
      <w:pPr>
        <w:pStyle w:val="BookText"/>
        <w:rPr/>
      </w:pPr>
      <w:bookmarkEnd w:id="724"/>
      <w:r>
        <w:rPr>
          <w:rFonts w:ascii="Amiri" w:hAnsi="Amiri" w:eastAsia="Amiri" w:cs="Amiri"/>
          <w:color w:val="111111"/>
          <w:sz w:val="28"/>
          <w:sz w:val="28"/>
          <w:szCs w:val="28"/>
          <w:rtl w:val="true"/>
          <w:lang w:bidi="ar-SA"/>
        </w:rPr>
        <w:t>الطهارة الحدثية بالماء ، فبما أنّ الوقت فاقد للبدل بخلاف الطهارة الحدثية فانّ له البدل كالتراب ، فتقدّم مصلحة الوقت على تحصيل مصلحة الطهارة الحدثية بالماء فيتيمّم</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1273169_1067777946"/>
      <w:bookmarkStart w:id="726" w:name="_Toc260"/>
      <w:bookmarkEnd w:id="725"/>
      <w:r>
        <w:rPr/>
        <w:t>2</w:t>
      </w:r>
      <w:r>
        <w:rPr>
          <w:rtl w:val="true"/>
        </w:rPr>
        <w:t xml:space="preserve">. </w:t>
      </w:r>
      <w:r>
        <w:rPr>
          <w:rtl w:val="true"/>
        </w:rPr>
        <w:t>تقديم المضيّق على الموسّع</w:t>
      </w:r>
      <w:bookmarkEnd w:id="726"/>
    </w:p>
    <w:p>
      <w:pPr>
        <w:pStyle w:val="BookText"/>
        <w:rPr/>
      </w:pPr>
      <w:r>
        <w:rPr>
          <w:rFonts w:ascii="Amiri" w:hAnsi="Amiri" w:eastAsia="Amiri" w:cs="Amiri"/>
          <w:color w:val="111111"/>
          <w:sz w:val="28"/>
          <w:sz w:val="28"/>
          <w:szCs w:val="28"/>
          <w:rtl w:val="true"/>
          <w:lang w:bidi="ar-SA"/>
        </w:rPr>
        <w:t>إذا كان هناك تزاحم بين المضيّق الذي لا يرضى المولى بتأخيره والموسّع الذي لا يفوت بالاشتغال بالواجب المضيّق إلاّ فضيلة الوقت ، يحكم العقل بتقديم الأوّل ولذلك تجب إزالة النجاسة أوّلاً ، ثمّ القيام إلى الصلاة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المرجّح الثاني إلى المرجّح الأوّل فانّه من باب تقديم ما لا بدل له كالمضيّق على ما له بدل ، كالموسّع ، إذ له إبدال طول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مشاحة في الاصطلاح فيطلق الأوّل على ما يكون البدل في عرض ما لا بدل له كاجتماع الطهارة الحدثية الترابية مع الطهارة الخبثية بالماء في صلاة واحدة بخلاف الثاني ، فانّما يطلق على ما إذا كان ماله البدل في طول ما ليس له البدل كإزالة النجاسة في الوقت الأوّل والصلاة في الوقت الثاني</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1273171_1067777946"/>
      <w:bookmarkStart w:id="728" w:name="_Toc261"/>
      <w:bookmarkEnd w:id="727"/>
      <w:r>
        <w:rPr/>
        <w:t>3</w:t>
      </w:r>
      <w:r>
        <w:rPr>
          <w:rtl w:val="true"/>
        </w:rPr>
        <w:t xml:space="preserve">. </w:t>
      </w:r>
      <w:r>
        <w:rPr>
          <w:rtl w:val="true"/>
        </w:rPr>
        <w:t>تقديم الواجب التعييني على التخييري</w:t>
      </w:r>
      <w:bookmarkEnd w:id="72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هناك تزاحم بين امتثال الواجب التعييني كأداء الدين وامتثال الواجب التخييري ببعض أعداله كإطعام ستّين مسكيناً بحيث لا يتمكّن من أداء الدين إذا صرفه في كفّارة شهر رمضان عن طريق الطعام ، وهكذا العكس ، فالعقل يحكم بأداء الدين ، إذ ليس له بدل ، وامتثال وجوب الكفّارة عن طريق الصوم</w:t>
      </w:r>
      <w:r>
        <w:rPr>
          <w:rFonts w:eastAsia="Amiri" w:cs="Amiri" w:ascii="Amiri" w:hAnsi="Amiri"/>
          <w:color w:val="111111"/>
          <w:sz w:val="28"/>
          <w:szCs w:val="28"/>
          <w:rtl w:val="true"/>
          <w:lang w:bidi="ar-SA"/>
        </w:rPr>
        <w:t xml:space="preserve">. </w:t>
      </w:r>
      <w:bookmarkStart w:id="729" w:name="pg10155_105594"/>
    </w:p>
    <w:p>
      <w:pPr>
        <w:pStyle w:val="Heading5"/>
        <w:numPr>
          <w:ilvl w:val="4"/>
          <w:numId w:val="1"/>
        </w:numPr>
        <w:rPr/>
      </w:pPr>
      <w:bookmarkStart w:id="730" w:name="__RefHeading___Toc1273173_1067777946"/>
      <w:bookmarkStart w:id="731" w:name="_Toc262"/>
      <w:bookmarkEnd w:id="729"/>
      <w:bookmarkEnd w:id="730"/>
      <w:r>
        <w:rPr/>
        <w:t>4</w:t>
      </w:r>
      <w:r>
        <w:rPr>
          <w:rtl w:val="true"/>
        </w:rPr>
        <w:t xml:space="preserve">. </w:t>
      </w:r>
      <w:r>
        <w:rPr>
          <w:rtl w:val="true"/>
        </w:rPr>
        <w:t>تقديم أحد المتزاحمين على الآخر لأهميّته</w:t>
      </w:r>
      <w:bookmarkEnd w:id="731"/>
    </w:p>
    <w:p>
      <w:pPr>
        <w:pStyle w:val="BookText"/>
        <w:rPr/>
      </w:pPr>
      <w:r>
        <w:rPr>
          <w:rFonts w:ascii="Amiri" w:hAnsi="Amiri" w:eastAsia="Amiri" w:cs="Amiri"/>
          <w:color w:val="111111"/>
          <w:sz w:val="28"/>
          <w:sz w:val="28"/>
          <w:szCs w:val="28"/>
          <w:rtl w:val="true"/>
          <w:lang w:bidi="ar-SA"/>
        </w:rPr>
        <w:t>هذا هو المرجّح الواضح في باب المتزاحمين ، فإذا دار الأمر بين ترك الأهمّ والمهمّ فالعقل يحكم بترك المهمّ وامتثال الأهم ، وهذا من القضايا التي قياساتها معها</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1273175_1067777946"/>
      <w:bookmarkStart w:id="733" w:name="_Toc263"/>
      <w:bookmarkEnd w:id="732"/>
      <w:r>
        <w:rPr/>
        <w:t>5</w:t>
      </w:r>
      <w:r>
        <w:rPr>
          <w:rtl w:val="true"/>
        </w:rPr>
        <w:t xml:space="preserve">. </w:t>
      </w:r>
      <w:r>
        <w:rPr>
          <w:rtl w:val="true"/>
        </w:rPr>
        <w:t>سبق امتثال أحد الحكمين زماناً</w:t>
      </w:r>
      <w:bookmarkEnd w:id="733"/>
    </w:p>
    <w:p>
      <w:pPr>
        <w:pStyle w:val="BookText"/>
        <w:rPr/>
      </w:pPr>
      <w:r>
        <w:rPr>
          <w:rFonts w:ascii="Amiri" w:hAnsi="Amiri" w:eastAsia="Amiri" w:cs="Amiri"/>
          <w:color w:val="111111"/>
          <w:sz w:val="28"/>
          <w:sz w:val="28"/>
          <w:szCs w:val="28"/>
          <w:rtl w:val="true"/>
          <w:lang w:bidi="ar-SA"/>
        </w:rPr>
        <w:t>إذا كان أحد الواجبين سابقاً في مقام الامتثال على الآخر زماناً كما إذا وجب صوم يوم الخميس والجمعة ولا يقدر إلاّ على صيام يوم واحد ، ومثله إذا وجبت عليه صلاتان ولا يتمكّن إلاّ من الإتيان بواحدة منهما قائماً ، أو وجبت صلاة واحدة ولا يتمكّن إلاّ من القيام في ركعة واحدة ؛ ففي جميع هذه الصور يستقل العقل بتقديم ما يجب امتثاله سابقاً على الآخر حتّى يكون في ترك الواجب في الزمان الثاني معذوراً إلاّ إذا كان الواجب المتأخّر أهمّ في نظر المولى فيجب صرف القدرة في الثاني ، وهو خارج عن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يوم الخميس أو صلّى الظهر قائماً فقد ترك صوم الجمعة والقيام في صلاة العصر عن عذر وحجّة ، بخلاف ما إذا أفطر يوم الخميس وصلّى الظهر قاعداً فقد ترك الواجب بلا عذر</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1273177_1067777946"/>
      <w:bookmarkStart w:id="735" w:name="_Toc264"/>
      <w:bookmarkEnd w:id="734"/>
      <w:r>
        <w:rPr/>
        <w:t>6</w:t>
      </w:r>
      <w:r>
        <w:rPr>
          <w:rtl w:val="true"/>
        </w:rPr>
        <w:t xml:space="preserve">. </w:t>
      </w:r>
      <w:r>
        <w:rPr>
          <w:rtl w:val="true"/>
        </w:rPr>
        <w:t>تقديم الواجب المطلق على المشروط</w:t>
      </w:r>
      <w:bookmarkEnd w:id="73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هناك واجب مطلق ، وآخر مشروط لم يحصل شرطه ، يقدّم المطلق على المشروط كما إذا احتلم المعتكف ، فانّ مكثَ الجنب في المسجد حرام ، وخروجَ المعتكف في اليوم الثالث حرام ، لكنّه مشروط بعدم الحاجة ، ولكن الشرط العدمي غير حاصل فيقدّم الخروج على البقاء</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إذا حصل في يده مال ، يدور أمره بين صرفه في نفقة من يجب عليه الإنفاق عليه بلا شرط كالزوجة غير الناشزة ، والوالدين والأولاد ، وصرفه في الحجّ ، فيقدّم الأوّل ، لأنّ الثاني مشروط بالاستطاعة ، وهي من ملك زاد نفسه وزاد من تجب نفقته عليه والراحلة والعود إلى الكفاية ، وشرط الثاني غير موجود ، لأنّه يجب عليه صرفه في نفقة هؤلاء بلا شرط ، ومعه ينتفي شرط وجوب الحجّ وهو الاستطاعة</w:t>
      </w:r>
      <w:r>
        <w:rPr>
          <w:rFonts w:eastAsia="Amiri" w:cs="Amiri" w:ascii="Amiri" w:hAnsi="Amiri"/>
          <w:color w:val="111111"/>
          <w:sz w:val="28"/>
          <w:szCs w:val="28"/>
          <w:rtl w:val="true"/>
          <w:lang w:bidi="ar-SA"/>
        </w:rPr>
        <w:t xml:space="preserve">. </w:t>
      </w:r>
      <w:bookmarkStart w:id="736" w:name="pg10155_105596"/>
    </w:p>
    <w:p>
      <w:pPr>
        <w:pStyle w:val="Heading3"/>
        <w:numPr>
          <w:ilvl w:val="2"/>
          <w:numId w:val="1"/>
        </w:numPr>
        <w:rPr/>
      </w:pPr>
      <w:bookmarkStart w:id="737" w:name="__RefHeading___Toc1273179_1067777946"/>
      <w:bookmarkStart w:id="738" w:name="_Toc265"/>
      <w:bookmarkEnd w:id="736"/>
      <w:bookmarkEnd w:id="737"/>
      <w:r>
        <w:rPr>
          <w:rtl w:val="true"/>
        </w:rPr>
        <w:t>الفصل الخامس</w:t>
      </w:r>
      <w:r>
        <w:rPr>
          <w:rtl w:val="true"/>
        </w:rPr>
        <w:t xml:space="preserve">: </w:t>
      </w:r>
      <w:r>
        <w:rPr>
          <w:rtl w:val="true"/>
        </w:rPr>
        <w:t>ما هو المرجع فيما لا نصّ فيه في الفقه الشيعي؟</w:t>
      </w:r>
      <w:bookmarkEnd w:id="738"/>
    </w:p>
    <w:p>
      <w:pPr>
        <w:pStyle w:val="Heading4"/>
        <w:numPr>
          <w:ilvl w:val="3"/>
          <w:numId w:val="1"/>
        </w:numPr>
        <w:rPr/>
      </w:pPr>
      <w:bookmarkStart w:id="739" w:name="__RefHeading___Toc1273181_1067777946"/>
      <w:bookmarkStart w:id="740" w:name="_Toc266"/>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 xml:space="preserve">إنّ المرجع عند الشيعة الإمامية في ما لا نصّ فيه في الكتاب والسنّة وليس فيه إجماع بين الأُمّة ولا يمكن استنباطه من العقل هو الأُصول العملية ، أعني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الاشتغال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الخاصة بمورد دون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تفصيل مجاري تلك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الأدلّة الشرعية التي يتمسّك بها المستنبط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عملية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التقسيم من خصائص الفقه الشيعي ، وأمّا الفرق بينهما فهو </w:t>
      </w:r>
      <w:r>
        <w:rPr>
          <w:rFonts w:eastAsia="Amiri" w:cs="Amiri" w:ascii="Amiri" w:hAnsi="Amiri"/>
          <w:color w:val="111111"/>
          <w:sz w:val="28"/>
          <w:szCs w:val="28"/>
          <w:rtl w:val="true"/>
          <w:lang w:bidi="ar-SA"/>
        </w:rPr>
        <w:t xml:space="preserve">: </w:t>
      </w:r>
      <w:bookmarkStart w:id="741" w:name="pg10155_105597"/>
    </w:p>
    <w:p>
      <w:pPr>
        <w:pStyle w:val="BookText"/>
        <w:rPr/>
      </w:pPr>
      <w:bookmarkEnd w:id="741"/>
      <w:r>
        <w:rPr>
          <w:rFonts w:ascii="Amiri" w:hAnsi="Amiri" w:eastAsia="Amiri" w:cs="Amiri"/>
          <w:color w:val="111111"/>
          <w:sz w:val="28"/>
          <w:sz w:val="28"/>
          <w:szCs w:val="28"/>
          <w:rtl w:val="true"/>
          <w:lang w:bidi="ar-SA"/>
        </w:rPr>
        <w:t>إنّ الدليل قد يكون طريقاً إلى الحكم الشرعي إمّا طريقاً قطعياً ، كالكتاب والسنّة المتواترة والإجماع المحصّل وحكم العقل ، أو طريقاً مورثاً للاطمئنان ، كالخبر المستفيض ، وخبر الثقة ، وهذا ما يسمّى بالدليل الاجتهادي أو الأمارات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قصرت يد المجتهد عن الدليل الشرعي الموصل إلى الواقع ، وصار شاكاً متحيراً في حكم الواقعة ، فعند ذلك عالج الشارع تحيّر المجتهد بوضع قواعد لها جذور بين العقلاء ، وهذا ما يسمّى بالأُصول العملية ، أو الدليل الفقاهي ، وهي بين أُصول خاصة بباب ، أو عامة شاملة لجميع أبواب الفقه ، فمن القسم الأوّل القواعد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أصالة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حلال حتى تعلم أنّه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الصحّة في فعل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التجاوز والفراغ عند الشك في صحّة عمل النفس بعد التجاوز عن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القسم الثاني الأُصول التالية </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273183_1067777946"/>
      <w:bookmarkStart w:id="743" w:name="_Toc267"/>
      <w:bookmarkEnd w:id="742"/>
      <w:r>
        <w:rPr/>
        <w:t>1</w:t>
      </w:r>
      <w:r>
        <w:rPr>
          <w:rtl w:val="true"/>
        </w:rPr>
        <w:t xml:space="preserve">. </w:t>
      </w:r>
      <w:r>
        <w:rPr>
          <w:rtl w:val="true"/>
        </w:rPr>
        <w:t>أصالة البراءة</w:t>
      </w:r>
      <w:bookmarkEnd w:id="74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 في وجوب شيء أو حرمته بعد الفحص عن مظانّه ولم يقف على ما دلّ على وجوبه أو على حرمته ، فالعقل والشرع يحكمان بعدم صحّة العقاب على مخالفته ، وهذا ما يعبر عنه بالبراءة العقلية أو الشرعية</w:t>
      </w:r>
      <w:r>
        <w:rPr>
          <w:rFonts w:eastAsia="Amiri" w:cs="Amiri" w:ascii="Amiri" w:hAnsi="Amiri"/>
          <w:color w:val="111111"/>
          <w:sz w:val="28"/>
          <w:szCs w:val="28"/>
          <w:rtl w:val="true"/>
          <w:lang w:bidi="ar-SA"/>
        </w:rPr>
        <w:t xml:space="preserve">. </w:t>
      </w:r>
      <w:bookmarkStart w:id="744" w:name="pg10155_105598"/>
    </w:p>
    <w:p>
      <w:pPr>
        <w:pStyle w:val="BookText"/>
        <w:rPr/>
      </w:pPr>
      <w:bookmarkEnd w:id="744"/>
      <w:r>
        <w:rPr>
          <w:rFonts w:ascii="Amiri" w:hAnsi="Amiri" w:eastAsia="Amiri" w:cs="Amiri"/>
          <w:color w:val="111111"/>
          <w:sz w:val="28"/>
          <w:sz w:val="28"/>
          <w:szCs w:val="28"/>
          <w:rtl w:val="true"/>
          <w:lang w:bidi="ar-SA"/>
        </w:rPr>
        <w:t>أمّا العقلية فلاستقلال العقل بقبح العقاب بلا بيان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الشرعية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والنسيان وما أُكرهوا عليه وما لا يعلمون وما لا يطيقون وما اضطروا إليه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Heading4"/>
        <w:numPr>
          <w:ilvl w:val="3"/>
          <w:numId w:val="1"/>
        </w:numPr>
        <w:rPr/>
      </w:pPr>
      <w:bookmarkStart w:id="745" w:name="__RefHeading___Toc1273185_1067777946"/>
      <w:bookmarkStart w:id="746" w:name="_Toc268"/>
      <w:bookmarkEnd w:id="745"/>
      <w:r>
        <w:rPr/>
        <w:t>2</w:t>
      </w:r>
      <w:r>
        <w:rPr>
          <w:rtl w:val="true"/>
        </w:rPr>
        <w:t xml:space="preserve">. </w:t>
      </w:r>
      <w:r>
        <w:rPr>
          <w:rtl w:val="true"/>
        </w:rPr>
        <w:t>أصالة الاشتغال</w:t>
      </w:r>
      <w:bookmarkEnd w:id="746"/>
    </w:p>
    <w:p>
      <w:pPr>
        <w:pStyle w:val="BookText"/>
        <w:rPr/>
      </w:pPr>
      <w:r>
        <w:rPr>
          <w:rFonts w:ascii="Amiri" w:hAnsi="Amiri" w:eastAsia="Amiri" w:cs="Amiri"/>
          <w:color w:val="111111"/>
          <w:sz w:val="28"/>
          <w:sz w:val="28"/>
          <w:szCs w:val="28"/>
          <w:rtl w:val="true"/>
          <w:lang w:bidi="ar-SA"/>
        </w:rPr>
        <w:t>إذا علم بوجوب شيء مردّد بين أمرين أو حرمته كذلك ، فالعقل يستقل بالاشتغال والاحتياط بمعنى الإتيان بهما أو ترك كليهما ، لأنّ الاشتغال اليقيني يقتضي البراءة القطعية ، فقد تضافر العقل والنقل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 فلاستقلاله على لزوم تحصيل البراءة بعد الاشتغال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الشرع ، فلما ورد في غير واحد من الروايات في أنّ المبتلى بإناءين مشتبهين إذا علم بنجاسة أحدهما يهريقهما ويتيمّم</w:t>
      </w:r>
      <w:r>
        <w:rPr>
          <w:rFonts w:eastAsia="Amiri" w:cs="Amiri" w:ascii="Amiri" w:hAnsi="Amiri"/>
          <w:color w:val="111111"/>
          <w:sz w:val="28"/>
          <w:szCs w:val="28"/>
          <w:rtl w:val="true"/>
          <w:lang w:bidi="ar-SA"/>
        </w:rPr>
        <w:t xml:space="preserve">. </w:t>
      </w:r>
      <w:r>
        <w:rPr>
          <w:rStyle w:val="FootnoteAnchor"/>
          <w:rtl w:val="true"/>
        </w:rPr>
        <w:footnoteReference w:id="665"/>
      </w:r>
    </w:p>
    <w:p>
      <w:pPr>
        <w:pStyle w:val="Heading4"/>
        <w:numPr>
          <w:ilvl w:val="3"/>
          <w:numId w:val="1"/>
        </w:numPr>
        <w:rPr/>
      </w:pPr>
      <w:bookmarkStart w:id="747" w:name="__RefHeading___Toc1273187_1067777946"/>
      <w:bookmarkStart w:id="748" w:name="_Toc269"/>
      <w:bookmarkEnd w:id="747"/>
      <w:r>
        <w:rPr/>
        <w:t>3</w:t>
      </w:r>
      <w:r>
        <w:rPr>
          <w:rtl w:val="true"/>
        </w:rPr>
        <w:t xml:space="preserve">. </w:t>
      </w:r>
      <w:r>
        <w:rPr>
          <w:rtl w:val="true"/>
        </w:rPr>
        <w:t>أصالة التخيير</w:t>
      </w:r>
      <w:bookmarkEnd w:id="748"/>
    </w:p>
    <w:p>
      <w:pPr>
        <w:pStyle w:val="BookText"/>
        <w:rPr/>
      </w:pPr>
      <w:r>
        <w:rPr>
          <w:rFonts w:ascii="Amiri" w:hAnsi="Amiri" w:eastAsia="Amiri" w:cs="Amiri"/>
          <w:color w:val="111111"/>
          <w:sz w:val="28"/>
          <w:sz w:val="28"/>
          <w:szCs w:val="28"/>
          <w:rtl w:val="true"/>
          <w:lang w:bidi="ar-SA"/>
        </w:rPr>
        <w:t>إذا دار حكم الشيء بين الوجوب والحرمة ؛ فبما أنّ التحصيل اليقيني أمر محال ، فهو يتخير بين الأخذ بأحد الحكمين إذا لم يكن أحدهما أهم من الآخر ، وهذا ما يعبر عنه بأصالة التخيير</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273189_1067777946"/>
      <w:bookmarkStart w:id="750" w:name="_Toc270"/>
      <w:bookmarkEnd w:id="749"/>
      <w:r>
        <w:rPr/>
        <w:t>4</w:t>
      </w:r>
      <w:r>
        <w:rPr>
          <w:rtl w:val="true"/>
        </w:rPr>
        <w:t xml:space="preserve">. </w:t>
      </w:r>
      <w:r>
        <w:rPr>
          <w:rtl w:val="true"/>
        </w:rPr>
        <w:t>الاستصحاب</w:t>
      </w:r>
      <w:bookmarkEnd w:id="75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تيقّن بوجوب شيء ، أو حرمته ، أو طهارته ، أو نجاسته ، ثمّ عرض له الشك في بقاء المتيقّن السابق فيحكم بالبقاء ، وهو أصل عقلائي إجمالاً أمضاه </w:t>
      </w:r>
    </w:p>
    <w:p>
      <w:pPr>
        <w:pStyle w:val="BookText"/>
        <w:rPr/>
      </w:pPr>
      <w:r>
        <w:rPr>
          <w:rFonts w:ascii="Amiri" w:hAnsi="Amiri" w:eastAsia="Amiri" w:cs="Amiri"/>
          <w:color w:val="111111"/>
          <w:sz w:val="28"/>
          <w:sz w:val="28"/>
          <w:szCs w:val="28"/>
          <w:rtl w:val="true"/>
          <w:lang w:bidi="ar-SA"/>
        </w:rPr>
        <w:t>الشارع وتضافرت روايات عن أئمّة أهل البيت على حرمة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الأُصول العملية الأربعة المستمدة حكمها من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الأُصول على قسمين ، إمّا خاصة ببعض الأبواب ، أو عامة شاملة لجميع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من أنّ الأُصول العملية الخاصة أو العامة تستمد حكمها من الكتاب أو السنّة أو العقل ، فهي ليست من مصادر التشريع برأسها ، وإنّما ترجع إلى المنابع الأربعة الأُولى ؛ خلافاً لما يتراءى من أهل السنّة ، فجعلوا البراءة أو الاستصحاب في عرض الكتاب والسنّة ، كما جعلوا القياس أيضاً كذلك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أهل السنّة ، فالمرجع عندهم فيما لا نصّ فيه ، هي الأُمور السبعة التالية التي نطرحها على صعيد البحث والدراسة ، في الفصل التالي</w:t>
      </w:r>
      <w:r>
        <w:rPr>
          <w:rFonts w:eastAsia="Amiri" w:cs="Amiri" w:ascii="Amiri" w:hAnsi="Amiri"/>
          <w:color w:val="111111"/>
          <w:sz w:val="28"/>
          <w:szCs w:val="28"/>
          <w:rtl w:val="true"/>
          <w:lang w:bidi="ar-SA"/>
        </w:rPr>
        <w:t xml:space="preserve">. </w:t>
      </w:r>
      <w:bookmarkStart w:id="751" w:name="pg10155_105600"/>
    </w:p>
    <w:p>
      <w:pPr>
        <w:pStyle w:val="Heading3"/>
        <w:numPr>
          <w:ilvl w:val="2"/>
          <w:numId w:val="1"/>
        </w:numPr>
        <w:rPr/>
      </w:pPr>
      <w:bookmarkStart w:id="752" w:name="__RefHeading___Toc1273191_1067777946"/>
      <w:bookmarkStart w:id="753" w:name="_Toc271"/>
      <w:bookmarkEnd w:id="751"/>
      <w:bookmarkEnd w:id="752"/>
      <w:r>
        <w:rPr>
          <w:rtl w:val="true"/>
        </w:rPr>
        <w:t>الفصل السادس</w:t>
      </w:r>
      <w:r>
        <w:rPr>
          <w:rtl w:val="true"/>
        </w:rPr>
        <w:t xml:space="preserve">: </w:t>
      </w:r>
      <w:r>
        <w:rPr>
          <w:rtl w:val="true"/>
        </w:rPr>
        <w:t>ما هو المرجع فيما لا نصّ فيه في الفقه السنّيّ؟</w:t>
      </w:r>
      <w:bookmarkEnd w:id="753"/>
    </w:p>
    <w:p>
      <w:pPr>
        <w:pStyle w:val="Heading4"/>
        <w:numPr>
          <w:ilvl w:val="3"/>
          <w:numId w:val="1"/>
        </w:numPr>
        <w:rPr/>
      </w:pPr>
      <w:bookmarkStart w:id="754" w:name="__RefHeading___Toc1273193_1067777946"/>
      <w:bookmarkStart w:id="755" w:name="_Toc272"/>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قد تعرّفت على ما هو المرجع فيما لا نصّ فيه عند الشيعة الإمامية بقي الكلام في بيان ما هو المرجع عند أهل السنّة فيما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قلة النصوص الشرعية في الأحكام هو السبب الرئيسي لالتجاء فقهائهم إلى العمل بالقواعد الظنية ، وهي كالتالي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المصالح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الذرائع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اتّفاق أهل المدينة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ذكرناه من المصادر هي المعروفة بين فقهاء المذاهب الأربعة وإن كان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بينهم اختلاف في حجّية بعض دون بعض ، فمثلاً القياس قد اتّفقوا على حجّيته جميعاً ، غير الظاهرية في حين انّ المصالح المرسلة قد انفرد بها مالك وإن نسب القول بها إلى غيره كما سيتضح فيما بعد ، فنسبة هذه الأُمور إلى أهل السنّة لا تعني انّهم يعتبرون الجميع على حدّ سواء ، بل انّ بعضها محلّ خلاف بينهم</w:t>
      </w:r>
      <w:r>
        <w:rPr>
          <w:rFonts w:eastAsia="Amiri" w:cs="Amiri" w:ascii="Amiri" w:hAnsi="Amiri"/>
          <w:color w:val="111111"/>
          <w:sz w:val="28"/>
          <w:szCs w:val="28"/>
          <w:rtl w:val="true"/>
          <w:lang w:bidi="ar-SA"/>
        </w:rPr>
        <w:t xml:space="preserve">. </w:t>
      </w:r>
      <w:bookmarkStart w:id="756" w:name="pg10155_105602"/>
    </w:p>
    <w:p>
      <w:pPr>
        <w:pStyle w:val="Heading4"/>
        <w:numPr>
          <w:ilvl w:val="3"/>
          <w:numId w:val="1"/>
        </w:numPr>
        <w:rPr/>
      </w:pPr>
      <w:bookmarkStart w:id="757" w:name="__RefHeading___Toc1273195_1067777946"/>
      <w:bookmarkStart w:id="758" w:name="_Toc273"/>
      <w:bookmarkEnd w:id="756"/>
      <w:bookmarkEnd w:id="757"/>
      <w:r>
        <w:rPr/>
        <w:t>1</w:t>
      </w:r>
      <w:r>
        <w:rPr>
          <w:rtl w:val="true"/>
        </w:rPr>
        <w:t xml:space="preserve">- </w:t>
      </w:r>
      <w:r>
        <w:rPr>
          <w:rtl w:val="true"/>
        </w:rPr>
        <w:t>مصادر التشريع فيما لا نصّ فيه عند أهل السنّة</w:t>
      </w:r>
      <w:bookmarkEnd w:id="758"/>
    </w:p>
    <w:p>
      <w:pPr>
        <w:pStyle w:val="Heading5"/>
        <w:numPr>
          <w:ilvl w:val="4"/>
          <w:numId w:val="1"/>
        </w:numPr>
        <w:rPr/>
      </w:pPr>
      <w:bookmarkStart w:id="759" w:name="__RefHeading___Toc1273197_1067777946"/>
      <w:bookmarkStart w:id="760" w:name="_Toc274"/>
      <w:bookmarkEnd w:id="759"/>
      <w:r>
        <w:rPr>
          <w:rtl w:val="true"/>
        </w:rPr>
        <w:t>القياس</w:t>
      </w:r>
      <w:bookmarkEnd w:id="760"/>
    </w:p>
    <w:p>
      <w:pPr>
        <w:pStyle w:val="Heading6"/>
        <w:numPr>
          <w:ilvl w:val="5"/>
          <w:numId w:val="1"/>
        </w:numPr>
        <w:rPr/>
      </w:pPr>
      <w:bookmarkStart w:id="761" w:name="__RefHeading___Toc1273199_1067777946"/>
      <w:bookmarkStart w:id="762" w:name="_Toc275"/>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 xml:space="preserve">ظهر القول بالقياس بعد رحيل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الأحداث الجديدة وكان هناك اختلاف حادّ بين الصحابة في الأخذ به ، ولو توفرت بأيديهم نصوص في الموضوع ، لما حاموا حول القياس ، ولكن إعواز النصوص جرّهم إلى القياس لأجل معالجة المشاكل العالقة والمسائل المستحدثة وقد نقل ابن خلدون عن أبي حنيفة انّه لم يصح عنده من أحاديث الرسول إلاّ سبعة عشر حديثاً</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فإذا كان الصحيح عنده هذا المقدار اليسير فكيف يقوم باستنباط الأحكام من الكتاب والسنّة؟ فلم يكن له محيص إلاّ اللجوء إلى القياس ونظائره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ولفيف من الصحابة والتابعين رفضوه ، وأكثروا من ذمّه ، والشيعة عن بكرة أبيهم تبعاً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أبطلوا العمل بالقياس ، ووافقهم من الفقهاء داود بن خلف ، إمام أهل الظاهر ، وتبعه ابن حزم الأندلسي فلم يقيموا له وزناً ، وأوّل من توسع في القياس هو أبو حنيفة شيخ أهل القياس وتبعه مالك والشافعي وابن حنبل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أبداً أن يقول في </w:t>
      </w:r>
      <w:bookmarkStart w:id="763" w:name="pg10155_105603"/>
    </w:p>
    <w:p>
      <w:pPr>
        <w:pStyle w:val="BookText"/>
        <w:rPr/>
      </w:pPr>
      <w:bookmarkEnd w:id="763"/>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ولا حرم إلاّ من جهة العلم ، وجهة العلم الخبر في الكتاب أو السنّة أو الإجماع أو القياس</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وقبل الدخول في صلب الموضوع نقدّم أُموراً </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1273201_1067777946"/>
      <w:bookmarkStart w:id="765" w:name="_Toc276"/>
      <w:bookmarkEnd w:id="764"/>
      <w:r>
        <w:rPr>
          <w:rtl w:val="true"/>
        </w:rPr>
        <w:t xml:space="preserve">الأوّل </w:t>
      </w:r>
      <w:r>
        <w:rPr>
          <w:rtl w:val="true"/>
        </w:rPr>
        <w:t xml:space="preserve">: </w:t>
      </w:r>
      <w:r>
        <w:rPr>
          <w:rtl w:val="true"/>
        </w:rPr>
        <w:t>القياس لغة واصطلاحاً</w:t>
      </w:r>
      <w:bookmarkEnd w:id="765"/>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 الشيء يقيسه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قدّره على مثاله والمقياس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ومن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 الثوب بالذراع إذا قدّره به ، وفي 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يقاس بآل محمّد من هذه الأُمّة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يسوّى بهم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اصطلاحاً فيستعمل في موردين ، أحدهما مهجور والآخر ذائع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 العلل الواقعية للأحكام الشرعية من طريق العقل وجعلها مقياساً لصحة النصوص الشرعيّة فما وافقها يحكم عليه انّه حكم الله الذي يُؤخذ به وما خالفها كان موضعاً للرفض أو التشكيك ، وعلى هذا النوع من الاصطلاح تنزّل التعبيرات الشائعة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الحكم موافق للقياس وذلك الحكم مخالف 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القياس بهذا المعنى مثارَ معركة فكرية واسعة النطاق على عهد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فقهاء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الاصطلاح دارت المناظرة التالية بين الإمام وأبي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نعيم بسنده عن عمرو 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 بن محمد أنا وابن أبي ليلى وأبو حنيفة ، فقال لابن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p>
    <w:p>
      <w:pPr>
        <w:pStyle w:val="BookText"/>
        <w:rPr/>
      </w:pP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له بصر ونفاذ في أمر الدين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يقيس أمر الدين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نعمان ، حدثني أبي عن جدّي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قاس أمر الدين برأيه إبليس ، قال الله 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لآدم فقال أنا خير منه خلقتني من نار وخلقته من طين ، فمن قاس الدين برأيه قرنه الله تعالى يوم القيامة بإبليس لأنّه اتّبعه بالقياس</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فالقياس في هذه الرواية منصرف إلى هذا المصطلح حيث إنّ إبليس تمرّد عن الأمر بالسجود ، لأنّه على خلاف قياسه لتخيله انّ الأمر بالسجود يقتضي أن يبتني على أساس التفاضل العنصري ، ولأجل هذا خطّأ الحكم الشرعي لاعتقاده بأنّه أفضل في عنصره من آدم لكونه مخلوقاً من نار وهو مخلوق من طين</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وعلى هذا الاصطلاح يبتني ما رواه أبان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رجل قطع إصبعاً من أصابع امرأة ، كم فيها؟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اثنين؟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ثلاثاً؟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أربعاً؟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ثلاثاً فيكون عليه ثلاثون ، ويقطع أربعاً فيكون عليه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كان يبلغنا ونحن بالعراق فنبرأ ممّن قاله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قاله ، الشيطان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مهلاً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تعاقل الرجل إلى ثُلث الدية ، فإذا بلغت الثلث رجعت المرأة إلى النصف ، يا أبان انّك </w:t>
      </w:r>
    </w:p>
    <w:p>
      <w:pPr>
        <w:pStyle w:val="BookText"/>
        <w:rPr/>
      </w:pPr>
      <w:r>
        <w:rPr>
          <w:rFonts w:ascii="Amiri" w:hAnsi="Amiri" w:eastAsia="Amiri" w:cs="Amiri"/>
          <w:color w:val="111111"/>
          <w:sz w:val="28"/>
          <w:sz w:val="28"/>
          <w:szCs w:val="28"/>
          <w:rtl w:val="true"/>
          <w:lang w:bidi="ar-SA"/>
        </w:rPr>
        <w:t>أخذتني بالقياس ، والسنّة إذا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إنّما صار أبان إلى تخطئة الخبر الذي وصل إليه حتّى نسبه إلى الشيطان ، لأجل أنّه وجده خلاف ما حصّله وأصّله ، وهو انّه كلّما ازدادت الأصابع المقطوعة تزداد الدية فلمّا سمع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أربعاً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سورته ، إذ وجده مخالفاً للأصل الأصيل عنده ، فردعه الإمام بأنّ هذا هو حكم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استنكارك قائم على الأخذ بالقياس ، والسنّة إذا قيست محق الدين ، وتصحيح الأحكام وتخطئتها حسب الموازين المتخيّلة سبب لمحق الدين ، وأنّى للعقول أن تصل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أحد المصطلحين في القياس ، وقد صار هذا الاصطلاح مهجوراً في العصور المتأخرة ، والرائج هو الاصطلاح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استنباط حكم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فيها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واقعة ورد فيها نص لتساويهما في علّة الحكم ومناطه وملاكه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القياس الذي وقع معركة للنقاش والجدال ، وما ذكرنا من التعريف أوضح التعاريف وأفضلها ، وقد عرف بتعاريف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معلوم على معلوم في إثبات حكم لهما ، أو نفيه عنهما بأمر جامع بينهما من حكم أو صفة</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مساواة فرع لأصله في علّة حكمه الشرعي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التعاريف</w:t>
      </w:r>
      <w:r>
        <w:rPr>
          <w:rFonts w:eastAsia="Amiri" w:cs="Amiri" w:ascii="Amiri" w:hAnsi="Amiri"/>
          <w:color w:val="111111"/>
          <w:sz w:val="28"/>
          <w:szCs w:val="28"/>
          <w:rtl w:val="true"/>
          <w:lang w:bidi="ar-SA"/>
        </w:rPr>
        <w:t xml:space="preserve">. </w:t>
      </w:r>
      <w:bookmarkStart w:id="766" w:name="pg10155_105606"/>
    </w:p>
    <w:p>
      <w:pPr>
        <w:pStyle w:val="Heading6"/>
        <w:numPr>
          <w:ilvl w:val="5"/>
          <w:numId w:val="1"/>
        </w:numPr>
        <w:rPr/>
      </w:pPr>
      <w:bookmarkStart w:id="767" w:name="__RefHeading___Toc1273203_1067777946"/>
      <w:bookmarkStart w:id="768" w:name="_Toc277"/>
      <w:bookmarkEnd w:id="766"/>
      <w:bookmarkEnd w:id="767"/>
      <w:r>
        <w:rPr>
          <w:rtl w:val="true"/>
        </w:rPr>
        <w:t xml:space="preserve">الثاني </w:t>
      </w:r>
      <w:r>
        <w:rPr>
          <w:rtl w:val="true"/>
        </w:rPr>
        <w:t xml:space="preserve">: </w:t>
      </w:r>
      <w:r>
        <w:rPr>
          <w:rtl w:val="true"/>
        </w:rPr>
        <w:t>أركان القياس</w:t>
      </w:r>
      <w:bookmarkEnd w:id="768"/>
    </w:p>
    <w:p>
      <w:pPr>
        <w:pStyle w:val="BookText"/>
        <w:rPr/>
      </w:pPr>
      <w:r>
        <w:rPr>
          <w:rFonts w:ascii="Amiri" w:hAnsi="Amiri" w:eastAsia="Amiri" w:cs="Amiri"/>
          <w:color w:val="111111"/>
          <w:sz w:val="28"/>
          <w:sz w:val="28"/>
          <w:szCs w:val="28"/>
          <w:rtl w:val="true"/>
          <w:lang w:bidi="ar-SA"/>
        </w:rPr>
        <w:t xml:space="preserve">ثمّ إنّ أركان القياس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يحكم به على الثاني بعد الحكم به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الوصف الجامع ، الذي يجمع بين المقيس والمقيس عليه ، ويكون هو السبب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قال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بطريق انّ علّة التحريم هو الإسكار ، فإذا شككنا في حكم سائر السوائل المسكرة كالنبيذ والفقاع يحكم عليهما بالحرمة ، لاشتراكهما مع الخمر في الجهة الجامعة</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1273205_1067777946"/>
      <w:bookmarkStart w:id="770" w:name="_Toc278"/>
      <w:bookmarkEnd w:id="769"/>
      <w:r>
        <w:rPr>
          <w:rtl w:val="true"/>
        </w:rPr>
        <w:t xml:space="preserve">الثالث </w:t>
      </w:r>
      <w:r>
        <w:rPr>
          <w:rtl w:val="true"/>
        </w:rPr>
        <w:t xml:space="preserve">: </w:t>
      </w:r>
      <w:r>
        <w:rPr>
          <w:rtl w:val="true"/>
        </w:rPr>
        <w:t>إمكان العمل بالقياس</w:t>
      </w:r>
      <w:bookmarkEnd w:id="770"/>
    </w:p>
    <w:p>
      <w:pPr>
        <w:pStyle w:val="BookText"/>
        <w:rPr/>
      </w:pPr>
      <w:r>
        <w:rPr>
          <w:rFonts w:ascii="Amiri" w:hAnsi="Amiri" w:eastAsia="Amiri" w:cs="Amiri"/>
          <w:color w:val="111111"/>
          <w:sz w:val="28"/>
          <w:sz w:val="28"/>
          <w:szCs w:val="28"/>
          <w:rtl w:val="true"/>
          <w:lang w:bidi="ar-SA"/>
        </w:rPr>
        <w:t xml:space="preserve">لا شكّ انّ التعبد بالقياس أمر ممكن فللشارع أن يتعبّدنا به كما تعبدنا بالعمل بقول الثقة ، وما ربما يُنسب إلى الشيعة بقولهم بامتناع العمل بالقياس وعدم إمكانه </w:t>
      </w:r>
      <w:r>
        <w:rPr>
          <w:rStyle w:val="FootnoteAnchor"/>
          <w:rtl w:val="true"/>
        </w:rPr>
        <w:footnoteReference w:id="673"/>
      </w:r>
      <w:r>
        <w:rPr>
          <w:rFonts w:ascii="Amiri" w:hAnsi="Amiri" w:eastAsia="Amiri" w:cs="Amiri"/>
          <w:color w:val="111111"/>
          <w:sz w:val="28"/>
          <w:sz w:val="28"/>
          <w:szCs w:val="28"/>
          <w:rtl w:val="true"/>
          <w:lang w:bidi="ar-SA"/>
        </w:rPr>
        <w:t>ففي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القياس كسائر الأدلّة الظنية المشتركة في إمكان التعبّد به ، وإنّما الكلام في وقوعه وعدم ورود النهي عنه ، فالشيعة الإمامية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ويعجبني أن أنقل كلمة لبعض علمائنا السابقين لمناسبتها المقام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من جهة العقل التعبّد بالقياس في الشرعيات ، لأنّه يمكن أن يكون طريقاً إلى معرفة الأحكام الشرعية </w:t>
      </w:r>
      <w:bookmarkStart w:id="771" w:name="pg10155_105607"/>
    </w:p>
    <w:p>
      <w:pPr>
        <w:pStyle w:val="BookText"/>
        <w:rPr/>
      </w:pPr>
      <w:bookmarkEnd w:id="771"/>
      <w:r>
        <w:rPr>
          <w:rFonts w:ascii="Amiri" w:hAnsi="Amiri" w:eastAsia="Amiri" w:cs="Amiri"/>
          <w:color w:val="111111"/>
          <w:sz w:val="28"/>
          <w:sz w:val="28"/>
          <w:szCs w:val="28"/>
          <w:rtl w:val="true"/>
          <w:lang w:bidi="ar-SA"/>
        </w:rPr>
        <w:t>ودليلاً عليها ، ألا ترى أنّه لا فرق في العلم بتحريم النبيذ المسكر مثلاً بين أن ينصَّ الشارع على تحريم جميع المسكر ، وبين أن ينصَّ على تحريم الخمر بعينها ، وينص على أنّ العلّة في هذا التحريم ،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ينصّ على العلة ، وبين أن يدل بغير النص على أنّ تحريم الخمر لشدتها أو ينصب لنا أمارة تغلب في الظن عندها انّ تحريم الخمر لهذه العلّة مع إيجابه القياس علينا في هذه الوجوه كلّها ، لأنّ كلّ طريق منها ، يوصل إلى العلم بتحريم النبيذ المسكر ، ومن منع من جواز ورود العبادة بأحدها كمن صنع من جواز ورودها بالباقي</w:t>
      </w:r>
      <w:r>
        <w:rPr>
          <w:rFonts w:eastAsia="Amiri" w:cs="Amiri" w:ascii="Amiri" w:hAnsi="Amiri"/>
          <w:color w:val="111111"/>
          <w:sz w:val="28"/>
          <w:szCs w:val="28"/>
          <w:rtl w:val="true"/>
          <w:lang w:bidi="ar-SA"/>
        </w:rPr>
        <w:t xml:space="preserve">. </w:t>
      </w:r>
      <w:r>
        <w:rPr>
          <w:rStyle w:val="FootnoteAnchor"/>
          <w:rtl w:val="true"/>
        </w:rPr>
        <w:footnoteReference w:id="674"/>
      </w:r>
    </w:p>
    <w:p>
      <w:pPr>
        <w:pStyle w:val="Heading6"/>
        <w:numPr>
          <w:ilvl w:val="5"/>
          <w:numId w:val="1"/>
        </w:numPr>
        <w:rPr/>
      </w:pPr>
      <w:bookmarkStart w:id="772" w:name="__RefHeading___Toc1273207_1067777946"/>
      <w:bookmarkStart w:id="773" w:name="_Toc279"/>
      <w:bookmarkEnd w:id="772"/>
      <w:r>
        <w:rPr>
          <w:rtl w:val="true"/>
        </w:rPr>
        <w:t xml:space="preserve">الرابع </w:t>
      </w:r>
      <w:r>
        <w:rPr>
          <w:rtl w:val="true"/>
        </w:rPr>
        <w:t xml:space="preserve">: </w:t>
      </w:r>
      <w:r>
        <w:rPr>
          <w:rtl w:val="true"/>
        </w:rPr>
        <w:t>أقسام القياس</w:t>
      </w:r>
      <w:bookmarkEnd w:id="773"/>
    </w:p>
    <w:p>
      <w:pPr>
        <w:pStyle w:val="BookText"/>
        <w:rPr/>
      </w:pPr>
      <w:r>
        <w:rPr>
          <w:rFonts w:ascii="Amiri" w:hAnsi="Amiri" w:eastAsia="Amiri" w:cs="Amiri"/>
          <w:color w:val="111111"/>
          <w:sz w:val="28"/>
          <w:sz w:val="28"/>
          <w:szCs w:val="28"/>
          <w:rtl w:val="true"/>
          <w:lang w:bidi="ar-SA"/>
        </w:rPr>
        <w:t>القياس ينقسم إلى منصوص العلة ومستنبطها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عبارة عمّا إذا نصّ الشارع على علّة الحكم وملاكه على وجه علم انّه علّة الحكم التي يدور الحكم موردها ، لا حكمته التي ربما يتخلّف الحكم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هناك تنصيص من الشارع عليها ، وإنّما قام الفقيه باستخراج علّة الحكم بفكره وجُهده ، فيطلق على هذا النوع من القياس ، مستنبط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وينقسم مستنبط العلّة إلى قسمين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يصل الفقيه إلى حد القطع بأنّ ما استخرجه علّة الحكم ومناطه ، وأُخرى لا يصل إلاّ إلى حدّ الظن بكونه كذلك</w:t>
      </w:r>
      <w:r>
        <w:rPr>
          <w:rFonts w:eastAsia="Amiri" w:cs="Amiri" w:ascii="Amiri" w:hAnsi="Amiri"/>
          <w:color w:val="111111"/>
          <w:sz w:val="28"/>
          <w:szCs w:val="28"/>
          <w:rtl w:val="true"/>
          <w:lang w:bidi="ar-SA"/>
        </w:rPr>
        <w:t xml:space="preserve">. </w:t>
      </w:r>
      <w:bookmarkStart w:id="774" w:name="pg10155_105608"/>
    </w:p>
    <w:p>
      <w:pPr>
        <w:pStyle w:val="BookText"/>
        <w:rPr/>
      </w:pPr>
      <w:bookmarkEnd w:id="774"/>
      <w:r>
        <w:rPr>
          <w:rFonts w:ascii="Amiri" w:hAnsi="Amiri" w:eastAsia="Amiri" w:cs="Amiri"/>
          <w:color w:val="111111"/>
          <w:sz w:val="28"/>
          <w:sz w:val="28"/>
          <w:szCs w:val="28"/>
          <w:rtl w:val="true"/>
          <w:lang w:bidi="ar-SA"/>
        </w:rPr>
        <w:t>وقلّما يتّفق لإنسان عادي أن يقطع بأنّ ما وصل إليه من العلّة هو علّة التشريع ومناطه واقعاً ، وليس هناك ضمائم أُخرى وراء ما أدرك</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1273209_1067777946"/>
      <w:bookmarkStart w:id="776" w:name="_Toc280"/>
      <w:bookmarkEnd w:id="775"/>
      <w:r>
        <w:rPr>
          <w:rtl w:val="true"/>
        </w:rPr>
        <w:t xml:space="preserve">الخامس </w:t>
      </w:r>
      <w:r>
        <w:rPr>
          <w:rtl w:val="true"/>
        </w:rPr>
        <w:t xml:space="preserve">: </w:t>
      </w:r>
      <w:r>
        <w:rPr>
          <w:rtl w:val="true"/>
        </w:rPr>
        <w:t>الفرق بين علّة الحكم وحكمته</w:t>
      </w:r>
      <w:bookmarkEnd w:id="776"/>
    </w:p>
    <w:p>
      <w:pPr>
        <w:pStyle w:val="BookText"/>
        <w:rPr/>
      </w:pPr>
      <w:r>
        <w:rPr>
          <w:rFonts w:ascii="Amiri" w:hAnsi="Amiri" w:eastAsia="Amiri" w:cs="Amiri"/>
          <w:color w:val="111111"/>
          <w:sz w:val="28"/>
          <w:sz w:val="28"/>
          <w:szCs w:val="28"/>
          <w:rtl w:val="true"/>
          <w:lang w:bidi="ar-SA"/>
        </w:rPr>
        <w:t>كثيراً ما يختلط على الفقيه علّة الحكم مع حكمته ، والعلّة هي ما يدور الحكم مدارها ، والحكمة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الحكم دائراً مدار الشيء وجوداً وعدماً فهو علّة الحكم ومناطه ، كالإسكار بالنسبة إلى الخمر ، وأمّا إذا كان الحكم أوسع ممّا ذكر في النصّ ، أو استُنبط فهو من حِكَم الأحكام ومصالحه ، لا من مناطاته وملاكاته ، فمثلاً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سمّوه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العلماء في بناء القياس على المناسب المؤثر ويسمّون القياس بناء عليه قياساً في معنى الأصل</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ولعلّ من هذا القبيل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ليست بنجس انّها من الطوافين عليكم والطوافات</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فلو كان المفهوم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الحكم ويدور مدارها ، صحّ إلحاق الحشرات من الفأرة وغيرها بها ، وأمّا لو قلنا بأنّه حكمة الحكم ، لا علّته ، يتوقّف في الإلحاق</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الإنجاب وتشكيل الأُسرة من فوائد النكاح ومصالحه ، وليس من مناطاته وملاكاته ، بشهادة انّه يجوز تزويج المرأة العقيمة واليائسة ومن لا تطلب ولداً بالعزل ، وغير ذلك من أقسام النكاح</w:t>
      </w:r>
      <w:r>
        <w:rPr>
          <w:rFonts w:eastAsia="Amiri" w:cs="Amiri" w:ascii="Amiri" w:hAnsi="Amiri"/>
          <w:color w:val="111111"/>
          <w:sz w:val="28"/>
          <w:szCs w:val="28"/>
          <w:rtl w:val="true"/>
          <w:lang w:bidi="ar-SA"/>
        </w:rPr>
        <w:t xml:space="preserve">. </w:t>
      </w:r>
      <w:bookmarkStart w:id="777" w:name="pg10155_105609"/>
    </w:p>
    <w:p>
      <w:pPr>
        <w:pStyle w:val="BookText"/>
        <w:rPr/>
      </w:pPr>
      <w:bookmarkEnd w:id="777"/>
      <w:r>
        <w:rPr>
          <w:rFonts w:ascii="Amiri" w:hAnsi="Amiri" w:eastAsia="Amiri" w:cs="Amiri"/>
          <w:color w:val="111111"/>
          <w:sz w:val="28"/>
          <w:sz w:val="28"/>
          <w:szCs w:val="28"/>
          <w:rtl w:val="true"/>
          <w:lang w:bidi="ar-SA"/>
        </w:rPr>
        <w:t xml:space="preserve">ولنذكر مثالاً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ففرض سبحانه على المطلّقة تربّص ثلاثة قروء بُغية استعلام حالها من حيث الحمل وعدمه ، وأضاف سبحانه بأنّها لو كانت حاملاً فعدتها أن تضع حملها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ولكن استعلام حال المطلّقة ليس ضابطاً للحكم ولا ملاكاً له ، بل من حِكَمِه ، بشهادة انّه لو غاب زوجها عنها مدّة سنة أو أقلّ أو أكثر فطلّقها يجب عليها التربّص مع العلم بعدم حملها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أنّ بعض ما ورد في الشرع بصورة العلّة ، ربما تكون حكمة ومصلحة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بين العلّة والحكمة ، هو انّ الحكمة غير منضبطة بمعنى انّها وصف مناسب للحكم يتحقّق في أكثر الأحوال ، وأمّا العلة فهي وصف ظاهر منضبط محدود ، أقامه الشارع أمارة على الحكم</w:t>
      </w:r>
      <w:r>
        <w:rPr>
          <w:rFonts w:eastAsia="Amiri" w:cs="Amiri" w:ascii="Amiri" w:hAnsi="Amiri"/>
          <w:color w:val="111111"/>
          <w:sz w:val="28"/>
          <w:szCs w:val="28"/>
          <w:rtl w:val="true"/>
          <w:lang w:bidi="ar-SA"/>
        </w:rPr>
        <w:t xml:space="preserve">. </w:t>
      </w:r>
      <w:r>
        <w:rPr>
          <w:rStyle w:val="FootnoteAnchor"/>
          <w:rtl w:val="true"/>
        </w:rPr>
        <w:footnoteReference w:id="679"/>
      </w:r>
    </w:p>
    <w:p>
      <w:pPr>
        <w:pStyle w:val="Heading6"/>
        <w:numPr>
          <w:ilvl w:val="5"/>
          <w:numId w:val="1"/>
        </w:numPr>
        <w:rPr/>
      </w:pPr>
      <w:bookmarkStart w:id="778" w:name="__RefHeading___Toc1273211_1067777946"/>
      <w:bookmarkStart w:id="779" w:name="_Toc281"/>
      <w:bookmarkEnd w:id="778"/>
      <w:r>
        <w:rPr>
          <w:rtl w:val="true"/>
        </w:rPr>
        <w:t xml:space="preserve">السادس </w:t>
      </w:r>
      <w:r>
        <w:rPr>
          <w:rtl w:val="true"/>
        </w:rPr>
        <w:t xml:space="preserve">: </w:t>
      </w:r>
      <w:r>
        <w:rPr>
          <w:rtl w:val="true"/>
        </w:rPr>
        <w:t>حكم القياس في منصوص العلّة</w:t>
      </w:r>
      <w:bookmarkEnd w:id="779"/>
    </w:p>
    <w:p>
      <w:pPr>
        <w:pStyle w:val="BookText"/>
        <w:rPr/>
      </w:pPr>
      <w:r>
        <w:rPr>
          <w:rFonts w:ascii="Amiri" w:hAnsi="Amiri" w:eastAsia="Amiri" w:cs="Amiri"/>
          <w:color w:val="111111"/>
          <w:sz w:val="28"/>
          <w:sz w:val="28"/>
          <w:szCs w:val="28"/>
          <w:rtl w:val="true"/>
          <w:lang w:bidi="ar-SA"/>
        </w:rPr>
        <w:t>العمل بالقياس في منصوص العلّة راجع في الحقيقة إلى العمل بالسنّة ، لا بالقياس ، لأنّ الشارع شرّع ضابطة كلية عند التعليل فنسير على ضوئها في جميع الموارد التي تمتلك تلك العلة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نفترض انّه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فإلحاق غير الخمر </w:t>
      </w:r>
    </w:p>
    <w:p>
      <w:pPr>
        <w:pStyle w:val="BookText"/>
        <w:rPr/>
      </w:pPr>
      <w:r>
        <w:rPr>
          <w:rFonts w:ascii="Amiri" w:hAnsi="Amiri" w:eastAsia="Amiri" w:cs="Amiri"/>
          <w:color w:val="111111"/>
          <w:sz w:val="28"/>
          <w:sz w:val="28"/>
          <w:szCs w:val="28"/>
          <w:rtl w:val="true"/>
          <w:lang w:bidi="ar-SA"/>
        </w:rPr>
        <w:t>من سائر المسكرات عليه ليس عملاً بالقياس المصطلح ، بل عمل بالسنّة الشريفة والضابطة الكلية التي أدلى بها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فما يلحق من الفروع بالأصل المنصوص ليس قياساً أوّلاً بل عمل بالسنّة ، وعلى افتراض كونه عملاً بالقياس فهو خارج عن محل النزاع ثانياً ، وقد أطبق مشايخنا الإمامية على العمل بمنصوص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استخراج الحكم غير متوقّف إلاّ على فهم النص بلا حاجة إلى اجتهاد ، فهو عمل بالظاهر ، بخلاف ما إذا كان متوقفاً وراء فهم النص إلى بذل جهد ، والوقوف على المناط ثمّ التسوية ثمّ الحكم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فلا نحتاج في فهم حكم الخير الكثير إلاّ إلى فهم مدلول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مثالاً من 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إسماعيل بن بزيع 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 إلاّ أن يتغيّر ريحه أو طعمه فيُنزح حتّى يذهب الريح ، ويطيب طعمه لأنّ له مادة</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تعليل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حجّة في غير ماء البئر أيضاً ، فيشمل التعليل بعمومه ، ماءَ البئر ، وماءَ الحمام والعيون وحنفيةَ الخزّان وغيرها فلا ينجس الماء إذا كان له مادة ، فالعمل عندئذ بظاهر السنّة لا بالقياس ، فليس هناك أصل ولا فرع ولا انتقال من حكم الأصل إلى الفرع </w:t>
      </w:r>
      <w:bookmarkStart w:id="780" w:name="pg10155_105611"/>
    </w:p>
    <w:p>
      <w:pPr>
        <w:pStyle w:val="BookText"/>
        <w:rPr/>
      </w:pPr>
      <w:bookmarkEnd w:id="780"/>
      <w:r>
        <w:rPr>
          <w:rFonts w:ascii="Amiri" w:hAnsi="Amiri" w:eastAsia="Amiri" w:cs="Amiri"/>
          <w:color w:val="111111"/>
          <w:sz w:val="28"/>
          <w:sz w:val="28"/>
          <w:szCs w:val="28"/>
          <w:rtl w:val="true"/>
          <w:lang w:bidi="ar-SA"/>
        </w:rPr>
        <w:t>بل موضوع الحكم هو العلة والفروع بأجمعها داخلة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 ، يكون العمل بالملاك المنصوص عملاً بظاهر السنّة لا بالقياس ، وأمّا المجتهد فعمله تطبيق الضابطة التي أعطاها الشارع على جميع الموارد دفعة واحدة فليس هناك أصل ولا فرع ولا انتقال من حكم الأصل إلى الفرع ، بل موضوع الحكم هو العلة والفروع بأجمعها داخلة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استنباط الحكم عن طريق القياس وبين استنباط الحكم عن طريق تطبيق القاعدة المعطاة على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أي استنباط الحكم من طريق القياس ، يتحمل المجتهد جُهداً في تخريج المناط ، ثمّ يجعل الموضوع الوارد في الدليل أصلاً ، والذي يريد إلحاقه به فرعاً وأمّا الثاني فيكفي فيها فهم النصّ لغة بلا حاجة إلى الاجتهاد ، ولا إلى تخريج المناط فيكون النص دالاّ على الحكمين بدلالة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وَيَسْئَلُونَكَ عَنِ الْمَحِيضِ قُلْ هُوَ أَذىً فَاعْتَزِلُوا النِّساءَ فِي الْمَحِيضِ وَلا تَقْرَبُوهُنَّ حَتَّى يَطْهُرْنَ</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دلت الآية على وجوب الاعتزال في المحيض ، وعلّل بكونه أذى ، فلو دلّت الآية على كونه تمام الموضوع للحكم فيتمسك بها في غير المحيض إذا كان المسّ أذى كالنفاس وليس ذلك في العمل بالقياس بل من باب تطبيق الضابطة على مواردها</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1273213_1067777946"/>
      <w:bookmarkStart w:id="782" w:name="_Toc282"/>
      <w:bookmarkEnd w:id="781"/>
      <w:r>
        <w:rPr>
          <w:rtl w:val="true"/>
        </w:rPr>
        <w:t xml:space="preserve">السابع </w:t>
      </w:r>
      <w:r>
        <w:rPr>
          <w:rtl w:val="true"/>
        </w:rPr>
        <w:t xml:space="preserve">: </w:t>
      </w:r>
      <w:r>
        <w:rPr>
          <w:rtl w:val="true"/>
        </w:rPr>
        <w:t>قياس الأولوية</w:t>
      </w:r>
      <w:bookmarkEnd w:id="78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ثبوت الحكم في الفرع أولى من ثبوته في الأصل لقوة العلّة المفهومة فيه بطريق النص فهو قياس الأولوية ، وهو حجّة على الإطلاق وهو أيضاً عمل </w:t>
      </w:r>
      <w:bookmarkStart w:id="783" w:name="pg10155_105612"/>
    </w:p>
    <w:p>
      <w:pPr>
        <w:pStyle w:val="BookText"/>
        <w:rPr/>
      </w:pPr>
      <w:bookmarkEnd w:id="783"/>
      <w:r>
        <w:rPr>
          <w:rFonts w:ascii="Amiri" w:hAnsi="Amiri" w:eastAsia="Amiri" w:cs="Amiri"/>
          <w:color w:val="111111"/>
          <w:sz w:val="28"/>
          <w:sz w:val="28"/>
          <w:szCs w:val="28"/>
          <w:rtl w:val="true"/>
          <w:lang w:bidi="ar-SA"/>
        </w:rPr>
        <w:t xml:space="preserve">بالنص لا بالقياس وعلى فرض كونه قياساً فهو حجّة عند الجميع نظير الاحتجاج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تحريم ال </w:t>
      </w:r>
      <w:r>
        <w:rPr>
          <w:rStyle w:val="FootnoteAnchor"/>
          <w:rtl w:val="true"/>
        </w:rPr>
        <w:footnoteReference w:id="683"/>
      </w:r>
      <w:r>
        <w:rPr>
          <w:rFonts w:ascii="Amiri" w:hAnsi="Amiri" w:eastAsia="Amiri" w:cs="Amiri"/>
          <w:color w:val="111111"/>
          <w:sz w:val="28"/>
          <w:sz w:val="28"/>
          <w:szCs w:val="28"/>
          <w:rtl w:val="true"/>
          <w:lang w:bidi="ar-SA"/>
        </w:rPr>
        <w:t>ضرب ، ولا شكّ في وجوب الأخذ بهذا الحكم ، لأنّه مدلول عرفي يقف عليه كلّ من تدبّر في الآية</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1273215_1067777946"/>
      <w:bookmarkStart w:id="785" w:name="_Toc283"/>
      <w:bookmarkEnd w:id="784"/>
      <w:r>
        <w:rPr>
          <w:rtl w:val="true"/>
        </w:rPr>
        <w:t xml:space="preserve">الثامن </w:t>
      </w:r>
      <w:r>
        <w:rPr>
          <w:rtl w:val="true"/>
        </w:rPr>
        <w:t xml:space="preserve">: </w:t>
      </w:r>
      <w:r>
        <w:rPr>
          <w:rtl w:val="true"/>
        </w:rPr>
        <w:t>تنقيح المناط</w:t>
      </w:r>
      <w:bookmarkEnd w:id="785"/>
    </w:p>
    <w:p>
      <w:pPr>
        <w:pStyle w:val="BookText"/>
        <w:rPr/>
      </w:pPr>
      <w:r>
        <w:rPr>
          <w:rFonts w:ascii="Amiri" w:hAnsi="Amiri" w:eastAsia="Amiri" w:cs="Amiri"/>
          <w:color w:val="111111"/>
          <w:sz w:val="28"/>
          <w:sz w:val="28"/>
          <w:szCs w:val="28"/>
          <w:rtl w:val="true"/>
          <w:lang w:bidi="ar-SA"/>
        </w:rPr>
        <w:t xml:space="preserve">إذا اقترن الموضوع في لسان الدليل بأوصاف وخصوصيات لا يراها العرف دخيلة في الموضوع ويتلقّاها من قبيل المثال ، كما إذا ورد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المسجد بين الثلاث والأربع فأجيب بأنّه يبني على كذا ، فانّ السائل وإن سأل عن الرجل الذي شكّ في المسجد ، لكنّه يتلقّى العرف تلك القيود ، مثالاً ، لا قيداً للحكم ، أي بأنّه يبني على كذا ، فيعمّ الرجل والأُنثى ومن شكّ في المسجد والبيت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تنقيح المناط على حدّ يساعده ، الفهم العرفي ممّا لا إشكال فيه ، ولا صلة له بالقياس ، إذ لا أصل ولا فرع ، بل الحكم يعمّ الرجل والأُنثى ، والشاك في المسجد والبيت ،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هذا القبيل قصة الأعرابي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يا رسول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قال وقعت على أهلي في نهار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والعرف يساعد على إلغاء القيود الثلاثة التالية وعدم مدخليتها في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أعرابياً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الوقوع على الأهل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صيام شهر رمضان</w:t>
      </w:r>
      <w:r>
        <w:rPr>
          <w:rFonts w:eastAsia="Amiri" w:cs="Amiri" w:ascii="Amiri" w:hAnsi="Amiri"/>
          <w:color w:val="111111"/>
          <w:sz w:val="28"/>
          <w:szCs w:val="28"/>
          <w:rtl w:val="true"/>
          <w:lang w:bidi="ar-SA"/>
        </w:rPr>
        <w:t xml:space="preserve">. </w:t>
      </w:r>
      <w:bookmarkStart w:id="786" w:name="pg10155_105613"/>
    </w:p>
    <w:p>
      <w:pPr>
        <w:pStyle w:val="BookText"/>
        <w:rPr/>
      </w:pPr>
      <w:bookmarkEnd w:id="786"/>
      <w:r>
        <w:rPr>
          <w:rFonts w:ascii="Amiri" w:hAnsi="Amiri" w:eastAsia="Amiri" w:cs="Amiri"/>
          <w:color w:val="111111"/>
          <w:sz w:val="28"/>
          <w:sz w:val="28"/>
          <w:szCs w:val="28"/>
          <w:rtl w:val="true"/>
          <w:lang w:bidi="ar-SA"/>
        </w:rPr>
        <w:t>فيعمّ البدوي والقروي والوقوع على الأهل وغيره وصيام شهر رمضان وغيره فيكون الموضوع من أفطر بالوقاع صومَه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تنقيح المناط من المزالق للفقيه وربما يُلغي بعض القيود باستحسان ، أو غيره مع عدم مساعدة العرف عليه ، فعليه الاحتياط التام في تنقيح موضوع الحكم والاقتصار بما يساعد عليه فهم العرف على إلغاء القيد وإن شك ، في مساعدة العرف على الإلغاء وعدمها ، فليس له تعميم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فهذه التعميمات ، لا صلة لها بالقياس ، وإنّما هي استظهار مفاد الدليل واستنطاقه حسب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يعبر عنه في الفقه الإمامي ، بإلغاء الخصوصية ، أو مناسبة الحكم والموضوع ، مضافاً إلى التعبير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1273217_1067777946"/>
      <w:bookmarkStart w:id="788" w:name="_Toc284"/>
      <w:bookmarkEnd w:id="787"/>
      <w:r>
        <w:rPr>
          <w:rtl w:val="true"/>
        </w:rPr>
        <w:t xml:space="preserve">التاسع </w:t>
      </w:r>
      <w:r>
        <w:rPr>
          <w:rtl w:val="true"/>
        </w:rPr>
        <w:t xml:space="preserve">: </w:t>
      </w:r>
      <w:r>
        <w:rPr>
          <w:rtl w:val="true"/>
        </w:rPr>
        <w:t>المتشابهان غير المتماثلين</w:t>
      </w:r>
      <w:bookmarkEnd w:id="788"/>
    </w:p>
    <w:p>
      <w:pPr>
        <w:pStyle w:val="BookText"/>
        <w:rPr/>
      </w:pPr>
      <w:r>
        <w:rPr>
          <w:rFonts w:ascii="Amiri" w:hAnsi="Amiri" w:eastAsia="Amiri" w:cs="Amiri"/>
          <w:color w:val="111111"/>
          <w:sz w:val="28"/>
          <w:sz w:val="28"/>
          <w:szCs w:val="28"/>
          <w:rtl w:val="true"/>
          <w:lang w:bidi="ar-SA"/>
        </w:rPr>
        <w:t>إنّ مصبّ القياس هو الأمران المتشابهان لا الأمران المتماثلان ، فكم فرق بين المتماثلين والمتشابهين ، فمثلاً إذا أثبتنا بالتجربة أنّ الفلز يتمدّد بالحرارة ، فيكون ذلك معياراً كلّياً لكلّ فلز مماثل وأنّه يخضع لنفس الحكم ، وهذا خارج عن مصبّ البحث ، إنّما الكلام في القياس بين أمرين متغايرين نوعاً ، متشابهين في جهة خاصة ، فهل يصحّ لنا تسرية حكم الأصل إلى الفرع بذريعة وجود التشابه بينهما أو لا؟ فمثلاً الخمر نوع حرام بالنصّ ، والفقّاع نوع آخر ، لأنّ الأوّل مأخوذ من العنب ، والثاني مأخوذ من الشعير ، فهما نوعان ، فهل يصحّ لنا أن نُسري حكم الخمر إلى الفقّاع لتساويهما في صفة الإسكار؟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نرى أنّ الباحثين لا يميّزون بين المتماثلين والمتشابهين ، إذ مرجع </w:t>
      </w:r>
      <w:bookmarkStart w:id="789" w:name="pg10155_105614"/>
    </w:p>
    <w:p>
      <w:pPr>
        <w:pStyle w:val="BookText"/>
        <w:rPr/>
      </w:pPr>
      <w:bookmarkEnd w:id="789"/>
      <w:r>
        <w:rPr>
          <w:rFonts w:ascii="Amiri" w:hAnsi="Amiri" w:eastAsia="Amiri" w:cs="Amiri"/>
          <w:color w:val="111111"/>
          <w:sz w:val="28"/>
          <w:sz w:val="28"/>
          <w:szCs w:val="28"/>
          <w:rtl w:val="true"/>
          <w:lang w:bidi="ar-SA"/>
        </w:rPr>
        <w:t>الأوّل غالباً إلى التجربة التي هي دليل عقليّ قطعيّ ، بخلاف الثاني فإنّ الحكم فيه ظنّي لجهة المناسبة والمشابهة إلاّ أن ينتهي إلى مرحلة القطع</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1273219_1067777946"/>
      <w:bookmarkStart w:id="791" w:name="_Toc285"/>
      <w:bookmarkEnd w:id="790"/>
      <w:r>
        <w:rPr>
          <w:rtl w:val="true"/>
        </w:rPr>
        <w:t xml:space="preserve">العاشر </w:t>
      </w:r>
      <w:r>
        <w:rPr>
          <w:rtl w:val="true"/>
        </w:rPr>
        <w:t xml:space="preserve">: </w:t>
      </w:r>
      <w:r>
        <w:rPr>
          <w:rtl w:val="true"/>
        </w:rPr>
        <w:t>تخريج المناط</w:t>
      </w:r>
      <w:bookmarkEnd w:id="791"/>
    </w:p>
    <w:p>
      <w:pPr>
        <w:pStyle w:val="Heading6"/>
        <w:numPr>
          <w:ilvl w:val="5"/>
          <w:numId w:val="1"/>
        </w:numPr>
        <w:rPr/>
      </w:pPr>
      <w:bookmarkStart w:id="792" w:name="__RefHeading___Toc1273221_1067777946"/>
      <w:bookmarkStart w:id="793" w:name="_Toc286"/>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 xml:space="preserve">إذا قضى الشارع على حكم في محل من دون أن ينصَّ لمناطه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الربا المعاوضي في البُرّ فيعمم إلى كل مكيل بدعوى انّ مناط التحريم هو الكيل ، وهذا ما ربما يعبر عنه باستنباط علّة الحكم بطريق من الطرق ، ثمّ تعميم الحكم حسب صدقها على مواردها وقد ذكر له طرقاً سبعة أو أكثر والمهم منها هو استنباط العلة عن طريق السبر والتقسيم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والسبر في اللغة هو الامتحان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يُحصر الأوصاف التي توجد في واقعة الحكم وتَصْلح لأن تكون العلّة واحداً منها ، ويختبرها وصفاً وصفاً على ضوء الشروط الواجب توفّرها في العلّة ، وأنواع الاعتبار الذي تعتبر به ، وبواسطة هذا الاختبار تُستبعد الأوصاف التي لا يصحّ أن تكون علّة ويُستبقي ما يصحّ أن تكون علّة ، وبهذا الاستبعاد وهذا الاستبقاء يتوصّل إلى الحكم بأنّ هذا الوصف هو العلّة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الغزالي ذكر لإثبات العلّة بالاستنباط طرقاً ثلاثة وجعل السبر والتقسيم النوع الأوّل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صحيح وذلك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معلّل ولا علّة له إلاّ كذا وكذا ، وقد بطل أحدهما فتعيّن الآخر ، وإذا استقام السبر كذلك فلا يحتاج إلى مناسبة ، بل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الربا في البر ولا بدّ من علامة تضبط مجرى الحكم عن موقعه ، ولا علامة إلاّ الطعم أو القوت أو الكيل ، وقد بطل القوت والكيل بدليل كذا ، فثبت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يحتاج هاهنا إلى إقامة الدليل على ثلاثة </w:t>
      </w:r>
    </w:p>
    <w:p>
      <w:pPr>
        <w:pStyle w:val="BookText"/>
        <w:rPr/>
      </w:pP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علامة ، ولا يمكن أن يقال هو معلوم باسم البُرّ فلا يحتاج إلى علامة وعلة ، وذلك لأنّه يستلزم أن ينتفي الربا إذا صار دقيقاً أو سويقاً وقد زال اسم البر ، فدلّ انّ مناط الربا أعمّ من اسم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سبره حاصراً يحصر جميع ما يمكن أن يكون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 سائر العلل تارة ببيان سقوط أثرها في الحكم بأن يظهر بقاء الحكم مع انتفائها ، أو بانتقاضها بأن يظهر انتفاء الحكم مع وجودها</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السبر والتقسيم إنّما يوجب الاطمئنان في موردين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إذا أفاد السبر والتقسيم الاطمئنان بأنّ ما أخذه هو المناط للحكم ، كما في مسألة تحريم الخمر فلو افترضنا انّه لم يرد فيه نصّ على علّة الحكم ، فالمجتهد يردّد العلّة بين كونه من العنب ، أو كونه سائلاً ، أو كونه ذا لون خاص ، أو كونه مسكراً ، ويستبعد كلّ واحد من العلل إلاّ الأخير فيحكم بأنّه علّة ، ثمّ يقيس كلّ مسكر عليه ، لكن يفقد أكثر موارد القياس هذا النوع من الاطمئنان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التقسيم إذا كان دائراً بين النفي والإثبات يفيد اليقين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إمّا زوج أو فرد ، والحيوان إمّا ناطق أو غير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بشكل التقسيم والسبر أي ملاحظة كلّ وصف خاصّ وصلاحيّته للحكم ، فما استحسنه الذوق الفقهي يجعله مناطاً للحكم ، وما يستبعده يطرحه ، فمثل هذا لا يكون دليلاً قطعياً بل ظنّياً ، وهذا شيء أطبق عليه مثبتو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عبد الوهاب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هذا المسلك أنّ المجتهد ، عليه أن يبحث في الأوصاف الموجودة في الأصل ، ويستبعد ما لا يصلح أن يكون علّة منها ، ويستبقي ما هو العلّة حسبَ رجحان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وهاديه في الاستبعاد والاستبقاء تحقيقُ شروط العلّة بحيث لا يستبق إلاّ وصفاً منضبطاً متعدّياً مناسباً معتبراً بنوع من أنواع الاعتبار ، وفي هذا تتفاوت عقول المجتهدين ، لأنّ منهم من يرى المناسب هذا الوصف ، ومنهم من يرى المناسب وصفاً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فالحنفية رأوا المناسب في تعليل التحريم في الأموال الربوية ، القدر مع اتحاد الجنس ، والشافعية رأوه الطعم مع اتحاد الجنس ، والمالكية رأوه القوت والادّخار</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فمن أين يجزم القائس بأنّ المناط هو الطعم لا القوت ولا الكيل ، فما ذكره الغزالي من أنّه إذا بطل القوت والكيل بدليل كذا وكذا فثبت الطعم ، غير تام ، وذلك لأنّه إن أراد من الدليل الدليل الشرعي القاطع للنزاع فهو حقّ ، ولكن أين للمستنبط هذا الدليل القاطع ، وإن أراد الظن بأنّه المناط دون الآخرين فهو ظن لم يقم على حجّيته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ونأتي في المقام بمثال حتّى يعلم أنّ استخراج المناط أمر محظور لا يمكن الاطمئنان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يزوّج البكر الصغيرة إلاّ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ألحق بها أصحاب القياس الثيّبَ الصغيرة ، بل المجنونةَ والمعتوهةَ ، وذلك بتخريج المناط وانّه عبارة عن كون المزوّجة صغيرة ناقصة العقل ، فيعمّ الحكم الثيّب الصغيرة والمجنونة أو المعتوهة لاتحاد المناط</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استخراج المناط فهو بالبيان 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الحديث اشتمل على وصفين كلّ منهما صالح للتعليل ، وهما الصغر والبكارة ، وبما انّه عُلّلت ولاية الولي على الصغيرة في المال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وما دام الشارع قد اعتبر الصغر علة للولاية على المال ، والولاية على المال والولاية على التزويج نوعان من جنس واحد وهو الولاية ، فيكون الشارع قد اعتبر الصغر علّة للولاية على التزويج بوجه من وجوه الاعتبار ، ولهذا يقاس على البكر الصغيرة من في حكمها من جهة نقص العقل ، وهي المجنونة أو المعتوهة ، وتقاس عليها أيضاً الثيّب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أسقطوا دلالة لفظ البكارة من الحديث مع إمكان أن تكون جزءاً من التعليل كما هو مقتضى جمعها مع الصغر لو أمكن استفادة التعليل من أمثال هذه التعابير</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فانّ استخراج الحكم الشرعي عن هذا الطريق أمر لا يعتمد عليه إلاّ إذا ورد الدليل القاطع على حجّيته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قياس باب النكاح بباب التصرف في الأموال ، قياس مع الفارق ، فانّ العناية بصيانة مال الصغير تستدعي أن يكون الموضوع هو الصغر ذكراً كان أو أُنثى ، بكراً كان أو ثيباً ، إذ لا دخالة لهذه القيود في أمر الصيانة ولهذا يعم الحكم جميع أفراد الصغير ، وهذا بخلاف باب النكاح فيحتمل فيه الفرق بين الصغير البكر والثيب نظير الفرق بين الكبير البكر والثيب حيث ذهب جماعة إلى أنّ الأُولى أيضاً لا تزوّج إلاّ بإذن الوليّ</w:t>
      </w:r>
      <w:r>
        <w:rPr>
          <w:rFonts w:eastAsia="Amiri" w:cs="Amiri" w:ascii="Amiri" w:hAnsi="Amiri"/>
          <w:color w:val="111111"/>
          <w:sz w:val="28"/>
          <w:szCs w:val="28"/>
          <w:rtl w:val="true"/>
          <w:lang w:bidi="ar-SA"/>
        </w:rPr>
        <w:t xml:space="preserve">. </w:t>
      </w:r>
      <w:bookmarkStart w:id="794" w:name="pg10155_105618"/>
    </w:p>
    <w:p>
      <w:pPr>
        <w:pStyle w:val="Heading6"/>
        <w:numPr>
          <w:ilvl w:val="5"/>
          <w:numId w:val="1"/>
        </w:numPr>
        <w:rPr/>
      </w:pPr>
      <w:bookmarkStart w:id="795" w:name="__RefHeading___Toc1273223_1067777946"/>
      <w:bookmarkStart w:id="796" w:name="_Toc287"/>
      <w:bookmarkEnd w:id="794"/>
      <w:bookmarkEnd w:id="795"/>
      <w:r>
        <w:rPr>
          <w:rtl w:val="true"/>
        </w:rPr>
        <w:t>تخريج المناط بالسبر والتقسيم يفيد الظنّ</w:t>
      </w:r>
      <w:bookmarkEnd w:id="796"/>
    </w:p>
    <w:p>
      <w:pPr>
        <w:pStyle w:val="Heading6"/>
        <w:numPr>
          <w:ilvl w:val="5"/>
          <w:numId w:val="1"/>
        </w:numPr>
        <w:rPr/>
      </w:pPr>
      <w:bookmarkStart w:id="797" w:name="__RefHeading___Toc1273225_1067777946"/>
      <w:bookmarkStart w:id="798" w:name="_Toc288"/>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 xml:space="preserve">إنّ تخريج المناط بالسبر والتقسيم يفيد الظن لا القطع بالمناط ، وقد عرفت تصريح عبد الوهاب خلاف باختلاف العقول في تشخيص المناط ونزيد على بيانه بأنّ هنا احتمالات أُخرى تخلُّ بعلّية المناط بالبيان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نحتمل أن يكون الحكم في الأصل معلّلاً عند الله بعلّة أُخرى غير ما ظنه القائس وهو كونه صغيراً أو قاصر العقل ، وليس هذا بأمر بعيد وقد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إذ الإنسان لم يزل في عالم الحس تنكشف له أخطاؤه ، فإذا كان هذا حال عالم المادة الملموسة ، فكيف بملاكات الأحكام ومناطاتها المستورة على العقل إلاّ في موارد جزئية كالإسكار في الخمر ، أو إيقاع العداء والبغضاء في الميسر ، أو إيراث المرض في النهي عن النجاسات؟ وأمّا ما يرجع إلى العبادات والمعاملات خصوصاً فيما يرجع إلى أبواب الحدود والديات فالعقل قاصر عن إدراك مناطاتها الحقيقية وإن كان يظن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العلة غير منصوص عليها فمن أيِّ طريق تعرف ولم يوجد من الشارع نص يبين طريق تعرفها؟ وترك هذا من غير دليل يعرف العلة ينتهي إلى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 القياس ليس أصلاً معتبراً ، وإمّا انّه أصل عند الله معتبر ولكن أصل لا بيان له وذلك يؤدي إلى التلبيس ، وتعالى الله عن ذلك علواً كبيراً فلم يبق إلاّ نفي القياس</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انّ المقيس أصاب في أصل التعليل ، ولكن من أين يعلم انّها تمام العلة ، ولعلّها جزء العلّة وهناك جزء آخر منضم إليه في الواقع ولم يصل </w:t>
      </w:r>
      <w:bookmarkStart w:id="799" w:name="pg10155_105619"/>
    </w:p>
    <w:p>
      <w:pPr>
        <w:pStyle w:val="BookText"/>
        <w:rPr/>
      </w:pPr>
      <w:bookmarkEnd w:id="799"/>
      <w:r>
        <w:rPr>
          <w:rFonts w:ascii="Amiri" w:hAnsi="Amiri" w:eastAsia="Amiri" w:cs="Amiri"/>
          <w:color w:val="111111"/>
          <w:sz w:val="28"/>
          <w:sz w:val="28"/>
          <w:szCs w:val="28"/>
          <w:rtl w:val="true"/>
          <w:lang w:bidi="ar-SA"/>
        </w:rPr>
        <w:t>القائس إليه؟</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القائس قد أضاف شيئاً أجنبياً إلى العلة الحقيقية لم يكن له دخل في 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في الأصل خصوصية في ثبوت الحكم وقد غفل عنها القائس ، ويعلم ذلك بالتدبر في الأمثلة التالية </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1273227_1067777946"/>
      <w:bookmarkStart w:id="801" w:name="_Toc289"/>
      <w:bookmarkEnd w:id="800"/>
      <w:r>
        <w:rPr/>
        <w:t>1</w:t>
      </w:r>
      <w:r>
        <w:rPr>
          <w:rtl w:val="true"/>
        </w:rPr>
        <w:t xml:space="preserve">. </w:t>
      </w:r>
      <w:r>
        <w:rPr>
          <w:rtl w:val="true"/>
        </w:rPr>
        <w:t>قياس الولاية في النكاح بالميراث</w:t>
      </w:r>
      <w:bookmarkEnd w:id="801"/>
    </w:p>
    <w:p>
      <w:pPr>
        <w:pStyle w:val="BookText"/>
        <w:rPr/>
      </w:pPr>
      <w:r>
        <w:rPr>
          <w:rFonts w:ascii="Amiri" w:hAnsi="Amiri" w:eastAsia="Amiri" w:cs="Amiri"/>
          <w:color w:val="111111"/>
          <w:sz w:val="28"/>
          <w:sz w:val="28"/>
          <w:szCs w:val="28"/>
          <w:rtl w:val="true"/>
          <w:lang w:bidi="ar-SA"/>
        </w:rPr>
        <w:t xml:space="preserve">يقدّم الأخ من الأب والأُمّ على الأخ للأب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المقيس عليه</w:t>
      </w:r>
    </w:p>
    <w:p>
      <w:pPr>
        <w:pStyle w:val="BookText"/>
        <w:rPr/>
      </w:pPr>
      <w:r>
        <w:rPr>
          <w:rFonts w:ascii="Amiri" w:hAnsi="Amiri" w:eastAsia="Amiri" w:cs="Amiri"/>
          <w:color w:val="111111"/>
          <w:sz w:val="28"/>
          <w:sz w:val="28"/>
          <w:szCs w:val="28"/>
          <w:rtl w:val="true"/>
          <w:lang w:bidi="ar-SA"/>
        </w:rPr>
        <w:t xml:space="preserve">فيقدّم الأخ من الأب والأُمّ على الأخ للأب في ولاية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المقيس</w:t>
      </w:r>
    </w:p>
    <w:p>
      <w:pPr>
        <w:pStyle w:val="BookText"/>
        <w:rPr/>
      </w:pPr>
      <w:r>
        <w:rPr>
          <w:rFonts w:ascii="Amiri" w:hAnsi="Amiri" w:eastAsia="Amiri" w:cs="Amiri"/>
          <w:color w:val="111111"/>
          <w:sz w:val="28"/>
          <w:sz w:val="28"/>
          <w:szCs w:val="28"/>
          <w:rtl w:val="true"/>
          <w:lang w:bidi="ar-SA"/>
        </w:rPr>
        <w:t>فإنّ علّة التقديم في الميراث امتزاج الاخوة وهو الجامع المؤثر الموجود في الطرفين</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1273229_1067777946"/>
      <w:bookmarkStart w:id="803" w:name="_Toc290"/>
      <w:bookmarkEnd w:id="802"/>
      <w:r>
        <w:rPr/>
        <w:t>2</w:t>
      </w:r>
      <w:r>
        <w:rPr>
          <w:rtl w:val="true"/>
        </w:rPr>
        <w:t xml:space="preserve">. </w:t>
      </w:r>
      <w:r>
        <w:rPr>
          <w:rtl w:val="true"/>
        </w:rPr>
        <w:t>قياس الجهل في المهر بالبيع</w:t>
      </w:r>
      <w:bookmarkEnd w:id="803"/>
    </w:p>
    <w:p>
      <w:pPr>
        <w:pStyle w:val="BookText"/>
        <w:rPr/>
      </w:pPr>
      <w:r>
        <w:rPr>
          <w:rFonts w:ascii="Amiri" w:hAnsi="Amiri" w:eastAsia="Amiri" w:cs="Amiri"/>
          <w:color w:val="111111"/>
          <w:sz w:val="28"/>
          <w:sz w:val="28"/>
          <w:szCs w:val="28"/>
          <w:rtl w:val="true"/>
          <w:lang w:bidi="ar-SA"/>
        </w:rPr>
        <w:t xml:space="preserve">انّ الجهل بالعوض يفسد البيع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المقيس عليه</w:t>
      </w:r>
    </w:p>
    <w:p>
      <w:pPr>
        <w:pStyle w:val="BookText"/>
        <w:rPr/>
      </w:pPr>
      <w:r>
        <w:rPr>
          <w:rFonts w:ascii="Amiri" w:hAnsi="Amiri" w:eastAsia="Amiri" w:cs="Amiri"/>
          <w:color w:val="111111"/>
          <w:sz w:val="28"/>
          <w:sz w:val="28"/>
          <w:szCs w:val="28"/>
          <w:rtl w:val="true"/>
          <w:lang w:bidi="ar-SA"/>
        </w:rPr>
        <w:t xml:space="preserve">فالجهل بالمهر يفسد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المقيس</w:t>
      </w:r>
    </w:p>
    <w:p>
      <w:pPr>
        <w:pStyle w:val="BookText"/>
        <w:rPr/>
      </w:pPr>
      <w:r>
        <w:rPr>
          <w:rFonts w:ascii="Amiri" w:hAnsi="Amiri" w:eastAsia="Amiri" w:cs="Amiri"/>
          <w:color w:val="111111"/>
          <w:sz w:val="28"/>
          <w:sz w:val="28"/>
          <w:szCs w:val="28"/>
          <w:rtl w:val="true"/>
          <w:lang w:bidi="ar-SA"/>
        </w:rPr>
        <w:t xml:space="preserve">لوجود المعاوضة والجهل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p>
    <w:p>
      <w:pPr>
        <w:pStyle w:val="Heading6"/>
        <w:numPr>
          <w:ilvl w:val="5"/>
          <w:numId w:val="1"/>
        </w:numPr>
        <w:rPr/>
      </w:pPr>
      <w:bookmarkStart w:id="804" w:name="__RefHeading___Toc1273231_1067777946"/>
      <w:bookmarkStart w:id="805" w:name="_Toc291"/>
      <w:bookmarkEnd w:id="804"/>
      <w:r>
        <w:rPr/>
        <w:t>3</w:t>
      </w:r>
      <w:r>
        <w:rPr>
          <w:rtl w:val="true"/>
        </w:rPr>
        <w:t xml:space="preserve">. </w:t>
      </w:r>
      <w:r>
        <w:rPr>
          <w:rtl w:val="true"/>
        </w:rPr>
        <w:t>قياس ضمان السارق بالغاصب</w:t>
      </w:r>
      <w:bookmarkEnd w:id="805"/>
    </w:p>
    <w:p>
      <w:pPr>
        <w:pStyle w:val="Heading6"/>
        <w:numPr>
          <w:ilvl w:val="5"/>
          <w:numId w:val="1"/>
        </w:numPr>
        <w:rPr/>
      </w:pPr>
      <w:bookmarkStart w:id="806" w:name="__RefHeading___Toc1273233_1067777946"/>
      <w:bookmarkStart w:id="807" w:name="_Toc292"/>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 xml:space="preserve">إنّ الغاصب يضمن إذا تلف المال تلف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المقيس عليه</w:t>
      </w:r>
    </w:p>
    <w:p>
      <w:pPr>
        <w:pStyle w:val="BookText"/>
        <w:rPr/>
      </w:pPr>
      <w:r>
        <w:rPr>
          <w:rFonts w:ascii="Amiri" w:hAnsi="Amiri" w:eastAsia="Amiri" w:cs="Amiri"/>
          <w:color w:val="111111"/>
          <w:sz w:val="28"/>
          <w:sz w:val="28"/>
          <w:szCs w:val="28"/>
          <w:rtl w:val="true"/>
          <w:lang w:bidi="ar-SA"/>
        </w:rPr>
        <w:t xml:space="preserve">والسارق أيضاً يضمن وإن قطعت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المقيس</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تلف المال تحت اليد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p>
    <w:p>
      <w:pPr>
        <w:pStyle w:val="BookText"/>
        <w:rPr/>
      </w:pPr>
      <w:r>
        <w:rPr>
          <w:rFonts w:ascii="Amiri" w:hAnsi="Amiri" w:eastAsia="Amiri" w:cs="Amiri"/>
          <w:color w:val="111111"/>
          <w:sz w:val="28"/>
          <w:sz w:val="28"/>
          <w:szCs w:val="28"/>
          <w:rtl w:val="true"/>
          <w:lang w:bidi="ar-SA"/>
        </w:rPr>
        <w:t>فانّ تخريج المناط في هذه الموارد وعشرات من أمثالها تخريجات ظنية وهي بحاجة إلى قيام الدليل ، وإلاّ فيمكن أن يكون للميراث خصوصية غير موجودة في النكاح أو يكون الجهل بالعوض مفسداً في البيع دون النكاح ، لأنّ البيع مبادلة بين المالين بخلاف النكاح فانّه علاقة تجمع بين شخصين ، فالعلّة هو الجهل بالعوض لا الجهل بالمهر ، والمهر ليس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الإمام الصادق لابن شبرمة إلماع إلى محظورية هذا النوع من التخريج فانّه أشبه بالرجم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مذاكرة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حنيفة كما في رواية ابن شبرمة بالنحو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أيّهما أعظم قتل النفس أو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جعل في قتل النفس شاهدين ولم يقبل في الزنا إلاّ أربعة؟</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أعظم الصلاة أم الصوم؟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الحائض تقضي الصوم ولا تقضي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ويحك يقوم لك قياسك ، اتق الله ولا تقس الدين برأيك</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توضيح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افترضنا ورود النص في قتل النفس دون الزنا وانّ القتل يثبت بشاهدين فمقتضى القياس هو قبول الشاهدين في الفرع مع أنّ حكم الله على خلافه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 الصلاة والصوم ، فلو افترضنا ورود النصّ في أنّ الحائض لا تقضي و </w:t>
      </w:r>
      <w:bookmarkStart w:id="808" w:name="pg10155_105621"/>
    </w:p>
    <w:p>
      <w:pPr>
        <w:pStyle w:val="BookText"/>
        <w:rPr/>
      </w:pPr>
      <w:bookmarkEnd w:id="808"/>
      <w:r>
        <w:rPr>
          <w:rFonts w:ascii="Amiri" w:hAnsi="Amiri" w:eastAsia="Amiri" w:cs="Amiri"/>
          <w:color w:val="111111"/>
          <w:sz w:val="28"/>
          <w:sz w:val="28"/>
          <w:szCs w:val="28"/>
          <w:rtl w:val="true"/>
          <w:lang w:bidi="ar-SA"/>
        </w:rPr>
        <w:t>لم يرد النص في الصوم فمقتضى القياس عدم لزوم قضائه مع أنّ الحكم الواقعي هو خلافه</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1273235_1067777946"/>
      <w:bookmarkStart w:id="810" w:name="_Toc293"/>
      <w:bookmarkEnd w:id="809"/>
      <w:r>
        <w:rPr>
          <w:rtl w:val="true"/>
        </w:rPr>
        <w:t>حصيلة البحث</w:t>
      </w:r>
      <w:bookmarkEnd w:id="810"/>
    </w:p>
    <w:p>
      <w:pPr>
        <w:pStyle w:val="BookText"/>
        <w:rPr/>
      </w:pPr>
      <w:r>
        <w:rPr>
          <w:rFonts w:ascii="Amiri" w:hAnsi="Amiri" w:eastAsia="Amiri" w:cs="Amiri"/>
          <w:color w:val="111111"/>
          <w:sz w:val="28"/>
          <w:sz w:val="28"/>
          <w:szCs w:val="28"/>
          <w:rtl w:val="true"/>
          <w:lang w:bidi="ar-SA"/>
        </w:rPr>
        <w:t xml:space="preserve">قد خرجنا من دراسة هذه الأُمور العشرة انّ ما هو محط النزاع عبارة عن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التماس العلل الواقعية للأحكام الشرعية من طريق العقل وقد عرفت انّ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 على هذا النوع في كلام له مع أبي حنيفة وهذا النوع من الاصطلاح في مورد القياس مهجور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المناط عن طريق السبر والتقسيم ، فانّ المسالك لمعرفة العلة غير مقطوعة ، وقد اعترف بها مثبتو القياس ، وأمّا ما سوى ذلك من الأقيسة فهو ليس بقياس حقيقة وإنّما عمل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هذه الأُمور فلنختم هذا البحث بتأسيس الأصل في حجية الظن ، فهل الأصل في الظنون الحجية إلاّ ما ورد المنع فيه ، أو الأصل عدم الحجية إلاّ ما دلّ الدليل عليه؟ وهذا من أروع البحوث في أُصول الفقه الإمامي وقد خلا عنه كتب السنّة ، وحصيلة هذا البحث هو ما يلي </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1273237_1067777946"/>
      <w:bookmarkStart w:id="812" w:name="_Toc294"/>
      <w:bookmarkEnd w:id="811"/>
      <w:r>
        <w:rPr>
          <w:rtl w:val="true"/>
        </w:rPr>
        <w:t>الشكّ في الحجية يساوق القطع بعدمها</w:t>
      </w:r>
      <w:bookmarkEnd w:id="812"/>
    </w:p>
    <w:p>
      <w:pPr>
        <w:pStyle w:val="Heading6"/>
        <w:numPr>
          <w:ilvl w:val="5"/>
          <w:numId w:val="1"/>
        </w:numPr>
        <w:rPr/>
      </w:pPr>
      <w:bookmarkStart w:id="813" w:name="__RefHeading___Toc1273239_1067777946"/>
      <w:bookmarkStart w:id="814" w:name="_Toc295"/>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إنّ الأثر تارة يترتب على الوجود الواقعي للشيء كتحريم الخمر المترتب على الخمر الواقعي ، وأُخرى يترتّب على واقعه ومشكوكه معاً كالطهارة حيث إنّ الطاهر الواقعي ومشكوك الطهارة كلاهما محكومان بالطهارة واقعاً أو ظاهراً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 أُخرى يترتب على الوجود العلمي للشيء بأن يكون معلوماً للمكلّف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أنّ المراد من الحجّة في المقام هو ما يحتج به المولى على العبد ، والعبد على المولى ولها آثار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التنجز عند الإصابة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التعذير عند المخالفة ، وهما من آثار ما علم كونه حجّة بالفعل ، وإلاّ فلو كان حجّة في الواقع ولم يقف المكلف على كونه كذلك لا يترتب عليه شيء من الأثر ، لأنّ العقل حاكم بقبح العقاب بلا بيان ، وعند ذلك لو شككنا في حجية شيء فهو ملازم للقطع بعدم الحجية الفعلية ومعه لا يترتّب عليه شيء من آثارها فيكون الأصل في الشك في الحجية عدمها قطعاً ، أي عدم صحّة الاحتجاج وترتب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حجّية الظن هو صحة اسناد مؤدّاه إلى الله سبحانه ، والاستناد إليه في مقام العمل ، فإذا كان هذا معنى الحجّية فلا شكّ انّه مرتب على العلم بحجيّة الشيء بأن يقوم دليل قطعي على حجّية الظن ، من كتاب أو سنّة ، فعند ذلك يوصف الظن بالتنجيز أو التعذير ، ويصح إسناد مؤدّاه إلى الله سبحانه ، كما يصحّ الاستناد إليه في مقام الامتثال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يقم الدليل القطعي على حجّية الظن ، بل صار مظنونَ الحجّية أو محتملها فلا يترتب عليه الأثران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 والتعذير ، لأنّ العقل إنّما يحكم بتنجيز الواقع إذا كان هناك بيان من الشارع وإلاّ فيستقل بقبح العقاب بلا بيان والمفروض انّه لم يثبت كون الظن بياناً للحكم الشرعي ، إذ لم يصل بيان من الشارع على حجّية الظن ، كما أنّه لا يعد المكلف العاملُ بالظن معذوراً إذا خالف الواقع إذا لم يدعمه دليل قطعي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فخرجنا بتلك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الحجية بمعنى التنجيز والتعذير من آثار معلوم الحجّية لا مظنونها ولا محتملها ، هذه هي الضابطة في مطلق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يظهر حكم القياس ، وذلك لأنّ المفروض وجود الشكّ في حجّية القياس حيث إنّ البحث الآن فيما لم يدعمه دليل ونهى عنه ومعه يكون الاحتجاج به غير صحيح ، إلاّ إذا دل الدليل القطعي على حجيته ، كما أنّ الأثرين الأخيرين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مضمونه إلى الشارع والاستناد إليه في مقام العمل من آثار ما علم كونه حجّة ، وإلاّ يكون الاسناد والاستناد بدعة ، وتشريعاً محرماً ، حيث إنّ الاستناد إلى مشكوك الحجية في مقام العمل واسناد مؤدّاه إلى الشارع تشريع عملي وقولي دلّت على حرمته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ذكرنا فالقاعدة الأوّلية هو عدم حجّية أيّ ظن من الظنون بمعنى انّه لا يحتج به ما لم يقم على صحّة الاحتجاج به دليل ، ومن تلك الظنون القياس فالأصل فيه عدم الحجّية ، فإن قام على حجّيتها دليل فهو وإلاّ كان العمل به بدعة داخلة تحت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ما أَنْزَلَ اللهُ لَكُمْ مِنْ رِزْقٍ فَجَعَلْتُمْ مِنْهُ حَراماً وَحَلالاً قُلْ آللهُ أَذِنَ لَكُمْ أَمْ عَلَى اللهِ تَفْتَرُونَ</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ومفاد الآية انّ كلّ ما لم يأذن به الله فاسناده إلى الله والاستناد إليه في مقام العمل يعد افتراءً على الله ، ونظيره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فاحِشَةً قالُوا وَجَدْنا عَلَيْها آباءَنا وَاللهُ أَمَرَنا بِها قُلْ إِنَّ اللهَ لا يَأْمُرُ بِالْفَحْشاءِ أَتَقُولُونَ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ومفاد الآية انّ التقول على الله بما لا يعلم كونه من الله أمر محرم ، سواء أمر به في الواقع أم لا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فنفاة القياس في فسحة من إقامة الدليل على حجيته ، لأنّ الأصل عدم حجّية الظن إلاّ ما قام على حجيته الدليل ، وإنّما يلزم على مثبتي </w:t>
      </w:r>
      <w:bookmarkStart w:id="815" w:name="pg10155_105624"/>
    </w:p>
    <w:p>
      <w:pPr>
        <w:pStyle w:val="BookText"/>
        <w:rPr/>
      </w:pPr>
      <w:bookmarkEnd w:id="815"/>
      <w:r>
        <w:rPr>
          <w:rFonts w:ascii="Amiri" w:hAnsi="Amiri" w:eastAsia="Amiri" w:cs="Amiri"/>
          <w:color w:val="111111"/>
          <w:sz w:val="28"/>
          <w:sz w:val="28"/>
          <w:szCs w:val="28"/>
          <w:rtl w:val="true"/>
          <w:lang w:bidi="ar-SA"/>
        </w:rPr>
        <w:t xml:space="preserve">القياس إقامة الدليل القطعي على أنّ الشارع سوّغ العمل بهذا النوع من الظن كما سوغ العمل بخبر الثقة ، فيجب علينا دراسة أدلّتهم من الكتاب والسنّة والعقل ، وهذا هو بيت القصيد في هذا الفصل وقد استدلّوا بآيات من الذكر الحكيم نذكر ما هو المهم وهي ستة </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1273241_1067777946"/>
      <w:bookmarkStart w:id="817" w:name="_Toc296"/>
      <w:bookmarkEnd w:id="816"/>
      <w:r>
        <w:rPr/>
        <w:t>1</w:t>
      </w:r>
      <w:r>
        <w:rPr>
          <w:rtl w:val="true"/>
        </w:rPr>
        <w:t xml:space="preserve">. </w:t>
      </w:r>
      <w:r>
        <w:rPr>
          <w:rtl w:val="true"/>
        </w:rPr>
        <w:t>آية الاعتبار</w:t>
      </w:r>
      <w:bookmarkEnd w:id="817"/>
    </w:p>
    <w:p>
      <w:pPr>
        <w:pStyle w:val="BookText"/>
        <w:rPr/>
      </w:pPr>
      <w:r>
        <w:rPr>
          <w:rFonts w:ascii="Amiri" w:hAnsi="Amiri" w:eastAsia="Amiri" w:cs="Amiri"/>
          <w:color w:val="111111"/>
          <w:sz w:val="28"/>
          <w:sz w:val="28"/>
          <w:szCs w:val="28"/>
          <w:rtl w:val="true"/>
          <w:lang w:bidi="ar-SA"/>
        </w:rPr>
        <w:t xml:space="preserve">قال سبحانه في حادثة بني النضير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والحشر هو الاجتماع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يُحْشَرَ النَّاسُ ضُحًى</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وهو كناية عن اللقاء بين اليهود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بعد ما قصّ ما كان من بني النضير الذين كفروا ، وما حاق بهم من حيث لم يحتسبوا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فَقِسُوا أنفسَكم بهم ، لأنّكم أُناسٌ مثلهم إن فعلتم مثلَ فعلهم حاق بكم مثل ما حاق بهم ، من غير فرق بين تفسير الاعتبار بالعبور والمرور ، أو فُسِّرَ بالاتّعاظ ، فهو تقرير ، لبيان أنّ سنّة الله في ما جرى على بني النضير وغيرهم واحد</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فسّر بالتعجب كما عن ابن حزم فلا صلة له بالقياس ، وأمّا لو فسّر بالعبور والمجاوزة فهو يرتبط به ، لأنّ في القياس عبوراً من حكم الأصل ، ومجاوزة </w:t>
      </w:r>
    </w:p>
    <w:p>
      <w:pPr>
        <w:pStyle w:val="BookText"/>
        <w:rPr/>
      </w:pPr>
      <w:r>
        <w:rPr>
          <w:rFonts w:ascii="Amiri" w:hAnsi="Amiri" w:eastAsia="Amiri" w:cs="Amiri"/>
          <w:color w:val="111111"/>
          <w:sz w:val="28"/>
          <w:sz w:val="28"/>
          <w:szCs w:val="28"/>
          <w:rtl w:val="true"/>
          <w:lang w:bidi="ar-SA"/>
        </w:rPr>
        <w:t>عنه إلى حكم الفرع ، فإذا كنّا مأمورين بالاعتبار ، فقد أمرنا بالقياس وهو معنى حجّيته كما أنّه لو فسّر بالاتعاظ فهو أيضاً ظاهر في جعل الحجية للقياس ، لأنّه تقرير لسنّة الله في خلقه ، وانّ ما يجري على النظير ، يجري على نظيره</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يلاحظ على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بصدد بيان سنّة الله في الظالمين ، سواء فسّر الاعتبار بالتجاوز أو بالاتّعاظ ، وأنّ إجلاء بني النضير من قلاعهم وتخريبهم بيوتَهم بأيديهم وأيدي المؤمنين كان جزاءً لأعمالهم الإجرامية ، وأنّ الله تبارك وتعالى يعذّب الكافر والمنافق والظالم بأنحاء العذاب ولا يتركه ، فليس هناك أصل متيقّن ولا فرع مشكوك حتى نستبين حكمَ الثاني من الأوّل بواسطة المشابهة ، بل كل ذلك فرض على مدلول الآية ، وكم لها من نظائر في القرآن الكريم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فَسِيرُوا فِي الْأَرْضِ فَانْظُروا كَيْفَ كانَ عاقِبَةُ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هل تجد في نفسك أنّ الآية بصدد إضفاء الحجّية على القياس؟ أو أنّها لبيان سنّة الله في المكذّبين؟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كادُوا لَيَسْتَفِزُّونَكَ مِنَ الْأَرْضِ لِيُخْرِجُوكَ مِنْها وَإِذاً لا يَلْبَثُونَ خِلافَكَ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قَبْلَكَ مِنْ رُسُلِنا وَلا تَجِدُ لِسُنَّتِنا تَحْوِيلاً</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 أَمْرُنا جَعَلْنا عالِيَها سافِلَها وَأَمْطَرْنا عَلَيْها حِجارَةً مِنْ سِجِّيلٍ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رَبِّكَ وَما هِيَ مِنَ الظَّالِمِينَ بِبَعِيدٍ</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 دليل على أنّ الآية ليست بصدد بيان حجّية القياس ، هو أنّك لو وضعت كلمة أهل القياس مكان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أهل </w:t>
      </w:r>
      <w:bookmarkStart w:id="818" w:name="pg10155_105626"/>
    </w:p>
    <w:p>
      <w:pPr>
        <w:pStyle w:val="BookText"/>
        <w:rPr/>
      </w:pPr>
      <w:bookmarkEnd w:id="818"/>
      <w:r>
        <w:rPr>
          <w:rFonts w:ascii="Amiri" w:hAnsi="Amiri" w:eastAsia="Amiri" w:cs="Amiri"/>
          <w:color w:val="111111"/>
          <w:sz w:val="28"/>
          <w:sz w:val="28"/>
          <w:szCs w:val="28"/>
          <w:rtl w:val="true"/>
          <w:lang w:bidi="ar-SA"/>
        </w:rPr>
        <w:t>القياس ، لعاد الكلام هزلاً غير منسجم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انّ الآية بصدد بيان انّ حكم النظير ، يستكشف من حكم النظير ولكن مصبّها ، هو الأُمور الكونيّة لا الأُمور التشريعية والأحكام الاعتبارية فتعميم مدلول الآية في الأُولى إلى الثانية يحتاج إلى الدليل ، وإثبات التعميم بالتمسك بالقياس مستلزم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نفترض انّها بصدد إضفاء الحجّية على القياس في التشريع أيضاً ، وانّ حكم الفرع يعلم في حكم الأصل فيما إذا توفّرت علة الحكم بينهما بحيث يجعلهما كصنوان على أساس واحد ، ولكن ما هو المسلك الكاشف عن توفر العلّة ، فالآية ساكتة عنه ، فهل المسلك الكاشف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تنصيص الشارع في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الإجماع على وحدة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تنقيح المناط حسب فهم العرف من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تخريج المناط بالسبر والتقسيم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الآية ساكتة عن هذه الجهة فلا يصحّ الاستدلال بها على حجّية القياس على وجه الإطلاق</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1273243_1067777946"/>
      <w:bookmarkStart w:id="820" w:name="_Toc297"/>
      <w:bookmarkEnd w:id="819"/>
      <w:r>
        <w:rPr/>
        <w:t>2</w:t>
      </w:r>
      <w:r>
        <w:rPr>
          <w:rtl w:val="true"/>
        </w:rPr>
        <w:t xml:space="preserve">. </w:t>
      </w:r>
      <w:r>
        <w:rPr>
          <w:rtl w:val="true"/>
        </w:rPr>
        <w:t>آية الردّ إلى الله والرسول</w:t>
      </w:r>
      <w:bookmarkEnd w:id="82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أمر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إن تنازعوا واختلفوا في شيء ليس لله ولا لرسوله ولا لأُولي الأمر منهم فيه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يردُّوه إلى الله وإلى الرسول ، وردّه أي إرجاعه إلى الله وإلى الرسول بإطلاقه يشمل كلّ ما يصدق عليه أنّه ردّ إليهما ، فردّه إلى قواعد الشرع الكلية ردّ إلى الله ورسوله ، وردّ ما لا نصّ فيه إلى ما فيه النصّ ، والحكم عليه بحكم النصّ لتساوي الواقعتين في العلّة التي بُني عليها الحكم ، هو ردّ المتنازع فيه إلى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بعد استنباط علّته بالطرق الظنية من الكتاب والسنّة يكون ردّاً إلى الله والرسول وبما انّا مأمورون بالرجوع إليها بهذه الآية ،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مأمورون بالرجوع إلى القياس في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الردّ إلى الله وإلى الرسول إلاّ بتعرّف الأمارات الدالّة منهما على ما يرميان إليه ، وذلك بتعليل أحكامهما والبناء عليها ، وذلك هو القياس</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الردّ إلى الله ورسوله يتحقّق إمّا بالرجوع إليهم وسؤالهم عن حكم الواقعة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أو إرجاعها إلى الضابطة الكلّية التي ذكرها الرسول ، فمثلاً إذا شككنا في لزوم شرط ذكره المتعاقدون في العقد وعدمه ، فنرجع إلى الضابطة التي ذكرها الرسول في باب الشروط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عند شروطهم ، إلاّ شرطاً حرّم حلالاً أو أحلّ حراماً</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القرطبي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ردّوا ذلك الحكم </w:t>
      </w:r>
    </w:p>
    <w:p>
      <w:pPr>
        <w:pStyle w:val="BookText"/>
        <w:rPr/>
      </w:pPr>
      <w:r>
        <w:rPr>
          <w:rFonts w:ascii="Amiri" w:hAnsi="Amiri" w:eastAsia="Amiri" w:cs="Amiri"/>
          <w:color w:val="111111"/>
          <w:sz w:val="28"/>
          <w:sz w:val="28"/>
          <w:szCs w:val="28"/>
          <w:rtl w:val="true"/>
          <w:lang w:bidi="ar-SA"/>
        </w:rPr>
        <w:t xml:space="preserve">إلى كتاب الله أو إلى رسوله بالسؤال في حياته أو بالنظر إلى سنّته بعد وفاته وهذا قول مجاهد والأعمش وقتادة 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وقد استنبط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أقل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أشهر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فصلنا الحولين من ثلاثين شهراً بقيت ستة أشهر</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وأين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الرد إلى 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الرجوع إلى القياس لأنّ قياس ما لا نصّ فيه على ما نصّ فيه لأجل تساوي الواقعتين في شيء أو في أشياء نحتمل أو نظنّ أن تكون جهة المشاركة هي العلّة لبناء الحكم ، ليس ردّاً إلى الله ورسوله ، لأنّ العلّة ، ليست منصوصة في كلامه أو كلام نبيّه ، بل مستنبطة بطريق من الطرق التي لا نذعن بإصابتها ، وبذلك يظهر ضعف ما استند إليه الشيخ أبو زهرة ، وذلك لأنّ الاهتداء بتعليل الأحكام إلى نفسها إنّما يصحّ إذا كانت العلّة مذكورة في كلامه سبحانه أو كلام رسوله ، لا ما إذا قام العقل الظنيّ باستخراج العلّة بالسبر والتقسيم أو بغيرهما من الطرق</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نزلت في مورد التخاصم والتحاكم ، كما يدلّ عليه قوله سبحانه في نفس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سبحانه بعد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الرجوع إلى القياس الظني لا يفضّ نزاعاً ولا يقطع اختلافاً ، وإنّما يقطع النزاعُ الرجوعَ إلى كتاب الله وسنّة رسوله اللّذين لا يختلف فيهما اثنان ، ولذلك تختلف فتاوى العلماء القائلين بحجيّة القياس في موارد كثيرة حيث إنّ </w:t>
      </w:r>
      <w:bookmarkStart w:id="821" w:name="pg10155_105629"/>
    </w:p>
    <w:p>
      <w:pPr>
        <w:pStyle w:val="BookText"/>
        <w:rPr/>
      </w:pPr>
      <w:bookmarkEnd w:id="821"/>
      <w:r>
        <w:rPr>
          <w:rFonts w:ascii="Amiri" w:hAnsi="Amiri" w:eastAsia="Amiri" w:cs="Amiri"/>
          <w:color w:val="111111"/>
          <w:sz w:val="28"/>
          <w:sz w:val="28"/>
          <w:szCs w:val="28"/>
          <w:rtl w:val="true"/>
          <w:lang w:bidi="ar-SA"/>
        </w:rPr>
        <w:t>البعض يرى توفر شروط العمل به دون البعض الآخر ، ومثله لا يقطع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مصب الآية هو التنازع فلو دلت الآية على حجّية القياس في باب التحاكم لاختصت دلالتها به ، وتعميمها إلى باب الإفتاء ، يحتاج إلى الدليل والتمسك بالقياس في هذا المورد ، يستلزم الدور ، لأنّ حجّية الآية في مورد الافتاء تتوقف على حجّية القياس ، والمفروض ، انّ حجّيته موقوف على دلالة الآية</w:t>
      </w:r>
      <w:r>
        <w:rPr>
          <w:rFonts w:eastAsia="Amiri" w:cs="Amiri" w:ascii="Amiri" w:hAnsi="Amiri"/>
          <w:color w:val="111111"/>
          <w:sz w:val="28"/>
          <w:szCs w:val="28"/>
          <w:rtl w:val="true"/>
          <w:lang w:bidi="ar-SA"/>
        </w:rPr>
        <w:t xml:space="preserve">. </w:t>
      </w:r>
      <w:r>
        <w:rPr>
          <w:rStyle w:val="FootnoteAnchor"/>
          <w:rtl w:val="true"/>
        </w:rPr>
        <w:footnoteReference w:id="708"/>
      </w:r>
    </w:p>
    <w:p>
      <w:pPr>
        <w:pStyle w:val="Heading6"/>
        <w:numPr>
          <w:ilvl w:val="5"/>
          <w:numId w:val="1"/>
        </w:numPr>
        <w:rPr/>
      </w:pPr>
      <w:bookmarkStart w:id="822" w:name="__RefHeading___Toc1273245_1067777946"/>
      <w:bookmarkStart w:id="823" w:name="_Toc298"/>
      <w:bookmarkEnd w:id="822"/>
      <w:r>
        <w:rPr/>
        <w:t>3</w:t>
      </w:r>
      <w:r>
        <w:rPr>
          <w:rtl w:val="true"/>
        </w:rPr>
        <w:t xml:space="preserve">. </w:t>
      </w:r>
      <w:r>
        <w:rPr>
          <w:rtl w:val="true"/>
        </w:rPr>
        <w:t>آية الاستنباط</w:t>
      </w:r>
      <w:bookmarkEnd w:id="823"/>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 لا فَضْلُ اللهِ عَلَيْكُمْ وَرَحْمَتُهُ لَاتَّبَعْتُمُ الشَّيْطانَ إِلاَّ قَلِيلاً</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وقد استدلّ به السرخسي في أُصوله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والاستنباط استخراج المعنى من المنصوص بالرأي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السرايا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وهو الأظهر ، فإنّ أُمراء السرايا إنّما يستنبطونه بالرأي إذا كانوا علماء</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وقد تفرّد السرخسي في الاستدلال بها ، والمشهور هو الاستدلال بالآية السابقة ، غير أنّ تفسير أُولي الأمر بالعلماء تفسير على خلاف الظاهر ، وإلاّ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وَأُولُوا الْعِلْمِ قائِماً بِالْقِسْطِ</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الأخبار التي لها جذور سياسية ترتبط بأطراف شيء ربّما أفضى قبولها ، أو ردّها ، أو إهمالها بما فيها من المفاسد والمضار الاجتماعية إلى ما لا يمكن </w:t>
      </w:r>
      <w:bookmarkStart w:id="824" w:name="pg10155_105630"/>
    </w:p>
    <w:p>
      <w:pPr>
        <w:pStyle w:val="BookText"/>
        <w:rPr/>
      </w:pPr>
      <w:bookmarkEnd w:id="824"/>
      <w:r>
        <w:rPr>
          <w:rFonts w:ascii="Amiri" w:hAnsi="Amiri" w:eastAsia="Amiri" w:cs="Amiri"/>
          <w:color w:val="111111"/>
          <w:sz w:val="28"/>
          <w:sz w:val="28"/>
          <w:szCs w:val="28"/>
          <w:rtl w:val="true"/>
          <w:lang w:bidi="ar-SA"/>
        </w:rPr>
        <w:t>أن يستصلح بأيّ مصلح آخر ، أو يبطل مساعي أُمّة في طريق سعادتها ، أو يذهب بسؤددهم ويضرب بالذلّة والمسكنة والقتل والأسر عليهم ، وأيّ خبرة للعلماء من حيث إنّهم محدّثون أو فقهاء أو قرّاء أو نحوهم في هذه القضايا حتى يأمر الله سبحانه بإرجاعها وردّها إليهم</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وأمّا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نزول الآية ، فلسنا بصدد بيانه ، وعلى أيّ حال لا صلة للآية بالقياس أبداً ، بل هدف الآية الإشارة إلى أنّ واجب المسلمين إذا بلغهم خبر عن سرايا رسول الله من أمن أو خوف أو سلامة وخلل ، هو عدم إذاعة ما سمعوه ، وردّه إلى أُولي الأمر الذين يستخرجون صحّة أو سقم ما وصل إليهم من الخبر بفطنتهم وتجاربهم ، وهل تجويز الاستنباط في المسائل السياسيّة بالقرائن يكون دليلاً على جواز استنباط الأحكام الشرعيّة بالقياس؟</w:t>
      </w:r>
    </w:p>
    <w:p>
      <w:pPr>
        <w:pStyle w:val="Heading6"/>
        <w:numPr>
          <w:ilvl w:val="5"/>
          <w:numId w:val="1"/>
        </w:numPr>
        <w:rPr/>
      </w:pPr>
      <w:bookmarkStart w:id="825" w:name="__RefHeading___Toc1273247_1067777946"/>
      <w:bookmarkStart w:id="826" w:name="_Toc299"/>
      <w:bookmarkEnd w:id="825"/>
      <w:r>
        <w:rPr/>
        <w:t>4</w:t>
      </w:r>
      <w:r>
        <w:rPr>
          <w:rtl w:val="true"/>
        </w:rPr>
        <w:t xml:space="preserve">. </w:t>
      </w:r>
      <w:r>
        <w:rPr>
          <w:rtl w:val="true"/>
        </w:rPr>
        <w:t>آية النشأة الأُولى</w:t>
      </w:r>
      <w:bookmarkEnd w:id="826"/>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لَنا مَثَلاً وَنَسِيَ خَلْقَهُ 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الآية الثانية جواب لما ورد في الآية الأُولى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 بالقياس ، فإنّ الله سبحانه قاس إعادة المخلوقات بعد فنائها على بدء خلقها وإنشائها أوّل مرّة ، لإقناع الجاحدين بأنّ من قدر على خلق الشيء وإنشائه أوّل مرّة قادر على أن يعيده بل هذا أهون عليه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الاستدلال بالقياس ، إقرار لحجّية القياس وصحّة الاستدلال به وهو </w:t>
      </w:r>
    </w:p>
    <w:p>
      <w:pPr>
        <w:pStyle w:val="BookText"/>
        <w:rPr/>
      </w:pPr>
      <w:r>
        <w:rPr>
          <w:rFonts w:ascii="Amiri" w:hAnsi="Amiri" w:eastAsia="Amiri" w:cs="Amiri"/>
          <w:color w:val="111111"/>
          <w:sz w:val="28"/>
          <w:sz w:val="28"/>
          <w:szCs w:val="28"/>
          <w:rtl w:val="true"/>
          <w:lang w:bidi="ar-SA"/>
        </w:rPr>
        <w:t>قياس في الحسيات ولكنّه يدلّ على أنّ النظير ونظيره يتساويان</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لم يدخل من باب القياس ، وهو أجل من أن يقيس شيئاً على شيء ، وإنّما دخل من باب البرهان ، فأشار إلى سعة قدرته ووجود الملازمة بين القدرة على إنشاء العظام وإيجادها أوّل مرّة بلا سابق وجوده ، وبين القدرة على إحيائها من جديد ، بل القدرة على الثاني أولى ، فإذا ثبتت الملازمة بين القدرتين والمفروض أنّ الملزوم وهي القدرة على إنشائها أوّل مرّة موجودة ، فلا بدّ أن يثبت اللازم ، وهي القدرة على إحيائها وهي رميم ، فأين هو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صحّت تسمية الاستدلال قياساً ، فهو من باب القياس الأولوي الذي فرغنا عن كونه خارجاً عن مورد النزاع ، ويدلّ على ذلك أنّه سبحانه لم يقتصر بهذا البرهان ، بل أشار إلى سعة قدرته بآية أُخرى بعدها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والآيات كسبيكة واحدة والهدف من ورائها تنبيه المخاطب على أنّ استبعاد إحياء العظام الرميمة في غير محلّه ، إذ لو كانت قدرته سبحانه محدودة لكان له وجه ، وأمّا إذا وسعت قدرته كلَّ شيء بشهادة أنّه خلق الإنسان ولم يكن شيئاً مذكوراً ، وخلق السماوات والأرض وهي خلق أعظم من الإنسان ، لكان أقدر على معاد الإنسان وإحياء عظامه الرميمة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كلّ استدلال عقلي قياساً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دلالة الآية على حجّية القياس لكن مصبّها هو قياس الأُمور الكونيّة بعضها ببعض فيما إذا كانت الجهة المشتركة بين المقيس والمقيس عليه ، </w:t>
      </w:r>
      <w:bookmarkStart w:id="827" w:name="pg10155_105632"/>
    </w:p>
    <w:p>
      <w:pPr>
        <w:pStyle w:val="BookText"/>
        <w:rPr/>
      </w:pPr>
      <w:bookmarkEnd w:id="827"/>
      <w:r>
        <w:rPr>
          <w:rFonts w:ascii="Amiri" w:hAnsi="Amiri" w:eastAsia="Amiri" w:cs="Amiri"/>
          <w:color w:val="111111"/>
          <w:sz w:val="28"/>
          <w:sz w:val="28"/>
          <w:szCs w:val="28"/>
          <w:rtl w:val="true"/>
          <w:lang w:bidi="ar-SA"/>
        </w:rPr>
        <w:t>أمراً واضحاً كالشمس في رائعة النهار ، وأين هذا من القياس في الأُمور التشريعية الاعتبارية في الموارد التي يصل المجتهد فيها إلى الجهة المشتركة بالسبر والتقسيم وربما يظن الذي لا يفيد سوى الظن بالمشاركة ، فتعميم مفاد الآية إلى التشريع لا يصحّ إلاّ بضرب من القياس والاستدلال عليه بالآية عندئذ يستلزم الدور كما مرّ نظيره</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1273249_1067777946"/>
      <w:bookmarkStart w:id="829" w:name="_Toc300"/>
      <w:bookmarkEnd w:id="828"/>
      <w:r>
        <w:rPr/>
        <w:t>5</w:t>
      </w:r>
      <w:r>
        <w:rPr>
          <w:rtl w:val="true"/>
        </w:rPr>
        <w:t xml:space="preserve">. </w:t>
      </w:r>
      <w:r>
        <w:rPr>
          <w:rtl w:val="true"/>
        </w:rPr>
        <w:t>آية جزاء الصيد</w:t>
      </w:r>
      <w:bookmarkEnd w:id="829"/>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وَأَنْتُمْ حُرُمٌ وَمَنْ قَتَلَهُ مِنْكُمْ مُتَعَمِّداً فَجَزاءٌ مِثْلُ ما قَتَلَ مِنَ النَّعَمِ يَحْكُمُ بِهِ ذَوا عَدْلٍ مِنْكُمْ هَدْياً بالِغَ الْكَعْبَةِ</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بالمثْل ، وجعل المثْل إلى عدلين يحكمان فيه فلمّا حُرِّم مأكولُ الصيد عامّاً كانت لدوابّ الصيد أمثال على الأبدان ، فحكم مَنْ حكم من أصحاب رسول الله على ذلك فقضى في الضَّبع بكبش وفي الغزال بعنز ، وفي الأرنب بعناق ، وفي اليربوع بجفرة</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والعلم يحيط أنّهم أرادوا في هذا ، المثل بالبدن لا بالقيم ، ولو حكموا على القيم اختلفت أحكامهم لاختلاف أثمان الصيد في البلدان ، وفي الأزمان وأحكامهم فيها واحدة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يحيط أنّ اليربوع ليس مثل الجفرة في البدن ، ولكنّها كانت أقرب الأشياء منه شبهاً فجعلت مثله ، وهذا من القياس ، يتقارب تقارب العنز والظبي ، </w:t>
      </w:r>
    </w:p>
    <w:p>
      <w:pPr>
        <w:pStyle w:val="BookText"/>
        <w:rPr/>
      </w:pPr>
      <w:r>
        <w:rPr>
          <w:rFonts w:ascii="Amiri" w:hAnsi="Amiri" w:eastAsia="Amiri" w:cs="Amiri"/>
          <w:color w:val="111111"/>
          <w:sz w:val="28"/>
          <w:sz w:val="28"/>
          <w:szCs w:val="28"/>
          <w:rtl w:val="true"/>
          <w:lang w:bidi="ar-SA"/>
        </w:rPr>
        <w:t>ويبعد قليلاً بعد الجفرة من اليربوع</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حاصل مفاد الآية أنّه يشترط في الكفارة أن تكون مماثلة لما قتله من النعم إمّا مماثلة في الخلقة كما هو المشهور ، أو المماثلة في القيمة كما هو المنقول عن إبراهيم النخعي ، وعلى أيّ تقدير فلا صلة له بحجّية القياس في استنباط الأحكام الشرعية وكونه من مصادرها ، لأنّ أقصى ما يستفاد من الآية أنّ المحرم إذا قتل الصيد متعمّداً فجزاؤه هو ذبح ما يشبه الصيد في الخلقة كالبدنة في قتل النعامة ، والبقرة في قتل الحمار الوحشي وهكذا ، وهل اعتبار التشابه في مورد يكون دليلاً على أنّ الشارع أخذ به في جميع الموارد ، أو يقتصر بمورده ولا يصحّ التجاوز عن المورد إلاّ بالقول بالقياس غير الثابت إلاّ بهذه الآية ، وهل هذا إلاّ دور واضح؟</w:t>
      </w:r>
    </w:p>
    <w:p>
      <w:pPr>
        <w:pStyle w:val="BookText"/>
        <w:rPr/>
      </w:pPr>
      <w:r>
        <w:rPr>
          <w:rFonts w:ascii="Amiri" w:hAnsi="Amiri" w:eastAsia="Amiri" w:cs="Amiri"/>
          <w:color w:val="111111"/>
          <w:sz w:val="28"/>
          <w:sz w:val="28"/>
          <w:szCs w:val="28"/>
          <w:rtl w:val="true"/>
          <w:lang w:bidi="ar-SA"/>
        </w:rPr>
        <w:t>إنّ وزان التمسّك بالآية في حجّية القياس نظير الاستدلال عليها بقول الفقهاء في ضمان المثلي بالمثلي والقيمي بالقيمي ، حيث اقتصر في براءة الذمّة ، بالمماثلة ، في العين أو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محطّ البحث هو كون القياس من مصادر التشريع للأحكام الشرعية الكلّية ، وأين هذا من كون التشابه معياراً في تشخيص مصداق الواجب على الصائد؟</w:t>
      </w:r>
    </w:p>
    <w:p>
      <w:pPr>
        <w:pStyle w:val="BookText"/>
        <w:rPr/>
      </w:pPr>
      <w:r>
        <w:rPr>
          <w:rFonts w:ascii="Amiri" w:hAnsi="Amiri" w:eastAsia="Amiri" w:cs="Amiri"/>
          <w:color w:val="111111"/>
          <w:sz w:val="28"/>
          <w:sz w:val="28"/>
          <w:szCs w:val="28"/>
          <w:rtl w:val="true"/>
          <w:lang w:bidi="ar-SA"/>
        </w:rPr>
        <w:t>وربما يستدلّ بالآية بوجه آخر ، وهو انّه سبحانه أوجب المثل وجعل طريق تشخيص المماثلة هو الظن</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الظنّ في مورد لا يكون دليلاً على اعتباره في سائر الموارد كما سيوافيك</w:t>
      </w:r>
      <w:r>
        <w:rPr>
          <w:rFonts w:eastAsia="Amiri" w:cs="Amiri" w:ascii="Amiri" w:hAnsi="Amiri"/>
          <w:color w:val="111111"/>
          <w:sz w:val="28"/>
          <w:szCs w:val="28"/>
          <w:rtl w:val="true"/>
          <w:lang w:bidi="ar-SA"/>
        </w:rPr>
        <w:t xml:space="preserve">. </w:t>
      </w:r>
      <w:bookmarkStart w:id="830" w:name="pg10155_105634"/>
    </w:p>
    <w:p>
      <w:pPr>
        <w:pStyle w:val="BookText"/>
        <w:rPr/>
      </w:pPr>
      <w:bookmarkEnd w:id="830"/>
      <w:r>
        <w:rPr>
          <w:rFonts w:ascii="Amiri" w:hAnsi="Amiri" w:eastAsia="Amiri" w:cs="Amiri"/>
          <w:color w:val="111111"/>
          <w:sz w:val="28"/>
          <w:sz w:val="28"/>
          <w:szCs w:val="28"/>
          <w:rtl w:val="true"/>
          <w:lang w:bidi="ar-SA"/>
        </w:rPr>
        <w:t xml:space="preserve">وقد استدلّ الشوكاني </w:t>
      </w:r>
      <w:r>
        <w:rPr>
          <w:rStyle w:val="FootnoteAnchor"/>
          <w:rtl w:val="true"/>
        </w:rPr>
        <w:footnoteReference w:id="720"/>
      </w:r>
      <w:r>
        <w:rPr>
          <w:rFonts w:ascii="Amiri" w:hAnsi="Amiri" w:eastAsia="Amiri" w:cs="Amiri"/>
          <w:color w:val="111111"/>
          <w:sz w:val="28"/>
          <w:sz w:val="28"/>
          <w:szCs w:val="28"/>
          <w:rtl w:val="true"/>
          <w:lang w:bidi="ar-SA"/>
        </w:rPr>
        <w:t xml:space="preserve">بوجه ثالث قريب من الوجه الثاني هو انّه سبحانه أوجب المثل ولم يقل أيّ مثل فوكّل ذلك إلى اجتهادنا ورأينا ، نظيره أنّه أمر بالتوجه إلى القبلة بالاستدلال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وإن ترك لنا تشخيص الموضوعات ، إلاّ أنّه جعل لها طرقاً كالبيّنة ، مضافاً إلى الطرق العلمية في مورد القبلة ، وكون القياس أحد هذه الطرق أوّل الكلام</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1273251_1067777946"/>
      <w:bookmarkStart w:id="832" w:name="_Toc301"/>
      <w:bookmarkEnd w:id="831"/>
      <w:r>
        <w:rPr/>
        <w:t>6</w:t>
      </w:r>
      <w:r>
        <w:rPr>
          <w:rtl w:val="true"/>
        </w:rPr>
        <w:t xml:space="preserve">. </w:t>
      </w:r>
      <w:r>
        <w:rPr>
          <w:rtl w:val="true"/>
        </w:rPr>
        <w:t>آية القدر</w:t>
      </w:r>
      <w:bookmarkEnd w:id="832"/>
    </w:p>
    <w:p>
      <w:pPr>
        <w:pStyle w:val="BookText"/>
        <w:rPr/>
      </w:pPr>
      <w:r>
        <w:rPr>
          <w:rFonts w:ascii="Amiri" w:hAnsi="Amiri" w:eastAsia="Amiri" w:cs="Amiri"/>
          <w:color w:val="111111"/>
          <w:sz w:val="28"/>
          <w:sz w:val="28"/>
          <w:szCs w:val="28"/>
          <w:rtl w:val="true"/>
          <w:lang w:bidi="ar-SA"/>
        </w:rPr>
        <w:t xml:space="preserve">وتعلّقوا أيضاً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الْمُوسِعِ قَدَرُهُ وَعَلَى الْمُقْتِرِ قَدَرُهُ</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والمثلية والمقدار طريقة غالب الظن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 أَوْ ما مَلَكَتْ أَيْمانُكُمْ</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طريقة غالب الظن</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ثبتت حجّية الظنّ في مورد أو موردين لا يكون دليلاً على حجّيته مطلقاً ، ولو قيل بذلك يصير قياساً وكلامنا في مسألة القياس ، فكيف يستدلّ به على نفسه؟</w:t>
      </w:r>
    </w:p>
    <w:p>
      <w:pPr>
        <w:pStyle w:val="Heading6"/>
        <w:numPr>
          <w:ilvl w:val="5"/>
          <w:numId w:val="1"/>
        </w:numPr>
        <w:rPr/>
      </w:pPr>
      <w:bookmarkStart w:id="833" w:name="__RefHeading___Toc1273253_1067777946"/>
      <w:bookmarkStart w:id="834" w:name="_Toc302"/>
      <w:bookmarkEnd w:id="833"/>
      <w:r>
        <w:rPr/>
        <w:t>7</w:t>
      </w:r>
      <w:r>
        <w:rPr>
          <w:rtl w:val="true"/>
        </w:rPr>
        <w:t xml:space="preserve">. </w:t>
      </w:r>
      <w:r>
        <w:rPr>
          <w:rtl w:val="true"/>
        </w:rPr>
        <w:t>آية العدل</w:t>
      </w:r>
      <w:bookmarkEnd w:id="83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ابن تيمية على حجّية القياس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بتقريب انّ العدل هو التسوية ، والقياس هو التسوية بين مثلين في الحكم فيتناوله عموم الآية</w:t>
      </w:r>
      <w:r>
        <w:rPr>
          <w:rFonts w:eastAsia="Amiri" w:cs="Amiri" w:ascii="Amiri" w:hAnsi="Amiri"/>
          <w:color w:val="111111"/>
          <w:sz w:val="28"/>
          <w:szCs w:val="28"/>
          <w:rtl w:val="true"/>
          <w:lang w:bidi="ar-SA"/>
        </w:rPr>
        <w:t xml:space="preserve">. </w:t>
      </w:r>
      <w:bookmarkStart w:id="835" w:name="pg10155_105635"/>
    </w:p>
    <w:p>
      <w:pPr>
        <w:pStyle w:val="BookText"/>
        <w:rPr/>
      </w:pPr>
      <w:bookmarkEnd w:id="835"/>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يأمر بالعدل والإحسان والنهي عن الظلم والبغي في الحياة الفردية والاجتماعية ، وأي صلة للآية بالقياس في الأحكام وانّ المثلين في المناط المستخرج عن طريق السبر والتقسيم يجب أن يكونا 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بدلالة الآية على حجّية القياس فإنّما نقول بها في الأقيسة التي قام الدليل على نفي الفارق فيها لا الأقيسة التي هي شعبة من شعب الرأي ونوع من الظنون الزائغة وخصلة من خصال الخيالات الزائفة</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وقد تمسّكوا بآيات أُخرى ليس لها أيّ مساس بحجّية القياس ، فلنذكر ما استدلّوا به على صحّته من السنّة</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273255_1067777946"/>
      <w:bookmarkStart w:id="837" w:name="_Toc303"/>
      <w:bookmarkEnd w:id="836"/>
      <w:r>
        <w:rPr/>
        <w:t>2</w:t>
      </w:r>
      <w:r>
        <w:rPr>
          <w:rtl w:val="true"/>
        </w:rPr>
        <w:t xml:space="preserve">. </w:t>
      </w:r>
      <w:r>
        <w:rPr>
          <w:rtl w:val="true"/>
        </w:rPr>
        <w:t>الاستدلال بالسنّة</w:t>
      </w:r>
      <w:bookmarkEnd w:id="837"/>
    </w:p>
    <w:p>
      <w:pPr>
        <w:pStyle w:val="Heading5"/>
        <w:numPr>
          <w:ilvl w:val="4"/>
          <w:numId w:val="1"/>
        </w:numPr>
        <w:rPr/>
      </w:pPr>
      <w:bookmarkStart w:id="838" w:name="__RefHeading___Toc1273257_1067777946"/>
      <w:bookmarkStart w:id="839" w:name="_Toc304"/>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 xml:space="preserve">استدلّ القائلون بالقياس بروايات نذكر ما هو المهمّ منها </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1273259_1067777946"/>
      <w:bookmarkStart w:id="841" w:name="_Toc305"/>
      <w:bookmarkEnd w:id="840"/>
      <w:r>
        <w:rPr/>
        <w:t>1</w:t>
      </w:r>
      <w:r>
        <w:rPr>
          <w:rtl w:val="true"/>
        </w:rPr>
        <w:t xml:space="preserve">. </w:t>
      </w:r>
      <w:r>
        <w:rPr>
          <w:rtl w:val="true"/>
        </w:rPr>
        <w:t>حديث معاذ بن جبل</w:t>
      </w:r>
      <w:bookmarkEnd w:id="841"/>
    </w:p>
    <w:p>
      <w:pPr>
        <w:pStyle w:val="Heading6"/>
        <w:numPr>
          <w:ilvl w:val="5"/>
          <w:numId w:val="1"/>
        </w:numPr>
        <w:rPr/>
      </w:pPr>
      <w:bookmarkStart w:id="842" w:name="__RefHeading___Toc1273261_1067777946"/>
      <w:bookmarkStart w:id="843" w:name="_Toc306"/>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 xml:space="preserve">احتجّ غير واحد من أصحاب القياس بحديث معاذ بن جبل والاحتجاج فرع إتقان الرواية سنداً ومتناً وإليك بيانها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الحرث بن عمرو بن أخي المغيرة بن شعبة ، عن ناس من أصحاب معاذ من أهل حمص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بعثه إلى اليمن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إن عرض لك قضاء؟</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بما في كتاب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في كتاب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في سنّة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 لا آلو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رسول الله صدري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 رسول رسول الله لما يرضى رسول الله</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وقد استدلّ به الإمام الشافعي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أفاد أنّ القياس حجّة فيما لم يكن في المورد نصّ كتاب أو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القياس؟ أهو الاجتهاد أم هما مفترقان؟ 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اسمان لمعنى واحد</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والسنّة فيدلاّن على ذلك ، لأنّه إذا أمر النبي بالاجتهاد فالاجتهاد أبداً لا يكون إلاّ على طلب شيء ، وطلب الشيء لا يكون إلاّ بدلائل ، والدلائل هي القياس</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وقال أبو الحسين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به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أجتهد رأيي عند الانتقال من الكتاب والسنّة ، فعلمنا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 لم ينصرف إلى الحكم بالكتاب والسنّة</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وثمّة كلمات متماثلة لما ذكرنا في تقريب الاستدلال به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الحديث ضعيف سنداً وغير تام 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السند ، ففيه الأُمور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أبا عون محمد بن عبيد الله الثقفي الوارد في السند ، مجهول لم يعرف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الحارث بن عمرو ، مجهول مثله ولم يعرف سوى أنّه ابن أخي المغيرة بن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الحارث بن عمرو ، ينقل عن أُناس من أهل حمص وهم مجهولون فتكون الرواية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الأُمور أفيصحّ الاستدلال بحديث يرويه مجهول عن مجهول عن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معاذ ، فإنّه لا يحلّ الاحتجاج به لسقوطه ، وذلك أنّه لم يُروَ قطّ إلاّ من طريق الحارث بن عمرو وهو مجهول لا يدري أحد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العذري ، حدثنا أبو ذر الهروي ، حدثنا زاهر بن أحمد الفقيه ، حدثنا زنجويه بن محمد النيسابوري ، حدثنا محمد بن إسماعيل البخاري فذكر سند هذا الحديث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الحارث إلاّ بهذا ولا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كلام البخاري في تاريخه الأوسط ، ثمّ هو عن رجال من أهل حمص لا يدرى من هم</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عمرو ، عن رجال ، عن معاذ بحديث الاجتهاد ، 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أبو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الله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عمرو الثقفي ابن أخي المغيرة وما روى عن الحارث ، غير أبي عون وهو مجهول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إسناده عندي بمتّصل</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معاذ خبر واحد وبمثله لا تثبت الأُصول المعلومة ، ولو ثبتت بأخبار الآحاد لم يجز ثبوتها بمثل خبر معاذ ، لأنّ رُواته مجهولون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من أصحاب معاذ ولم يُذكَروا</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وفي عون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أورده الجوزقاني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باطل ، رواه جماعة عن شعبة ، وقد تصفحت هذا الحديث في أسانيد الكبار والصغار ، وسألت من لقيتُه من أهل العلم بالنقل عنه فلم أجد له طريقاً غير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قيل انّ الفقهاء قاطبة أوردوه واعتمدوا عليه قيل هذا طريقه والخلف قلّد السلف</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وأمّا الدلالة ، فانّ الاستدلال بالحديث على حجّية القياس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مبنية على مساواة الاجتهاد بالقياس ، بل المراد به هو الاجتهاد في كتاب الله وسنّة رسوله حتّى يتوصل إلى حكم الله عن طريقهما ، لأنّ الأحكام على قسمين قسم موجود في ظواهر الكتاب والسنّة لا يحتاج إلى بذل الجهد ، بل يعرفه كلّ من يعرف اللغة ، وقسم منه غير موجود في ظواهره لكن يمكن التوصل إليها عن طريقهما بالتدبر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الاجتهاد الدارج بين العلماء ، وأين هذا من القياس الذي ورد فيه النص على حكم الأصل دون الفرع ، والقائس يبذل جهده ، ليجد فيهما التشابه ، حتّى يسري حكم الأصل إلى الفرع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يُنكر أن يكون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أجتهد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أجتهد </w:t>
      </w:r>
    </w:p>
    <w:p>
      <w:pPr>
        <w:pStyle w:val="BookText"/>
        <w:rPr/>
      </w:pPr>
      <w:r>
        <w:rPr>
          <w:rFonts w:ascii="Amiri" w:hAnsi="Amiri" w:eastAsia="Amiri" w:cs="Amiri"/>
          <w:color w:val="111111"/>
          <w:sz w:val="28"/>
          <w:sz w:val="28"/>
          <w:szCs w:val="28"/>
          <w:rtl w:val="true"/>
          <w:lang w:bidi="ar-SA"/>
        </w:rPr>
        <w:t>حتى أجد حكم الله تعالى في الحادثة ، من الكتاب والسنّة ، إذ كان في أحكام الله فيهما ما لا يتوصّل إليه إلاّ بالاجتهاد ، ولا يوجد في ظواهر النصوص ، فادّعاؤهم أنّ إلحاق الفروع بالأُصول في الحكم لعلّة يستخرجها القياس ، هو الاجتهاد الذي عناه في الخبر ، ممّا لا دليل عليه ولا سبيل إلى تصحيحه</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تجويز القياس في القضاء لا يكون دليلاً على تجويزه في الإفتاء ، لأنّ القضاء أمر لا يمكن تأخيره ، بخلاف الإفتاء ، فالاستدلال بجواز القياس في القضاء على جوازه في الإفتاء ، مبنيّ على صحّة القياس وهو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منصب خطر إذ به تصان الدماء والأعراض والأموال ، كما به تباح النواميس والشئون الخطيرة ، فهل يمكن أن يبعث النبي رجلاً ويخوّل له النبي التصرف في مهام الأُمور ، باعمال الرأي من دون أن يحدّده على وجه يصونه عن الخطأ ومجانبة الواقع ، وهذا إن دلّ على شيء فإنّما يدلّ على أنّ المراد من الاجتهاد هو استخراج حكم الواقعة عن المصدرين بالتأمل فيهما ، لا إعمال الرأي بأقسامه المختلفة التي ربما لا تمس الواقع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عن وجود خصوصية في معاذ تصدّه عن استعمال الرأي الخارج عن حدود الكتاب والسنّة ، وإلاّ لما خوله أمر القضاء من دون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على ما ذكرنا ما حكي من سيرة معاذ حيث إنّه لم يكن يجتهد برأيه في الأحكام وإنّما كان يتوقّف حتى يسأل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يحيى بن الحكم أنّ معاذاً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أهلَ اليمن ، وأمرني أن آخذ من البقر من كلِّ ثلاثين تبيعاً ، ومن كلّ أربعين مُسِنَّةً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فعرضوا عليّ أن آخذ من الأربعين فأبيت ذاك ، وقلت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أسأل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فقدمتُ ، فأخبرت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آخذ من كلّ ثلاثين تبيعاً ، ومن كلّ أربعين مُسِنَّةً</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فإذا كانت هذه سيرته فكيف يقضي بالظنون والاعتبارات؟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نقطة جديرة بالذكر ، وهي أنّ القضاء منصب خطير لا يشغله إلاّ العارف بالكتاب والسنّة والخبير في فضّ الخصومات ، فالنبيّ الذي نصبه للقضاء لا بدّ أن يعلِّمه الكتاب والسنّة أوّلاً وأن يكون واقفاً على مدى إحاطته بهما ، ثم يبعثه إلى القضاء وفصل الخصومات مع المعرفة التامّة لحال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لزوم المعرفة بكفاءة المبعوث قبل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السؤال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تصنع إن عرض لك قضاء؟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بما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لغواً ، وهذا يعرب عن أنّ الحديث لم ينقل على الوجه الصحيح ، وستوافيك الصور الأُخرى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يقتضي أنّه سأله عمّا به يقضي بعد أن نصبه للقضاء ، وذلك لا يجوز لأنّ جواز نصبه للقضاء مشروط بصلاحيته للقضاء ، وهذه الصلاحية إنّما تثبت لو ثبت كونه عالماً بالشيء الذي يجب أن يقضي به والشيء الذي لا يجب أن يقضي به</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المتمسّكين بالحديث لمّا رأوا ضعف الحديث سنداً ودلالة ، حاولوا تصحيح التمسّك بقولهم بأنّ خبر معاذ خبر مشهور ولو كان مرسلاً ، لكنّ الأُمّة تلقّته بالقبول</w:t>
      </w:r>
      <w:r>
        <w:rPr>
          <w:rFonts w:eastAsia="Amiri" w:cs="Amiri" w:ascii="Amiri" w:hAnsi="Amiri"/>
          <w:color w:val="111111"/>
          <w:sz w:val="28"/>
          <w:szCs w:val="28"/>
          <w:rtl w:val="true"/>
          <w:lang w:bidi="ar-SA"/>
        </w:rPr>
        <w:t xml:space="preserve">. </w:t>
      </w:r>
      <w:r>
        <w:rPr>
          <w:rStyle w:val="FootnoteAnchor"/>
          <w:rtl w:val="true"/>
        </w:rPr>
        <w:footnoteReference w:id="738"/>
      </w:r>
      <w:bookmarkStart w:id="844" w:name="pg10155_105641"/>
    </w:p>
    <w:p>
      <w:pPr>
        <w:pStyle w:val="BookText"/>
        <w:rPr/>
      </w:pPr>
      <w:bookmarkEnd w:id="844"/>
      <w:r>
        <w:rPr>
          <w:rFonts w:ascii="Amiri" w:hAnsi="Amiri" w:eastAsia="Amiri" w:cs="Amiri"/>
          <w:color w:val="111111"/>
          <w:sz w:val="28"/>
          <w:sz w:val="28"/>
          <w:szCs w:val="28"/>
          <w:rtl w:val="true"/>
          <w:lang w:bidi="ar-SA"/>
        </w:rPr>
        <w:t>لكن عزب عن المستدلّ أنّ اشتهار الحديث نتيجة الاستدلال به للقياس ولو لا كونه مصدراً لمقالة أهل القياس لما نال تلك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تلقّي الأُمّة له بالقبول ، فغير معلوم ، فقد بيّنا أنّ قبول الأُمّة لأمثال هذه الأخبار كقبولهم لمسّ الذكر ، وما جرى مجراه ممّا لا يُقطع به ولا يُعلم صحّته</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إلى هنا تمّ مناقشة الحديث سنداً ودلالة ، وتبيّن أنّ الحديث غير صالح للاحتجاج به</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1273263_1067777946"/>
      <w:bookmarkStart w:id="846" w:name="_Toc307"/>
      <w:bookmarkEnd w:id="845"/>
      <w:r>
        <w:rPr>
          <w:rtl w:val="true"/>
        </w:rPr>
        <w:t>الصور الأُخرى للحديث</w:t>
      </w:r>
      <w:bookmarkEnd w:id="846"/>
    </w:p>
    <w:p>
      <w:pPr>
        <w:pStyle w:val="BookText"/>
        <w:rPr/>
      </w:pPr>
      <w:r>
        <w:rPr>
          <w:rFonts w:ascii="Amiri" w:hAnsi="Amiri" w:eastAsia="Amiri" w:cs="Amiri"/>
          <w:color w:val="111111"/>
          <w:sz w:val="28"/>
          <w:sz w:val="28"/>
          <w:szCs w:val="28"/>
          <w:rtl w:val="true"/>
          <w:lang w:bidi="ar-SA"/>
        </w:rPr>
        <w:t xml:space="preserve">إنّ الحديث قد ورد بصور مختلفة وبينها تضادّ كبير في المضمون ، وإليك هذه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حزم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حمام وأبو عمر الطلمنكي قال 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الباجي ، حدثنا عبد الله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بقى </w:t>
      </w:r>
      <w:r>
        <w:rPr>
          <w:rStyle w:val="FootnoteAnchor"/>
          <w:rtl w:val="true"/>
        </w:rPr>
        <w:footnoteReference w:id="740"/>
      </w:r>
      <w:r>
        <w:rPr>
          <w:rFonts w:ascii="Amiri" w:hAnsi="Amiri" w:eastAsia="Amiri" w:cs="Amiri"/>
          <w:color w:val="111111"/>
          <w:sz w:val="28"/>
          <w:sz w:val="28"/>
          <w:szCs w:val="28"/>
          <w:rtl w:val="true"/>
          <w:lang w:bidi="ar-SA"/>
        </w:rPr>
        <w:t>حدثنا أبو بكر بن أبي شيبة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الطلمنكي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مفرج ، حدثنا إبراهيم بن أحمد بن فراس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زيد ، حدثنا سعيد بن منصور ، ثمّ اتّفق ابن أبي شيبة وسعيد كلاهما عن أبي معاوية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الشيباني عن محمد بن عبيد الله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رسول الله معاذاً إلى اليمن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بم تقضي؟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بما في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جاءك </w:t>
      </w:r>
    </w:p>
    <w:p>
      <w:pPr>
        <w:pStyle w:val="BookText"/>
        <w:rPr/>
      </w:pPr>
      <w:r>
        <w:rPr>
          <w:rFonts w:ascii="Amiri" w:hAnsi="Amiri" w:eastAsia="Amiri" w:cs="Amiri"/>
          <w:color w:val="111111"/>
          <w:sz w:val="28"/>
          <w:sz w:val="28"/>
          <w:szCs w:val="28"/>
          <w:rtl w:val="true"/>
          <w:lang w:bidi="ar-SA"/>
        </w:rPr>
        <w:t xml:space="preserve">أمر ليس في كتاب الله ولم يقض به نبيّه؟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بما قضى به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جاءك أمر ليس في كتاب الله ولم يقض به نبيّه ولا قضى به الصالحون؟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 الحقّ جهدي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جعل رسول رسول الله يقضي بما يُرضى به رسول الله</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ترى أنّ معاذاً يقدّم ما قضى به الصالحون على كلّ شيء ، بعد الكتاب والسنّة ، ولعلّ مراده هي الأعراف السائدة بين المجتمعات التي تكون مرجعاً للقضاء كما أوضحنا في بعض محاضراتنا الأُصوليّة </w:t>
      </w:r>
      <w:r>
        <w:rPr>
          <w:rStyle w:val="FootnoteAnchor"/>
          <w:rtl w:val="true"/>
        </w:rPr>
        <w:footnoteReference w:id="742"/>
      </w:r>
      <w:r>
        <w:rPr>
          <w:rFonts w:ascii="Amiri" w:hAnsi="Amiri" w:eastAsia="Amiri" w:cs="Amiri"/>
          <w:color w:val="111111"/>
          <w:sz w:val="28"/>
          <w:sz w:val="28"/>
          <w:szCs w:val="28"/>
          <w:rtl w:val="true"/>
          <w:lang w:bidi="ar-SA"/>
        </w:rPr>
        <w:t>حالها عند دراسة حجّية العرف والأعراف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مراده ، هو ما ورد في الشرائع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مراده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أؤمّ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التفكّر في الأُصول والقواعد الواردة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الرواية مرسلة ، لأنّ أبا عون لا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 لتأخّر طبقته في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غنم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جبل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بعثني رسول الله إلى اليمن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تقضينّ ولا تفصِلنّ إلاّ بما تعلم ، وإن أشكل عليك أمر فقف حتى تبيّنه أو تكتب إليَّ فيه</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السند ولكن المتن غير ما جاء في الحديث بل يغايره تماماً ، وينفي مقالة حماة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في الكتب الأُصولية ولعلّها منقولة بالمعنى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الحسين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 أنّه قال لمعاذ وأبي موسى </w:t>
      </w:r>
    </w:p>
    <w:p>
      <w:pPr>
        <w:pStyle w:val="BookText"/>
        <w:rPr/>
      </w:pPr>
      <w:r>
        <w:rPr>
          <w:rFonts w:ascii="Amiri" w:hAnsi="Amiri" w:eastAsia="Amiri" w:cs="Amiri"/>
          <w:color w:val="111111"/>
          <w:sz w:val="28"/>
          <w:sz w:val="28"/>
          <w:szCs w:val="28"/>
          <w:rtl w:val="true"/>
          <w:lang w:bidi="ar-SA"/>
        </w:rPr>
        <w:t>الأشعري ، وقد أنفذهما إلى اليمن ، بم تقضيان؟</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نجد الحكم في السنّة ، قسنا الأمر بالأمر ، فما كان أقرب إلى الحقّ عملنا به</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ونقله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أنفذ معاذاً وأبا موسى الأشعري إلى اليمن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تقضيان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نجد الحكم في السنّة نقيس الأمر بالأمر فما كان أقرب إلى الحقّ عملنا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أصبتما</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وتبعه الأرموي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 من المحصول</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والظاهر أنّ الحديث نقل بالمعنى حسب فهم الراوي ، ولم نعثر على هذا النصّ في الصحاح والمسانيد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أخرج أحمد عن أبي بردة عن أبي موسى أنّ رسول الله بعث معاذاً وأبا موسى إلى اليمن فأمرهما أن يعلّما الناس القرآن</w:t>
      </w:r>
      <w:r>
        <w:rPr>
          <w:rFonts w:eastAsia="Amiri" w:cs="Amiri" w:ascii="Amiri" w:hAnsi="Amiri"/>
          <w:color w:val="111111"/>
          <w:sz w:val="28"/>
          <w:szCs w:val="28"/>
          <w:rtl w:val="true"/>
          <w:lang w:bidi="ar-SA"/>
        </w:rPr>
        <w:t xml:space="preserve">. </w:t>
      </w:r>
      <w:r>
        <w:rPr>
          <w:rStyle w:val="FootnoteAnchor"/>
          <w:rtl w:val="true"/>
        </w:rPr>
        <w:footnoteReference w:id="74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تقدير فالرواية مرسلة أوّلاً ، وإجابة الرجلين بجواب واحد في زمان واحد بعيد ثانياً ، واختصاصها بالقضاء دون الإفتاء ثالثاً ، وتفويض أمر القضاء إلى رأي الرجلين دون تحديد له ، يلازم التهاون بالنواميس رابعاً ، فلا محيص عن القول بوجود خصوصية فيهما كانت تصدهما عن الإفتاء بالرأي الذي ليس له جذر في الكتاب والسنّة</w:t>
      </w:r>
      <w:r>
        <w:rPr>
          <w:rFonts w:eastAsia="Amiri" w:cs="Amiri" w:ascii="Amiri" w:hAnsi="Amiri"/>
          <w:color w:val="111111"/>
          <w:sz w:val="28"/>
          <w:szCs w:val="28"/>
          <w:rtl w:val="true"/>
          <w:lang w:bidi="ar-SA"/>
        </w:rPr>
        <w:t xml:space="preserve">. </w:t>
      </w:r>
      <w:bookmarkStart w:id="847" w:name="pg10155_105644"/>
    </w:p>
    <w:p>
      <w:pPr>
        <w:pStyle w:val="Heading5"/>
        <w:numPr>
          <w:ilvl w:val="4"/>
          <w:numId w:val="1"/>
        </w:numPr>
        <w:rPr/>
      </w:pPr>
      <w:bookmarkStart w:id="848" w:name="__RefHeading___Toc1273265_1067777946"/>
      <w:bookmarkStart w:id="849" w:name="_Toc308"/>
      <w:bookmarkEnd w:id="847"/>
      <w:bookmarkEnd w:id="848"/>
      <w:r>
        <w:rPr/>
        <w:t>2</w:t>
      </w:r>
      <w:r>
        <w:rPr>
          <w:rtl w:val="true"/>
        </w:rPr>
        <w:t xml:space="preserve">. </w:t>
      </w:r>
      <w:r>
        <w:rPr>
          <w:rtl w:val="true"/>
        </w:rPr>
        <w:t>حديث عمر</w:t>
      </w:r>
      <w:bookmarkEnd w:id="849"/>
    </w:p>
    <w:p>
      <w:pPr>
        <w:pStyle w:val="BookText"/>
        <w:rPr/>
      </w:pPr>
      <w:r>
        <w:rPr>
          <w:rFonts w:ascii="Amiri" w:hAnsi="Amiri" w:eastAsia="Amiri" w:cs="Amiri"/>
          <w:color w:val="111111"/>
          <w:sz w:val="28"/>
          <w:sz w:val="28"/>
          <w:szCs w:val="28"/>
          <w:rtl w:val="true"/>
          <w:lang w:bidi="ar-SA"/>
        </w:rPr>
        <w:t xml:space="preserve">عن جابر بن عبد الله ، عن 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هششت فقبَّلتُ وأنا صائم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أتيت أمراً عظيماً قبّلتُ وأنا صائم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تمضمضت من الماء وأنت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ففيم؟</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قال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أنّ حكمَ المثل حكمُ مثلِه وأنّ المعاني والعلل مؤثّرة في الأحكام نفياً وإثباتاً لم يكن لذكر هذا التشبيه معنى ، فَذَكَره ليُدلّ به على أنّ حكم النظير حكمُ مثله ، وأنّ نسبة القبلة التي هي وسيلة للوطء كنسبة وضع الماء في الفم الذي هو وسيلة إلى شربه ، فكما أنّ هذا الأمر لا يضرّ ، فكذلك الآخر</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وقال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تعليم المقايسة ، فإنّ بالقبلة يفتتح طريق اقتضاء الشهوة ولا يحصل بعينه اقتضاء الشهوة ، كما أنّ بإدخال الماء في الفم يفتتح طريق الشرب ولا يحصل به الشرب</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عبارة عن استفادة حكم الفرع عن حكم الأصل بحيث يعتمد أحدهما على الآخر وليس المقام كذلك ، بل كلاهما كغصني شجرة أو كجدولي نهر ، فالمبطل هو الأكل والجماع لا مقدّمتهما فبما أنّ المخاطب كان واقفاً على ذلك الحكم في الأكل دون الجماع ، أرشده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بتشبيه القبلة بالمضمضة إقناعاً للمخاطب لا استنباطاً للحكم من الأصل وليس الكلام في إقناع المخاطب ، بل في استنباط الحكم والرواية غير ظاهرة ، في الأمر الثاني الذي </w:t>
      </w:r>
      <w:bookmarkStart w:id="850" w:name="pg10155_105645"/>
    </w:p>
    <w:p>
      <w:pPr>
        <w:pStyle w:val="BookText"/>
        <w:rPr/>
      </w:pPr>
      <w:bookmarkEnd w:id="850"/>
      <w:r>
        <w:rPr>
          <w:rFonts w:ascii="IRNazanin" w:hAnsi="IRNazanin" w:eastAsia="IRNazanin"/>
          <w:color w:val="111111"/>
          <w:sz w:val="28"/>
          <w:sz w:val="28"/>
          <w:szCs w:val="28"/>
          <w:rtl w:val="true"/>
          <w:lang w:bidi="fa-IR"/>
        </w:rPr>
        <w:t>هو المقصود بالاستدلال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إلى ذلك ما ذكره ابن حزم حولها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في إبطال القياس إلاّ هذا الحديث لكفى ، لأنّ عمر ظنّ أنّ القبلة تفطر الصائم قياساً على الجماع ، فأخبره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المماثلة والمتقاربة لا تستوي أحكامها ، وأنّ المضمضة لا تفطر ، ولو تجاوز الماء الحلق عمداً لأفطر ، وأنّ الجماع يفطر ، والقبلة لا تفطر ، وهذا هو إبطال القياس حقاً</w:t>
      </w:r>
      <w:r>
        <w:rPr>
          <w:rFonts w:eastAsia="Amiri" w:cs="Amiri" w:ascii="Amiri" w:hAnsi="Amiri"/>
          <w:color w:val="111111"/>
          <w:sz w:val="28"/>
          <w:szCs w:val="28"/>
          <w:rtl w:val="true"/>
          <w:lang w:bidi="ar-SA"/>
        </w:rPr>
        <w:t xml:space="preserve">. </w:t>
      </w:r>
      <w:r>
        <w:rPr>
          <w:rStyle w:val="FootnoteAnchor"/>
          <w:rtl w:val="true"/>
        </w:rPr>
        <w:footnoteReference w:id="751"/>
      </w:r>
    </w:p>
    <w:p>
      <w:pPr>
        <w:pStyle w:val="Heading5"/>
        <w:numPr>
          <w:ilvl w:val="4"/>
          <w:numId w:val="1"/>
        </w:numPr>
        <w:rPr/>
      </w:pPr>
      <w:bookmarkStart w:id="851" w:name="__RefHeading___Toc1273267_1067777946"/>
      <w:bookmarkStart w:id="852" w:name="_Toc309"/>
      <w:bookmarkEnd w:id="851"/>
      <w:r>
        <w:rPr/>
        <w:t>3</w:t>
      </w:r>
      <w:r>
        <w:rPr>
          <w:rtl w:val="true"/>
        </w:rPr>
        <w:t xml:space="preserve">. </w:t>
      </w:r>
      <w:r>
        <w:rPr>
          <w:rtl w:val="true"/>
        </w:rPr>
        <w:t>حديث ابن عباس</w:t>
      </w:r>
      <w:bookmarkEnd w:id="852"/>
    </w:p>
    <w:p>
      <w:pPr>
        <w:pStyle w:val="BookText"/>
        <w:rPr/>
      </w:pPr>
      <w:r>
        <w:rPr>
          <w:rFonts w:ascii="Amiri" w:hAnsi="Amiri" w:eastAsia="Amiri" w:cs="Amiri"/>
          <w:color w:val="111111"/>
          <w:sz w:val="28"/>
          <w:sz w:val="28"/>
          <w:szCs w:val="28"/>
          <w:rtl w:val="true"/>
          <w:lang w:bidi="ar-SA"/>
        </w:rPr>
        <w:t xml:space="preserve">عن سليمان بن يسار عن عبد الله بن عباس ، أنّ رجلاً سأل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أبي أدركه الحجّ وهو شيخ كبير لا يثبت على راحلته فإن شددته خشيت أن يموت أفأحجّ عنه؟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لو كان عليه دَين فقضيتَه أكان مجزئاً؟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عن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نافع بن جبير وسعيد بن جبير وعكرمة وأبو الشعثاء وعطاء عن ابن عباس بتعابير متقاربة ، فالرواية واحدة لانتهاء أسنادها إلى ابن عباس والرواة عنه متعدّدون </w:t>
      </w:r>
      <w:r>
        <w:rPr>
          <w:rStyle w:val="FootnoteAnchor"/>
          <w:rtl w:val="true"/>
        </w:rPr>
        <w:footnoteReference w:id="752"/>
      </w:r>
      <w:r>
        <w:rPr>
          <w:rFonts w:ascii="Amiri" w:hAnsi="Amiri" w:eastAsia="Amiri" w:cs="Amiri"/>
          <w:color w:val="111111"/>
          <w:sz w:val="28"/>
          <w:sz w:val="28"/>
          <w:szCs w:val="28"/>
          <w:rtl w:val="true"/>
          <w:lang w:bidi="ar-SA"/>
        </w:rPr>
        <w:t>ولكن الرواية في الكتب الأُصولية منسوبة ، إلى جارية خثعميّة</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والرواية المنسوبة إليها ليست مشتملة على التشبيه ، وإليك نصّها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سليمان بن يسار عن عبد الله بن عباس أنّه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الفضل بن عباس رديف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امرأة من خثعم تستفتيه ، فجعل الفضل ينظر إليها وتنظر إليه ، فجعل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وجه الفضل إلى الشقّ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فريضة الله في الحجّ على عباده أدركت أبي شيخاً كبيراً لا يستطيع أن يثبت على الراحلة ، أفأحجّ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وذلك في حجّة الوداع</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وعلى كلّ تقدير فقد استدلّ بهذه الرواية ، يقول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تعليم المقايسة وبيان بطريق إعمال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ألحق دين الله بدين الآدمي في وجوب القضاء ونفعه وهو عين القياس</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جاء في هذه الرواية ليس من مقولة القياس ، بل من باب تطبيق الكبرى المسلّمة عند القائل على صغراها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دين يقضى ، وقد طبقها رسول الله على دين الله لأبيها ، فحكم بلزوم القضاء فأين هذا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يتحقّق بأركان أربعة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الجامعة بينهما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 فيلاحظ القياس الأصل أوّلاً ، ثمّ الفرع ثانياً ، ثمّ يتفحص عن الجهة الجامعة بينهما ، ثمّ يحكم بالتحاق الفرع بالأصل ، وأين هذه الأُمور المتسلسلة ، ممّا ورد في الرواية ، بل النبي لما كان عالماً بالتشريع الإلهي وهو انّ كلّ دين يقضى من غير فرق بين كونه دين الناس ، أو دين الله سبحانه ، وكان السائل جاهلاً بالتسوية ، فشبّه أحدهما</w:t>
      </w:r>
      <w:bookmarkStart w:id="853" w:name="pg10155_105647"/>
    </w:p>
    <w:p>
      <w:pPr>
        <w:pStyle w:val="BookText"/>
        <w:rPr/>
      </w:pPr>
      <w:bookmarkEnd w:id="853"/>
      <w:r>
        <w:rPr>
          <w:rFonts w:ascii="Amiri" w:hAnsi="Amiri" w:eastAsia="Amiri" w:cs="Amiri"/>
          <w:color w:val="111111"/>
          <w:sz w:val="28"/>
          <w:sz w:val="28"/>
          <w:szCs w:val="28"/>
          <w:rtl w:val="true"/>
          <w:lang w:bidi="ar-SA"/>
        </w:rPr>
        <w:t>بالآخر بنية تطبيق الكبرى على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القياس الوارد في الحديث من باب القياس الأولوي ، وقد مرّ أنّه خارج عن محلّ النزاع ، والشاهد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بالقضاء</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273269_1067777946"/>
      <w:bookmarkStart w:id="855" w:name="_Toc310"/>
      <w:bookmarkEnd w:id="854"/>
      <w:r>
        <w:rPr/>
        <w:t>4</w:t>
      </w:r>
      <w:r>
        <w:rPr>
          <w:rtl w:val="true"/>
        </w:rPr>
        <w:t xml:space="preserve">. </w:t>
      </w:r>
      <w:r>
        <w:rPr>
          <w:rtl w:val="true"/>
        </w:rPr>
        <w:t>حديث الأعرابي</w:t>
      </w:r>
      <w:bookmarkEnd w:id="855"/>
    </w:p>
    <w:p>
      <w:pPr>
        <w:pStyle w:val="BookText"/>
        <w:rPr/>
      </w:pPr>
      <w:r>
        <w:rPr>
          <w:rFonts w:ascii="Amiri" w:hAnsi="Amiri" w:eastAsia="Amiri" w:cs="Amiri"/>
          <w:color w:val="111111"/>
          <w:sz w:val="28"/>
          <w:sz w:val="28"/>
          <w:szCs w:val="28"/>
          <w:rtl w:val="true"/>
          <w:lang w:bidi="ar-SA"/>
        </w:rPr>
        <w:t xml:space="preserve">عن أبي طاهر وحرملة بن يحيى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وهب ، أخبرني يونس ، عن ابن شهاب ، عن أبي سلمة بن عبد الرحمن ،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امرأتي ولدت غلاماً 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لك من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فيها من 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عرق نزعه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ابنك هذا عرق نزعه</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المقرّر في الشرع ، هو أنّ الولد للفراش ، ولم يكن للأعرابي نفي الولد بحجّة عدم التوافق في اللون ، وأراد النبيّ أن يبطل حجّته بأنّ عدم التوافق لا يكون دليلاً على عدم الإلحاق ، وليس ذلك بعجيب ، لأنّه يوجد نظيره في الحيوانات فالإبل الحمر ربّما تلد أورق بالرغم من حمرتها ، وقد بيّن وجهه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صحت تسمية ذلك قياساً فإنّما هو في الأُمور الطبيعية لا في الأحكام الشرعية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أقوى الحجج عليهم في إبطال القياس ، وذلك لأنّ الرجل جعل خلاف ولده في شبه اللون علّة لنفيه عن نفسه ، فأبطل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الشبه ، وأخبره أنّ الإبل الورق قد تلدها الإبل الحمر ، فأبطل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تتساوى المتشابهات في الحكم ، ومن المحال الممتنع أن يكون من له مسكة عقل يقيس ولادات الناس على ولادات الإبل ، والقياس عندهم إنّما هو ردّ فرع إلى أصله وتشبيه ما لم ينصّ بمنصوص ، وبالضرورة نعلم أنّه ليس الإبل أولى بالولادة من الناس ، ولا الناس أولى من الإبل وأنّ كلا النوعين في الإيلاد ، والإلقاح سواء ، فأين هاهنا مجال للقياس؟ وهل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توالد الناس مقيس على توالد الإبل ، إلاّ بمنزلة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المغرب إنّما وجبت فرضاً لأنّها قيست على صلاة الظهر؟ وإنّ الزكاة إنّما وجبت قياساً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حماقة لا تأتي بها إلاّ عضاريط أصحاب القياس ، لا يرضون بها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أن يضاف هذا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آتاه الله الحكمة والعلم دون معلّم للناس ، وجعل كلامه على لسانه ما أخوفنا أن يكون هذا استخفافاً بقدر النبوّة وكذباً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وممّا ذكرنا يعلم حال بعض ما استدلّ به على حجّية القياس نظير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الحديث انّه قال لأُمّ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سُئلتْ عن قبلة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أخبرته انّي أُقبّل وأنا صائم</w:t>
      </w:r>
      <w:r>
        <w:rPr>
          <w:rFonts w:eastAsia="Amiri" w:cs="Amiri" w:ascii="Amiri" w:hAnsi="Amiri"/>
          <w:color w:val="111111"/>
          <w:sz w:val="28"/>
          <w:szCs w:val="28"/>
          <w:rtl w:val="true"/>
          <w:lang w:bidi="ar-SA"/>
        </w:rPr>
        <w:t>».</w:t>
      </w:r>
      <w:r>
        <w:rPr>
          <w:rStyle w:val="FootnoteAnchor"/>
          <w:rtl w:val="true"/>
        </w:rPr>
        <w:footnoteReference w:id="758"/>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لسان الرواية يأبى نسبة مضمونها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أسمى من أن يشهر بشيء يعود إلى شئونه وعوالمه الخاصة مع نسائه وحسبه من تبليغ الحكم بغير هذا الطريق</w:t>
      </w:r>
      <w:r>
        <w:rPr>
          <w:rFonts w:eastAsia="Amiri" w:cs="Amiri" w:ascii="Amiri" w:hAnsi="Amiri"/>
          <w:color w:val="111111"/>
          <w:sz w:val="28"/>
          <w:szCs w:val="28"/>
          <w:rtl w:val="true"/>
          <w:lang w:bidi="ar-SA"/>
        </w:rPr>
        <w:t xml:space="preserve">. </w:t>
      </w:r>
      <w:r>
        <w:rPr>
          <w:rStyle w:val="FootnoteAnchor"/>
          <w:rtl w:val="true"/>
        </w:rPr>
        <w:footnoteReference w:id="759"/>
      </w:r>
      <w:bookmarkStart w:id="856" w:name="pg10155_105649"/>
    </w:p>
    <w:p>
      <w:pPr>
        <w:pStyle w:val="BookText"/>
        <w:rPr/>
      </w:pPr>
      <w:bookmarkEnd w:id="856"/>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بصدد بيان السنّة بفعله ، فانّها كما تبلغ بالقول بأن يقول القبلة لا تبطل الصوم ، كذلك تبلغ بالفعل ، وهو بفعله حكى السنة وأين هذا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الأحاديث التي تشبّثوا بها في إثبات القياس ، وقد عرفت قصور الجميع في الدلالة ، وقصور بعضها في السند ، وإليك دراسة بقية أدلّتهم</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273271_1067777946"/>
      <w:bookmarkStart w:id="858" w:name="_Toc311"/>
      <w:bookmarkEnd w:id="857"/>
      <w:r>
        <w:rPr/>
        <w:t>3</w:t>
      </w:r>
      <w:r>
        <w:rPr>
          <w:rtl w:val="true"/>
        </w:rPr>
        <w:t xml:space="preserve">. </w:t>
      </w:r>
      <w:r>
        <w:rPr>
          <w:rtl w:val="true"/>
        </w:rPr>
        <w:t>الاستدلال بإجماع الصحابة</w:t>
      </w:r>
      <w:bookmarkEnd w:id="858"/>
    </w:p>
    <w:p>
      <w:pPr>
        <w:pStyle w:val="Heading6"/>
        <w:numPr>
          <w:ilvl w:val="5"/>
          <w:numId w:val="1"/>
        </w:numPr>
        <w:rPr/>
      </w:pPr>
      <w:bookmarkStart w:id="859" w:name="__RefHeading___Toc1273273_1067777946"/>
      <w:bookmarkStart w:id="860" w:name="_Toc312"/>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 xml:space="preserve">وقد اعتبر الآمدي إجماع الصحابة أقوى الأدلة وقال ابن عقيل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التواتر المعنوي عن الصحابة باستعماله وهو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الصفي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الإجماع هو المعوَّل لجماهير المحقّقين من الأُصوليين وقال الرازي في 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الإجماع هو الذي عول عليه جمهور الأُصوليين</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ثمّ إنّ الرازي استدلّ بدليل مؤلف من مقدّمات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الصحابة ذهب إلى العمل بالقياس والقول به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يوجد من أحدهم إنكار أصل القياس ، فلأنّ القياس أصل عظيم في الشرع نفياً أو إثباتاً فلو أنكر بعضهم لكان ذلك الإنكار أولى بالنقل من اختلافهم ، ولو نقل لاشتهر ، ولوصل إلينا فلمّا لم يصل إلينا علمنا أنّه لم يوجد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قال بالقياس بعضهم ولم ينكره أحد منهم فقد انعقد الإجماع على صحّته</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المقدّمات الثلاث قابلة للنقاش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فلنفترض انّ بعض الصحابة عمل بالقياس على وجه الإجمال ولكن لم يُشخّص تفاصيله ، وانّهم هل عملوا بمنصوص العلّة أو بمستنبطها؟ وعلى فرض العمل بالثاني فلم يعلم ما هو مسلكهم في تعيين علة الحكم ومناطه فهل كان بالسبر والتقسيم أو من طريق آخر؟ ومع هذا الإجمال كيف يمكن أن يتخذ عمل الصحابة دليلاً على حجّية القياس في عامة الموارد وعامة المسالك إلى تعيين علّة الحكم ومناطه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فلأنّ تسمية عمل البعض مع سكوت الآخرين إجماعاً غير صحيح جدّاً ، لأنّ الإجماع عند الأُصوليين وحتّى الغزالي نفسه عبارة عن اتفاق علماء عصر واحد على حكم شرعي</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ومن المعلوم أنّ عمل البعض لا يعدّ دليلاً على الإجماع وإن سكت الآخرون ، وذلك لأنّ الصحابة لم يكونوا مجتمعين في المدينة المنورة بل ميادين الجهاد والبلدان المفتوحة والثغور وغيرهما أخذت كثيراً من الصحابة ولاة وعُمّالاً وجنداً وقادة فكيف عرف اتّفاقهم على هذين المقامين حتّى يتحقّق الإجماع</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 وهو عدم إنكار أحد منهم فهو أيضاً محجوج بالروايات القطعية عن الصحابة والتابعين في استنكار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وستوافيك نصوص المخالفين واستدلالهم على عدم صحّته ، وقد اشتهر بين المحدّثين قول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الدين بالقياس لكان باطن الخُفّ أولى بالمسح من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قلتم في دينكم بالقياس ، أحللتم كثيراً مما حرّم الله وحرمتم كثيراً ممّا حلل الله</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والمقاييس فإنّما عبدت الشمس والقمر بالمقاييس</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إلى غير ذلك من الآثار المروية عن الصحابة والتابعين وقد نقلها ابن قيم الجوزية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حزم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هذه النقول عن الصحابة ، كيف يمكن أن نعتمد على مثل هذا الإجماع؟</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وقد شاع بين التابعين نقد أدلّة القائلين بالقياس ، بأنّ أوّل من قاس هو إبليس إذ قاس نفسه بآدم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لم يكن هناك إجماع من الصحابة على العمل بالقياس ، ولو كان هناك شيء فإنّما هو كقضية جزئية لا تكون سنداً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قول الصحابي ليس بحجّة ما لم يعلم استناده إلى الرسول ، فكيف يكون فعله حجّة؟ وستوافيك نصوص من الصحابة والتابعين على نفي القياس</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وجدتم هذا الإجماع؟ وقد علمتم أنّ الصحابة أُلوف لا تحفظ الفتيا عنهم في أشخاص المسائل إلاّ عن مائة ونيّف وثلاثين نفراً منهم سبعة مكثرون ، وثلاثة عشر نفساً متوسطون ، والباقون مقلّون جدّاً تروى عنهم </w:t>
      </w:r>
      <w:bookmarkStart w:id="861" w:name="pg10155_105652"/>
    </w:p>
    <w:p>
      <w:pPr>
        <w:pStyle w:val="BookText"/>
        <w:rPr/>
      </w:pPr>
      <w:bookmarkEnd w:id="861"/>
      <w:r>
        <w:rPr>
          <w:rFonts w:ascii="Amiri" w:hAnsi="Amiri" w:eastAsia="Amiri" w:cs="Amiri"/>
          <w:color w:val="111111"/>
          <w:sz w:val="28"/>
          <w:sz w:val="28"/>
          <w:szCs w:val="28"/>
          <w:rtl w:val="true"/>
          <w:lang w:bidi="ar-SA"/>
        </w:rPr>
        <w:t>المسألة والمسألتان حاشا المسائل التي تيقن إجماعهم عليها ، كالصلوات وصوم رمضان فأين الإجماع على القول؟</w:t>
      </w:r>
      <w:r>
        <w:rPr>
          <w:rFonts w:eastAsia="Amiri" w:cs="Amiri" w:ascii="Amiri" w:hAnsi="Amiri"/>
          <w:color w:val="111111"/>
          <w:sz w:val="28"/>
          <w:szCs w:val="28"/>
          <w:rtl w:val="true"/>
          <w:lang w:bidi="ar-SA"/>
        </w:rPr>
        <w:t xml:space="preserve">! </w:t>
      </w:r>
      <w:r>
        <w:rPr>
          <w:rStyle w:val="FootnoteAnchor"/>
          <w:rtl w:val="true"/>
        </w:rPr>
        <w:footnoteReference w:id="766"/>
      </w:r>
    </w:p>
    <w:p>
      <w:pPr>
        <w:pStyle w:val="Heading6"/>
        <w:numPr>
          <w:ilvl w:val="5"/>
          <w:numId w:val="1"/>
        </w:numPr>
        <w:rPr/>
      </w:pPr>
      <w:bookmarkStart w:id="862" w:name="__RefHeading___Toc1273275_1067777946"/>
      <w:bookmarkStart w:id="863" w:name="_Toc313"/>
      <w:bookmarkEnd w:id="862"/>
      <w:r>
        <w:rPr>
          <w:rtl w:val="true"/>
        </w:rPr>
        <w:t>عمل الصحابة بالرأي</w:t>
      </w:r>
      <w:bookmarkEnd w:id="863"/>
    </w:p>
    <w:p>
      <w:pPr>
        <w:pStyle w:val="BookText"/>
        <w:rPr/>
      </w:pPr>
      <w:r>
        <w:rPr>
          <w:rFonts w:ascii="Amiri" w:hAnsi="Amiri" w:eastAsia="Amiri" w:cs="Amiri"/>
          <w:color w:val="111111"/>
          <w:sz w:val="28"/>
          <w:sz w:val="28"/>
          <w:szCs w:val="28"/>
          <w:rtl w:val="true"/>
          <w:lang w:bidi="ar-SA"/>
        </w:rPr>
        <w:t xml:space="preserve">وربّما يتمسّك بأنّ الصحابة كانوا يفتون بالرأي وقد شاع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الكلالة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أُمّهات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الرأي إلاّ الإفتاء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أبي بكر في الكلالة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 فإن يكون صواباً فمن الله وإن يكن خطأ فمني ومن الشيطان ، والله ورسوله بريئان منه</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وقد روي أيضاً عنه انّه حكم بالرأي في التسوية في العطاء حتّى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تجعل من ترك دياره وأمواله وهاجر إلى رسول الله كمن دخل في الإسلام كرهاً؟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أسلموا لله وأُجورهم على الله ، وإنّما الدنيا بلاغ ، وحيث انتهت النوبة إلى عمر فرّق بينهما</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كما روي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في الجد برأيي وأقول فيه برأيي</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سأقول فيها بجهد رأيي ، فإن كان صواباً فمن الله وحده ، وإن كان خطأً فمني ومن الشيطان والله ورسوله بريء</w:t>
      </w:r>
      <w:r>
        <w:rPr>
          <w:rFonts w:eastAsia="Amiri" w:cs="Amiri" w:ascii="Amiri" w:hAnsi="Amiri"/>
          <w:color w:val="111111"/>
          <w:sz w:val="28"/>
          <w:szCs w:val="28"/>
          <w:rtl w:val="true"/>
          <w:lang w:bidi="ar-SA"/>
        </w:rPr>
        <w:t xml:space="preserve">. </w:t>
      </w:r>
      <w:r>
        <w:rPr>
          <w:rStyle w:val="FootnoteAnchor"/>
          <w:rtl w:val="true"/>
        </w:rPr>
        <w:footnoteReference w:id="770"/>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بعض الصحابة كانوا يفتون بالرأي ، ولكن لم يكن الرأي مساوقاً للعمل بالقياس بل لعلّهم اعتمدوا فيها على ضرب من الاستدلال والتأمّل ، ولو كان ديدنهم في الإفتاء في غير ما نصّ عليه على القياس ، لبان وارتفع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ذلك ممّا يذكره الشيخ المظفّر في المقام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الاعتراف بأنّ بعض الصحابة استعملوا الاجتهاد بالرأي وأكثروا بل حتى فيما خالف النصّ تصرّفاً في الشريعة باجتهاداتهم ، والإنصاف أنّ ذلك لا ينبغي أن ينكر من طريقتهم ، ولكن لم تكن الاجتهادات واضحةَ المعالم عندهم من كونها على نحو القياس ، أو الاستحسان ، أو المصالح المرسلة ولم يعرف عنهم ، على أيّ كانت اجتهاداتهم ، أكانت تأويلاً للنصوص ، أم جهلاً بها ، أم استهانة بها؟ ربّما كان بعض هذا أو كلّه من بعضهم ، وفي الحقيقة إنّما تطوّر البحث عن الاجتهاد بالرأي في تنويعه وخصائصه في القرن الثاني والثالث</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إنّ هنا اجتهادات حُكيت من الصحابة لا يصحّ حملها على القياس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المتعتين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أنا محرّمهما ومعاقب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عمر الطلاق الثلاث ، ثلاثاً مع أنّه كان في عصر الرسول وخلافة أبي بكر وسنتين من خلافته ،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أيضاً سهم المؤلّفة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إلغاء الحيعلة وهو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الاجتهاد فيها مبنيّاً على القياس بل الاستحسان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الغزالي مواضع من اجتهادات الصحابة وحاول تطبيقها على القياس بجهد بالغ غير ناجح ، لأنّ أكثرها بعيد عن القياس</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روي عن عمر انّه كتب في رسالته إلى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w:t>
      </w:r>
      <w:bookmarkStart w:id="864" w:name="pg10155_105654"/>
    </w:p>
    <w:p>
      <w:pPr>
        <w:pStyle w:val="BookText"/>
        <w:rPr/>
      </w:pPr>
      <w:bookmarkEnd w:id="864"/>
      <w:r>
        <w:rPr>
          <w:rFonts w:ascii="Amiri" w:hAnsi="Amiri" w:eastAsia="Amiri" w:cs="Amiri"/>
          <w:color w:val="111111"/>
          <w:sz w:val="28"/>
          <w:sz w:val="28"/>
          <w:szCs w:val="28"/>
          <w:rtl w:val="true"/>
          <w:lang w:bidi="ar-SA"/>
        </w:rPr>
        <w:t>الأشياء والأمثال وقس الأُمور</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رسالة عمر إلى أبي موسى ، وقد وصفها ابن حزم انّها مكذوبة عليه وراويها عبد الملك بن وليد بن معدان عن أبيه وهو ثابت بلا خلاف ، وأبوه أسقط منه أو هو مثله في السقوط</w:t>
      </w:r>
      <w:r>
        <w:rPr>
          <w:rFonts w:eastAsia="Amiri" w:cs="Amiri" w:ascii="Amiri" w:hAnsi="Amiri"/>
          <w:color w:val="111111"/>
          <w:sz w:val="28"/>
          <w:szCs w:val="28"/>
          <w:rtl w:val="true"/>
          <w:lang w:bidi="ar-SA"/>
        </w:rPr>
        <w:t xml:space="preserve">. </w:t>
      </w:r>
      <w:r>
        <w:rPr>
          <w:rStyle w:val="FootnoteAnchor"/>
          <w:rtl w:val="true"/>
        </w:rPr>
        <w:footnoteReference w:id="774"/>
      </w:r>
    </w:p>
    <w:p>
      <w:pPr>
        <w:pStyle w:val="Heading5"/>
        <w:numPr>
          <w:ilvl w:val="4"/>
          <w:numId w:val="1"/>
        </w:numPr>
        <w:rPr/>
      </w:pPr>
      <w:bookmarkStart w:id="865" w:name="__RefHeading___Toc1273277_1067777946"/>
      <w:bookmarkStart w:id="866" w:name="_Toc314"/>
      <w:bookmarkEnd w:id="865"/>
      <w:r>
        <w:rPr/>
        <w:t>4</w:t>
      </w:r>
      <w:r>
        <w:rPr>
          <w:rtl w:val="true"/>
        </w:rPr>
        <w:t xml:space="preserve">. </w:t>
      </w:r>
      <w:r>
        <w:rPr>
          <w:rtl w:val="true"/>
        </w:rPr>
        <w:t>الاستدلال بدليل العقل</w:t>
      </w:r>
      <w:bookmarkEnd w:id="866"/>
    </w:p>
    <w:p>
      <w:pPr>
        <w:pStyle w:val="Heading6"/>
        <w:numPr>
          <w:ilvl w:val="5"/>
          <w:numId w:val="1"/>
        </w:numPr>
        <w:rPr/>
      </w:pPr>
      <w:bookmarkStart w:id="867" w:name="__RefHeading___Toc1273279_1067777946"/>
      <w:bookmarkStart w:id="868" w:name="_Toc315"/>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 xml:space="preserve">استدلّ على حجّية القياس بوجوه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سبحانه ما شرع حكماً إلاّ لمصلحة ، وأنّ مصالح العباد هي الغاية المقصودة من وراء تشريع الأحكام ، فإذا تساوت الواقعة المسكوتُ عنها ، بالواقعة المنصوص عليها ، في علّة الحكم التي هي مظنّة المصلحة ، قضت الحكمةُ والعدالةُ أن تساويها في الحكم تحقيقاً للمصلحة التي هي مقصود الشارع من التشريع ، ولا يتّفق وعدل الله وحكمته أن يحرّم الخمر لإسكارها محافظة على عقول عباده ويبيح نبيذاً آخر فيه خاصّية الخمر وهي الإسكار ، لأنّ مآلها المحافظة على العقول من مسكر وتركها عرضة للذهاب بمسكر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 ما شرع حكماً إلاّ لمصلحة وانّ مصالح العباد هي الغاية المقصودة من تشريع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مبني على القول بأنّ الأحكام تابعة للمصالح والمفاسد ، والمذهب الأشعري يرد ذلك كما يرد كون فعله سبحانه معللاً بالأغراض ، ومن أفعاله تعالى هو تشريعه فالاستدلال مبني على قول العدلية القائلين بالتحسين والتقبيح أوّلاً ، وعلى تبعية الأحكام للمصالح والمفاسد ثانياً ، فعندئذ يُصبح الاستدلال جدلياً لا برهانياً حيث استدلّ بعقيدة </w:t>
      </w:r>
    </w:p>
    <w:p>
      <w:pPr>
        <w:pStyle w:val="BookText"/>
        <w:rPr/>
      </w:pPr>
      <w:r>
        <w:rPr>
          <w:rFonts w:ascii="IRNazanin" w:hAnsi="IRNazanin" w:eastAsia="IRNazanin"/>
          <w:color w:val="111111"/>
          <w:sz w:val="28"/>
          <w:sz w:val="28"/>
          <w:szCs w:val="28"/>
          <w:rtl w:val="true"/>
          <w:lang w:bidi="fa-IR"/>
        </w:rPr>
        <w:t>الخصم ومسلماته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الكبرى وهي أنّ أحكام الشرع تابعة للمصالح والمفاسد أمر مسلّم ، إنّما الكلام في الوقوف على مناط الحكم وعلّته ، وأمّا ما مثّله من قياس النبيذ على الخمر فهو خارج عن محلّ الكلام ، لأنّا نعلم علماً قطعياً واضحاً بأنّ مناط التحريم هو الإسكار ، ولأجل ذلك جاءت في روايات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وجلّ الخمر بعينها وحرّم رسول الله المسكر من كلّ شارب فأجاز الله له ذلك</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وإنّما الكلام في أنّ الظنّ بالعلّة هل يغني عن مُرّ الحق شيئاً؟ وهل المظنون كونه علّة يكون علّة حقيقة ، أو أنّ هناك احتمالات أُخرى قد مضى بيانها عند بيان استنباط العلّة؟</w:t>
      </w:r>
    </w:p>
    <w:p>
      <w:pPr>
        <w:pStyle w:val="BookText"/>
        <w:rPr/>
      </w:pPr>
      <w:r>
        <w:rPr>
          <w:rFonts w:ascii="Amiri" w:hAnsi="Amiri" w:eastAsia="Amiri" w:cs="Amiri"/>
          <w:color w:val="111111"/>
          <w:sz w:val="28"/>
          <w:sz w:val="28"/>
          <w:szCs w:val="28"/>
          <w:rtl w:val="true"/>
          <w:lang w:bidi="ar-SA"/>
        </w:rPr>
        <w:t>إنّ المستدل جعل القياس في مسألة اتّفق عليها العقل والعقلاء والنصوص الشرعية ، دليلاً على حجّيته في عامة الموارد التي لم تُعلم الجهةُ المشاركة المظنونة هي علة الحكم في الأصل فكيف في الفرع ، وإنّما ظن المستدل به ، فكيف يمكن أن يحتج بالظن على الحكم الشرعي الذي لم يقم عليه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نصوص القرآن والسنّة محدودة ومتناهية ، ووقائع الناس وأقضيتهم غير محدودة ولا متناهية ، فلا يمكن أن تكون النصوص المتناهية وحدها مصادر تشريعية لما لا يتناهى</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هو المصدر التشريعي الذي يساير الوقائع المتجدّدة ، ويكشف حكم الشريعة فيما يقع من الحوادث ويوفّق بين التشريع والمصالح</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إيفاء النصوص عند أهل السنّة بالإجابة على جميع الأسئلة المتكثّرة ، لا يكون دليلاً على حجّية القياس ، فربّما تكون الحجّة غيره ، إذ غاية ما في الباب أنّ عدم الوفاء يكون دليلاً على أنّ الشارع قد حلّ العقدة بطريق ما ، وأمّا أنّ هذا الطريق هو القياس ، فلا يكون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القوم لو رجعوا إلى الطرق والأمارات والأُصول المؤمِّنة الأربعة التي مضى الإيعاز إليها في صدر البحث لاستغنوا عن اعتبار القياس ، وهذه الضوابط والأمارات واردة في حديث أئمّة أهل البيت عن جدّهم ، والقوم لما أعرضوا عن أحد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الطاهرة في حديث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هذا المأزق وزعموا انّ النصوص غير وافية ببيان الأحكام غير المتناهية ، وقد غفلوا انّ غير المتناهي هي الجزئيات والمصاديق ، وهو لا يوجد مشكلة إذا كانت الضوابط العامة قادرة على إعطاء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المستدلّ اتّخذ المدّعى دليلاً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هو المصدر التشريعي الذي يساير الوقائع المتجدّدة ، مع أنّ الكلام في أنّ القياس هل هو مصدر تشريعيّ حتى نأخذ به في مسايرته مع الوقائع المتجدّدة أو لا؟ ومجرد كونه يساير الأحداث لا يكون دليلاً على كونه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القياس يفيد الظنّ بالحكم وهو يلازم الظنّ بالضرر فيجب دفعه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ظنّ أنّ الحكم في الأصل معلّل بكذا وعلم أو ظنّ حصول ذلك الوصف في الفرع ، وجب أن يحصل له الظنّ بأنّ حكم الفرع مثل حكم الأصل ومعه علم يقيني بأنّ مخالفة حكم الله تعالى سبب العقاب ، فتولد من ذلك الظن ، وهذا العلم ، ترك العمل به سبب للعقاب ، فثبت أنّ القياس يفيد ظن </w:t>
      </w:r>
    </w:p>
    <w:p>
      <w:pPr>
        <w:pStyle w:val="BookText"/>
        <w:rPr/>
      </w:pP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الرازي خلط بين القاعدتين العقليتين المحكمتين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قبح العقاب بلا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دفع الضرر المظنون بل المحتمل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القاعدة الأُولى فهي قاعدة محكمة دلّ العقل والنقل على صحّتها أمّا العقل فواضح فانّ استقلال العقل بالقبح شيء لا ينكر وأمّا النقل فيكفي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فإذا لم يرد في واقعة دليل شرعي على الحرمة أو الوجوب يستقل العقل بقبح عقاب المكلّف إذا ارتكب حتى ولو ظن بأحد الحكمين ، وذلك إمّا لأنَّه لا يكون هناك ظنّ بالضرر أو يكون ظنّ به لكن لا يكون مثله واجب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لو أُريد بالضرر ، الضرر الأُخروي فهو مقطوع الانتفاء بحكم تقبيح العقل مثل ذلك العقاب وتأييد الشرع ، ففي مثل ذلك المورد لا يكون الظن بالحرمة أو الوجوب ، ملازماً للظن بالضرر أبداً لعدم تمامية الحجّة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بالضرر ، الضرر الدنيوي فهو وإن كان ملازماً للظنِّ بالحكم غالباً نظراً إلى تبعية الأحكام للمصالح والمفاسد ، لكنّه ليس بواجب الدفع إلاّ إذا كان ضرراً عظيماً لا يتحمل ففي مثله يستقل العقل بدفعه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وحصيلة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لما لم تثبت حجّيته فالظن بالحكم لأجله ، لا يلازم الظن </w:t>
      </w:r>
    </w:p>
    <w:p>
      <w:pPr>
        <w:pStyle w:val="BookText"/>
        <w:rPr/>
      </w:pPr>
      <w:r>
        <w:rPr>
          <w:rFonts w:ascii="Amiri" w:hAnsi="Amiri" w:eastAsia="Amiri" w:cs="Amiri"/>
          <w:color w:val="111111"/>
          <w:sz w:val="28"/>
          <w:sz w:val="28"/>
          <w:szCs w:val="28"/>
          <w:rtl w:val="true"/>
          <w:lang w:bidi="ar-SA"/>
        </w:rPr>
        <w:t>بالضرر الأُخرويّ أبداً ، وأمّا الضرر الدنيوي فهو وإن كان يلازمه لكنّه غير واجب الدفع غالباً إلاّ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بتلك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الحاصل بالحكم لأجل القياس الذي لم تثبت حجّيته لا يكون ملازماً للظن بالعقوبة ولا يكون داخلاً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دفع الضرر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القاعدة الثانية التي زعم الرازي انّ المقام من مصاديقها وجزئياتها فموردها ما إذا قام الدليل على الحكم الكلي ، وعلى وجود الموضوع له ، فعندئذ يجب دفع الضرر بصوره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مقطوعاً كما إذا علم بأنّ الخمر حرام وانّ هذا المائع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الضرر مظنوناً ، كما إذا علم بأنّ الخمر حرام وعلم أنّ أحد الإناءين خمر ، فشرب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للضرر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يكون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مشكوكاً ، كما إذا تردد الخمر بين أوان عشرة فشرب أحدها ، محتملاً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فالضرر بتمام صوره واجب الدفع للعلم بالكبرى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الكلي ، والعلم بالموضوع معيناً أو مردداً بين إناءين أو أواني كثيرة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على الفقيه تنقيح مصاديق القاعدتين حتى لا يخلط مواردهما ، كما خلط الرازي</w:t>
      </w:r>
      <w:r>
        <w:rPr>
          <w:rFonts w:eastAsia="Amiri" w:cs="Amiri" w:ascii="Amiri" w:hAnsi="Amiri"/>
          <w:color w:val="111111"/>
          <w:sz w:val="28"/>
          <w:szCs w:val="28"/>
          <w:rtl w:val="true"/>
          <w:lang w:bidi="ar-SA"/>
        </w:rPr>
        <w:t xml:space="preserve">. </w:t>
      </w:r>
      <w:bookmarkStart w:id="869" w:name="pg10155_105659"/>
    </w:p>
    <w:p>
      <w:pPr>
        <w:pStyle w:val="Heading6"/>
        <w:numPr>
          <w:ilvl w:val="5"/>
          <w:numId w:val="1"/>
        </w:numPr>
        <w:rPr/>
      </w:pPr>
      <w:bookmarkStart w:id="870" w:name="__RefHeading___Toc1273281_1067777946"/>
      <w:bookmarkStart w:id="871" w:name="_Toc316"/>
      <w:bookmarkEnd w:id="869"/>
      <w:bookmarkEnd w:id="870"/>
      <w:r>
        <w:rPr>
          <w:rtl w:val="true"/>
        </w:rPr>
        <w:t>الآن حصحص الحقّ</w:t>
      </w:r>
      <w:bookmarkEnd w:id="871"/>
    </w:p>
    <w:p>
      <w:pPr>
        <w:pStyle w:val="BookText"/>
        <w:rPr/>
      </w:pPr>
      <w:r>
        <w:rPr>
          <w:rFonts w:ascii="Amiri" w:hAnsi="Amiri" w:eastAsia="Amiri" w:cs="Amiri"/>
          <w:color w:val="111111"/>
          <w:sz w:val="28"/>
          <w:sz w:val="28"/>
          <w:szCs w:val="28"/>
          <w:rtl w:val="true"/>
          <w:lang w:bidi="ar-SA"/>
        </w:rPr>
        <w:t xml:space="preserve">لقد أثبتت البحوث السابقة حول ما أُقيم من الأدلّة على حجّية القياس انّه ليس هناك دليل صالح قاطع للنزاع ، مفيد للعلم بأنّ الشارع جعل القياس حجّة فيما لا نصّ فيه ، وهناك نكتة جديرة بالتأمّل فيها ، وهي انّه إذا كان للقياس في الشريعة المقدسة هذه المنزلة في التشريع الإسلامي فلما ذا لم يقع في إطار البيان الصريح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وقع قول الثقة أو حجّية البيّنة في إطاره؟</w:t>
      </w:r>
    </w:p>
    <w:p>
      <w:pPr>
        <w:pStyle w:val="BookText"/>
        <w:rPr/>
      </w:pPr>
      <w:r>
        <w:rPr>
          <w:rFonts w:ascii="Amiri" w:hAnsi="Amiri" w:eastAsia="Amiri" w:cs="Amiri"/>
          <w:color w:val="111111"/>
          <w:sz w:val="28"/>
          <w:sz w:val="28"/>
          <w:szCs w:val="28"/>
          <w:rtl w:val="true"/>
          <w:lang w:bidi="ar-SA"/>
        </w:rPr>
        <w:t>وقد عرفت أنّ ما استدلّوا من كلام الشارع في ذلك المجال كلّها انتزاعات شخصية فرضت عليه ، وانّ عقيدة المستدل جرّته إلى أن يبحث عن الدليل حول عقيدته فلذلك جمع أشياء من هنا وهناك ليثبت بها مدّعاه ، والجميع بريء ممّا يرتئيه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كلام وهو دراسة كلمات أئمّة أهل البيت في القياس ، فانّهم أحد الثقلين وكسفينة نوح ، حتّى نقف على موقفهم من القياس في الشريعة الإسلامية</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1273283_1067777946"/>
      <w:bookmarkStart w:id="873" w:name="_Toc317"/>
      <w:bookmarkEnd w:id="872"/>
      <w:r>
        <w:rPr>
          <w:rtl w:val="true"/>
        </w:rPr>
        <w:t xml:space="preserve">القياس في كلمات أئمّة أهل البيت </w:t>
      </w:r>
      <w:r>
        <w:rPr>
          <w:rtl w:val="true"/>
        </w:rPr>
        <w:t xml:space="preserve">- </w:t>
      </w:r>
      <w:r>
        <w:rPr>
          <w:rtl w:val="true"/>
        </w:rPr>
        <w:t xml:space="preserve">عليهم السلام </w:t>
      </w:r>
      <w:r>
        <w:rPr>
          <w:rtl w:val="true"/>
        </w:rPr>
        <w:t>:</w:t>
      </w:r>
      <w:bookmarkEnd w:id="8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للقياس لم يزل دهره في التباس ، ومن دان الله بالرأي لم يزل دهره في ارتماس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إلى أصحابه أمرهم بالنظر فيها وتعاهدها والعمل بها ، وقد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لأحد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بهواه ولا رأيه ولا مقاييسه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آثار رسول الله وسنّته فخذوا بها ولا تتبعوا أهواءكم ورأيكم فتضلّوا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سماعة بن مهران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لكم وللقياس ، إنّما هلك من هلك من قبلكم بالقياس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أبو حنيفة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بلغني انّك تقيس؟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تقس فإنّ أوّل من قاس إبليس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علينا أشياء ليس نعرفها في كتاب الله ولا سنّته فننظر فيها؟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أما إنّك إن أصبت لم تؤجر ، وإن أخطأت كذبت على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يونس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أوحّد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لا تكونن مبتدعاً ، من نظر برأيه هلك ، ومن ترك أهل بيت نبيّه ضل ، ومن ترك كتاب الله وقول نبيّه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أو ظنّ فأقام على أحدهما فقط حبط عمله ، انّ حجّة الله هي الحجّة الواضحة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أبان بن تغلب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لا تقاس ، ألا ترى أنّ المرأة تقضي صومها ولا تقضي صلاتها ، يا أبان إنّ السنّة إذا قيست محق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عثمان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وللقياس ، إنّ الله لا يسأل كيف أحلّ وكيف 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شيبة الخراساني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المقاييس طلبوا العلم بالمقاييس فلم تزدهم المقاييس من الحقّ إلاّ بعداً ، وإنّ دين الله لا يصاب بالمقاييس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إذ أقبل أبو </w:t>
      </w:r>
      <w:bookmarkStart w:id="874" w:name="pg10155_105661"/>
    </w:p>
    <w:p>
      <w:pPr>
        <w:pStyle w:val="BookText"/>
        <w:rPr/>
      </w:pPr>
      <w:bookmarkEnd w:id="874"/>
      <w:r>
        <w:rPr>
          <w:rFonts w:ascii="Amiri" w:hAnsi="Amiri" w:eastAsia="Amiri" w:cs="Amiri"/>
          <w:color w:val="111111"/>
          <w:sz w:val="28"/>
          <w:sz w:val="28"/>
          <w:szCs w:val="28"/>
          <w:rtl w:val="true"/>
          <w:lang w:bidi="ar-SA"/>
        </w:rPr>
        <w:t xml:space="preserve">حنيفة على حمار له فلما جلس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أُقايسك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في دين الله 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زرارة إيّاك وأصحاب القياس في الدين ، فانّهم تركوا علم ما وُكّلُوا به وتُكلِّفوا ما قد كفوه ، يتأوّلون الأخبار ، ويكذبون على الله عزّ وجلّ ، وكأنّي بالرجل منهم ينادى من بين يديه فيجيب من خلفه ، وينادى من خلفه فيجيب من بين يديه ، قد تاهوا وتحيّروا في الأرض والدين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القياس ، غيّروا كتاب الله وسنّة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واتّهموا الصادقين في دين الله</w:t>
      </w:r>
      <w:r>
        <w:rPr>
          <w:rFonts w:eastAsia="Amiri" w:cs="Amiri" w:ascii="Amiri" w:hAnsi="Amiri"/>
          <w:color w:val="111111"/>
          <w:sz w:val="28"/>
          <w:szCs w:val="28"/>
          <w:rtl w:val="true"/>
          <w:lang w:bidi="ar-SA"/>
        </w:rPr>
        <w:t xml:space="preserve">». </w:t>
      </w:r>
      <w:r>
        <w:rPr>
          <w:rStyle w:val="FootnoteAnchor"/>
          <w:rtl w:val="true"/>
        </w:rPr>
        <w:footnoteReference w:id="779"/>
      </w:r>
    </w:p>
    <w:p>
      <w:pPr>
        <w:pStyle w:val="Heading6"/>
        <w:numPr>
          <w:ilvl w:val="5"/>
          <w:numId w:val="1"/>
        </w:numPr>
        <w:rPr/>
      </w:pPr>
      <w:bookmarkStart w:id="875" w:name="__RefHeading___Toc1273285_1067777946"/>
      <w:bookmarkStart w:id="876" w:name="_Toc318"/>
      <w:bookmarkEnd w:id="875"/>
      <w:r>
        <w:rPr>
          <w:rtl w:val="true"/>
        </w:rPr>
        <w:t>القياس في كلمات الصحابة والتابعين</w:t>
      </w:r>
      <w:bookmarkEnd w:id="876"/>
    </w:p>
    <w:p>
      <w:pPr>
        <w:pStyle w:val="BookText"/>
        <w:rPr/>
      </w:pPr>
      <w:r>
        <w:rPr>
          <w:rFonts w:ascii="Amiri" w:hAnsi="Amiri" w:eastAsia="Amiri" w:cs="Amiri"/>
          <w:color w:val="111111"/>
          <w:sz w:val="28"/>
          <w:sz w:val="28"/>
          <w:szCs w:val="28"/>
          <w:rtl w:val="true"/>
          <w:lang w:bidi="ar-SA"/>
        </w:rPr>
        <w:t xml:space="preserve">إنّ لفيفاً من الصحابة والتابعين ممّن يؤخذ عنهم العلم قد خالفوا القياس بحماس وندّدوا به ، وإليك نزراً من كلماتهم ليعلم أنّ القياس لم يكن أمراً متفقاً عليه بين أوساط الصحابة والتابعين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الشعثاء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الجاهلية يأكلون أشياء ويتركون أشياء تقذّراً ، فبعث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كتابه وأحل حلاله ، وحرم حرامه ، فما أحل فهو حلال ، وما حرم فهو حرام ، وما سكت عنه فهو عفو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الشعبي ، عن مسروق ، عن عبد الله 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عام إلاّ والذي بعده شر منه ، لا أقول عام أمطر من عام ، ولا عام أخصب من عام ، ولا أمير خير من أمير ، ولكن ذهب خياركم وعلماؤكم ، ثمّ يحدث قوم يقيسون </w:t>
      </w:r>
    </w:p>
    <w:p>
      <w:pPr>
        <w:pStyle w:val="BookText"/>
        <w:rPr/>
      </w:pPr>
      <w:r>
        <w:rPr>
          <w:rFonts w:ascii="Amiri" w:hAnsi="Amiri" w:eastAsia="Amiri" w:cs="Amiri"/>
          <w:color w:val="111111"/>
          <w:sz w:val="28"/>
          <w:sz w:val="28"/>
          <w:szCs w:val="28"/>
          <w:rtl w:val="true"/>
          <w:lang w:bidi="ar-SA"/>
        </w:rPr>
        <w:t>الأُمور برأيهم فينهدم الإسلام وينثلم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إنّك من فقهاء البصرة وستُسْتفتى ، فلا تُفتينَّ إلاّ بكتاب ناطق أو سنّة ماضية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زيد بن عميرة ، عن معاذ بن جبل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فتن يكثر فيها الملل ويفتح فيها القرآن حتى يقرؤه الرجل والمرأة والصغير والكبير والمؤمن والمنافق ، فيقرؤه الرجل فلا يتبع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لأقرأنّه علانية ، فيقرؤه علانية فلا يتبع ، فيتخذ مسجداً ويبتدع كلاماً ليس من كتاب الله ولا من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وإيّاه ، فإنّها بدعة ضلالة ، قالها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ابن حزم أحاديث أُخرى على لسان الصحابة في ذم القياس أعرضنا عنها خوفاً من الإطالة ، ونقتصر على سرد أسمائهم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 ، سمرة بن جندب ، عبد الله بن أبي أوفى ، ومعاوية</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وكذلك صرح أئمة التابعين على ذم القياس وشجبه والنهي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داود بن أبي هند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سيرين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شؤم وأوّل من قاس إبليس فهلك ، وإنّما عُبدت الشمسُ والقمرُ بالمقاييس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مسلم بن علي انّ شريحاً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سبقت قياسَكم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المغيرة بن مقسم 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لم توضع بالقياس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عامر الشعبي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هلكتم حيث تركتم الآثار وأخذتم </w:t>
      </w:r>
    </w:p>
    <w:p>
      <w:pPr>
        <w:pStyle w:val="BookText"/>
        <w:rPr/>
      </w:pPr>
      <w:r>
        <w:rPr>
          <w:rFonts w:ascii="Amiri" w:hAnsi="Amiri" w:eastAsia="Amiri" w:cs="Amiri"/>
          <w:color w:val="111111"/>
          <w:sz w:val="28"/>
          <w:sz w:val="28"/>
          <w:szCs w:val="28"/>
          <w:rtl w:val="true"/>
          <w:lang w:bidi="ar-SA"/>
        </w:rPr>
        <w:t>بالمقاييس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 عن الشعبي ،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أقيس شيئاً بشيء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تزل 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والقياس والرأي ، فانّ الرأي قد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الروايات التي يطول بذكرها الكلام ، ونكتفي هنا بسرد أسماء التابعين الذين نالوا من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إياس بن معاوية ، مالك بن أنس ، وكيع بن الجراح ، حماد بن أبي حنيفة ، ابن شبرمة ، مطر الوراق ، عطاء بن أبي رباح ، أبو سلمة بن عبد الرحمن</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وبعد نقل هذه الطائفة الكبيرة من الأحاديث من قبل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والتابعين كيف يُدّعى انّ الإجماع قام على صحّة القياس ولم يخالفه أحد ، لو لم نقل انّ الإجماع قام على نفي القياس؟</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 هذا العنصر قد دخل حيّز التشريع الإسلامي بموافقة بعض ومخالفة البعض الآخر له ، وانّ ادّعاء الإجماع في مثل هذه المسألة أمر لا يليق بمن تتبع كلمات الفقهاء في هذا الصدد ، وقد نقل ابن قيم الجوزيّة كلمات الموافقين كما نقل كلمات المخالفين للقياس ، وإن كان في كثير من المباحث عيالاً على كتاب الإحكام لابن حزم الأندلسيّ</w:t>
      </w:r>
      <w:r>
        <w:rPr>
          <w:rFonts w:eastAsia="Amiri" w:cs="Amiri" w:ascii="Amiri" w:hAnsi="Amiri"/>
          <w:color w:val="111111"/>
          <w:sz w:val="28"/>
          <w:szCs w:val="28"/>
          <w:rtl w:val="true"/>
          <w:lang w:bidi="ar-SA"/>
        </w:rPr>
        <w:t xml:space="preserve">. </w:t>
      </w:r>
      <w:bookmarkStart w:id="877" w:name="pg10155_105664"/>
    </w:p>
    <w:p>
      <w:pPr>
        <w:pStyle w:val="Heading4"/>
        <w:numPr>
          <w:ilvl w:val="3"/>
          <w:numId w:val="1"/>
        </w:numPr>
        <w:rPr/>
      </w:pPr>
      <w:bookmarkStart w:id="878" w:name="__RefHeading___Toc1273287_1067777946"/>
      <w:bookmarkStart w:id="879" w:name="_Toc319"/>
      <w:bookmarkEnd w:id="877"/>
      <w:bookmarkEnd w:id="878"/>
      <w:r>
        <w:rPr/>
        <w:t>2</w:t>
      </w:r>
      <w:r>
        <w:rPr>
          <w:rtl w:val="true"/>
        </w:rPr>
        <w:t xml:space="preserve">- </w:t>
      </w:r>
      <w:r>
        <w:rPr>
          <w:rtl w:val="true"/>
        </w:rPr>
        <w:t>مصادر التشريع فيما لا نصّ فيه عند أهل السنّة</w:t>
      </w:r>
      <w:bookmarkEnd w:id="879"/>
    </w:p>
    <w:p>
      <w:pPr>
        <w:pStyle w:val="Heading5"/>
        <w:numPr>
          <w:ilvl w:val="4"/>
          <w:numId w:val="1"/>
        </w:numPr>
        <w:rPr/>
      </w:pPr>
      <w:bookmarkStart w:id="880" w:name="__RefHeading___Toc1273289_1067777946"/>
      <w:bookmarkStart w:id="881" w:name="_Toc320"/>
      <w:bookmarkEnd w:id="880"/>
      <w:r>
        <w:rPr>
          <w:rtl w:val="true"/>
        </w:rPr>
        <w:t>الاستحسان</w:t>
      </w:r>
      <w:bookmarkEnd w:id="881"/>
    </w:p>
    <w:p>
      <w:pPr>
        <w:pStyle w:val="BookText"/>
        <w:rPr/>
      </w:pPr>
      <w:r>
        <w:rPr>
          <w:rFonts w:ascii="Amiri" w:hAnsi="Amiri" w:eastAsia="Amiri" w:cs="Amiri"/>
          <w:color w:val="111111"/>
          <w:sz w:val="28"/>
          <w:sz w:val="28"/>
          <w:szCs w:val="28"/>
          <w:rtl w:val="true"/>
          <w:lang w:bidi="ar-SA"/>
        </w:rPr>
        <w:t xml:space="preserve">الاستحسان من مصادر التشريع لدى المالكيّة ، وقد روي عن الإمام مالك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الاستحسان تسعة أعشار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للشافعي حيث رفضه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استحسن فقد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يُفصّل بين الاستحسان المبنيّ على الدليل ، والاستحسان المبنيّ على الهوى والرأي ، ومع كونه أصلاً معتبراً لدى المالكيّة وغيرهم ، فلم يُعرَّف بوجه يكون مثلَ القياس ، واضحَ المعالم ، فإنّ الاستحسان ضد الاستقباح ، وتعالى التشريع الإسلامي أن يكون تابعاً لاستحسان إنسان أو استقباحه من دون أن يكون له رصيد من الشرع والعقل ، ولا يصحّ الإفتاء إلاّ بما دلّ الدليل القطعي على حجّيته ، والاستحسان بما هو هو ، ليس عِلْماً ولا ظنّاً يدل دليل قطعي على حجّيته ، كلّ ذلك يبعثنا إلى تحقيق مراد القائلين من كونه دليلاً فقهياً كسائر الأدلّة ، واللازم هو الإمعان في موارد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 الاستحسان بتعاريف كثيرة أكثرها خاضعة للسجع دون بيان الواقع نظير ما يحكى عن الحاكم الذي كتب إلى قاضي قم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القاضي بقم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عزلناك فقم </w:t>
      </w:r>
      <w:bookmarkStart w:id="882" w:name="pg10155_105665"/>
    </w:p>
    <w:p>
      <w:pPr>
        <w:pStyle w:val="BookText"/>
        <w:rPr/>
      </w:pPr>
      <w:bookmarkEnd w:id="882"/>
      <w:r>
        <w:rPr>
          <w:rFonts w:ascii="Amiri" w:hAnsi="Amiri" w:eastAsia="Amiri" w:cs="Amiri"/>
          <w:color w:val="111111"/>
          <w:sz w:val="28"/>
          <w:sz w:val="28"/>
          <w:szCs w:val="28"/>
          <w:rtl w:val="true"/>
          <w:lang w:bidi="ar-SA"/>
        </w:rPr>
        <w:t>ولذلك قال القاضي المعزول ما عزلني إلاّ وحدة القافية ، وإن شئت فأمعن النظر في هذه التعاريف ، فكأنّ الغاية فيها هو حفظ السجع دون تفهيم المراد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القياس ، والأخذ بما هو أوفق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السهولة في الأحكام ، فيما يبتلى به الخاص والعام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بالسعة ، وابتغاء الدعة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بالسماحة ، وانتفاء ما فيه الراحة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الالتفات إلى المصلحة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التعاريف لا تُوضح حقيقة الاستحسان ، فالذي يمكن أن يكون محطاً للنزاع هو ما سنذكره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استعراضه يجب أن نركّز على نكتة وهي انّ ظاهر القائلين بالاستحسان عدّه دليلاً مستقلاً وراء الكتاب والسنّة والإجماع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 القياس والاستصلاح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الذرائع وفتحها وغيرها لكنّه في أغلب الموارد يرجع إلى أحد الأدلة المذكورة كما سيتضح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يُطلق ويراد منه أحد المعاني التالية </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273291_1067777946"/>
      <w:bookmarkStart w:id="884" w:name="_Toc321"/>
      <w:bookmarkEnd w:id="883"/>
      <w:r>
        <w:rPr>
          <w:rtl w:val="true"/>
        </w:rPr>
        <w:t xml:space="preserve">الأوّل </w:t>
      </w:r>
      <w:r>
        <w:rPr>
          <w:rtl w:val="true"/>
        </w:rPr>
        <w:t xml:space="preserve">: </w:t>
      </w:r>
      <w:r>
        <w:rPr>
          <w:rtl w:val="true"/>
        </w:rPr>
        <w:t>العمل بالرأي والظن</w:t>
      </w:r>
      <w:bookmarkEnd w:id="88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يطلق الاستحسان ويراد منه العمل بالرأي فيما جعله الشارع موكولاً إلى آرائنا ، ويظهر هذا من السرخسيّ في أُصول فقهه ، كما في مورد تمتيع المطلقة غير المدخول بها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وَمَتِّعُوهُنَّ عَلَى الْمُوسِعِ قَدَرُهُ وَعَلَى الْمُقْتِرِ قَدَرُهُ مَتاعاً </w:t>
      </w:r>
      <w:bookmarkStart w:id="885" w:name="pg10155_105666"/>
    </w:p>
    <w:p>
      <w:pPr>
        <w:pStyle w:val="BookText"/>
        <w:rPr/>
      </w:pPr>
      <w:bookmarkEnd w:id="885"/>
      <w:r>
        <w:rPr>
          <w:rFonts w:ascii="Amiri" w:hAnsi="Amiri" w:eastAsia="Amiri" w:cs="Amiri"/>
          <w:color w:val="111111"/>
          <w:sz w:val="28"/>
          <w:sz w:val="28"/>
          <w:szCs w:val="28"/>
          <w:rtl w:val="true"/>
          <w:lang w:bidi="ar-SA"/>
        </w:rPr>
        <w:t>بِالْمَعْرُوفِ حَقًّا عَلَى الْمُحْسِنِينَ</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ونظيره قوله سبحانه في مورد رزق الوالدات وكسوتهنّ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الْمَوْلُودِ لَهُ رِزْقُهُنَّ وَكِسْوَتُهُنَّ بِالْمَعْرُوفِ</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فقد ترك الشارع تعيين كيفية التمتيع وتقدير المعروف بحسب اليسر والعسر إلى آرائنا</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وهو يختلف حسب اختلاف الأزمنة والأمكنة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والاستحسان بهذا المعنى ، عمل بالظن في موضوع من الموضوعات ، كالعمل به في سائر الموارد الذي جعل الظن فيه حجّة ، فلو قام دليل على حجّية مثل هذا الظن يتمسك به ويقتصر على مورده سواء استحسنه المجتهد أم لا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مثل هذا استحساناً أمر مُورِث للاشتباه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المرجع في هذه الموارد هو عرف البلد لا رأي القاضي ولا المجتهد كما هو واضح ، ولذلك يختلف مقدار تمتيع المطلقة ونفقة الزوجة حسب اختلاف الأزمنة والأمكنة</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1273293_1067777946"/>
      <w:bookmarkStart w:id="887" w:name="_Toc322"/>
      <w:bookmarkEnd w:id="886"/>
      <w:r>
        <w:rPr>
          <w:rtl w:val="true"/>
        </w:rPr>
        <w:t xml:space="preserve">الثاني </w:t>
      </w:r>
      <w:r>
        <w:rPr>
          <w:rtl w:val="true"/>
        </w:rPr>
        <w:t xml:space="preserve">: </w:t>
      </w:r>
      <w:r>
        <w:rPr>
          <w:rtl w:val="true"/>
        </w:rPr>
        <w:t>العدول من قياس إلى قياس أقوى منه</w:t>
      </w:r>
      <w:bookmarkEnd w:id="887"/>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ويراد منه العدول عن مقتضى قياس ظاهر إلى مقتضى قياس أقوى منه ، وهذا هو الذي نقله أبو الحسين البصري عن بعضهم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موجب قياس إلى قياس أقوى منه</w:t>
      </w:r>
      <w:r>
        <w:rPr>
          <w:rFonts w:eastAsia="Amiri" w:cs="Amiri" w:ascii="Amiri" w:hAnsi="Amiri"/>
          <w:color w:val="111111"/>
          <w:sz w:val="28"/>
          <w:szCs w:val="28"/>
          <w:rtl w:val="true"/>
          <w:lang w:bidi="ar-SA"/>
        </w:rPr>
        <w:t xml:space="preserve">. </w:t>
      </w:r>
      <w:r>
        <w:rPr>
          <w:rStyle w:val="FootnoteAnchor"/>
          <w:rtl w:val="true"/>
        </w:rPr>
        <w:footnoteReference w:id="785"/>
      </w:r>
      <w:bookmarkStart w:id="888" w:name="pg10155_105667"/>
    </w:p>
    <w:p>
      <w:pPr>
        <w:pStyle w:val="BookText"/>
        <w:rPr/>
      </w:pPr>
      <w:bookmarkEnd w:id="888"/>
      <w:r>
        <w:rPr>
          <w:rFonts w:ascii="Amiri" w:hAnsi="Amiri" w:eastAsia="Amiri" w:cs="Amiri"/>
          <w:color w:val="111111"/>
          <w:sz w:val="28"/>
          <w:sz w:val="28"/>
          <w:szCs w:val="28"/>
          <w:rtl w:val="true"/>
          <w:lang w:bidi="ar-SA"/>
        </w:rPr>
        <w:t>وعلى هذا لا يكون الاستحسان دليلاً مستقلاً ويكون مرجّحاً لتقديم القياس الأقوى على غيره كما هو الحال في سائر الأدلّة حيث يقدم الأقوى على غيره ، كالخاص على العام ، والمقيّد على المطلق ، وهكذا ، ولو أُريد من الاستحسان هذا فمثله لا يليق أن يقع موضع خلاف بين القائلين بحجّية القياس كمالك والشافعي ، فالجميع على تقديم أقوى الدليلين على الآخر من غير فرق بين القياسين أو الدليلين</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1273295_1067777946"/>
      <w:bookmarkStart w:id="890" w:name="_Toc323"/>
      <w:bookmarkEnd w:id="889"/>
      <w:r>
        <w:rPr>
          <w:rtl w:val="true"/>
        </w:rPr>
        <w:t xml:space="preserve">الثالث </w:t>
      </w:r>
      <w:r>
        <w:rPr>
          <w:rtl w:val="true"/>
        </w:rPr>
        <w:t xml:space="preserve">: </w:t>
      </w:r>
      <w:r>
        <w:rPr>
          <w:rtl w:val="true"/>
        </w:rPr>
        <w:t>العدول من مقتضى قياس جلي إلى قياس خفي</w:t>
      </w:r>
      <w:bookmarkEnd w:id="890"/>
    </w:p>
    <w:p>
      <w:pPr>
        <w:pStyle w:val="BookText"/>
        <w:rPr/>
      </w:pPr>
      <w:r>
        <w:rPr>
          <w:rFonts w:ascii="Amiri" w:hAnsi="Amiri" w:eastAsia="Amiri" w:cs="Amiri"/>
          <w:color w:val="111111"/>
          <w:sz w:val="28"/>
          <w:sz w:val="28"/>
          <w:szCs w:val="28"/>
          <w:rtl w:val="true"/>
          <w:lang w:bidi="ar-SA"/>
        </w:rPr>
        <w:t>يطلق الاستحسان ويراد منه ، العدول من مقتضى القياس الجلي إلى قياس خفي</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وهذا هو الذي يظهر من الأُصولي المعاصر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وهبة الزحيلي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والفرق بين التعريفين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والثالث بعد اشتراكهما في أنّ المعدول عنه والمعدول إليه ،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المعدول إليه على التعريف الثاني ، هو القياس الأقوى الأعم من أن يكون جلياً أو خفياً ، بخلاف التعريف الثالث فإنّ المعدول إليه قياس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مثالين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مقتضى القياس الجلي ، هو إلحاق سؤر الطيور المعلّمة بسؤر الحيوان المفترس 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بنجاسة سؤره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الافتراس ، ولكن مقتضى القياس الخفي إلحاقه بسؤر الإنسان في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وقف أرضاً زراعية فهل يدخل فيه حقوق الري والمرور؟ قولان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حقوق الريّ والمرور في الوقف قياساً على البيع ، فإنّ البيع ، والوقف يشتركان في خروج المبيع عن ملك الواقف والبائع ، فلا يدخل في بيع </w:t>
      </w:r>
    </w:p>
    <w:p>
      <w:pPr>
        <w:pStyle w:val="BookText"/>
        <w:rPr/>
      </w:pPr>
      <w:r>
        <w:rPr>
          <w:rFonts w:ascii="Amiri" w:hAnsi="Amiri" w:eastAsia="Amiri" w:cs="Amiri"/>
          <w:color w:val="111111"/>
          <w:sz w:val="28"/>
          <w:sz w:val="28"/>
          <w:szCs w:val="28"/>
          <w:rtl w:val="true"/>
          <w:lang w:bidi="ar-SA"/>
        </w:rPr>
        <w:t>الأرض الزراعية حقوقُ ريّها وصرفها والمرور إليها بدون ذكرها ، فكذلك في وقفها ، وهذا هو مقتضى القياس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حقوق الري والمرور قياساً على الإجارة بجامع انّ المقصود من كلّ منهما الانتفاع بريع العين لا تملُّك رقبتها ، وفي إجارة الأرض الزراعية تدخل حقوق ريّها وصرفها والمرور إليها بدون ذكرها ، فكذلك في وقفها ، وهذا هو العدول عن مقتضى القياس الظاهري إلى مقتضى القياس الخفي وسموه بالاستحسان</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دخول حقّ الريّ والمرور أو عدمه لا يبتني على قياس الوقف بالبيع أو الإجارة ، بل هما مبنيان على وجود الملازمة العرفية بين وقف الأرض ودخول حقوق ريّها والمرور إليها فيه أو عدمها ، فلو قلنا بالملازمة العرفية بين إخراج الشيء عن ملكه وإخراج ما يتوقف الانتفاع 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كحقوق ريّها وصرفها والمرور إليها على نحو إذا بيعت الأرض الزراعية أو أُوجرت أو أُوقفت يفهم منه نقل توابعها ممّا يتوقف الانتفاع بها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إلاّ أن ينصَّ على خلافه ، ولو قلنا بعدم الملازمة وانّه لا يفهم من نقل الأصل ، نقل التوابع ، فلا يدخل واحد ، فعلى الأوّل يكونُ الدخول هو مقتضى القاعدة حتى يثبت خلافه بخلاف الثاني ، فإنّه يكون عدم الدخول هو المطابق لمقتضى القاعدة حتى يثبت خلافه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المقام توابع المبيع من اللجام والسرج ومفتاح الباب وغيرها ، وبذلك تعرف انّه لا دور للقياس في حلّ المسألتين خروجاً وعدمه ، حتّى يسمّى العدول استحساناً وإنّما يجب على الفقيه أن يركز على الملازمة العرفية بين النقلين وعدمها</w:t>
      </w:r>
      <w:r>
        <w:rPr>
          <w:rFonts w:eastAsia="Amiri" w:cs="Amiri" w:ascii="Amiri" w:hAnsi="Amiri"/>
          <w:color w:val="111111"/>
          <w:sz w:val="28"/>
          <w:szCs w:val="28"/>
          <w:rtl w:val="true"/>
          <w:lang w:bidi="ar-SA"/>
        </w:rPr>
        <w:t xml:space="preserve">. </w:t>
      </w:r>
      <w:bookmarkStart w:id="891" w:name="pg10155_105669"/>
    </w:p>
    <w:p>
      <w:pPr>
        <w:pStyle w:val="Heading5"/>
        <w:numPr>
          <w:ilvl w:val="4"/>
          <w:numId w:val="1"/>
        </w:numPr>
        <w:rPr/>
      </w:pPr>
      <w:bookmarkStart w:id="892" w:name="__RefHeading___Toc1273297_1067777946"/>
      <w:bookmarkStart w:id="893" w:name="_Toc324"/>
      <w:bookmarkEnd w:id="891"/>
      <w:bookmarkEnd w:id="892"/>
      <w:r>
        <w:rPr>
          <w:rtl w:val="true"/>
        </w:rPr>
        <w:t xml:space="preserve">الرابع </w:t>
      </w:r>
      <w:r>
        <w:rPr>
          <w:rtl w:val="true"/>
        </w:rPr>
        <w:t xml:space="preserve">: </w:t>
      </w:r>
      <w:r>
        <w:rPr>
          <w:rtl w:val="true"/>
        </w:rPr>
        <w:t>العدول من مقتضى القياس بدليل</w:t>
      </w:r>
      <w:bookmarkEnd w:id="893"/>
    </w:p>
    <w:p>
      <w:pPr>
        <w:pStyle w:val="BookText"/>
        <w:rPr/>
      </w:pPr>
      <w:r>
        <w:rPr>
          <w:rFonts w:ascii="Amiri" w:hAnsi="Amiri" w:eastAsia="Amiri" w:cs="Amiri"/>
          <w:color w:val="111111"/>
          <w:sz w:val="28"/>
          <w:sz w:val="28"/>
          <w:szCs w:val="28"/>
          <w:rtl w:val="true"/>
          <w:lang w:bidi="ar-SA"/>
        </w:rPr>
        <w:t>قد يطلق ويراد منه هو العدول عن مقتضى القياس بدليل شرعي سواء كان المعدول إليه قياساً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المعدول عنه كونه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يظهر أيضاً من السرخسي في أُصول فقهه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يكون معارضاً للقياس الظاهر الذي تسبق إليه الأوهام قبل إنعام التأمل فيه ، وبعد إنعام التأمل في حكم الحادث وأشباهه من الأُصول يظهر انّ الدليل الذي عارضه ، فوقه في القوة وانّ العمل به هو الواجب</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وظاهر هذا التعريف كما عرفت أنّ العدول عن القياس بدليل شرعي هو الاستحسان ، وعلى ضوء هذا يختص الاستحسان بصورة العدول عن مقتضى القياس فحسب لا مطلق الدليل ، فيشترط في المعدول عنه أن يكون قياساً وامّا المعدول إليه ، فيشترط أن يكون دليلاً غير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الظاهر من الكرخي أيضاً حيث عرفه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الحكم في صورة من الصور على خلاف القياس من نظائرها مع أنّ القياس يقتضي إثباته ، بدليل خاص لا يوجد في غيرها</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ولنذكر مثالاً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ضاع شيء تحت يد الصانع ، فمقتضى القياس هو عدم ضمانه إذا ضاع أو تلف لديه من غير تقصير منه قياساً على يد المودع ، ولكن روي عن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أبي أُمية شريح بن الحارث الكندي بأنّهما يضمّنان </w:t>
      </w:r>
    </w:p>
    <w:p>
      <w:pPr>
        <w:pStyle w:val="BookText"/>
        <w:rPr/>
      </w:pPr>
      <w:r>
        <w:rPr>
          <w:rFonts w:ascii="Amiri" w:hAnsi="Amiri" w:eastAsia="Amiri" w:cs="Amiri"/>
          <w:color w:val="111111"/>
          <w:sz w:val="28"/>
          <w:sz w:val="28"/>
          <w:szCs w:val="28"/>
          <w:rtl w:val="true"/>
          <w:lang w:bidi="ar-SA"/>
        </w:rPr>
        <w:t>الصنّاع ، وما هذا إلاّ لأنّ عدم تضمينهم ربما ينتهي إلى إهمالهم في حفظ أموال الناس</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وروي أنّ الإمام الشافعي يذكر انّه قد ذهب شريح إلى تضمين القصّار فضمّن قصّاراً احتُرق بيته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تضمّنني وقد احترق بيتي ،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احترق بيته كنت تترك له أجرك</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وعلى ضوء هذا المثال ربما يفسر 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القياس والأخذ بما هو أوفق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قابل للنقاش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المورد من موارد القياس ، لأنّ قياس الأجير ، بالودعي قياس مع الفارق ، فإنّ الأوّل يأخذ المال لصالحه بُغية أخذ الأُجرة لعمله ، وهذا بخلاف الودعي فانّه يأخذ المال لصالح صاحب المال ، فقياس الأوّل بالثاني مع هذا الفارق ، قياس مع الفارق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المورد غير صالح لاعمال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لفقدان بعض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المرجع ، هو الأصل الأوّلي في الأموال ، وليس إلاّ الاحترام والضمان حتى يثبت خلافه لا الاستحسان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الضمان أوفق للناس ، أو لئلاّ ينتهي إلى الإهمال في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أتلفه الأجير أو تلف عنده فمقتضى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الضمان ما لم يدل دليل على خلافه كما دلّ في مورد الودعي حيث ليس لصاحب المال تغريم الودعي ، نعم لصاحب المال إحلافه على أنّ التلف لم يكن عن تعد أو تفريط ، ولذلك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الأمين إلاّ اليمين</w:t>
      </w:r>
      <w:r>
        <w:rPr>
          <w:rFonts w:eastAsia="Amiri" w:cs="Amiri" w:ascii="Amiri" w:hAnsi="Amiri"/>
          <w:color w:val="111111"/>
          <w:sz w:val="28"/>
          <w:szCs w:val="28"/>
          <w:rtl w:val="true"/>
          <w:lang w:bidi="ar-SA"/>
        </w:rPr>
        <w:t xml:space="preserve">». </w:t>
      </w:r>
      <w:bookmarkStart w:id="894" w:name="pg10155_105671"/>
    </w:p>
    <w:p>
      <w:pPr>
        <w:pStyle w:val="Heading5"/>
        <w:numPr>
          <w:ilvl w:val="4"/>
          <w:numId w:val="1"/>
        </w:numPr>
        <w:rPr/>
      </w:pPr>
      <w:bookmarkStart w:id="895" w:name="__RefHeading___Toc1273299_1067777946"/>
      <w:bookmarkStart w:id="896" w:name="_Toc325"/>
      <w:bookmarkEnd w:id="894"/>
      <w:bookmarkEnd w:id="895"/>
      <w:r>
        <w:rPr>
          <w:rtl w:val="true"/>
        </w:rPr>
        <w:t xml:space="preserve">الخامس </w:t>
      </w:r>
      <w:r>
        <w:rPr>
          <w:rtl w:val="true"/>
        </w:rPr>
        <w:t xml:space="preserve">: </w:t>
      </w:r>
      <w:r>
        <w:rPr>
          <w:rtl w:val="true"/>
        </w:rPr>
        <w:t>الاستحسان والعمل بأقوى الدليلين</w:t>
      </w:r>
      <w:bookmarkEnd w:id="896"/>
    </w:p>
    <w:p>
      <w:pPr>
        <w:pStyle w:val="BookText"/>
        <w:rPr/>
      </w:pPr>
      <w:r>
        <w:rPr>
          <w:rFonts w:ascii="Amiri" w:hAnsi="Amiri" w:eastAsia="Amiri" w:cs="Amiri"/>
          <w:color w:val="111111"/>
          <w:sz w:val="28"/>
          <w:sz w:val="28"/>
          <w:szCs w:val="28"/>
          <w:rtl w:val="true"/>
          <w:lang w:bidi="ar-SA"/>
        </w:rPr>
        <w:t xml:space="preserve">إذا كان بين الدليلين تعارض بنحو التباين أو بنحو العموم والخصوص من وجه ، يُعمل بأقوى الدليلين ، فالأوّل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الفاسق ، فاجتمع الدليلان في العالم الفاسق ، ففي هذه الموارد يرجع إلى مرجحات باب التعارض التي طرحها الأُصوليون في باب التعادل والترجيح ، وأهمّ المرجّحات هو موافقة الكتاب ، أو موافقة السنّة ، أو كون أحد الدليلين موافقاً لما هو المشهور بين العلماء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إذا كان بين الدليلين تزاحم كما إذا تزاحم الأمر بإنقاذ نفس محترمة بالتصرف في أرض الغير ، أو تزاحم أداء الدين مع الحجّ إلى غير ذلك من موارد المتزاحمين ، فيرجع فيهما إلى أقوى الدليلين ملاكاً وأعظمهما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أُريد من الاستحسان هذا فلا أظن أن يكون هذا موضع اختلاف بين مالك والشافعي ، أو بين القائلين به والنافين له</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273301_1067777946"/>
      <w:bookmarkStart w:id="898" w:name="_Toc326"/>
      <w:bookmarkEnd w:id="897"/>
      <w:r>
        <w:rPr>
          <w:rtl w:val="true"/>
        </w:rPr>
        <w:t xml:space="preserve">السادس </w:t>
      </w:r>
      <w:r>
        <w:rPr>
          <w:rtl w:val="true"/>
        </w:rPr>
        <w:t xml:space="preserve">: </w:t>
      </w:r>
      <w:r>
        <w:rPr>
          <w:rtl w:val="true"/>
        </w:rPr>
        <w:t>الاستحسان والأخذ بالعرف</w:t>
      </w:r>
      <w:bookmarkEnd w:id="898"/>
    </w:p>
    <w:p>
      <w:pPr>
        <w:pStyle w:val="BookText"/>
        <w:rPr/>
      </w:pPr>
      <w:r>
        <w:rPr>
          <w:rFonts w:ascii="Amiri" w:hAnsi="Amiri" w:eastAsia="Amiri" w:cs="Amiri"/>
          <w:color w:val="111111"/>
          <w:sz w:val="28"/>
          <w:sz w:val="28"/>
          <w:szCs w:val="28"/>
          <w:rtl w:val="true"/>
          <w:lang w:bidi="ar-SA"/>
        </w:rPr>
        <w:t xml:space="preserve">وربما يفسر الاستحسان بالرجوع إلى العرف كما في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على معدوم وقد قيل بصحته لأخذ العرف به ، ولعلّ المراد من العرف هو السيرة ولكنّها لا تكون دليلاً على مشروعية العقد إلاّ أن تكون متصلة إلى عصر المعصوم حتّى يقع موقع إقراره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عجيب الأمر أن يتوارد النفي والإثبات على موضوع كالاستحسان من دون أن يحدد مفهوم الاستحسان</w:t>
      </w:r>
      <w:r>
        <w:rPr>
          <w:rFonts w:eastAsia="Amiri" w:cs="Amiri" w:ascii="Amiri" w:hAnsi="Amiri"/>
          <w:color w:val="111111"/>
          <w:sz w:val="28"/>
          <w:szCs w:val="28"/>
          <w:rtl w:val="true"/>
          <w:lang w:bidi="ar-SA"/>
        </w:rPr>
        <w:t xml:space="preserve">. </w:t>
      </w:r>
      <w:bookmarkStart w:id="899" w:name="pg10155_105672"/>
    </w:p>
    <w:p>
      <w:pPr>
        <w:pStyle w:val="Heading5"/>
        <w:numPr>
          <w:ilvl w:val="4"/>
          <w:numId w:val="1"/>
        </w:numPr>
        <w:rPr/>
      </w:pPr>
      <w:bookmarkStart w:id="900" w:name="__RefHeading___Toc1273303_1067777946"/>
      <w:bookmarkStart w:id="901" w:name="_Toc327"/>
      <w:bookmarkEnd w:id="899"/>
      <w:bookmarkEnd w:id="900"/>
      <w:r>
        <w:rPr>
          <w:rtl w:val="true"/>
        </w:rPr>
        <w:t xml:space="preserve">السابع </w:t>
      </w:r>
      <w:r>
        <w:rPr>
          <w:rtl w:val="true"/>
        </w:rPr>
        <w:t xml:space="preserve">: </w:t>
      </w:r>
      <w:r>
        <w:rPr>
          <w:rtl w:val="true"/>
        </w:rPr>
        <w:t>الاستحسان والمصلحة</w:t>
      </w:r>
      <w:bookmarkEnd w:id="901"/>
    </w:p>
    <w:p>
      <w:pPr>
        <w:pStyle w:val="BookText"/>
        <w:rPr/>
      </w:pPr>
      <w:r>
        <w:rPr>
          <w:rFonts w:ascii="Amiri" w:hAnsi="Amiri" w:eastAsia="Amiri" w:cs="Amiri"/>
          <w:color w:val="111111"/>
          <w:sz w:val="28"/>
          <w:sz w:val="28"/>
          <w:szCs w:val="28"/>
          <w:rtl w:val="true"/>
          <w:lang w:bidi="ar-SA"/>
        </w:rPr>
        <w:t>وربما يفسر الاستحسان بإدراك الفعل لمصلحة توجب جعل حكم من الشارع له على وفقها ، وهذا يرجع إلى الاستصلاح والمصالح المرسلة الذي سيوافيك البحث فيه في الفصل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انّه لم نعثر على معنى واضح للاستحسان ليقع مورد النزاع فالوجوه السبعة الآنفة الذكر ليست مورداً للخلاف وليس لها من الأهمية حتّى يعدّه مالك تسعة أعشار العلم كما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إجمال ما مضى من المعاني السبعة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الأوّل أي العمل بالظن والرأي ، فهو فرع وجود دليل على حجّيته ولا يختلف فيه 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قياس إلى قياس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بحجّية القياس فلا محيص عن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مقتضى قياس جلي إلى قياس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المعدول إليه أقوى فلا محيص عنه ، وإلاّ لكان القياسان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العدول من مقتضى القياس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على وفق القاعدة بشرط أن يكون الدليل أقوى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بأقوى الدليلين في بابي التعارض والتزاحم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أمر لا سترة فيه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بالعرف والسيرة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صحيح بشرط أن تكون السيرة مورد تقرير للمعصوم</w:t>
      </w:r>
      <w:r>
        <w:rPr>
          <w:rFonts w:eastAsia="Amiri" w:cs="Amiri" w:ascii="Amiri" w:hAnsi="Amiri"/>
          <w:color w:val="111111"/>
          <w:sz w:val="28"/>
          <w:szCs w:val="28"/>
          <w:rtl w:val="true"/>
          <w:lang w:bidi="ar-SA"/>
        </w:rPr>
        <w:t xml:space="preserve">. </w:t>
      </w:r>
      <w:bookmarkStart w:id="902" w:name="pg10155_105673"/>
    </w:p>
    <w:p>
      <w:pPr>
        <w:pStyle w:val="BookText"/>
        <w:rPr/>
      </w:pPr>
      <w:bookmarkEnd w:id="902"/>
      <w:r>
        <w:rPr>
          <w:rFonts w:ascii="Amiri" w:hAnsi="Amiri" w:eastAsia="Amiri" w:cs="Amiri"/>
          <w:color w:val="111111"/>
          <w:sz w:val="28"/>
          <w:sz w:val="28"/>
          <w:szCs w:val="28"/>
          <w:rtl w:val="true"/>
          <w:lang w:bidi="ar-SA"/>
        </w:rPr>
        <w:t xml:space="preserve">وأمّا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فالاستحسان بهذا المعنى لا يكون أصلاً مستقلاً برأسه ، والمفروض انّه دليل في مقابل الاستصلاح ، فلم يبق من المحتملات إلاّ الوجه الآتي ، أعني </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1273305_1067777946"/>
      <w:bookmarkStart w:id="904" w:name="_Toc328"/>
      <w:bookmarkEnd w:id="903"/>
      <w:r>
        <w:rPr>
          <w:rtl w:val="true"/>
        </w:rPr>
        <w:t xml:space="preserve">الثامن </w:t>
      </w:r>
      <w:r>
        <w:rPr>
          <w:rtl w:val="true"/>
        </w:rPr>
        <w:t xml:space="preserve">: </w:t>
      </w:r>
      <w:r>
        <w:rPr>
          <w:rtl w:val="true"/>
        </w:rPr>
        <w:t>العدول عن مقتضى الدليل إلى ما يستحسنه المجتهد</w:t>
      </w:r>
      <w:bookmarkEnd w:id="904"/>
    </w:p>
    <w:p>
      <w:pPr>
        <w:pStyle w:val="Heading6"/>
        <w:numPr>
          <w:ilvl w:val="5"/>
          <w:numId w:val="1"/>
        </w:numPr>
        <w:rPr/>
      </w:pPr>
      <w:bookmarkStart w:id="905" w:name="__RefHeading___Toc1273307_1067777946"/>
      <w:bookmarkStart w:id="906" w:name="_Toc329"/>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الظاهر انّ المراد بالاستحسان هو العدول عن مقتضى الدليل باستحسان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ينقدح في نفس المجتهد لا يقدر على التعبير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يستحسن أن يفتي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يستحسن أن يكون الموضوع داخلاً تحت ذلك الدليل لا الدليل الآخر من دون أن يكون له دليل على هذا سوى استحسانه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والاستحسان بهذا المعنى قابل للنقض والإبرام ، ولذلك يصفه الشافعي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إذا قال المفتي في النازلة ليس فيها نصّ خبر ولا قياس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 فلا بدّ أن يزعم انّه جائز لغيره أن يستحسن خلافه ، فيقول كلّ حاكم في بلد ومفت بما يستحسن ، فيقال في الشيء الواحد بضروب من الحكم والفتيا ، فإن كان هذا جائزاً عندهم فقد أهملوا أنفسهم فحكموا حيث شاءوا ، وإن كان ضيقاً فلا يجوز أن يدخلوا فيه</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ولعلّ مراد الشافعي من كلامه هذا ما استظهره بعض الأجلة وقال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مراده هو الردع عن خصوص هذا القسم ، كما تومئ إليه بقية أقواله ، ممّا لا تخضع لضوابط من شأنها أن تقلل من وقوع الاختلاف وتفسح </w:t>
      </w:r>
    </w:p>
    <w:p>
      <w:pPr>
        <w:pStyle w:val="BookText"/>
        <w:rPr/>
      </w:pPr>
      <w:r>
        <w:rPr>
          <w:rFonts w:ascii="Amiri" w:hAnsi="Amiri" w:eastAsia="Amiri" w:cs="Amiri"/>
          <w:color w:val="111111"/>
          <w:sz w:val="28"/>
          <w:sz w:val="28"/>
          <w:szCs w:val="28"/>
          <w:rtl w:val="true"/>
          <w:lang w:bidi="ar-SA"/>
        </w:rPr>
        <w:t>المجال أمام المتطفّلين على منصب الإفتاء ليرسلوا كلماتهم بسهولة استناداً إلى ما يدعونه لأنفسهم من انقداحات نفسية وأدلة لا يقدرون على التعبير عنها ، ممّا يسبِّب إشاعة الفوضى في عوالم الفقه والتشريع</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ويمكن توضيح هذا الوجه بمثالين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إطلاق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هو قطع يد السارق دون فرق بين عام الرخاء والمجاعة ، ولكن نقل عن عمر عدم العمل به في عام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وقد نقل عن الإمام مالك إخراج الأُمّ الرفيعة المنزلة التي ليست من شأن مثلها أن ترضع ولدها ، وعلى هذا ينطبق تعريف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الاستحسان ترك القياس والأخذ بما هو أوفق للناس</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للعدول عن إطلاق الآية الشامل لعام المجاعة والأُم الرفيعة المنزلة وغيرهما إلاّ بدليل ، ويمكن أن يكون الدليل انصراف الآية عن الصورتين ، والانصراف يحدّد دلالة الدليل ويُتّبع الدليل في غير مورد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يؤاخذ على هذا الاستعمال هو انّ تسمية الانصراف وأشباهه ممّا يوجب العدول عن الدليل الأوّل بالاستحسان أمر غير صحيح</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 دليل على العدول ، وكان المورد يتمتع برصيد خاص ، فما هو الوجه لاستعمال كلمة الاستحسان المريب ، إذ من الواضح انّ </w:t>
      </w:r>
    </w:p>
    <w:p>
      <w:pPr>
        <w:pStyle w:val="BookText"/>
        <w:rPr/>
      </w:pPr>
      <w:r>
        <w:rPr>
          <w:rFonts w:ascii="Amiri" w:hAnsi="Amiri" w:eastAsia="Amiri" w:cs="Amiri"/>
          <w:color w:val="111111"/>
          <w:sz w:val="28"/>
          <w:sz w:val="28"/>
          <w:szCs w:val="28"/>
          <w:rtl w:val="true"/>
          <w:lang w:bidi="ar-SA"/>
        </w:rPr>
        <w:t>استحسان شخص واستقباحه ما لم يعتمد على دليل ، لا يعدان من مصادر التشريع؟</w:t>
      </w:r>
    </w:p>
    <w:p>
      <w:pPr>
        <w:pStyle w:val="BookText"/>
        <w:rPr/>
      </w:pPr>
      <w:r>
        <w:rPr>
          <w:rFonts w:ascii="Amiri" w:hAnsi="Amiri" w:eastAsia="Amiri" w:cs="Amiri"/>
          <w:color w:val="111111"/>
          <w:sz w:val="28"/>
          <w:sz w:val="28"/>
          <w:szCs w:val="28"/>
          <w:rtl w:val="true"/>
          <w:lang w:bidi="ar-SA"/>
        </w:rPr>
        <w:t>وهنا نقطة جديرة بالإشارة وهي انّ الاختلاف في تعريف الاستحسان الذي جعل من مصادر الفقه إلى هذا المستوى يعرب عن أنّه لم يمتلك مفهوماً واضحاً حتى عرّف بتعاريف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الاختلاف في حجّية الاستحسان ناتج عن عدم دراسة مصادر التشريع حسب مراتبها ، فإنّ تقديم دليل على دليل آخر سواء كانا قياسين أو غيرهما فرع وجود الملاك للتقديم حتى تقدم إحدى الحجّتين على الأُخرى بملاك وليس الاستحسان منه أبداً ، وعلى القائلين بالاستحسان بالوجوه المذكورة أن يدرسوا ملاك تقدّم الأدلّة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أنّ الخاص يقدّم على العام ، والمقيّد على المطلق ، والنص على الظاهر المخالف ، وأحكام العناوين الثانوية كالضرر والحرج على أحكام العناوين الأوّلية وغير ذلك فتقديم أيّ دليل على آخر يجب أن يكون داخلاً تحت أحد هذه الملاكات وأمثالها ممّا قرّر في مبحث تعارض الأدلّة وترجيحها ، لا تحت عنوان الاستحسان ، وعلى هذا لو فسروا الاستحسان بمعنى تقدم أحد الدليلين على الدليل الآخر بملاك موجب له ، لاتفقت الشيعة أيضاً معهم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يرشد إلى ذلك انّ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القياس ويقسمه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استحسان القياس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استحسان سبب معارضة القياس ، ويمثل للقسم الأوّل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المسألة وصفان يقتضيان قياسين متباينين أحدهما ظاهر متبادر وهو القياس الاصطلاحي ، والثاني خفي يقتضي إلحاقها بأصل آخر فتسمى هنا استحساناً ، مثل انّ المرأة عورة من قمة رأسها إلى قدميها ، </w:t>
      </w:r>
      <w:bookmarkStart w:id="907" w:name="pg10155_105676"/>
    </w:p>
    <w:p>
      <w:pPr>
        <w:pStyle w:val="BookText"/>
        <w:rPr/>
      </w:pPr>
      <w:bookmarkEnd w:id="907"/>
      <w:r>
        <w:rPr>
          <w:rFonts w:ascii="Amiri" w:hAnsi="Amiri" w:eastAsia="Amiri" w:cs="Amiri"/>
          <w:color w:val="111111"/>
          <w:sz w:val="28"/>
          <w:sz w:val="28"/>
          <w:szCs w:val="28"/>
          <w:rtl w:val="true"/>
          <w:lang w:bidi="ar-SA"/>
        </w:rPr>
        <w:t>ثمّ أُبيح النظر إلى بعض المواضع للحاجة ، كرؤية الطبيب ، فأعملت علّة التيسير هنا في هذا الموضع</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إنّ الأُستاذ وإن أصاب في تقديم الدليل الثاني على الأوّل ولكنّه لم يذكر وجهه ، فانّ المقام داخل تحت العناوين الثانوية فتقدم على أحكام العناوين الأوّلية ، فقوله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يدلّ على أنّ كلّ حكم حرجي مرفوع في الإسلام وغير مشرّع ، فلو افترضنا انّ بدن المرأة عورة كلّه يجب عليها ستره ، لكن هذا الحكم يختص بغير حالة الضرورة ، وذلك لتقدم أحكام العناوين الثانوية كالضرورة والاضطرار على العناوين الأوّلية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 عن أُمّتي 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إباحة الرؤية ، فأي صلة لهذه المسألة بالاستحسان ، وما هذا إلاّ لأنّ القوم لم يقيّموا مصادر التشريع حسب مراتبها فأسموا مثلَ ذلك بالاستحسان</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1273309_1067777946"/>
      <w:bookmarkStart w:id="909" w:name="_Toc330"/>
      <w:bookmarkEnd w:id="908"/>
      <w:r>
        <w:rPr>
          <w:rtl w:val="true"/>
        </w:rPr>
        <w:t>الاستدلال على حجّية الاستحسان</w:t>
      </w:r>
      <w:bookmarkEnd w:id="909"/>
    </w:p>
    <w:p>
      <w:pPr>
        <w:pStyle w:val="BookText"/>
        <w:rPr/>
      </w:pPr>
      <w:r>
        <w:rPr>
          <w:rFonts w:ascii="Amiri" w:hAnsi="Amiri" w:eastAsia="Amiri" w:cs="Amiri"/>
          <w:color w:val="111111"/>
          <w:sz w:val="28"/>
          <w:sz w:val="28"/>
          <w:szCs w:val="28"/>
          <w:rtl w:val="true"/>
          <w:lang w:bidi="ar-SA"/>
        </w:rPr>
        <w:t xml:space="preserve">استدلّوا على حجّية الاستحسان بوجوه </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1273311_1067777946"/>
      <w:bookmarkStart w:id="911" w:name="_Toc331"/>
      <w:bookmarkEnd w:id="910"/>
      <w:r>
        <w:rPr>
          <w:rtl w:val="true"/>
        </w:rPr>
        <w:t>الاستدلال بالكتاب والسنّة</w:t>
      </w:r>
      <w:bookmarkEnd w:id="91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رآه المسلمون حسناً فهو عند الله حسن</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يلاحظ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نزاع في الكبرى وانّ عباد الله هم الذين يستمعون القول فيتّبعون ما هو الأحسن ، ولكن الكلام في أنّ الإفتاء بشيء ممّا لم يقم عليه دليل سوى استحسان المجتهد ، هل هو اتّباع للأحسن أو اتّباع للهوى؟</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يدعو إلى اقتفاء القول الأحسن وهو الذي دعمه العقل الصريح والشرع المبين ، وأين هذا من الإفتاء بشيء بمجرّد استحسان ذهن المجتهد ورأيه من دون أن يقوم عليه دليل قطعي من عقل أو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الإفتاء مستنداً إلى دليل شرعي فهو حجّة قطعية ولا حاجة في جواز الإفتاء بها إلى الاستدلال بالآية ، بل يكفي دليل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قام الدليل على حجّيته انّك لو فسرت الآية بالاستحسان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الاستحسان لاختل انسجام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أحد معنيين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أن يتضمن معنى التفصيل ، فعندئذ يدلّ على أنّ هناك قولاً حسناً وقولاً أحسن فيتبعون الثاني دون الأوّل ، ولا يوصف القول بالحُسْن إلاّ إذا دلّ الدليل من العقل والنقل على كونه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بمعنى الحسن خالياً عن المفاضلة فيكون المعنى يتبعون الحسن دون غيره ، وعلى كلا التقديرين لا صلة للآية بما يستحسنه المجتهد بأنّه حكم الله من دون أن يستند إلى دليل قاطع</w:t>
      </w:r>
      <w:r>
        <w:rPr>
          <w:rFonts w:eastAsia="Amiri" w:cs="Amiri" w:ascii="Amiri" w:hAnsi="Amiri"/>
          <w:color w:val="111111"/>
          <w:sz w:val="28"/>
          <w:szCs w:val="28"/>
          <w:rtl w:val="true"/>
          <w:lang w:bidi="ar-SA"/>
        </w:rPr>
        <w:t xml:space="preserve">. </w:t>
      </w:r>
      <w:bookmarkStart w:id="912" w:name="pg10155_105678"/>
    </w:p>
    <w:p>
      <w:pPr>
        <w:pStyle w:val="BookText"/>
        <w:rPr/>
      </w:pPr>
      <w:bookmarkEnd w:id="912"/>
      <w:r>
        <w:rPr>
          <w:rFonts w:ascii="Amiri" w:hAnsi="Amiri" w:eastAsia="Amiri" w:cs="Amiri"/>
          <w:color w:val="111111"/>
          <w:sz w:val="28"/>
          <w:sz w:val="28"/>
          <w:szCs w:val="28"/>
          <w:rtl w:val="true"/>
          <w:lang w:bidi="ar-SA"/>
        </w:rPr>
        <w:t>ومنه يظهر انّ الحديث لا صلة له بالمقام ، فإنّ المراد ما رآه المسلمون حسناً أي ما اتّفقت عليه عقولهم لا رأي واحد منهم</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1273313_1067777946"/>
      <w:bookmarkStart w:id="914" w:name="_Toc332"/>
      <w:bookmarkEnd w:id="913"/>
      <w:r>
        <w:rPr>
          <w:rtl w:val="true"/>
        </w:rPr>
        <w:t>الاستدلال بالإجماع</w:t>
      </w:r>
      <w:bookmarkEnd w:id="914"/>
    </w:p>
    <w:p>
      <w:pPr>
        <w:pStyle w:val="BookText"/>
        <w:rPr/>
      </w:pPr>
      <w:r>
        <w:rPr>
          <w:rFonts w:ascii="Amiri" w:hAnsi="Amiri" w:eastAsia="Amiri" w:cs="Amiri"/>
          <w:color w:val="111111"/>
          <w:sz w:val="28"/>
          <w:sz w:val="28"/>
          <w:szCs w:val="28"/>
          <w:rtl w:val="true"/>
          <w:lang w:bidi="ar-SA"/>
        </w:rPr>
        <w:t>وربما يستدلّ بإجماع الأُمّة واستحسانهم دخول الحمام وشرب الماء بأيدي السقّائين من غير تقدير لزمان المكث وتقدير الماء والأُجرة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جرت السيرة على هذا فهي حجّة إذا استمرت إلى عصر المعصوم حتّى يقع موقع التقرير وإلاّ فليست السيرة حجّة في مقابل الأدلة الشرعية ، حيث إنّ الجهل في المعاملة مرفوض شرعاً إلاّ ما جرت السيرة المستمرة عليه بالشرط المذكور</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1273315_1067777946"/>
      <w:bookmarkStart w:id="916" w:name="_Toc333"/>
      <w:bookmarkEnd w:id="915"/>
      <w:r>
        <w:rPr>
          <w:rtl w:val="true"/>
        </w:rPr>
        <w:t xml:space="preserve">بقي هنا أمر </w:t>
      </w:r>
      <w:r>
        <w:rPr>
          <w:rtl w:val="true"/>
        </w:rPr>
        <w:t>:</w:t>
      </w:r>
      <w:bookmarkEnd w:id="916"/>
    </w:p>
    <w:p>
      <w:pPr>
        <w:pStyle w:val="BookText"/>
        <w:rPr/>
      </w:pPr>
      <w:r>
        <w:rPr>
          <w:rFonts w:ascii="Amiri" w:hAnsi="Amiri" w:eastAsia="Amiri" w:cs="Amiri"/>
          <w:color w:val="111111"/>
          <w:sz w:val="28"/>
          <w:sz w:val="28"/>
          <w:szCs w:val="28"/>
          <w:rtl w:val="true"/>
          <w:lang w:bidi="ar-SA"/>
        </w:rPr>
        <w:t xml:space="preserve">ربما يُمثّل بالاستحسان بالموارد التالية ويدعى انّ النبي الأعظم أفتى فيها به دون الوحي وانّه كان يجتهد كسائر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بيع المعدوم ، ورخّص في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بيع الرطب باليابس ، ورخّص في العرايا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أن يخضد شجر مكة وأن يختلى خلاها ورخّص في الإذخر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على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يرد على لسان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عن بيع المعدوم ، وإنّما الوارد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وهو ناظر إلى بيع المبيع الشخصي الذي هو تحت يد الغير ، فما لم يتملّكه البائع لا حق له في بيعه ، </w:t>
      </w:r>
    </w:p>
    <w:p>
      <w:pPr>
        <w:pStyle w:val="BookText"/>
        <w:rPr/>
      </w:pPr>
      <w:r>
        <w:rPr>
          <w:rFonts w:ascii="Amiri" w:hAnsi="Amiri" w:eastAsia="Amiri" w:cs="Amiri"/>
          <w:color w:val="111111"/>
          <w:sz w:val="28"/>
          <w:sz w:val="28"/>
          <w:szCs w:val="28"/>
          <w:rtl w:val="true"/>
          <w:lang w:bidi="ar-SA"/>
        </w:rPr>
        <w:t>لعدم جواز بيع ما لا يملك ، وأين هو من بيع السلم الذي هو بيع شيء في الذمة ، فلم يكن ما صدر عن الرسول بنحو الضابطة شاملاً لبيع السلم حتى يكون الثاني استثناء من الأوّل ومبنيّاً على اجتهاده واستحسانه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حال المثال الثاني 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عن بيع الرطب باليابس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نهي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منصبّاً على المجنيّ من الثمرة دون ما كان على الشجرة ، فنهى عن بيع الرطب باليابس ، لئلا يلزم الربا ، وإليك نصّ الحديث</w:t>
      </w:r>
    </w:p>
    <w:p>
      <w:pPr>
        <w:pStyle w:val="BookText"/>
        <w:rPr/>
      </w:pPr>
      <w:r>
        <w:rPr>
          <w:rFonts w:ascii="Amiri" w:hAnsi="Amiri" w:eastAsia="Amiri" w:cs="Amiri"/>
          <w:color w:val="111111"/>
          <w:sz w:val="28"/>
          <w:sz w:val="28"/>
          <w:szCs w:val="28"/>
          <w:rtl w:val="true"/>
          <w:lang w:bidi="ar-SA"/>
        </w:rPr>
        <w:t xml:space="preserve">عن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اشتراء الرطب بالتمر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أينقص الرطب إذا يبس؟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فنهى عن ذلك</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وعلى ذلك فالنهي كان منصبّاً على البيع الشخصي ، أي تبديل الرطب المعيّن بعين يابس ، وعلى ضوء ذلك فلم يكن بيع العرايا داخلاً في النهي حتى يحتاج إلى الترخيص ويكون مبنياً على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أنّ ما رواه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رخص في العرايا تباع بخرصها كيلاً</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ليس بمعنى انّه كان ممنوعاً ، ثمّ رخصه رسول الله ، بل بمعنى عدم تعلّق النهي به من بدء الأمر ، بخلاف المجنيّ</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فلأنّ استثناء الإذخر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اختلاء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انّ النبي استثناه من تلقاء نفسه معتمداً على الاستحسان ، بل كان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يخضد شجر مكة ولا يختلي خلاها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شامل للأُذخر في الواقع ، ولعلّ النبي كان مستعداً لبيان المخصص غير أنّ عمه العباس لما سبقه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الإذخُر ، فأعقبه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الأُذخُر ، فزُعم انّ النبي قاله اجتهاداً أو استحساناً ، وما ذكرناه وإن كان احتمالاً ، لكنّه يكفي في نقض الدليل وإسقاطه عن الصلاحية </w:t>
      </w:r>
      <w:bookmarkStart w:id="917" w:name="pg10155_105680"/>
    </w:p>
    <w:p>
      <w:pPr>
        <w:pStyle w:val="Heading4"/>
        <w:numPr>
          <w:ilvl w:val="3"/>
          <w:numId w:val="1"/>
        </w:numPr>
        <w:rPr/>
      </w:pPr>
      <w:bookmarkStart w:id="918" w:name="__RefHeading___Toc1273317_1067777946"/>
      <w:bookmarkStart w:id="919" w:name="_Toc334"/>
      <w:bookmarkEnd w:id="917"/>
      <w:bookmarkEnd w:id="918"/>
      <w:r>
        <w:rPr/>
        <w:t>3</w:t>
      </w:r>
      <w:r>
        <w:rPr>
          <w:rtl w:val="true"/>
        </w:rPr>
        <w:t xml:space="preserve">- </w:t>
      </w:r>
      <w:r>
        <w:rPr>
          <w:rtl w:val="true"/>
        </w:rPr>
        <w:t>مصادر التشريع فيما لا نصّ فيه عند أهل السنّة</w:t>
      </w:r>
      <w:bookmarkEnd w:id="919"/>
    </w:p>
    <w:p>
      <w:pPr>
        <w:pStyle w:val="Heading5"/>
        <w:numPr>
          <w:ilvl w:val="4"/>
          <w:numId w:val="1"/>
        </w:numPr>
        <w:rPr/>
      </w:pPr>
      <w:bookmarkStart w:id="920" w:name="__RefHeading___Toc1273319_1067777946"/>
      <w:bookmarkStart w:id="921" w:name="_Toc335"/>
      <w:bookmarkEnd w:id="920"/>
      <w:r>
        <w:rPr>
          <w:rtl w:val="true"/>
        </w:rPr>
        <w:t>الاستصلاح أو المصالح المرسلة</w:t>
      </w:r>
      <w:bookmarkEnd w:id="921"/>
    </w:p>
    <w:p>
      <w:pPr>
        <w:pStyle w:val="Heading6"/>
        <w:numPr>
          <w:ilvl w:val="5"/>
          <w:numId w:val="1"/>
        </w:numPr>
        <w:rPr/>
      </w:pPr>
      <w:bookmarkStart w:id="922" w:name="__RefHeading___Toc1273321_1067777946"/>
      <w:bookmarkStart w:id="923" w:name="_Toc336"/>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كلمتين لا بدّ من إيضاحهما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فيقول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هي عبارة في الأصل عن جلب منفعة أو دفع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ولسنا نعني به ذلك ، فانّ جلب المنفعة ودفع المضرة مقاصد الخلق وصلاح الخلق في تحصيل مقاصدهم ، لكنّا نعني بالمصلحة المحافظة على مقصود الشرع ؛ ومقصود الشرع من الخلق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يحفظ عليهم دينَهم ، ونفسَهم ، وعقلَهم ، ونسلهم ، ومالهم ؛ فكلّ ما يتضمن هذه الأُصول الخمسة فهو مصلحة ، وكلّ ما يفوِّت هذه الأُصول فهو مفسدة ودفعها مصلحة</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وأمّا المرسلة فقد اختلفت كلمتهم في تفسيرها على وجهين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هو المصلحة غير المعتمدة على نصّ خاص ولكن تدخل ضمن ما ورد في الشريعة من نصوص عامة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خصوص تلك المصلحة دليل معيّن ولكن المصلحة داخلة في مقاصد الشريعة التي يُرغب إليها وهذا هو الظاهر من الأُستاذ </w:t>
      </w:r>
    </w:p>
    <w:p>
      <w:pPr>
        <w:pStyle w:val="BookText"/>
        <w:rPr/>
      </w:pPr>
      <w:r>
        <w:rPr>
          <w:rFonts w:ascii="Amiri" w:hAnsi="Amiri" w:eastAsia="Amiri" w:cs="Amiri"/>
          <w:color w:val="111111"/>
          <w:sz w:val="28"/>
          <w:sz w:val="28"/>
          <w:szCs w:val="28"/>
          <w:rtl w:val="true"/>
          <w:lang w:bidi="ar-SA"/>
        </w:rPr>
        <w:t xml:space="preserve">الدواليبي في تفسير الاستصلاح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الاستصلاح في حقيقته هو نوع من الحكم بالرأي المبني على المصلحة ، وذلك في كلّ مسألة لم يرد في الشريعة نصّ عليها ، ولم يكن لها في الشريعة أمثال تقاس بها ، وإنّما بنى الحكم فيها على ما في الشريعة من قواعد عامة برهنت على أنّ كلّ مسألة خرجت عن المصلحة ليست من الشريعة بشيء وتلك القواعد هي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المراد عدم الاعتماد على أي نص شرعي من دون فرق بين الخاص والعام وإنّما يترك للعقل حق استكشافها ، وعلى هذا عرفه ابن برهان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لا تستند إلى أصل كلي أو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الوجه فكشف العقل المصلحة في فعل الشيء أو تركه من أدلة التشريع عند القائلين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قبل به فالأولى تعريفه بالنحو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المصالح المرسلة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 مصلحة لم يرد فيها أيُّ نصّ يدعو إلى اعتبارها ، أو عدم اعتبارها ، ولكن في اعتبارها نفع أو دفع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الاستصلاح طريق شرعي لاستنباط الحكم فيما لا نصّ فيه ولا إجماع وانّ المصلحة المطلقة التي لا يوجد من الشرع ما يدلّ على اعتبارها ولا إلغائها ، مصلحة صالحة لأن يبنى عليها الاستنباط</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مصادر الفقه والاستنباط عند المالكية والحنابلة ، دون الحنفية </w:t>
      </w:r>
    </w:p>
    <w:p>
      <w:pPr>
        <w:pStyle w:val="BookText"/>
        <w:rPr/>
      </w:pPr>
      <w:r>
        <w:rPr>
          <w:rFonts w:ascii="Amiri" w:hAnsi="Amiri" w:eastAsia="Amiri" w:cs="Amiri"/>
          <w:color w:val="111111"/>
          <w:sz w:val="28"/>
          <w:sz w:val="28"/>
          <w:szCs w:val="28"/>
          <w:rtl w:val="true"/>
          <w:lang w:bidi="ar-SA"/>
        </w:rPr>
        <w:t xml:space="preserve">والشافعية ، فقد ذهب الأوّلان إلى أنّ الاستصلاح طريق شرعي لاستنباط الحكم فيما لا نصّ فيه ولا إجماع ، وانّ المصلحة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يوجد دليل من الشرع يدل على اعتبارها ولا على إلغائها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صالحة لأن يبنى عليها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من الحنفية انّهم لا يأخذون بالاستصلاح ، وكذا الشافعية ، حتى روي عن الشافعي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استصلح فقد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استحسن فقد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والاستصلاح كالاستحسان متابعة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اعتبرها الإمام مالك بشروط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تنافي إطلاقَ أُصول الشرع ، ولا دليلاً من أدلّته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ضرورية للناس مفيدة لهم ، أو دافعة ضرراً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تمسّ العبادات ، لأنّ أغلبها لا يعقل لها معنى على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الأدلة الثلاثة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فالقياس عبارة عن استنباط حكم الفرع عن الأصل بحجّة اشتراكهما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والاستحسان عبارة عن العدول عن مقتضى دليل إلى دليل آخر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والاستصلاح عبارة عن حيازة المصلحة المطلقة في مورد ، لم يرد من الشارع دليل لصيانتها ولا لإلغائها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ذكرنا فاعلم أنّهم استدلّوا على القاعدة بوجوه سيأتي التعرض لها والأولى بيان صور الاستصلاح </w:t>
      </w:r>
      <w:r>
        <w:rPr>
          <w:rFonts w:eastAsia="Amiri" w:cs="Amiri" w:ascii="Amiri" w:hAnsi="Amiri"/>
          <w:color w:val="111111"/>
          <w:sz w:val="28"/>
          <w:szCs w:val="28"/>
          <w:rtl w:val="true"/>
          <w:lang w:bidi="ar-SA"/>
        </w:rPr>
        <w:t xml:space="preserve">: </w:t>
      </w:r>
      <w:bookmarkStart w:id="924" w:name="pg10155_105683"/>
    </w:p>
    <w:p>
      <w:pPr>
        <w:pStyle w:val="Heading6"/>
        <w:numPr>
          <w:ilvl w:val="5"/>
          <w:numId w:val="1"/>
        </w:numPr>
        <w:rPr/>
      </w:pPr>
      <w:bookmarkStart w:id="925" w:name="__RefHeading___Toc1273323_1067777946"/>
      <w:bookmarkStart w:id="926" w:name="_Toc337"/>
      <w:bookmarkEnd w:id="924"/>
      <w:bookmarkEnd w:id="925"/>
      <w:r>
        <w:rPr>
          <w:rtl w:val="true"/>
        </w:rPr>
        <w:t xml:space="preserve">الأوّل </w:t>
      </w:r>
      <w:r>
        <w:rPr>
          <w:rtl w:val="true"/>
        </w:rPr>
        <w:t xml:space="preserve">: </w:t>
      </w:r>
      <w:r>
        <w:rPr>
          <w:rtl w:val="true"/>
        </w:rPr>
        <w:t>تقديم المصلحة على النصّ ، ونبذ الآخر</w:t>
      </w:r>
      <w:bookmarkEnd w:id="926"/>
    </w:p>
    <w:p>
      <w:pPr>
        <w:pStyle w:val="BookText"/>
        <w:rPr/>
      </w:pPr>
      <w:r>
        <w:rPr>
          <w:rFonts w:ascii="Amiri" w:hAnsi="Amiri" w:eastAsia="Amiri" w:cs="Amiri"/>
          <w:color w:val="111111"/>
          <w:sz w:val="28"/>
          <w:sz w:val="28"/>
          <w:szCs w:val="28"/>
          <w:rtl w:val="true"/>
          <w:lang w:bidi="ar-SA"/>
        </w:rPr>
        <w:t xml:space="preserve">إنّ الاستصلاح بهذا المعنى تشريع محرّم وتقدّم على الله ورسوله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والواجب على كلّ مسلم ، التجنّب عن هذا القسم من الاستصلاح فمن يتوهم المصلحة في سلب حق التطليق عن الزوج ، أو منح الزوجة حق التطليق أيضاً ، لا يصحّ له التشريع ، ولكن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رواج هذا الأُسلوب بين الخلفاء حيث كانوا يقدّمون المصلحة على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مسلم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على عهد رسول الله وأبي بكر وسنتين من خلافة عمر طلاق الثلاث واحدة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قد كانت لهم فيه أناة فلو أمضيناه عليهم ، فأمضاه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ابن طاوس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الصهباء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انّما كانت الثلاث تجعل واحدة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وثلاثاً من خلافة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الصهباء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هناتك </w:t>
      </w:r>
      <w:r>
        <w:rPr>
          <w:rStyle w:val="FootnoteAnchor"/>
          <w:rtl w:val="true"/>
        </w:rPr>
        <w:footnoteReference w:id="809"/>
      </w:r>
      <w:r>
        <w:rPr>
          <w:rFonts w:ascii="Amiri" w:hAnsi="Amiri" w:eastAsia="Amiri" w:cs="Amiri"/>
          <w:color w:val="111111"/>
          <w:sz w:val="28"/>
          <w:sz w:val="28"/>
          <w:szCs w:val="28"/>
          <w:rtl w:val="true"/>
          <w:lang w:bidi="ar-SA"/>
        </w:rPr>
        <w:t xml:space="preserve">ألم يكن الطلاق الثلاث على عهد رسول الله وأبي بكر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 فلمّا كان في عهد عمر تتابع الناس في الطلاق فأجازه عليهم</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النصوص تدلّ بوضوح على أنّ عمل الخليفة لم ينطلق من الاجتهاد </w:t>
      </w:r>
      <w:bookmarkStart w:id="927" w:name="pg10155_105684"/>
    </w:p>
    <w:p>
      <w:pPr>
        <w:pStyle w:val="BookText"/>
        <w:rPr/>
      </w:pPr>
      <w:bookmarkEnd w:id="927"/>
      <w:r>
        <w:rPr>
          <w:rFonts w:ascii="Amiri" w:hAnsi="Amiri" w:eastAsia="Amiri" w:cs="Amiri"/>
          <w:color w:val="111111"/>
          <w:sz w:val="28"/>
          <w:sz w:val="28"/>
          <w:szCs w:val="28"/>
          <w:rtl w:val="true"/>
          <w:lang w:bidi="ar-SA"/>
        </w:rPr>
        <w:t>فيما لا نصّ فيه ولا أخذاً بروح القانون الذي يعبّر عنه بتنقيح المناط ، وإنّما كان عمله من الاجتهاد تجاه النص ونبذ الدليل الشرعي والسير وراء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الخليفة عن متعة الحجّ ، ومتعة النساء ، والحيعلة في الأذان ، وغير ذلك</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1273325_1067777946"/>
      <w:bookmarkStart w:id="929" w:name="_Toc338"/>
      <w:bookmarkEnd w:id="928"/>
      <w:r>
        <w:rPr>
          <w:rtl w:val="true"/>
        </w:rPr>
        <w:t xml:space="preserve">الثاني </w:t>
      </w:r>
      <w:r>
        <w:rPr>
          <w:rtl w:val="true"/>
        </w:rPr>
        <w:t xml:space="preserve">: </w:t>
      </w:r>
      <w:r>
        <w:rPr>
          <w:rtl w:val="true"/>
        </w:rPr>
        <w:t>تقييد النصّ بالمصلحة</w:t>
      </w:r>
      <w:bookmarkEnd w:id="929"/>
    </w:p>
    <w:p>
      <w:pPr>
        <w:pStyle w:val="BookText"/>
        <w:rPr/>
      </w:pPr>
      <w:r>
        <w:rPr>
          <w:rFonts w:ascii="Amiri" w:hAnsi="Amiri" w:eastAsia="Amiri" w:cs="Amiri"/>
          <w:color w:val="111111"/>
          <w:sz w:val="28"/>
          <w:sz w:val="28"/>
          <w:szCs w:val="28"/>
          <w:rtl w:val="true"/>
          <w:lang w:bidi="ar-SA"/>
        </w:rPr>
        <w:t xml:space="preserve">روي أنّه جاء رجل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على امرأتي في رمضان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تجد ما تعتق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تستطيع أن تصوم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تجد ما تطعم ستين مسكيناً؟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ثمّ جلس فأُتي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بعرق فيه تمر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بهذا</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ومقتضى إطلاق الحديث كفاية كلّ من الخصال في مقام التكفير فالغنيّ المفطر ، له أن يكفّر بالعتق كما له التكفير بالأُخرى ، ولكن ربما يقال بتعيّن الصيام على الغني ، لأنّه لا يُكفّر ذنبه إلاّ به ، أي صوم شهرين متتابعين ، لأنّه هو الرادع له عن العود إلى الإفطار لا الإطعام ولا عتق الرقبة ، لعسر الأوّل ويسر الثانيين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تشريع تجاه النص والاستصلاح في المقام ، كالاستصلاح في القسم الأوّل بدعة ، غير أنّه في الأوّل بمعنى نبذ النص من رأسه وفي المقام نبذ لإطلاقه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القسم من الاستصلاح ربما يعبر عنه بالأخذ بروح القانون </w:t>
      </w:r>
      <w:r>
        <w:rPr>
          <w:rStyle w:val="FootnoteAnchor"/>
          <w:rtl w:val="true"/>
        </w:rPr>
        <w:footnoteReference w:id="812"/>
      </w:r>
      <w:r>
        <w:rPr>
          <w:rFonts w:ascii="IRNazanin" w:hAnsi="IRNazanin" w:eastAsia="IRNazanin"/>
          <w:color w:val="111111"/>
          <w:sz w:val="28"/>
          <w:sz w:val="28"/>
          <w:szCs w:val="28"/>
          <w:rtl w:val="true"/>
          <w:lang w:bidi="fa-IR"/>
        </w:rPr>
        <w:t xml:space="preserve">، وهو </w:t>
      </w:r>
    </w:p>
    <w:p>
      <w:pPr>
        <w:pStyle w:val="BookText"/>
        <w:rPr/>
      </w:pPr>
      <w:r>
        <w:rPr>
          <w:rFonts w:ascii="Amiri" w:hAnsi="Amiri" w:eastAsia="Amiri" w:cs="Amiri"/>
          <w:color w:val="111111"/>
          <w:sz w:val="28"/>
          <w:sz w:val="28"/>
          <w:szCs w:val="28"/>
          <w:rtl w:val="true"/>
          <w:lang w:bidi="ar-SA"/>
        </w:rPr>
        <w:t xml:space="preserve">بذل الجهد للوقوف على ملاك الحكم ومناطه الذي يقع التشريع وراءه وهو يكون أساساً لعملين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إسراء الحكم ممّا فيه النصّ إلى ما ليس فيه إذا كان حائزاً للمناط ، وهنا تلتقي المصالح المرسلة مع 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إطلاق النص بالمناط والاسترشاد بالمصلحة والأخذ بروح القانون لا بحرفيّته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تنقيح المناط في كلا الموردين محظور جداً سواء كان أساساً للقياس ، أو كان سبباً لتقييد الدليل ، فإنّ عقول الناس أقصر من أن تحيط بالمصالح والمفاسد فيكون الاستصلاح في كلا الموردين تشريعاً محرماً وباطلاً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المنهار ، منع الخليفة إعطاء المؤلّفة قلوبهم في أيّام خلافته قائلاً بأنّ مناط الحكم هو ضعف المسلمين وشوكة الكافرين فيصرف شيء من الزكاة فيهم ، لكي يستعان بهم على الكفار ، وهو منتف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 قيّد إطلاق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وخصّصها بصورة الضعف وأخرج صورة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والاستصلاح بهذا المعنى ، فوق ما يرومه الأُصوليون من أهل السنّة ، وقد عرفت أنّ الإمام مالكاً خصّ العمل به بما إذ توفّرت فيه الشروط الثلاثة التي منها أن لا تنافي إطلاق أُصول الشرع ولا دليلاً من أدلّته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انّ الاستصلاح بالمعنى الأوّل والمعنى الثاني بكلا قسميه خارج عمّا هو محط البحث لدى الأُصوليين ، وإليك سائر الأقسام</w:t>
      </w:r>
      <w:r>
        <w:rPr>
          <w:rFonts w:eastAsia="Amiri" w:cs="Amiri" w:ascii="Amiri" w:hAnsi="Amiri"/>
          <w:color w:val="111111"/>
          <w:sz w:val="28"/>
          <w:szCs w:val="28"/>
          <w:rtl w:val="true"/>
          <w:lang w:bidi="ar-SA"/>
        </w:rPr>
        <w:t xml:space="preserve">. </w:t>
      </w:r>
      <w:bookmarkStart w:id="930" w:name="pg10155_105686"/>
    </w:p>
    <w:p>
      <w:pPr>
        <w:pStyle w:val="Heading6"/>
        <w:numPr>
          <w:ilvl w:val="5"/>
          <w:numId w:val="1"/>
        </w:numPr>
        <w:rPr/>
      </w:pPr>
      <w:bookmarkStart w:id="931" w:name="__RefHeading___Toc1273327_1067777946"/>
      <w:bookmarkStart w:id="932" w:name="_Toc339"/>
      <w:bookmarkEnd w:id="930"/>
      <w:bookmarkEnd w:id="931"/>
      <w:r>
        <w:rPr>
          <w:rtl w:val="true"/>
        </w:rPr>
        <w:t xml:space="preserve">الثالث </w:t>
      </w:r>
      <w:r>
        <w:rPr>
          <w:rtl w:val="true"/>
        </w:rPr>
        <w:t xml:space="preserve">: </w:t>
      </w:r>
      <w:r>
        <w:rPr>
          <w:rtl w:val="true"/>
        </w:rPr>
        <w:t>إنشاء الحكم فيما لا نصّ فيه على وفق المصلحة</w:t>
      </w:r>
      <w:bookmarkEnd w:id="932"/>
    </w:p>
    <w:p>
      <w:pPr>
        <w:pStyle w:val="BookText"/>
        <w:rPr/>
      </w:pPr>
      <w:r>
        <w:rPr>
          <w:rFonts w:ascii="Amiri" w:hAnsi="Amiri" w:eastAsia="Amiri" w:cs="Amiri"/>
          <w:color w:val="111111"/>
          <w:sz w:val="28"/>
          <w:sz w:val="28"/>
          <w:szCs w:val="28"/>
          <w:rtl w:val="true"/>
          <w:lang w:bidi="ar-SA"/>
        </w:rPr>
        <w:t>إذا كان الموضوع ممّا لا نصّ فيه ولكن أدركنا بعقولنا وجود مصلحة فيه وإن لم يرد من الشارع أمر بالأخذ ، ولا بالرفض ، فتشريع الحكم الشرعي على وفقها هو الاستصلاح ولا مانع منه ويعلّله بعض المعاصرين بأنّ الحياة في تطوّر مستمر ، ومصالح الناس تتجدّد وتتغير في كلّ زمن ، فلو لم تشرع الأحكام المناسبة لتلك المصالح ، لوقع الناس في حرج ، وتعطّلت مصالحهم في كلّ الأزمنة والأمكنة ، ووقف التشريع عن مسايرة الزمن ومراعاة المصالح والتطوّرات ، وهذا مصادم لمقصد التشريع في مراعاة مصالح الناس وتحقيقها</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لتشريع الحكم على وفق المصلحة صوراً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تشريعه في الأُمور العبادية التوقيفية ، كتشريع الأذان الثاني لصلاة الجمعة لمّا كثر المسلمون ولم يكف الأذان بين يدي الخطيب لإعلامهم ، فلا شكّ انّه تشريع محرّم وإدخال في الدين ما لم يأذن به الله ، لأنّ الأذان الثاني عمل عباديّ لم يأذن به الشارع مع توفّر طرق أُخرى عاديّة لإعلام المصلّين ، من دون لزوم التشريع كما هو واضح</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أصل الحكم منصوصاً بوجه كلي ، ولكن فُوِّضت كيفيةُ العمل به وتحقيقه على صعيد الحياة إلى الحاكم الشرعي ، وذلك مثل ما مرّ من الأمثلة ، كإنشاء الدواوين أو سكّ النقود ، وتكثير الجنود وغيرها فالمنصوص ، هو حفظ بيضة الإسلام ، للحيلولة دون غلبة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وقوله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فعند ذلك فالحكم المنشأ على وفق المصلحة ليس حكماً شرعياً أوّلياً ، ولا حكماً شرعياً ثانوياً وإنّما هو حكم ولائي نابع من ولاية الحاكم على إجراء القانون المنصوص إليه على صعيد الحياة وفقاً للمصالح ، ما لم يخالف تشريع الكتاب والسنّة فقد سمح للحاكم وضع هذه الضوابط والمقررات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تطبيق الأحكام الكلية على صعيد الحياة فهي لازمة الاتّباع ما دامت تضمن مصلحة الأُمة فيدوم ما دام الحكم مقروناً بالمصلحة ، فإذا فقد الملاك ينتفي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تسمية هذا النوع من الأحكام بالمقررات ، لتمييزها عن الأحكام الشرعية المجعولة الصادرة من ناحية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أُريد كون الاستصلاح مبدأ لهذا النوع من الحكم ، فهو صحيح لكن يبدو انّه غير مراد للقائلين بكونه من مبادئ التشريع ومصادره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الحكم حسب المصالح والمفاسد العامة الذي اتّفق عليه العقلاء ، فلو افترضنا انّ موضوعاً مستجدّاً لم يكن له نظير في عصر النبي والأئمّة المعصومين ، لكن وجد فيه مصلحة عامة للمسلمين أو مفسدة لهم ، فالعقل يستقل بارتكاب الأُولى والاجتناب عن الثانية ، فالعقل عندئذ لا يكون مشرِّعاً بل كاشفاً عن حكم شرعي دون أن يكون للمجتهد حقّ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كتعاطي المخدّرات فقد اتّفق العقلاء على ضررها وإفسادها الجسم والروح ، فيكون العقل كاشفاً عن حكم شرعي ، للملازمة بين الحكمين ، وعندئذ تكون قاعدة الاستصلاح من شعب حجّية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التلقيح الوقائي عند ظهور الأمراض السارية كالجدري ، والحصبة وغيرهما فقد أصبح من الأُمور التي لا يتردد في صلاحيتها ذوو الاختصاصات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عبد الوهاب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إنّما شرعت لتحقيق مصالح العباد وانّ هذه المصالح التي بنيت عليها الأحكام الشرعية ، معقول ، أي ممّا يدرك العقل حسنها كما أنّه يدرك قبحها فيصح ما نهى عنه ، فإذا حدثت واقعة لا نصّ فيها ، وبنى المجتهد حكمه فيها على ما أدركه عقله من نفع أو ضرر ، كان حكمه على أساس صحيح معتبر من الشارع ولذلك لم يقع باب الاستصلاح إلاّ في المعاملات ونحوها ممّا تعقل معاني أحكامها</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لا غبار عليه لو لا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وبنى المجتهد حكمه فيها على ما أدركه عقله من نفع أو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اتّخذ الإدراك الفردي ملاكاً للتشريع وهو غير صحيح ، لأنّ كون الفعل ذا مصلحة أو مفسدة عند الفقيه ، لا يكشف عن كونه كذلك في الواقع ، لقصور العقل الفردي عن الإحاطة بالمصالح والمفاسد الواقعية ، فربما يدرك المصلحة والمفسدة ويغفل عن موانعهما ، فإدراك فرد واحد أو فردين ، أو ثلاثة وجود المصلحة أو المفسدة في الفعل لا يكون ملاكاً للتشريع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أُطبق عليه العقلاء جيلاً بعد جيل على اشتمالَ الفعل على المصلحة الملزمة أو المفسدة ، فيؤخذ بما يحكم فيه العقل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استدعى العمل بالتشريع الإسلامي حرجاً عاماً أو مشقة للمجتمع الإسلامي لأجل ظروف وملابسات مقطعية أو كان هناك تزاحم بين الحكمين الواقعيين ، فللحاكم الإسلامي رفع الحرج بتقديم أحكام العناوين </w:t>
      </w:r>
    </w:p>
    <w:p>
      <w:pPr>
        <w:pStyle w:val="BookText"/>
        <w:rPr/>
      </w:pPr>
      <w:r>
        <w:rPr>
          <w:rFonts w:ascii="Amiri" w:hAnsi="Amiri" w:eastAsia="Amiri" w:cs="Amiri"/>
          <w:color w:val="111111"/>
          <w:sz w:val="28"/>
          <w:sz w:val="28"/>
          <w:szCs w:val="28"/>
          <w:rtl w:val="true"/>
          <w:lang w:bidi="ar-SA"/>
        </w:rPr>
        <w:t>الثانوية على أحكام العناوين الأوّلية ما دام الحرج باقياً ، أو تقديم الأهم من الحكمين على المهم ، وهذا النوع من الأحكام ليست أوّلية ، كوجوب الصلاة ولا ثانوية كالتيمم عند فقدان الماء ، بل صلاحيات خوّلها الشارع إلى الحاكم الشرعي لما يتمتع به من ولاية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النوع من التصرّف لغاية تطبيق الأحكام على صعيد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الوقائع تحدث ، والحوادث تتجدد ، فلو لم ينفتح للمجتهدين باب التشريع بالاستصلاح ، ضاقت الشريعة الإسلامية عن مصالح العباد وقصرت عن حاجاتهم ، ولم تصلح لمسايرة مختلف الأزمنة والأمكنة والبيئات والأحوال مع أنّها الشريعة العامة لكافة الناس وخاتمة الشرائع كلّها</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ما ذكره الأُستاذ مؤلّف من أمرين قد خلط بينهما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النصوص المتناهية غير وافية لاستنباط الحوادث الطارئة غير المتناهية فلا بدّ من الأخذ بقاعدة الاستصلاح ، للإجابة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 على حجّية القياس وقد تقدّم انّ الحوادث وإن كانت غير متناهية ، لكن في الإطلاقات والعمومات ، مضافاً إلى القول بحجّية العقل من باب التحسين والتقبيح غنى وكفاية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لم نقل بالاستصلاح ضاقت الشريعة الإسلامية عن مصالح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الفقيه إذا عرف موانع الأدلّة ودرجاتها ، فهي في غنى عن التشريع والاستصلاح وأخص بالذكر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الأدلّة الثانوية كالضرر والحرج والعسر وما يحكم به العقل في موارد التزاحم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الولائية التي يصدر الحاكم الإسلامي في مواجهة المشاكل والمعضلات الاجتماعية ، وهي أحكام حكومية 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ذلك غنى عن التشريع بالاستصلاح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 ليس للفقيه ، تصحيح الاستصلاح على وجه الإطلاق أو رفضه كذلك ، بل لا بدّ من الإمعان في صوره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تبيّن لي من إمعان النظر في قاعدة الاستصلاح انّ السبب من وراء جعلها من مصادر التشريع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العقل كأحد مصادر التشريع بالمعنى الذي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كاشفاً عن التشريع الإلهي في مجال التحسين والتقبيح لا كونه مشرعاً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مجالات خاصّة ، هذا من جانب ومن جانب آخر واجه الفقهاء مصلحة حقيقية عامة لا تختلف في كونها مصلحة ، قاطبة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مصلحة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انّ حيازتها أمر لازم فاخترعوا قاعدة الاستصلاح مع أنّها في هذا المورد من شعب قاعدة حجّية العقل ، فلو أضفوا على العقل وصف الحجّية واعتبروه من مصادر التشريع لاستغنوا عن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دراسة أحكام العناوين الأوّلية والثانوية كأدلّة الضرر والحرج ، فإنّ الأحكام الأوّلية محددة بعدم استلزام إطلاقها الحرج والضرر ، فإذا صارت موجبة لأحدهما يقدّم حكمهما على الأحكام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يستغني الفقيه عن قاعدة الاستصلاح مع ما لها من الانطباعات المختلفة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يعلم ما في كلام الأُستاذ عبد الوهاب خلاف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يحتجون بالمصلحة المرسلة إطلاقاً لا فيما لا نصّ على حكمه ولا فيما </w:t>
      </w:r>
    </w:p>
    <w:p>
      <w:pPr>
        <w:pStyle w:val="BookText"/>
        <w:rPr/>
      </w:pPr>
      <w:r>
        <w:rPr>
          <w:rFonts w:ascii="Amiri" w:hAnsi="Amiri" w:eastAsia="Amiri" w:cs="Amiri"/>
          <w:color w:val="111111"/>
          <w:sz w:val="28"/>
          <w:sz w:val="28"/>
          <w:szCs w:val="28"/>
          <w:rtl w:val="true"/>
          <w:lang w:bidi="ar-SA"/>
        </w:rPr>
        <w:t>ورد نص بحكمه قد سدّوا باباً من أبواب اليسر ورفع الحرج في التشريع وأظهروا الشريعة قاصرة عن مصالح الناس وعن مسايرة التطورات</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الذين قالوا بحجّية حكم العقل فيما له مجال القضاء فيه ، قد فتحوا باباً من أبواب اليسر فيما لا نصّ على حكمه ، أوّلاً ؛ ومن وقف على مكانة أحكام العناوين الثانوية بالنسبة إلى أحكام العناوين الأوّلية ، فقد رفع الحرج في التشريع ،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كتب حول قاعدتي الاستصلاح وسد الذرائع لم يفرّقوا بين الأحكام الشرعية والأحكام الولائية الحكومية ، فانّ الطائفة الأُولى أحكام شرعية جاء بها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لتبقى خالدة إلى يوم القيامة ، وأمّا الطائفة الثانية فإنّما هي أحكام مؤقتة أو مقررات يضعها الحاكم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ضوء سائر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المشاكل العالقة في حياة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انّ ما مثّلوا به لقاعدة الاستصلاح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صلاحيات الحاكم الشرعي ، فمثلاً عدّوا الأمثلة التالية من مصاديق تلك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الدواوين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الإمام العادل على الأغنياء من المال ما لا بدّ منه كتكثير الجند وإعداد السلاح وحماية البلاد</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المتهم كي لا يفر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ممّا يعد من صلاحيات الحاكم الشرعي التي خوّلت إليه بغية تنظيم أُمور المجتمع في إطار الأحكام الأوّلية والثانوية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الأُستاذ عبد الوهاب خلاف حيث استدلّ على الاستصلاح بسيرة الصحابة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طرأت لهم بعد وفاته حوادث وجدّت لهم طوارئ ، شرّعوا لها ما رأوا أنّ فيه تحقيق المصلحة وما وقفوا عن التشريع لأنّ المصلحة ما قام دليل من الشارع على اعتبارها ، بل اعتبروا انّ ما يجلب النفع أو يدفع الضرر حسبما أدركته عقولهم هو المصلحة واعتبروه كافياً لأن يبنوا عليه التشريع والأحكام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فأبو بكر جمع القرآن في مجموعة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حاربَ مانعي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ودرأ القصاصَ عن خالد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 أوقع الطلاق الثلاث بكلمة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ووقّف تنفيذ حدّ السرقة في عام المجاعة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الجماعة في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وعثمان حدّد أذاناً ثانياً لصلاة الجمعة</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قاموا به من الاعمال بين ما لها رصيد في القرآن والسنّة أو هي بدعة في الدين ورفض لحكم الكتاب والسنّة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 جمع القرآن في عصر من العصور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w:t>
      </w:r>
      <w:bookmarkStart w:id="933" w:name="pg10155_105693"/>
    </w:p>
    <w:p>
      <w:pPr>
        <w:pStyle w:val="BookText"/>
        <w:rPr/>
      </w:pPr>
      <w:bookmarkEnd w:id="933"/>
      <w:r>
        <w:rPr>
          <w:rFonts w:ascii="Amiri" w:hAnsi="Amiri" w:eastAsia="Amiri" w:cs="Amiri"/>
          <w:color w:val="111111"/>
          <w:sz w:val="28"/>
          <w:sz w:val="28"/>
          <w:szCs w:val="28"/>
          <w:rtl w:val="true"/>
          <w:lang w:bidi="ar-SA"/>
        </w:rPr>
        <w:t>جَمْعَهُ وَقُرْآنَهُ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فالآية تدلّ على أنّ جمع القرآن أمر محبوب لله وهو سبحانه ينفِّذ إرادته من خلال أعمال عباده ، ونظيره محاربة مانعي الزكاة ، فانّه من شعب الأمر بالمعروف والنهي عن المنكر ، ويقرب منها ، وقف تنفيذ حد السرقة في عام المجاعة ، فلعلّه كان لأجل انصراف أدلّة الحد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 ، إيقاع الطلاق الثلاث وتنفيذها ثلاثاً ، فقد خالف كتاب الله وسنّة رسوله ، والرأي العام للصحابة ذاك اليوم ، وندم على ما فعل في أُخريات عمره ، نعم ندم حينما لا ينفعه الندم وقد بلغ السيلُ الزبى ، وقد مرّ تفصيله في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درء القصاص عن خالد بن الوليد حيث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نويرة ، ثمّ نزا على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خطيئة ، إذ كيف يمكن درء هذه الخطيئة التي لا تغسل عن ثوب المقترف بماء البحار ، ولذلك قال عمر بن الخطاب لخالد عند ما دخل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 امرأً مسلماً ، ثمّ نزوت على امرأته والله لأرجمنك بأحجارك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وأقصى ما كان عند أبي بكر من العذر هو ما قال في جواب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لأغمد سيفاً سلّه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فعل ما فعل ، وإن كانت الغاية من سل السيف صيانة دماء المسلمين وأعراضهم ، لا سفك دمائهم واستباحة نواميسهم ، فما قيمة هذا السيف الذي يستعمل السلّ ضد الإسلام والمسلمين</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1273329_1067777946"/>
      <w:bookmarkStart w:id="935" w:name="_Toc340"/>
      <w:bookmarkEnd w:id="934"/>
      <w:r>
        <w:rPr>
          <w:rtl w:val="true"/>
        </w:rPr>
        <w:t xml:space="preserve">وحصيلة البحث </w:t>
      </w:r>
      <w:r>
        <w:rPr>
          <w:rtl w:val="true"/>
        </w:rPr>
        <w:t>:</w:t>
      </w:r>
      <w:bookmarkEnd w:id="9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المصلحة لو كانت مستفادة من المنصوص والقواعد العامة فيحكم</w:t>
      </w:r>
    </w:p>
    <w:p>
      <w:pPr>
        <w:pStyle w:val="BookText"/>
        <w:rPr/>
      </w:pPr>
      <w:r>
        <w:rPr>
          <w:rFonts w:ascii="Amiri" w:hAnsi="Amiri" w:eastAsia="Amiri" w:cs="Amiri"/>
          <w:color w:val="111111"/>
          <w:sz w:val="28"/>
          <w:sz w:val="28"/>
          <w:szCs w:val="28"/>
          <w:rtl w:val="true"/>
          <w:lang w:bidi="ar-SA"/>
        </w:rPr>
        <w:t>على وفقها ، ولكنّه عندئذ لا يكون الاستصلاح دليلاً مستقلاً بل يعدّ عملاً بالسنّة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مستفادة من حكم العقل فيعمل بها ، ولا يكون دليلاً مستقلاً بل عملاً بحكم العقل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مستفادة من الشرع ولا العقل ، ولم ينص الشارع عليها ولم يلغها ، فلا يكون مصدراً للتشريع ، لاحتمال وجود مانع من جعل الحكم ، أو لأنّها فاقدة لبعض الشرائط ، فمثل هذه المصلحة المظنونة لا يصلح دليلاً للحكم الشرعي ، والشكّ في حجّية ذلك الظن ، يساوق القطع بعدم حجّيتها</w:t>
      </w:r>
      <w:r>
        <w:rPr>
          <w:rFonts w:eastAsia="Amiri" w:cs="Amiri" w:ascii="Amiri" w:hAnsi="Amiri"/>
          <w:color w:val="111111"/>
          <w:sz w:val="28"/>
          <w:szCs w:val="28"/>
          <w:rtl w:val="true"/>
          <w:lang w:bidi="ar-SA"/>
        </w:rPr>
        <w:t xml:space="preserve">. </w:t>
      </w:r>
      <w:bookmarkStart w:id="936" w:name="pg10155_105695"/>
    </w:p>
    <w:p>
      <w:pPr>
        <w:pStyle w:val="Heading4"/>
        <w:numPr>
          <w:ilvl w:val="3"/>
          <w:numId w:val="1"/>
        </w:numPr>
        <w:rPr/>
      </w:pPr>
      <w:bookmarkStart w:id="937" w:name="__RefHeading___Toc1273331_1067777946"/>
      <w:bookmarkStart w:id="938" w:name="_Toc341"/>
      <w:bookmarkEnd w:id="936"/>
      <w:bookmarkEnd w:id="937"/>
      <w:r>
        <w:rPr/>
        <w:t>4</w:t>
      </w:r>
      <w:r>
        <w:rPr>
          <w:rtl w:val="true"/>
        </w:rPr>
        <w:t xml:space="preserve">- </w:t>
      </w:r>
      <w:r>
        <w:rPr>
          <w:rtl w:val="true"/>
        </w:rPr>
        <w:t>مصادر التشريع فيما لا نصّ فيه عند أهل السنّة</w:t>
      </w:r>
      <w:bookmarkEnd w:id="938"/>
    </w:p>
    <w:p>
      <w:pPr>
        <w:pStyle w:val="Heading5"/>
        <w:numPr>
          <w:ilvl w:val="4"/>
          <w:numId w:val="1"/>
        </w:numPr>
        <w:rPr/>
      </w:pPr>
      <w:bookmarkStart w:id="939" w:name="__RefHeading___Toc1273333_1067777946"/>
      <w:bookmarkStart w:id="940" w:name="_Toc342"/>
      <w:bookmarkEnd w:id="939"/>
      <w:r>
        <w:rPr>
          <w:rtl w:val="true"/>
        </w:rPr>
        <w:t>سدّ الذرائع</w:t>
      </w:r>
      <w:bookmarkEnd w:id="940"/>
    </w:p>
    <w:p>
      <w:pPr>
        <w:pStyle w:val="BookText"/>
        <w:rPr/>
      </w:pPr>
      <w:r>
        <w:rPr>
          <w:rFonts w:ascii="Amiri" w:hAnsi="Amiri" w:eastAsia="Amiri" w:cs="Amiri"/>
          <w:color w:val="111111"/>
          <w:sz w:val="28"/>
          <w:sz w:val="28"/>
          <w:szCs w:val="28"/>
          <w:rtl w:val="true"/>
          <w:lang w:bidi="ar-SA"/>
        </w:rPr>
        <w:t>إنّ سدّ الذرائع من الأُصول المعتبرة لدى المالكية والحنابلة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الدخول في صلب الموضوع نقدّم أُموراً </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1273335_1067777946"/>
      <w:bookmarkStart w:id="942" w:name="_Toc343"/>
      <w:bookmarkEnd w:id="941"/>
      <w:r>
        <w:rPr/>
        <w:t>1</w:t>
      </w:r>
      <w:r>
        <w:rPr>
          <w:rtl w:val="true"/>
        </w:rPr>
        <w:t xml:space="preserve">. </w:t>
      </w:r>
      <w:r>
        <w:rPr>
          <w:rtl w:val="true"/>
        </w:rPr>
        <w:t>سدّ الذرائع لغة واصطلاحاً</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 بمعنى الوسيلة التي يتوصّل بها إلى الشيء ، سواء أكان الشيء محبوباً أم مبغوضاً ، أم أمراً مباحاً غير محبوب ولا مبغوض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 الفتح ، وبما انّ البحث في المقام مركز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سيوافيك بيانه في البحث القادم ، يكون المراد من الشيء في المقام هو الأمر المحرّم أو المكروه ، ولا يعمّ ما يقع ذريعة للواجب والمستحبّ ، فضلاً عن المباح</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هذا ، فأفضل التعاريف ما ورد في ألسنة المتأخّرين ، 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يتوصّل به إلى شيء ممنوع مشتمل على مفسدة</w:t>
      </w:r>
      <w:r>
        <w:rPr>
          <w:rFonts w:eastAsia="Amiri" w:cs="Amiri" w:ascii="Amiri" w:hAnsi="Amiri"/>
          <w:color w:val="111111"/>
          <w:sz w:val="28"/>
          <w:szCs w:val="28"/>
          <w:rtl w:val="true"/>
          <w:lang w:bidi="ar-SA"/>
        </w:rPr>
        <w:t xml:space="preserve">». </w:t>
      </w:r>
      <w:r>
        <w:rPr>
          <w:rStyle w:val="FootnoteAnchor"/>
          <w:rtl w:val="true"/>
        </w:rPr>
        <w:footnoteReference w:id="821"/>
      </w:r>
      <w:bookmarkStart w:id="943" w:name="pg10155_105696"/>
    </w:p>
    <w:p>
      <w:pPr>
        <w:pStyle w:val="Heading5"/>
        <w:numPr>
          <w:ilvl w:val="4"/>
          <w:numId w:val="1"/>
        </w:numPr>
        <w:rPr/>
      </w:pPr>
      <w:bookmarkStart w:id="944" w:name="__RefHeading___Toc1273337_1067777946"/>
      <w:bookmarkStart w:id="945" w:name="_Toc344"/>
      <w:bookmarkEnd w:id="943"/>
      <w:bookmarkEnd w:id="944"/>
      <w:r>
        <w:rPr/>
        <w:t>2</w:t>
      </w:r>
      <w:r>
        <w:rPr>
          <w:rtl w:val="true"/>
        </w:rPr>
        <w:t xml:space="preserve">. </w:t>
      </w:r>
      <w:r>
        <w:rPr>
          <w:rtl w:val="true"/>
        </w:rPr>
        <w:t>سدّ الذرائع من مصادر التشريع مستقلاً</w:t>
      </w:r>
      <w:bookmarkEnd w:id="945"/>
    </w:p>
    <w:p>
      <w:pPr>
        <w:pStyle w:val="BookText"/>
        <w:rPr/>
      </w:pPr>
      <w:r>
        <w:rPr>
          <w:rFonts w:ascii="Amiri" w:hAnsi="Amiri" w:eastAsia="Amiri" w:cs="Amiri"/>
          <w:color w:val="111111"/>
          <w:sz w:val="28"/>
          <w:sz w:val="28"/>
          <w:szCs w:val="28"/>
          <w:rtl w:val="true"/>
          <w:lang w:bidi="ar-SA"/>
        </w:rPr>
        <w:t>يبدو من أصحاب سدّ الذرائع كالمالكية والحنابلة ، انّ سدّ الذرائع أصل برأسه ومصدر مستقل وراء الكتاب والسنّة والإجماع والعقل ، لكن لو قلنا بدلالة النهي عن الشيء ، على حرمة مقدّمته دلالة لفظيّة ، أو قلنا بوجود الملازمة العقلية بين الحرمتين ، لرجع الأصل إلى أحد المصدرين ، ولا يعدّ مصدراً مستقلاً</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1273339_1067777946"/>
      <w:bookmarkStart w:id="947" w:name="_Toc345"/>
      <w:bookmarkEnd w:id="946"/>
      <w:r>
        <w:rPr/>
        <w:t>3</w:t>
      </w:r>
      <w:r>
        <w:rPr>
          <w:rtl w:val="true"/>
        </w:rPr>
        <w:t xml:space="preserve">. </w:t>
      </w:r>
      <w:r>
        <w:rPr>
          <w:rtl w:val="true"/>
        </w:rPr>
        <w:t>تعريفه وأقسامه</w:t>
      </w:r>
      <w:bookmarkEnd w:id="947"/>
    </w:p>
    <w:p>
      <w:pPr>
        <w:pStyle w:val="Heading6"/>
        <w:numPr>
          <w:ilvl w:val="5"/>
          <w:numId w:val="1"/>
        </w:numPr>
        <w:rPr/>
      </w:pPr>
      <w:bookmarkStart w:id="948" w:name="__RefHeading___Toc1273341_1067777946"/>
      <w:bookmarkStart w:id="949" w:name="_Toc346"/>
      <w:bookmarkEnd w:id="948"/>
      <w:r>
        <w:rPr>
          <w:rtl w:val="true"/>
        </w:rPr>
        <w:t>اشارة</w:t>
      </w:r>
      <w:bookmarkEnd w:id="949"/>
    </w:p>
    <w:p>
      <w:pPr>
        <w:pStyle w:val="BookText"/>
        <w:rPr/>
      </w:pPr>
      <w:r>
        <w:rPr>
          <w:rFonts w:ascii="Amiri" w:hAnsi="Amiri" w:eastAsia="Amiri" w:cs="Amiri"/>
          <w:color w:val="111111"/>
          <w:sz w:val="28"/>
          <w:sz w:val="28"/>
          <w:szCs w:val="28"/>
          <w:rtl w:val="true"/>
          <w:lang w:bidi="ar-SA"/>
        </w:rPr>
        <w:t xml:space="preserve">وقد عُرّف بتعاريف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الذي يعدّ حلالاً في الشرع ، لكن الفاعل يتوصل به إلى فعل محظور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التذرّع بفعل جائز إلى عمل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التعاريف التي جمعها محمد هاشم البرهاني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 في الشريعة الإسلامية</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وأوضحها الشاطبي بالمثال التالي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اشترى شخص غنماً من رجل بعشرة إلى أجل ، ثمّ باعها منه بثمانية نقداً ، فقد صار مآل هذا العمل مقدمة لأكل الربا ، لأنّ المشتري أخذ ثمانية ودفع عشرة عند حلول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بسد الذرائع يمنع البيع الأوّل تجنّباً عن الربا</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ومع أنّ القائلين بالقاعدة ركّزوا على قسم واحد وهو ما عرفته ، لكن ذكر ابن القيم للذريعة أقساماً أربعة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الوسائل الموضوعة للإفضاء إلى المفسدة كشرب الخمر المفضي إلى مفسدة السكر ، والزنا المفضي إلى اختلاط المياه وفساد الفراش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الوسائل الموضوعة للأُمور المباحة ، إلاّ انّ فاعلها قصد بها التوصّل إلى المفسدة كما يعقد البيع قاصداً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مثال الشاطبي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الوسائل الموضوعة للأُمور المباحة ، والتي لم يقصد بها التوصّل إلى المفسدة لكنّها مفضية إليها غالباً ، كسبّ آلهة المشركين المفضي إلى سبّ الله سبحانه وتزين المتوفى عنها زوجها في زمن عدّتها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الوسائل الموضوعة للمباح وقد تفضي إلى المفسدة ومصلحتها أرجح من مفسدتها ، كالنظر إلى المخطوبة ، أو المشهود عليها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هذا ولكن المالكية ثمّ الحنابلة الذين هم الأصل لتأسيس هذا الأصل ، يركزون على القسم الثاني من تلك الأقسام ، وهي الوسائل المباحة التي يقصد التوصّل بها إلى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اختصاص القاعدة به ، وذلك لأنّ القسم الأوّل في كلام ابن القيّم خارج عن محط البحث ، إذ مضافاً إلى أنّ نفس شرب المسكر حرام سواء أدّى إلى السكر أم لا ، انّ لازم ذلك ، دخول عامّة المحرمات النفسية الواردة في الكتاب والسنّة تحت هذا الأصل وبالتالي انقلابها من الواجب النفسي إلى الواجب الغيري بناء على القول بتبعية الأحكام للمصالح والمفاسد ، ومن المعلوم أنّ الغاية من تأسيس ذاك الأصل غير المحرمات النفسية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الثالث ممّا مثل به من سب آلهة المشركين أو تزيّن المتوفّى عنها زوجها </w:t>
      </w:r>
      <w:bookmarkStart w:id="950" w:name="pg10155_105698"/>
    </w:p>
    <w:p>
      <w:pPr>
        <w:pStyle w:val="BookText"/>
        <w:rPr/>
      </w:pPr>
      <w:bookmarkEnd w:id="950"/>
      <w:r>
        <w:rPr>
          <w:rFonts w:ascii="Amiri" w:hAnsi="Amiri" w:eastAsia="Amiri" w:cs="Amiri"/>
          <w:color w:val="111111"/>
          <w:sz w:val="28"/>
          <w:sz w:val="28"/>
          <w:szCs w:val="28"/>
          <w:rtl w:val="true"/>
          <w:lang w:bidi="ar-SA"/>
        </w:rPr>
        <w:t>في زمن عدتها ، حرام بالذات كما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فليس بحرام قطعاً وانحصر مورد الأصل بالصورة الثانية ، وقد أكثر الإمام مالك العمل بهذه القاعدة حتّى أفتى لمن رأى هلال شوال وحده ، أن لا يفطر لئلاّ يقع ذريعة إلى إفطار الفسّاق ، محتجّين بما احتجّ به ، ولكن كان في وسع الإمام أن لا يُحرِّم عليه الإفطار عملاً بالسنّة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عند الرؤية وأفطروا عند الرؤية</w:t>
      </w:r>
      <w:r>
        <w:rPr>
          <w:rFonts w:eastAsia="Amiri" w:cs="Amiri" w:ascii="Amiri" w:hAnsi="Amiri"/>
          <w:color w:val="111111"/>
          <w:sz w:val="28"/>
          <w:szCs w:val="28"/>
          <w:rtl w:val="true"/>
          <w:lang w:bidi="ar-SA"/>
        </w:rPr>
        <w:t>»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يمنعه عن التظاهر به ويجمع بين القاعدتين ، ولعلّ هذا مراد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أطنب فيه الكلام ، ابن القيم حيث استدلّ على القاعدة بوجوه بلغت تسعة وتسعين وجهاً ، فمن أراد فليرجع إلى اعلام الموقعين</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ونحن نقتصر بالوجوه الأربعة المستمدة من الأدلّة الأربعة</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1273343_1067777946"/>
      <w:bookmarkStart w:id="952" w:name="_Toc347"/>
      <w:bookmarkEnd w:id="951"/>
      <w:r>
        <w:rPr>
          <w:rtl w:val="true"/>
        </w:rPr>
        <w:t>أدلّة القاعدة</w:t>
      </w:r>
      <w:bookmarkEnd w:id="952"/>
    </w:p>
    <w:p>
      <w:pPr>
        <w:pStyle w:val="BookText"/>
        <w:rPr/>
      </w:pPr>
      <w:r>
        <w:rPr>
          <w:rFonts w:ascii="Amiri" w:hAnsi="Amiri" w:eastAsia="Amiri" w:cs="Amiri"/>
          <w:color w:val="111111"/>
          <w:sz w:val="28"/>
          <w:sz w:val="28"/>
          <w:szCs w:val="28"/>
          <w:rtl w:val="true"/>
          <w:lang w:bidi="ar-SA"/>
        </w:rPr>
        <w:t xml:space="preserve">وقد استدلّوا على القاعدة بالكتاب والسنّة والإجماع والعقل </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1273345_1067777946"/>
      <w:bookmarkStart w:id="954" w:name="_Toc348"/>
      <w:bookmarkEnd w:id="953"/>
      <w:r>
        <w:rPr>
          <w:rtl w:val="true"/>
        </w:rPr>
        <w:t>الاستدلال بآيات أربع من الكتاب</w:t>
      </w:r>
      <w:bookmarkEnd w:id="954"/>
    </w:p>
    <w:p>
      <w:pPr>
        <w:pStyle w:val="Heading6"/>
        <w:numPr>
          <w:ilvl w:val="5"/>
          <w:numId w:val="1"/>
        </w:numPr>
        <w:rPr/>
      </w:pPr>
      <w:bookmarkStart w:id="955" w:name="__RefHeading___Toc1273347_1067777946"/>
      <w:bookmarkStart w:id="956" w:name="_Toc349"/>
      <w:bookmarkEnd w:id="955"/>
      <w:r>
        <w:rPr/>
        <w:t>1</w:t>
      </w:r>
      <w:r>
        <w:rPr>
          <w:rtl w:val="true"/>
        </w:rPr>
        <w:t xml:space="preserve">. </w:t>
      </w:r>
      <w:r>
        <w:rPr>
          <w:rtl w:val="true"/>
        </w:rPr>
        <w:t>آية النهي عن سبّ الآلهة</w:t>
      </w:r>
      <w:bookmarkEnd w:id="95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957" w:name="pg10155_105699"/>
    </w:p>
    <w:p>
      <w:pPr>
        <w:pStyle w:val="BookText"/>
        <w:rPr/>
      </w:pPr>
      <w:bookmarkEnd w:id="957"/>
      <w:r>
        <w:rPr>
          <w:rFonts w:ascii="Amiri" w:hAnsi="Amiri" w:eastAsia="Amiri" w:cs="Amiri"/>
          <w:color w:val="111111"/>
          <w:sz w:val="28"/>
          <w:sz w:val="28"/>
          <w:szCs w:val="28"/>
          <w:rtl w:val="true"/>
          <w:lang w:bidi="ar-SA"/>
        </w:rPr>
        <w:t>وقد نهى سبحانه عن سب آلهة المشركين لئلاّ يقع ذريعة لسبِّه سبحانه بغير علم</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1273349_1067777946"/>
      <w:bookmarkStart w:id="959" w:name="_Toc350"/>
      <w:bookmarkEnd w:id="958"/>
      <w:r>
        <w:rPr/>
        <w:t>2</w:t>
      </w:r>
      <w:r>
        <w:rPr>
          <w:rtl w:val="true"/>
        </w:rPr>
        <w:t xml:space="preserve">. </w:t>
      </w:r>
      <w:r>
        <w:rPr>
          <w:rtl w:val="true"/>
        </w:rPr>
        <w:t xml:space="preserve">آية النهي عن القول ب </w:t>
      </w:r>
      <w:r>
        <w:rPr>
          <w:rtl w:val="true"/>
        </w:rPr>
        <w:t>«</w:t>
      </w:r>
      <w:r>
        <w:rPr>
          <w:rtl w:val="true"/>
        </w:rPr>
        <w:t>راعنا</w:t>
      </w:r>
      <w:r>
        <w:rPr>
          <w:rtl w:val="true"/>
        </w:rPr>
        <w:t>»</w:t>
      </w:r>
      <w:bookmarkEnd w:id="959"/>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تَقُولُوا راعِنا وَقُولُوا انْظُرْنا وَاسْمَعُوا وَلِلْكافِرِينَ عَذابٌ أَلِيمٌ</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وإنّما مُنعوا من مخاطبة الرسول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ذريعة لاستعمال اليهود إيّاه شتيمة له على ما ذكره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يقولون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ألقى إليهم شيئاً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راقبنا وانتظرنا وتأنّى بنا حتى نفهمه ونحفظه ، وكانت لليهود كلمة يتسابّون بها عبرانية أو سريانية ، فلمّا سمعوا بقول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الفرصة وخاطبوا به الرسول ، وهم يعنون به تلك المسبَّة ، فنُهي المؤمنون عنها وامروا بما هو في معناه وهو انظرنا</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1273351_1067777946"/>
      <w:bookmarkStart w:id="961" w:name="_Toc351"/>
      <w:bookmarkEnd w:id="960"/>
      <w:r>
        <w:rPr/>
        <w:t>3</w:t>
      </w:r>
      <w:r>
        <w:rPr>
          <w:rtl w:val="true"/>
        </w:rPr>
        <w:t xml:space="preserve">. </w:t>
      </w:r>
      <w:r>
        <w:rPr>
          <w:rtl w:val="true"/>
        </w:rPr>
        <w:t>آية النهي عن حيازة الحيتان</w:t>
      </w:r>
      <w:bookmarkEnd w:id="961"/>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وَسْئَلْهُمْ عَنِ الْقَرْيَةِ الَّتِي كانَتْ حاضِرَةَ الْبَحْرِ إِذْ يَعْدُونَ فِي السَّبْتِ إِذْ تَأْتِيهِمْ حِيتانُهُمْ يَوْمَ سَبْتِهِمْ شُرَّعاً وَيَوْمَ لا يَسْبِتُونَ لا تَأْتِيهِمْ كَذلِكَ نَبْلُوهُمْ بِما كانُوا يَفْسُقُونَ</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نهاهم عن حيازة الحيتان يوم السبت لئلاّ تقع ذريعة للاصطياد</w:t>
      </w:r>
      <w:r>
        <w:rPr>
          <w:rFonts w:eastAsia="Amiri" w:cs="Amiri" w:ascii="Amiri" w:hAnsi="Amiri"/>
          <w:color w:val="111111"/>
          <w:sz w:val="28"/>
          <w:szCs w:val="28"/>
          <w:rtl w:val="true"/>
          <w:lang w:bidi="ar-SA"/>
        </w:rPr>
        <w:t xml:space="preserve">. </w:t>
      </w:r>
      <w:bookmarkStart w:id="962" w:name="pg10155_105700"/>
    </w:p>
    <w:p>
      <w:pPr>
        <w:pStyle w:val="Heading6"/>
        <w:numPr>
          <w:ilvl w:val="5"/>
          <w:numId w:val="1"/>
        </w:numPr>
        <w:rPr/>
      </w:pPr>
      <w:bookmarkStart w:id="963" w:name="__RefHeading___Toc1273353_1067777946"/>
      <w:bookmarkStart w:id="964" w:name="_Toc352"/>
      <w:bookmarkEnd w:id="962"/>
      <w:bookmarkEnd w:id="963"/>
      <w:r>
        <w:rPr/>
        <w:t>4</w:t>
      </w:r>
      <w:r>
        <w:rPr>
          <w:rtl w:val="true"/>
        </w:rPr>
        <w:t xml:space="preserve">. </w:t>
      </w:r>
      <w:r>
        <w:rPr>
          <w:rtl w:val="true"/>
        </w:rPr>
        <w:t>آية النهي عن التقرب من الشجرة</w:t>
      </w:r>
      <w:bookmarkEnd w:id="964"/>
    </w:p>
    <w:p>
      <w:pPr>
        <w:pStyle w:val="Heading6"/>
        <w:numPr>
          <w:ilvl w:val="5"/>
          <w:numId w:val="1"/>
        </w:numPr>
        <w:rPr/>
      </w:pPr>
      <w:bookmarkStart w:id="965" w:name="__RefHeading___Toc1273355_1067777946"/>
      <w:bookmarkStart w:id="966" w:name="_Toc353"/>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 فَتَكُونا مِنَ الظَّالِمِينَ</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نهاهم عن التقرب ، لأنّها ذريعة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الاستدلال بأنّه لا دليل على أنّ التحريم في هذه الموارد ، تحريم غيريّ ، بل ظاهر الآيات انّها محرمة تحريماً نفسيّاً ، وفي الوقت نفسه ، له غايات كما في تحريم سب آلهة المشركين ، فانّ الغاية من تحريمه ، عدم إثارة حفيظة المشركين ، لسبّ الله عدواً ، وكون التحريم لغاية صحيحة لا يكون سبباً لكونه تحريماً غيريّاً ، وإلاّ تصبح عامة المحرمات ، واجبة غيرية ، حرمت لغايات قصوى</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1273357_1067777946"/>
      <w:bookmarkStart w:id="968" w:name="_Toc354"/>
      <w:bookmarkEnd w:id="967"/>
      <w:r>
        <w:rPr>
          <w:rtl w:val="true"/>
        </w:rPr>
        <w:t>الاستدلال بالسنّة</w:t>
      </w:r>
      <w:bookmarkEnd w:id="968"/>
    </w:p>
    <w:p>
      <w:pPr>
        <w:pStyle w:val="BookText"/>
        <w:rPr/>
      </w:pPr>
      <w:r>
        <w:rPr>
          <w:rFonts w:ascii="Amiri" w:hAnsi="Amiri" w:eastAsia="Amiri" w:cs="Amiri"/>
          <w:color w:val="111111"/>
          <w:sz w:val="28"/>
          <w:sz w:val="28"/>
          <w:szCs w:val="28"/>
          <w:rtl w:val="true"/>
          <w:lang w:bidi="ar-SA"/>
        </w:rPr>
        <w:t xml:space="preserve">قد استدلّوا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السنّة أوضحها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رديف رسول الله على حمار يقال له عفير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معاذ تدري ما حقّ الله على العباد ، وما حقّ العباد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حقّ الله على العباد أن يعبدوا الله ، ولا يشركوا به شيئاً ، وحقّ العباد على الله عزّ وجلّ أن لا يعذب من لا يشرك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أبشر الناس؟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تبشرهم فيتّكلوا</w:t>
      </w:r>
      <w:r>
        <w:rPr>
          <w:rFonts w:eastAsia="Amiri" w:cs="Amiri" w:ascii="Amiri" w:hAnsi="Amiri"/>
          <w:color w:val="111111"/>
          <w:sz w:val="28"/>
          <w:szCs w:val="28"/>
          <w:rtl w:val="true"/>
          <w:lang w:bidi="ar-SA"/>
        </w:rPr>
        <w:t xml:space="preserve">». </w:t>
      </w:r>
      <w:r>
        <w:rPr>
          <w:rStyle w:val="FootnoteAnchor"/>
          <w:rtl w:val="true"/>
        </w:rPr>
        <w:footnoteReference w:id="831"/>
      </w:r>
    </w:p>
    <w:p>
      <w:pPr>
        <w:pStyle w:val="Heading6"/>
        <w:numPr>
          <w:ilvl w:val="5"/>
          <w:numId w:val="1"/>
        </w:numPr>
        <w:rPr/>
      </w:pPr>
      <w:bookmarkStart w:id="969" w:name="__RefHeading___Toc1273359_1067777946"/>
      <w:bookmarkStart w:id="970" w:name="_Toc355"/>
      <w:bookmarkEnd w:id="969"/>
      <w:r>
        <w:rPr>
          <w:rtl w:val="true"/>
        </w:rPr>
        <w:t>مناقشة حديث معاذ</w:t>
      </w:r>
      <w:bookmarkEnd w:id="970"/>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نقله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العباد على الله وأمره بكتمانه ، فقد جاء </w:t>
      </w:r>
      <w:bookmarkStart w:id="971" w:name="pg10155_105701"/>
    </w:p>
    <w:p>
      <w:pPr>
        <w:pStyle w:val="BookText"/>
        <w:rPr/>
      </w:pPr>
      <w:bookmarkEnd w:id="971"/>
      <w:r>
        <w:rPr>
          <w:rFonts w:ascii="Amiri" w:hAnsi="Amiri" w:eastAsia="Amiri" w:cs="Amiri"/>
          <w:color w:val="111111"/>
          <w:sz w:val="28"/>
          <w:sz w:val="28"/>
          <w:szCs w:val="28"/>
          <w:rtl w:val="true"/>
          <w:lang w:bidi="ar-SA"/>
        </w:rPr>
        <w:t xml:space="preserve">في الذكر الحكيم ولم يكتمه سبحانه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لَذُو مَغْفِرَةٍ لِلنَّاسِ عَلى ظُلْمِهِمْ</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أي في حالة كونهم ظالمين وعاصين ، إلى غير ذلك من الآيات الدالة على غفرانه سبحانه لذنوب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الحديث ، فقد أمر النبي معاذاً بالكتمان ، فلما ذا أفشى سره وارتكب الحرام مع أنّه كسائر الصحابة عدل؟</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1273361_1067777946"/>
      <w:bookmarkStart w:id="973" w:name="_Toc356"/>
      <w:bookmarkEnd w:id="972"/>
      <w:r>
        <w:rPr>
          <w:rtl w:val="true"/>
        </w:rPr>
        <w:t>الاستدلال بالإجماع</w:t>
      </w:r>
      <w:bookmarkEnd w:id="973"/>
    </w:p>
    <w:p>
      <w:pPr>
        <w:pStyle w:val="BookText"/>
        <w:rPr/>
      </w:pPr>
      <w:r>
        <w:rPr>
          <w:rFonts w:ascii="Amiri" w:hAnsi="Amiri" w:eastAsia="Amiri" w:cs="Amiri"/>
          <w:color w:val="111111"/>
          <w:sz w:val="28"/>
          <w:sz w:val="28"/>
          <w:szCs w:val="28"/>
          <w:rtl w:val="true"/>
          <w:lang w:bidi="ar-SA"/>
        </w:rPr>
        <w:t>اتّفقوا على النهي عن إلقاء السم في أطعمة المسلمين المبذولة للتناول ، بحيث يعلم أو يظن انّهم يأكلونها فيهلكون ، والمنع عن حفر بئر خلف باب الدار في الظلام الدامس لئلا يقع فيها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هذه الموارد نفسيّ وإن كان لغاية أُخرى ، كما شأن عامة النواصي في المصدرين</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1273363_1067777946"/>
      <w:bookmarkStart w:id="975" w:name="_Toc357"/>
      <w:bookmarkEnd w:id="974"/>
      <w:r>
        <w:rPr>
          <w:rtl w:val="true"/>
        </w:rPr>
        <w:t>الاستدلال بالعقل</w:t>
      </w:r>
      <w:bookmarkEnd w:id="975"/>
    </w:p>
    <w:p>
      <w:pPr>
        <w:pStyle w:val="Heading6"/>
        <w:numPr>
          <w:ilvl w:val="5"/>
          <w:numId w:val="1"/>
        </w:numPr>
        <w:rPr/>
      </w:pPr>
      <w:bookmarkStart w:id="976" w:name="__RefHeading___Toc1273365_1067777946"/>
      <w:bookmarkStart w:id="977" w:name="_Toc358"/>
      <w:bookmarkEnd w:id="976"/>
      <w:r>
        <w:rPr>
          <w:rtl w:val="true"/>
        </w:rPr>
        <w:t>اشارة</w:t>
      </w:r>
      <w:bookmarkEnd w:id="97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قيم الجوزية في تقرير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حرّم الربُّ تعالى شيئاً ، وله طرق ووسائل تُفضي إليه ، فانّه يحرّمها ويمنع منها تحقيقاً لتحريمه وتثبيتاً له ، ومنعاً أن يقرب حماه ، ولو أباح الوسائل والذرائع المفضية إليه لكان ذلك نقضاً </w:t>
      </w:r>
      <w:bookmarkStart w:id="978" w:name="pg10155_105702"/>
    </w:p>
    <w:p>
      <w:pPr>
        <w:pStyle w:val="BookText"/>
        <w:rPr/>
      </w:pPr>
      <w:bookmarkEnd w:id="978"/>
      <w:r>
        <w:rPr>
          <w:rFonts w:ascii="Amiri" w:hAnsi="Amiri" w:eastAsia="Amiri" w:cs="Amiri"/>
          <w:color w:val="111111"/>
          <w:sz w:val="28"/>
          <w:sz w:val="28"/>
          <w:szCs w:val="28"/>
          <w:rtl w:val="true"/>
          <w:lang w:bidi="ar-SA"/>
        </w:rPr>
        <w:t>للتحريم ، وإغراءً للنفوس به ، وحكمته تعالى وعلمه يأبى ذلك كلّ الإباء ، بل سياسة ملوك الدنيا تأبى ذلك ، فانّ أحدهم إذا منع جنده أو رعيته أو أهل بيته من شيء ثمّ أباح لهم الطرق والأسباب والذرائع الموصلة إليه لعدّ متناقضاً ، ولحصل من رعيته وجنده ضدّ مقصوده ، وكذلك الأطباء إذا أرادوا حسم الداء منعوا صاحبه من الطرق والذرائع الموصلة إليه ، وإلاّ فسد عليهم ما يرومون إصلاحه ، فما الظن بهذه الشريعة الكاملة التي هي في أعلى درجات الحكمة والمصلحة والكمال ، ومن تأمّل مصادرها ومواردها علم أنّ الله تعالى ورسوله سدّ الذرائع المفضية إلى المحارم بأن حرّمها ونهى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الأخير من المقدّمة الذي لا ينفك عن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أدلّة القائلين بهذا الأصل وما فيه فلنرجع إلى تحليل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القاعدة وتبيين مكانتها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الأمثلة الّتي فرّعوها عليها</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1273367_1067777946"/>
      <w:bookmarkStart w:id="980" w:name="_Toc359"/>
      <w:bookmarkEnd w:id="979"/>
      <w:r>
        <w:rPr/>
        <w:t>1</w:t>
      </w:r>
      <w:r>
        <w:rPr>
          <w:rtl w:val="true"/>
        </w:rPr>
        <w:t xml:space="preserve">. </w:t>
      </w:r>
      <w:r>
        <w:rPr>
          <w:rtl w:val="true"/>
        </w:rPr>
        <w:t>مكانة القاعدة في علم الأُصول</w:t>
      </w:r>
      <w:bookmarkEnd w:id="980"/>
    </w:p>
    <w:p>
      <w:pPr>
        <w:pStyle w:val="BookText"/>
        <w:rPr/>
      </w:pPr>
      <w:r>
        <w:rPr>
          <w:rFonts w:ascii="Amiri" w:hAnsi="Amiri" w:eastAsia="Amiri" w:cs="Amiri"/>
          <w:color w:val="111111"/>
          <w:sz w:val="28"/>
          <w:sz w:val="28"/>
          <w:szCs w:val="28"/>
          <w:rtl w:val="true"/>
          <w:lang w:bidi="ar-SA"/>
        </w:rPr>
        <w:t xml:space="preserve">إنّ قاعدة سدّ الذرائع ليست قاعدة مستقلة وإنّما ترجع لإحدى القاعدتين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الملازمة بين حرمة الشيء وحرمة مقدّمته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فمغزى القاعدة عبارة عن أنّه إذا حُرِّم الشيء ، حرِّمت مقدّماته وذرائعه التي يتوصل الإنسان بها ، وهي مطروحة في كتب الأُصول ، فمنهم من حرّم مطلقَ المقدّمة ، ومنهم من حرّم المقدّمة الموصلة ، ومنهم من حرّم الجزء الأخير من المقدّمة </w:t>
      </w:r>
      <w:bookmarkStart w:id="981" w:name="pg10155_105703"/>
    </w:p>
    <w:p>
      <w:pPr>
        <w:pStyle w:val="BookText"/>
        <w:rPr/>
      </w:pPr>
      <w:bookmarkEnd w:id="981"/>
      <w:r>
        <w:rPr>
          <w:rFonts w:ascii="Amiri" w:hAnsi="Amiri" w:eastAsia="Amiri" w:cs="Amiri"/>
          <w:color w:val="111111"/>
          <w:sz w:val="28"/>
          <w:sz w:val="28"/>
          <w:szCs w:val="28"/>
          <w:rtl w:val="true"/>
          <w:lang w:bidi="ar-SA"/>
        </w:rPr>
        <w:t>بمعنى العلّة التامة التي لا تنفك عن ذيها ، والأخير هو المتعيّن ، لأنّ قبح الذريعة أو ممنوعيتها لأجل كونها وسيلة للوصول إلى الحرام ، فلا توصف بالحرام إلاّ إذا كانت موصلة لا غير ، ولا يتحقّق الإيصال إلاّ بالجزء الأخير الذي يلازم وجود المبغوض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فلا يصحّ لنا الحكم بحرمة كلّ مقدمة للعمل المحظور ، إلاّ إذا انتهى إلى الجزء الأخير من المقدمة الذي لا ينفك عن المحظور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على الإثم التي أفتى الفقهاء بحرمتها ، مستدلّين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بناءً على انّ التعاون يعمّ الإعانة الجماعية والفرديّة ، ومن هذا القبيل سبّ آلهة المشركين الذي يثير حفيظتهم إلى سبّ الله سبحانه ، أو خطاب النبي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يحرك الآخرين لاستعماله في هتك حرمة النبي ، فليس لنا أصل باسم سدّ الذرائع ، وإنّما مرجعه إلى إحدى القاعدتين</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1273369_1067777946"/>
      <w:bookmarkStart w:id="983" w:name="_Toc360"/>
      <w:bookmarkEnd w:id="982"/>
      <w:r>
        <w:rPr/>
        <w:t>2</w:t>
      </w:r>
      <w:r>
        <w:rPr>
          <w:rtl w:val="true"/>
        </w:rPr>
        <w:t xml:space="preserve">. </w:t>
      </w:r>
      <w:r>
        <w:rPr>
          <w:rtl w:val="true"/>
        </w:rPr>
        <w:t>دراسة بعض الفروع المبنية عليها</w:t>
      </w:r>
      <w:bookmarkEnd w:id="983"/>
    </w:p>
    <w:p>
      <w:pPr>
        <w:pStyle w:val="BookText"/>
        <w:rPr/>
      </w:pPr>
      <w:r>
        <w:rPr>
          <w:rFonts w:ascii="Amiri" w:hAnsi="Amiri" w:eastAsia="Amiri" w:cs="Amiri"/>
          <w:color w:val="111111"/>
          <w:sz w:val="28"/>
          <w:sz w:val="28"/>
          <w:szCs w:val="28"/>
          <w:rtl w:val="true"/>
          <w:lang w:bidi="ar-SA"/>
        </w:rPr>
        <w:t xml:space="preserve">ثمّ ذكر بعض الكتّاب المعاصرين تطبيقات عملية لهذه القاعدة نسرد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الاجتهاد لاستنباط أحكام الوقائع أمر مقرر مشروع ، لكنَّ في الاجتهاد الفردي في هذه الأيّام مفسدة ينبغي التحرّز عنها وسدّ أبوابها بأن تؤلف مجالس تَضُم كبارَ العلماء المختصين في مختلف علوم الشريعة وأبوابها ويسند إليها أمر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بنت البحث ، والاختلاف إذا نشأ عن نيّة صادقة يؤدي إلى نضج العلم وتكامله ، ولذلك يُعدّ الاجتهاد الجماعي أوثقَ وأقوى ، ولكن إذا بلغ الرجل مبلغَ الاجتهاد ، فمنعه عن الاجتهاد والعمل برأيه والإفتاء به ، أمر بالمنكر وصدّ عن العمل بالواجب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القرآن إلى اللغات الأجنبية فزعم القائل عدم جوازه سدّاً لذريعة التبديل والتغيير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اللغات الأجنبية لا تسع لمعاني القرآن العميقة والدقيقة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ترجمة القرآن بأيّ لغة كانت لا تواكب معاني القرآن العميقة ، وهذا أمر ليس بحاجة إلى برهنة ، ولكن الحيلولة بين القرآن وترجمته ، يوجب سدَّ باب المعرفة للأُمم التي لا تجيد اللغة العربية ، فإذا أقر المترجم في مقدمة ترجمته بما ذكرناه وانّ ترجمته اقتباس ممّا جاء في الذكر الحكيم فعندها سترتفع المفسدة ، فتكون الترجمة ذات مصلحة خالية عن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 القرآني محفوظ بين المسلمين فهو المرجع الأصيل دون الترجمة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تدّخل الدولة في أيّام الأزمات والحروب لتحديد الأسعار ، والأُجور والخدمات وتنظيم الحياة العامة على نحو معين لحماية الضعفاء من أرباب الجشع والطمع على أن يتجاوز حدّ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مصادر التشريع ، ما يقع في طريق استنباط الأحكام الشرعية التي أمر النبي بإبلاغها ، للناس ، وهي أحكام ثابتة عبر الأجيال والقرون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تحديد الأسعار ، فليس من الأحكام الشرعية بالمعنى المتقدّم ، بل هو حكم حكومي ، يعدّ من حقوق الحاكم واختياره ، فلو مسّت الحاجة إلى التسعير </w:t>
      </w:r>
      <w:bookmarkStart w:id="984" w:name="pg10155_105705"/>
    </w:p>
    <w:p>
      <w:pPr>
        <w:pStyle w:val="BookText"/>
        <w:rPr/>
      </w:pPr>
      <w:bookmarkEnd w:id="984"/>
      <w:r>
        <w:rPr>
          <w:rFonts w:ascii="Amiri" w:hAnsi="Amiri" w:eastAsia="Amiri" w:cs="Amiri"/>
          <w:color w:val="111111"/>
          <w:sz w:val="28"/>
          <w:sz w:val="28"/>
          <w:szCs w:val="28"/>
          <w:rtl w:val="true"/>
          <w:lang w:bidi="ar-SA"/>
        </w:rPr>
        <w:t>قام به ، وإلاّ ترك الناس والأجناس بحالها ، فعدّ سدّ الذرائع من مصادر التشريع ، واستنتاج جواز تحديد الأسعار منه واقع في غير محلّه</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1273371_1067777946"/>
      <w:bookmarkStart w:id="986" w:name="_Toc361"/>
      <w:bookmarkEnd w:id="985"/>
      <w:r>
        <w:rPr>
          <w:rtl w:val="true"/>
        </w:rPr>
        <w:t>حصيلة البحث</w:t>
      </w:r>
      <w:bookmarkEnd w:id="986"/>
    </w:p>
    <w:p>
      <w:pPr>
        <w:pStyle w:val="BookText"/>
        <w:rPr/>
      </w:pPr>
      <w:r>
        <w:rPr>
          <w:rFonts w:ascii="Amiri" w:hAnsi="Amiri" w:eastAsia="Amiri" w:cs="Amiri"/>
          <w:color w:val="111111"/>
          <w:sz w:val="28"/>
          <w:sz w:val="28"/>
          <w:szCs w:val="28"/>
          <w:rtl w:val="true"/>
          <w:lang w:bidi="ar-SA"/>
        </w:rPr>
        <w:t>إنّ سدّ الذرائع ، ليس دليلاً مستقلاً في عرض سائر الأدلّة الأربع ، فانّ حرمة المقدمة إمّا مستفادة من نفس النهي عن ذيها ، فتدخل في السنّة حيث إنّ النهي عن ذيها ، يدلّ بإحدى الدلالات على تحريم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مستفادة من العقل الحاكم بالملازمة بين التحريمين وانّه إذا حرم الشيء ، يجب أن يحرم ما يتوصّل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من فروع الإعانة على الإثم والعدوان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فليس سدّ الذرائع أصلاً برأسه</w:t>
      </w:r>
      <w:r>
        <w:rPr>
          <w:rFonts w:eastAsia="Amiri" w:cs="Amiri" w:ascii="Amiri" w:hAnsi="Amiri"/>
          <w:color w:val="111111"/>
          <w:sz w:val="28"/>
          <w:szCs w:val="28"/>
          <w:rtl w:val="true"/>
          <w:lang w:bidi="ar-SA"/>
        </w:rPr>
        <w:t xml:space="preserve">. </w:t>
      </w:r>
      <w:bookmarkStart w:id="987" w:name="pg10155_105706"/>
    </w:p>
    <w:p>
      <w:pPr>
        <w:pStyle w:val="Heading6"/>
        <w:numPr>
          <w:ilvl w:val="5"/>
          <w:numId w:val="1"/>
        </w:numPr>
        <w:rPr/>
      </w:pPr>
      <w:bookmarkStart w:id="988" w:name="__RefHeading___Toc1273373_1067777946"/>
      <w:bookmarkStart w:id="989" w:name="_Toc362"/>
      <w:bookmarkEnd w:id="987"/>
      <w:bookmarkEnd w:id="988"/>
      <w:r>
        <w:rPr/>
        <w:t>5</w:t>
      </w:r>
      <w:r>
        <w:rPr>
          <w:rtl w:val="true"/>
        </w:rPr>
        <w:t xml:space="preserve">- </w:t>
      </w:r>
      <w:r>
        <w:rPr>
          <w:rtl w:val="true"/>
        </w:rPr>
        <w:t>مصادر التشريع فيما لا نصّ فيه عند أهل السنّة</w:t>
      </w:r>
      <w:bookmarkEnd w:id="989"/>
    </w:p>
    <w:p>
      <w:pPr>
        <w:pStyle w:val="Heading6"/>
        <w:numPr>
          <w:ilvl w:val="5"/>
          <w:numId w:val="1"/>
        </w:numPr>
        <w:rPr/>
      </w:pPr>
      <w:bookmarkStart w:id="990" w:name="__RefHeading___Toc1273375_1067777946"/>
      <w:bookmarkStart w:id="991" w:name="_Toc363"/>
      <w:bookmarkEnd w:id="990"/>
      <w:r>
        <w:rPr>
          <w:rtl w:val="true"/>
        </w:rPr>
        <w:t>الحيل</w:t>
      </w:r>
      <w:r>
        <w:rPr>
          <w:rtl w:val="true"/>
        </w:rPr>
        <w:t>(</w:t>
      </w:r>
      <w:r>
        <w:rPr>
          <w:rtl w:val="true"/>
        </w:rPr>
        <w:t>فتح الذرائع</w:t>
      </w:r>
      <w:r>
        <w:rPr>
          <w:rtl w:val="true"/>
        </w:rPr>
        <w:t>)</w:t>
      </w:r>
      <w:bookmarkEnd w:id="991"/>
    </w:p>
    <w:p>
      <w:pPr>
        <w:pStyle w:val="BookText"/>
        <w:rPr/>
      </w:pPr>
      <w:r>
        <w:rPr>
          <w:rFonts w:ascii="Amiri" w:hAnsi="Amiri" w:eastAsia="Amiri" w:cs="Amiri"/>
          <w:color w:val="111111"/>
          <w:sz w:val="28"/>
          <w:sz w:val="28"/>
          <w:szCs w:val="28"/>
          <w:rtl w:val="true"/>
          <w:lang w:bidi="ar-SA"/>
        </w:rPr>
        <w:t>إنّ فتح الذرائع من أُصول الحنفية كما أنّ سدّ الذرائع من أُصول المالكية ، ويسمّى الأوّل بالمخارج من المضائق ، والتحيّل على إسقاط حكم شرعي ، أو قلبه إلى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صارت هذه القاعدة مثاراً للنزاع وسبباً للطعن بالحنفية ، حيث إنّ التحيّل لإبطال المقاصد الشرعية لأجل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نفي الحكمة المقصودة من الأحكام الشرعية حتى يصير المكلّف ناظراً إلى الصور ، والألفاظ لا إلى المقاصد والأغراض</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الاجتراء على إبطال الحكمة الشرعية بما يُرضي العامة ، وهذه نزعة إسرائيلية معروفة تشهد بها آية السبت في سور مختلفة</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إنّ ذهاب الحنفية إلى هذه القاعدة أثار حفيظة الآخرين ، ممّا حدا بالبخاري أن يعقد باباً خاصّاً للرد على القاعدة معبّراً عن أبي حنيفة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الباب وما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غصب جارية فزعم أنّها ماتت ، فقُضي بقيمة الجارية الميتة ، ثمّ وجدها صاحبها فهي له ويرد القيمة ، ولا تكون القيمة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أضاف البخاري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للغاصب لأخذه القيمة ، وفي هذا احتيال لمن اشتهى جارية رَجل لا يبيعها فغصبها واعتلّ بأنّها ماتت حتى يأخذ ربُّها قيمتها ، فيطيب للغاصب جارية غيره ،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أموالكم عليكم حرام ، ولكلّ غادر لواء يوم القيامة</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ومن أكثر الناس ردّاً للحيل الحنابلة ، ثمّ المالكية ، لأنّهم يقولون بسدِّ الذرائع ، وهو أصل مناقض للحيل تمام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المحتالين الذين يُفتون بالحيل التي هي كفر أو حرام ، ليسوا مقتدين بمذهب أحد من الأئمّة ، وانّ الأئمّة أعلم بالله ورسوله ودينه وأتقى له من أن يفتوا بهذه الحيل </w:t>
      </w:r>
      <w:r>
        <w:rPr>
          <w:rStyle w:val="FootnoteAnchor"/>
          <w:rtl w:val="true"/>
        </w:rPr>
        <w:footnoteReference w:id="838"/>
      </w:r>
      <w:r>
        <w:rPr>
          <w:rFonts w:ascii="Amiri" w:hAnsi="Amiri" w:eastAsia="Amiri" w:cs="Amiri"/>
          <w:color w:val="111111"/>
          <w:sz w:val="28"/>
          <w:sz w:val="28"/>
          <w:szCs w:val="28"/>
          <w:rtl w:val="true"/>
          <w:lang w:bidi="ar-SA"/>
        </w:rPr>
        <w:t xml:space="preserve">، فقد قال أبو داود في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وذكر أصحاب الحيل يحتالون لنقض سنن رسول الله ، وقال في رواية أبي الحارث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الحيل التي وضعوها ، عَمِدوا إلى السنن واحتالوا لنقضها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الذي قيل لهم انّه حرام احتالوا فيه حتى أحلّوه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لا </w:t>
      </w:r>
      <w:bookmarkStart w:id="992" w:name="pg10155_105708"/>
    </w:p>
    <w:p>
      <w:pPr>
        <w:pStyle w:val="BookText"/>
        <w:rPr/>
      </w:pPr>
      <w:bookmarkEnd w:id="992"/>
      <w:r>
        <w:rPr>
          <w:rFonts w:ascii="Amiri" w:hAnsi="Amiri" w:eastAsia="Amiri" w:cs="Amiri"/>
          <w:color w:val="111111"/>
          <w:sz w:val="28"/>
          <w:sz w:val="28"/>
          <w:szCs w:val="28"/>
          <w:rtl w:val="true"/>
          <w:lang w:bidi="ar-SA"/>
        </w:rPr>
        <w:t xml:space="preserve">يحلّ أن يستعمل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يحتال له حتى يستعمل فكيف يحل ما حرم الله ورسوله بالحيلة؟</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 الله اليهود حرّمت عليهم الشحوم ، فأذابوها ، فباعوها ، وأكلوا أثمانها ، أذابوها حتى أزالوا عنها اسم الشحم</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ثمّ إنّ ابن القيم لمّا كان من المتعصبين للمذهب الحنبلي خصّص الجزء الثالث وقسماً من الرابع في القاعدتين ، فاستدلّ على قاعدة سد الذرائع بتسعة وتسعين وجهاً</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كما بسط الكلام في قاعدة الحيل ، واستوعب قسماً كبيراً من الجزء الثالث وقسماً من الجزء الرابع فخصص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لإبطال هذه القاعدة ، وضرب أمثلة كثيرة لها ناهزت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w:t>
      </w:r>
      <w:r>
        <w:rPr>
          <w:rFonts w:eastAsia="Amiri" w:cs="Amiri" w:ascii="Amiri" w:hAnsi="Amiri"/>
          <w:color w:val="111111"/>
          <w:sz w:val="28"/>
          <w:szCs w:val="28"/>
          <w:rtl w:val="true"/>
          <w:lang w:bidi="ar-SA"/>
        </w:rPr>
        <w:t>.</w:t>
      </w:r>
    </w:p>
    <w:p>
      <w:pPr>
        <w:pStyle w:val="Heading6"/>
        <w:numPr>
          <w:ilvl w:val="5"/>
          <w:numId w:val="1"/>
        </w:numPr>
        <w:rPr/>
      </w:pPr>
      <w:bookmarkStart w:id="993" w:name="__RefHeading___Toc1273377_1067777946"/>
      <w:bookmarkStart w:id="994" w:name="_Toc364"/>
      <w:bookmarkEnd w:id="993"/>
      <w:r>
        <w:rPr>
          <w:rtl w:val="true"/>
        </w:rPr>
        <w:t xml:space="preserve">وقد استدلّ المثبتون لها بالكتاب والسنّة </w:t>
      </w:r>
      <w:r>
        <w:rPr>
          <w:rtl w:val="true"/>
        </w:rPr>
        <w:t>:</w:t>
      </w:r>
      <w:bookmarkEnd w:id="994"/>
    </w:p>
    <w:p>
      <w:pPr>
        <w:pStyle w:val="Heading6"/>
        <w:numPr>
          <w:ilvl w:val="5"/>
          <w:numId w:val="1"/>
        </w:numPr>
        <w:rPr/>
      </w:pPr>
      <w:bookmarkStart w:id="995" w:name="__RefHeading___Toc1273379_1067777946"/>
      <w:bookmarkStart w:id="996" w:name="_Toc365"/>
      <w:bookmarkEnd w:id="995"/>
      <w:r>
        <w:rPr>
          <w:rtl w:val="true"/>
        </w:rPr>
        <w:t xml:space="preserve">الاستدلال بالكتاب </w:t>
      </w:r>
      <w:r>
        <w:rPr>
          <w:rtl w:val="true"/>
        </w:rPr>
        <w:t>:</w:t>
      </w:r>
      <w:bookmarkEnd w:id="9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بِيَدِكَ ضِغْثاً فَاضْرِبْ بِهِ وَلا تَحْنَثْ إِنَّا وَجَدْناهُ صابِراً نِعْمَ الْعَبْدُ إِنَّهُ أَوَّابٌ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المفسرون أنّ أيّوب قد حلف على ضرب امرأته بمائة سوط ، فأمره سبحانه أن يجمع مائة من شماريخ </w:t>
      </w:r>
      <w:r>
        <w:rPr>
          <w:rStyle w:val="FootnoteAnchor"/>
          <w:rtl w:val="true"/>
        </w:rPr>
        <w:footnoteReference w:id="841"/>
      </w:r>
      <w:r>
        <w:rPr>
          <w:rFonts w:ascii="Amiri" w:hAnsi="Amiri" w:eastAsia="Amiri" w:cs="Amiri"/>
          <w:color w:val="111111"/>
          <w:sz w:val="28"/>
          <w:sz w:val="28"/>
          <w:szCs w:val="28"/>
          <w:rtl w:val="true"/>
          <w:lang w:bidi="ar-SA"/>
        </w:rPr>
        <w:t xml:space="preserve">ويجعلها ضِغثاً ، ويضربها مرة واحدة ، وكأنّه </w:t>
      </w:r>
    </w:p>
    <w:p>
      <w:pPr>
        <w:pStyle w:val="BookText"/>
        <w:rPr/>
      </w:pPr>
      <w:r>
        <w:rPr>
          <w:rFonts w:ascii="Amiri" w:hAnsi="Amiri" w:eastAsia="Amiri" w:cs="Amiri"/>
          <w:color w:val="111111"/>
          <w:sz w:val="28"/>
          <w:sz w:val="28"/>
          <w:szCs w:val="28"/>
          <w:rtl w:val="true"/>
          <w:lang w:bidi="ar-SA"/>
        </w:rPr>
        <w:t>ضربها مائة سوط ، فذلك تحلّة أيمانه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بالآية غير صحيح ، لاحتمال أن يكون ذلك الحكم تخفيفاً من الله سبحانه في حقّ أيّوب لمّا صبر طيلة سنين متمادية حتى وصفه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النوع من التخفيف كان جزاءً له على صبره ، وتخفيفاً عن امرأته ورحمة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الحكم عاماً لما خفي على أيوب وهو نبيّ من أنبيائه سبحانه ، وسّع الله صدره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ربما يقال من أنّ الخصوصية لا تثبت إلاّ بدليل </w:t>
      </w:r>
      <w:r>
        <w:rPr>
          <w:rStyle w:val="FootnoteAnchor"/>
          <w:rtl w:val="true"/>
        </w:rPr>
        <w:footnoteReference w:id="842"/>
      </w:r>
      <w:r>
        <w:rPr>
          <w:rFonts w:ascii="Amiri" w:hAnsi="Amiri" w:eastAsia="Amiri" w:cs="Amiri"/>
          <w:color w:val="111111"/>
          <w:sz w:val="28"/>
          <w:sz w:val="28"/>
          <w:szCs w:val="28"/>
          <w:rtl w:val="true"/>
          <w:lang w:bidi="ar-SA"/>
        </w:rPr>
        <w:t>، وإن كان صحيحاً ولكن الدليل على الخصوصيّة هو التعليل الوارد في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لِفِتْيانِهِ اجْعَلُوا بِضاعَتَهُمْ فِي رِحالِهِمْ لَعَلَّهُمْ يَعْرِفُونَها إِذَا انْقَلَبُوا إِلى أَهْلِهِمْ لَعَلَّهُمْ يَرْجِعُونَ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حيث أمر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صواع الملك في رحل أخيه ليتوصل بذلك إلى أخذه وكيد إخوته</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يوسف توصّل بالحلال إلى الحلال ، وهو أخذ الأخ ولم يكن غير راض بذلك في الواقع ، كما ولم يكن قصده بذلك إيذاء إخوته ولا إيذاء أبيه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إيذاء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إذ لو كان قاصداً لذلك لعاقبهم بغير هذا </w:t>
      </w:r>
      <w:bookmarkStart w:id="997" w:name="pg10155_105710"/>
    </w:p>
    <w:p>
      <w:pPr>
        <w:pStyle w:val="BookText"/>
        <w:rPr/>
      </w:pPr>
      <w:bookmarkEnd w:id="997"/>
      <w:r>
        <w:rPr>
          <w:rFonts w:ascii="Amiri" w:hAnsi="Amiri" w:eastAsia="Amiri" w:cs="Amiri"/>
          <w:color w:val="111111"/>
          <w:sz w:val="28"/>
          <w:sz w:val="28"/>
          <w:szCs w:val="28"/>
          <w:rtl w:val="true"/>
          <w:lang w:bidi="ar-SA"/>
        </w:rPr>
        <w:t xml:space="preserve">الأُسلوب ، وأمّا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إيذاء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الوالد كان واقفاً على أنّ أخا يوسف سيُحاصر ، حيث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 أُرْسِلَهُ مَعَكُمْ حَتَّى تُؤْتُونِ مَوْثِقاً مِنَ اللهِ لَتَأْتُنَّنِي بِهِ إِلاَّ أَنْ يُحاطَ بِكُمْ</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والظاهر من الكتاب العزيز أنّ يوسف قام بذلك بأمر من الله سبحانه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كِدْنا لِيُوسُفَ ما كانَ لِيَأْخُذَ أَخاهُ فِي دِينِ الْمَلِكِ إِلاَّ أَنْ يَشاءَ اللهُ</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أمره سبحانه بذلك ليبلغ الكتاب أجله ويتم البلاء الذي أحاط بيعقوب ويوسف وتبلغ حكمة الله تعالى التي قضاها لهم نهايتَها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ذلك دليلاً على الجواز لعامة الناس لغايات سخيفة؟</w:t>
      </w:r>
      <w:r>
        <w:rPr>
          <w:rFonts w:eastAsia="Amiri" w:cs="Amiri" w:ascii="Amiri" w:hAnsi="Amiri"/>
          <w:color w:val="111111"/>
          <w:sz w:val="28"/>
          <w:szCs w:val="28"/>
          <w:rtl w:val="true"/>
          <w:lang w:bidi="ar-SA"/>
        </w:rPr>
        <w:t>!</w:t>
      </w:r>
    </w:p>
    <w:p>
      <w:pPr>
        <w:pStyle w:val="Heading6"/>
        <w:numPr>
          <w:ilvl w:val="5"/>
          <w:numId w:val="1"/>
        </w:numPr>
        <w:rPr/>
      </w:pPr>
      <w:bookmarkStart w:id="998" w:name="__RefHeading___Toc1273381_1067777946"/>
      <w:bookmarkStart w:id="999" w:name="_Toc366"/>
      <w:bookmarkEnd w:id="998"/>
      <w:r>
        <w:rPr>
          <w:rtl w:val="true"/>
        </w:rPr>
        <w:t>الاستدلال بالسنّة</w:t>
      </w:r>
      <w:bookmarkEnd w:id="999"/>
    </w:p>
    <w:p>
      <w:pPr>
        <w:pStyle w:val="BookText"/>
        <w:rPr/>
      </w:pPr>
      <w:r>
        <w:rPr>
          <w:rFonts w:ascii="Amiri" w:hAnsi="Amiri" w:eastAsia="Amiri" w:cs="Amiri"/>
          <w:color w:val="111111"/>
          <w:sz w:val="28"/>
          <w:sz w:val="28"/>
          <w:szCs w:val="28"/>
          <w:rtl w:val="true"/>
          <w:lang w:bidi="ar-SA"/>
        </w:rPr>
        <w:t xml:space="preserve">استدلّوا من السنّة بما رواه البخاري ، عن أبي هريرة ، وأبي سعيد الخدري ،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رجلاً على خيبر ، فجاءه بتمر جنيب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تمر خيبر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لنأخذ الصاعَ من هذا ، بالصاعين ، والصاعين بالثلاثة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تفعل ، بع الجمع بالدراهم ، ثمّ ابتع بالدراهم جنيباً</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والجمع نوع من تمر خيبر رديء ، والجنيب نوع جيد ، ولم يفصّل بين أن يكون البيع من رجلين أو رجل واحد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وسيوافيك الكلام فيها فانتظر</w:t>
      </w:r>
      <w:r>
        <w:rPr>
          <w:rFonts w:eastAsia="Amiri" w:cs="Amiri" w:ascii="Amiri" w:hAnsi="Amiri"/>
          <w:color w:val="111111"/>
          <w:sz w:val="28"/>
          <w:szCs w:val="28"/>
          <w:rtl w:val="true"/>
          <w:lang w:bidi="ar-SA"/>
        </w:rPr>
        <w:t xml:space="preserve">. </w:t>
      </w:r>
      <w:bookmarkStart w:id="1000" w:name="pg10155_105711"/>
    </w:p>
    <w:p>
      <w:pPr>
        <w:pStyle w:val="Heading6"/>
        <w:numPr>
          <w:ilvl w:val="5"/>
          <w:numId w:val="1"/>
        </w:numPr>
        <w:rPr/>
      </w:pPr>
      <w:bookmarkStart w:id="1001" w:name="__RefHeading___Toc1273383_1067777946"/>
      <w:bookmarkStart w:id="1002" w:name="_Toc367"/>
      <w:bookmarkEnd w:id="1000"/>
      <w:bookmarkEnd w:id="1001"/>
      <w:r>
        <w:rPr>
          <w:rtl w:val="true"/>
        </w:rPr>
        <w:t xml:space="preserve">القول الحاسم في فتح الذرائع </w:t>
      </w:r>
      <w:r>
        <w:rPr>
          <w:rtl w:val="true"/>
        </w:rPr>
        <w:t>(</w:t>
      </w:r>
      <w:r>
        <w:rPr>
          <w:rtl w:val="true"/>
        </w:rPr>
        <w:t>الحيل</w:t>
      </w:r>
      <w:r>
        <w:rPr>
          <w:rtl w:val="true"/>
        </w:rPr>
        <w:t>)</w:t>
      </w:r>
      <w:bookmarkEnd w:id="1002"/>
    </w:p>
    <w:p>
      <w:pPr>
        <w:pStyle w:val="BookText"/>
        <w:rPr/>
      </w:pPr>
      <w:r>
        <w:rPr>
          <w:rFonts w:ascii="Amiri" w:hAnsi="Amiri" w:eastAsia="Amiri" w:cs="Amiri"/>
          <w:color w:val="111111"/>
          <w:sz w:val="28"/>
          <w:sz w:val="28"/>
          <w:szCs w:val="28"/>
          <w:rtl w:val="true"/>
          <w:lang w:bidi="ar-SA"/>
        </w:rPr>
        <w:t xml:space="preserve">إنّ الموافق والمخالف لفتح الذرائع قد أطنبوا الكلام في المقام ، وكلّ تمسك وجوه من الأمثلة الفقهية ، فلنذكر ما يحسم الموقف ويزيل الخلاف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الحيل التي يتوصّل بها على أقسام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التوصل بالوسيلة منصوصاً في الكتاب والسنّة ، وليس المكلّف هو الذي يتحيّلها بل أنّ الشارع هو الذي جعلها سبباً للخروج عن المضائق ، نظير تجويز السفر في شهر رمضان لغاية الإفطار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 وَمَنْ كانَ مَرِيضاً أَوْ عَلى سَفَرٍ فَعِدَّةٌ مِنْ أَيَّامٍ أُخَرَ يُرِيدُ اللهُ بِكُمُ الْيُسْرَ وَلا يُرِيدُ بِكُمُ الْعُسْرَ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فَخيَّر المكلّف بين البقاء في بلده فيصوم ، والخروج عنه فيفطر ، فالخروج عن ضيق الصوم بالسفر ، ممّا أرشده إليه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بإيعاز من المكلّف نفسه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تجويز نكاح المطلّقة ثلاثاً بعد التحليل ، إذ من المعلوم أنّه من طلّق زوجته ثلاثاً حرمت عليه أبداً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إنّ الشارع قد أرشده إلى الخروج من هذا المأزق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 فَإِنْ طَلَّقَها فَلا جُناحَ عَلَيْهِما أَنْ يَتَراجَعا إِنْ ظَنَّا أَنْ يُقِيما حُدُودَ اللهِ</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فلا أظن فقيهاً من المذاهب يرى مثل هذا التحيّل أمراً قبيحاً ، أو على خلاف المصلحة ، فانّ معنى ذلك هو رفض التشريع الإلهي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القسم خارج عن محلّ الكلام ، لاختلاف موضوعي الحكمين ، فقد وجب الصوم على الحاضر ، والإفطار على المسافر ، ومثله المطلقة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فالمحرّمة هي غير المنكوحة للغير ، والمحلّلة هي المنكوحة بعد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هناك أمر واحد له طريقان ، أحلّ الشارع أحدهما وحرّم الآخر ، فلو سلك الحلال لا يعدّ ذلك تمسكاً بالحيلة ، لأنّه اتّخذ سبيلاً حلالاً إلى أمر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مبادلة التمر الرديء بالجيّد تفاضلاً رباً محرّم ، ولكن بيعَ كلّ على حدة أمر جائز ، وإن كانت النتيجة في كلا الأمرين واحدة ، ولكن الحرام هو سلوك الطريق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خارج عن محلّ النزاع أيضاً ، لأنّه فيما إذا احتال وتوصل بالحلال إلى الحرام ، وأمّا هنا فقد توصل بالحلال إلى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السبب غير مؤثر في حصول النتيجة شرعاً ، فالتوصل في مثله محرّم غير ناتج ، وذلك كالمثال الذي نقله الإمام البخاري عن أبي حنيفة وانّه أفتى بأنّه إذا غصب جارية ، فزعم انّها ماتت فقضى بقيمة الجارية الميتة ، وانّ الجارية للغاصب وإن تبيّن بعدُ انّها حيّة ، وليس لصاحبها أخذها إذا وجدها حية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انّ زعم الغاصب موت الجارية لا يخرجها عن ملك صاحبها ، ولا يوجب اشتغال ذمة الغاصب بقيمتها ، بل تبقى الجارية على ملكية المالك ، فلو ظهر حياتها انكشف انّ القضاء بردّ القيمة كان باطلاً من أصله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خلاله ظهر انّ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الغاصب موت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مؤثر في الانتقال فلا تقع ذريعة لتملّكها ، وهو الذي رتّب عليها البخاري رداً على أبي حنيفة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يحتال من اشتهى جارية رجل لا يبيعها ، فغصبها واعتلّ بأنّها ماتت حتى يأخذ ربّها قيمتها ، فيطيب للغاصب جارية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أنّ اعتقاد الغاصب بموت الجارية جازماً لا يكون سبباً لخروج الجارية عن ملك صاحبها وخروج قيمتها عن ملك الغاصب ، فكيف إذا كان عالماً بالخلاف وكاذباً في الإخبار؟ فعدم جواز التحيّل في هذه المسألة لأجل انّ السبب حلالاً كان أو حراماً غير مؤثر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الوسيلة حلالاً ، ولكن الغاية هي الوصول إلى الحرام على نحو لا تتعلّق إرادته الجدّية إلاّ بالمحرم ولو تعلّق بالسبب فإنّما تعلق بها صورياً لا جدياً ، كما إذا باع ما يسوى عشرة بثمانية نقداً ، ثمّ اشتراه بعد بعشرة نسيئة إلى شهرين فمن المعلوم أنّ إرادته الجدية تعلّقت باقتراض ثمانية ودفع عشرة ، وحيث إنّ ظاهره ينطبق مع الربا ، فاحتال ببيعين مختلفين مع عدم تعلّق الإرادة الجدية بهما ، فيكون عندها التحيّل أمراً محرماً ، ولعلّ من هذا القسم قوله سبحانه 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وَسْئَلْهُمْ عَنِ الْقَرْيَةِ الَّتِي كانَتْ حاضِرَةَ الْبَحْرِ إِذْ يَعْدُونَ فِي السَّبْتِ إِذْ تَأْتِيهِمْ حِيتانُهُمْ يَوْمَ سَبْتِهِمْ شُرَّعاً وَيَوْمَ لا يَسْبِتُونَ لا تَأْتِيهِمْ كَذلِكَ نَبْلُوهُمْ بِما كانُوا يَفْسُقُونَ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الغرض من تحريم الاصطياد في السبت هو امتحانهم في أُمور الدنيا ، ولكنّهم توصلوا بحيلة مبطلة لغرضه سبحانه ، وهي حيازة الحيتان وحبسها عن الخروج إلى البحر يوم السبت ، لغاية الاصطياد يوم الأحد ، فكيف يمكن أن يكون </w:t>
      </w:r>
    </w:p>
    <w:p>
      <w:pPr>
        <w:pStyle w:val="BookText"/>
        <w:rPr/>
      </w:pPr>
      <w:r>
        <w:rPr>
          <w:rFonts w:ascii="Amiri" w:hAnsi="Amiri" w:eastAsia="Amiri" w:cs="Amiri"/>
          <w:color w:val="111111"/>
          <w:sz w:val="28"/>
          <w:sz w:val="28"/>
          <w:szCs w:val="28"/>
          <w:rtl w:val="true"/>
          <w:lang w:bidi="ar-SA"/>
        </w:rPr>
        <w:t>مثل هذا التحيّل أمراً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أكثر الحيل المطروحة للمرابين أمر محرّم ، لعدم تعلّق الإرادة الجدّية بصورة المعاملة وإنّما تعلّقت بالنتيجة وهو أخذ الفائض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القول الحاسم في العمل بالحيل حسب ما طرحه علماء السنّة في المقام ، وبذلك خرجنا بالنتائج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الشارع هو الذي أرشد إلى الخروج عن المضائق ، أو أنّه لم يُشِرْ إلى الخروج ، ولكن جعل لأمر واحد طريقين ، حرّم أحدهما وأحلّ الآخر ، فهاتان الصورتان خارجتان عن محطّا 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السبب غير مؤثر في حصول النتيجة ، والتوصل به للوصول إلى الحلال توصلاً باطلاً لافتراض أنّه غير مؤثر في نظر الشارع ، كالجارية المغصوبة التي يزعم الغاصب موتها كذباً ويكتم حياتها ، ففي مثله لا يكون الخروج عن الغرامة بدفع القيمة مؤثراً في تملّك الجارية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الغاية من التوصّل بالأمر الحلال صوريّاً وتعلّقت الإرادة الجدية بالأمر الحرام فالتوصّل بها حرام ، نظير توصل أصحاب السبت إلى اصطياد الحيتان بحفر جداول قرب البحر لحبسها يوم السبت واصطيادها يوم الأحد ، أو بيع الشيء نقداً بثمانية واشترائه نسيئة بعشرة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 الله اليهود انّ الله تعالى لما حرّم عليهم شحومها جملوه ثمّ باعوه فأكلوا ثمنه</w:t>
      </w:r>
      <w:r>
        <w:rPr>
          <w:rFonts w:eastAsia="Amiri" w:cs="Amiri" w:ascii="Amiri" w:hAnsi="Amiri"/>
          <w:color w:val="111111"/>
          <w:sz w:val="28"/>
          <w:szCs w:val="28"/>
          <w:rtl w:val="true"/>
          <w:lang w:bidi="ar-SA"/>
        </w:rPr>
        <w:t xml:space="preserve">. </w:t>
      </w:r>
      <w:r>
        <w:rPr>
          <w:rStyle w:val="FootnoteAnchor"/>
          <w:rtl w:val="true"/>
        </w:rPr>
        <w:footnoteReference w:id="848"/>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علماء الشيعة تطرّقوا لفتح الذرائع في آخر كتاب الطلاق ، وأطنبوا </w:t>
      </w:r>
    </w:p>
    <w:p>
      <w:pPr>
        <w:pStyle w:val="BookText"/>
        <w:rPr/>
      </w:pPr>
      <w:r>
        <w:rPr>
          <w:rFonts w:ascii="Amiri" w:hAnsi="Amiri" w:eastAsia="Amiri" w:cs="Amiri"/>
          <w:color w:val="111111"/>
          <w:sz w:val="28"/>
          <w:sz w:val="28"/>
          <w:szCs w:val="28"/>
          <w:rtl w:val="true"/>
          <w:lang w:bidi="ar-SA"/>
        </w:rPr>
        <w:t xml:space="preserve">القول فيه 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والمحدّث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ولنذكر كلام شيخنا الشهيد الثاني ، قال عند شرح قول المحقّق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التوصل بالحيل المباحة دون المحرمة في إسقاط ما لو لا الحيلة تثبت</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باب واسع في جميع أبواب الفقه ، والفرق هو التوصّل إلى تحصيل أسباب يترتّب عليها أحكام شرعية ، وتلك الأسباب قد تكون محلّلة وقد تكون محرمة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تكون محكومة بالأحكام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ذكرها تعليم الفقيه الأسباب المباحة ، وأمّا المحرمة فيذكرونها بالعرض ، ليعلم حكمها على تقدير وقوعها</w:t>
      </w:r>
      <w:r>
        <w:rPr>
          <w:rFonts w:eastAsia="Amiri" w:cs="Amiri" w:ascii="Amiri" w:hAnsi="Amiri"/>
          <w:color w:val="111111"/>
          <w:sz w:val="28"/>
          <w:szCs w:val="28"/>
          <w:rtl w:val="true"/>
          <w:lang w:bidi="ar-SA"/>
        </w:rPr>
        <w:t xml:space="preserve">. </w:t>
      </w:r>
      <w:bookmarkStart w:id="1003" w:name="pg10155_105716"/>
    </w:p>
    <w:p>
      <w:pPr>
        <w:pStyle w:val="Heading6"/>
        <w:numPr>
          <w:ilvl w:val="5"/>
          <w:numId w:val="1"/>
        </w:numPr>
        <w:rPr/>
      </w:pPr>
      <w:bookmarkStart w:id="1004" w:name="__RefHeading___Toc1273385_1067777946"/>
      <w:bookmarkStart w:id="1005" w:name="_Toc368"/>
      <w:bookmarkEnd w:id="1003"/>
      <w:bookmarkEnd w:id="1004"/>
      <w:r>
        <w:rPr/>
        <w:t>6</w:t>
      </w:r>
      <w:r>
        <w:rPr>
          <w:rtl w:val="true"/>
        </w:rPr>
        <w:t xml:space="preserve">- </w:t>
      </w:r>
      <w:r>
        <w:rPr>
          <w:rtl w:val="true"/>
        </w:rPr>
        <w:t>مصادر التشريع فيما لا نصّ فيه عند أهل السنّة</w:t>
      </w:r>
      <w:bookmarkEnd w:id="1005"/>
    </w:p>
    <w:p>
      <w:pPr>
        <w:pStyle w:val="Heading6"/>
        <w:numPr>
          <w:ilvl w:val="5"/>
          <w:numId w:val="1"/>
        </w:numPr>
        <w:rPr/>
      </w:pPr>
      <w:bookmarkStart w:id="1006" w:name="__RefHeading___Toc1273387_1067777946"/>
      <w:bookmarkStart w:id="1007" w:name="_Toc369"/>
      <w:bookmarkEnd w:id="1006"/>
      <w:r>
        <w:rPr>
          <w:rtl w:val="true"/>
        </w:rPr>
        <w:t>قول الصحابي</w:t>
      </w:r>
      <w:bookmarkEnd w:id="1007"/>
    </w:p>
    <w:p>
      <w:pPr>
        <w:pStyle w:val="BookText"/>
        <w:rPr/>
      </w:pPr>
      <w:r>
        <w:rPr>
          <w:rFonts w:ascii="Amiri" w:hAnsi="Amiri" w:eastAsia="Amiri" w:cs="Amiri"/>
          <w:color w:val="111111"/>
          <w:sz w:val="28"/>
          <w:sz w:val="28"/>
          <w:szCs w:val="28"/>
          <w:rtl w:val="true"/>
          <w:lang w:bidi="ar-SA"/>
        </w:rPr>
        <w:t>يعدُّ الأئمّة الثلاثة غير أبي حنيفة قولَ الصحابي من مصادر التشريع ، وربّما ينقل عنه أيضاً خلافه ، لكن المعروف انّه لا يعترف بحجية قول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في المقام هو تحرير محل النزاع وتعيين موضوعه ، فإنّه غير منقّح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ظاهر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الصحابي من مصادر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مذهبه من مصادره ، في عرض الكتاب والسنّة والإجماع والعقل وغيرها وربما يعبّر عن مذهب الصحابي ، بسنّته ، الظاهرة في أنّ له سنّة ، عرض سنّة النبي ، فلو أُريد هذا فهو محجوج بما ذكره الغزالي حيث قال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يُجوَّز عليه الغلط والسهو ، ولم تثبت عصمته عنه فلا حجّة في قوله ، فكيف يحتج بقولهم مع جواز الخطأ؟ وكيف تدّعى عصمتهم من غير حجّة متواترة؟ وكيف يتصوّر قوم يجوز عليهم الاختلاف؟ وكيف يختلف المعصومان؟ كيف وقد اتّفقت الصحابة على جواز مخالفة الصحابة؟ فلم ينكر أبو بكر وعمر على من خالفهما بالاجتهاد ، بل أوجبوا في مسائل الاجتهاد على كلّ مجتهد أن يتبع </w:t>
      </w:r>
      <w:bookmarkStart w:id="1008" w:name="pg10155_105717"/>
    </w:p>
    <w:p>
      <w:pPr>
        <w:pStyle w:val="BookText"/>
        <w:rPr/>
      </w:pPr>
      <w:bookmarkEnd w:id="1008"/>
      <w:r>
        <w:rPr>
          <w:rFonts w:ascii="IRNazanin" w:hAnsi="IRNazanin" w:eastAsia="IRNazanin"/>
          <w:color w:val="111111"/>
          <w:sz w:val="28"/>
          <w:sz w:val="28"/>
          <w:szCs w:val="28"/>
          <w:rtl w:val="true"/>
          <w:lang w:bidi="fa-IR"/>
        </w:rPr>
        <w:t>اجتهاد نفسه</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وعلى ظاهر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عليه الشوكاني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ليس بحجّة ، فإنّ الله سبحانه لم يبعث إلى هذه الأُمّة إلاّ نبيّنا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لنا إلاّ رسول واحد وكتاب واحد ، وجميع الأُمّة مأمورة باتّباع كتابه وسنّة نبيّه ولا فرق بين الصحابة ومن بعدهم في ذلك ، فكلّهم مكلّفون بالتكاليف الشرعية ، وباتّباع الكتاب والسنّة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تقوم الحجّة في دين الله عزّ وجلّ بعد كتاب الله تعالى وسنّة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يرجع إليهما ، فقد قال في دين الله بما لا يثبت</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عدّ مذهب الصحابي من مصادر التشريع مسامحة واضحة وغرض القائل ، ادّعاء حجّية مذهبه وقوله ، بشهادة انّهم يقولون بحجّيته شريطة أن لا يكون قوله موافقاً للقياس ، إذ في صورة الموافقة وبما يكون مصدر قوله ، هو القياس ، وعندئذ يكون الجميع أمامه سواء ، وعلى كلّ تقدير ، فنحن نذكر صور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انّه لو نقل الصحابي سنّة الرسول يؤخذ به بالإجماع عندهم ، وعندنا إذا اجتمعت فيه شرائط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اتّفق سائر الصحابة على رأي الصحابي ؛ فمن قال بحجّية الإجماع بما هو هو ، أو لكشفه عن وجود الحجّة في البين ، يكون قوله حجّة ، لأجل انعقاد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خارج عن محل البحث</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1273389_1067777946"/>
      <w:bookmarkStart w:id="1010" w:name="_Toc370"/>
      <w:bookmarkEnd w:id="1009"/>
      <w:r>
        <w:rPr>
          <w:rtl w:val="true"/>
        </w:rPr>
        <w:t xml:space="preserve">فينحصر النزاع في الموارد الثلاثة التالية </w:t>
      </w:r>
      <w:r>
        <w:rPr>
          <w:rtl w:val="true"/>
        </w:rPr>
        <w:t>:</w:t>
      </w:r>
      <w:bookmarkEnd w:id="1010"/>
    </w:p>
    <w:p>
      <w:pPr>
        <w:pStyle w:val="Heading6"/>
        <w:numPr>
          <w:ilvl w:val="5"/>
          <w:numId w:val="1"/>
        </w:numPr>
        <w:rPr/>
      </w:pPr>
      <w:bookmarkStart w:id="1011" w:name="__RefHeading___Toc1273391_1067777946"/>
      <w:bookmarkStart w:id="1012" w:name="_Toc371"/>
      <w:bookmarkEnd w:id="1011"/>
      <w:r>
        <w:rPr>
          <w:rtl w:val="true"/>
        </w:rPr>
        <w:t>اشارة</w:t>
      </w:r>
      <w:bookmarkEnd w:id="101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فينحصر النزاع في الموارد الثلاثة التالية </w:t>
      </w:r>
      <w:r>
        <w:rPr>
          <w:rFonts w:eastAsia="Amiri" w:cs="Amiri" w:ascii="Amiri" w:hAnsi="Amiri"/>
          <w:color w:val="111111"/>
          <w:sz w:val="28"/>
          <w:szCs w:val="28"/>
          <w:rtl w:val="true"/>
          <w:lang w:bidi="ar-SA"/>
        </w:rPr>
        <w:t xml:space="preserve">: </w:t>
      </w:r>
      <w:bookmarkStart w:id="1013" w:name="pg10155_105718"/>
    </w:p>
    <w:p>
      <w:pPr>
        <w:pStyle w:val="Heading6"/>
        <w:numPr>
          <w:ilvl w:val="5"/>
          <w:numId w:val="1"/>
        </w:numPr>
        <w:rPr/>
      </w:pPr>
      <w:bookmarkStart w:id="1014" w:name="__RefHeading___Toc1273393_1067777946"/>
      <w:bookmarkStart w:id="1015" w:name="_Toc372"/>
      <w:bookmarkEnd w:id="1013"/>
      <w:bookmarkEnd w:id="1014"/>
      <w:r>
        <w:rPr/>
        <w:t>1</w:t>
      </w:r>
      <w:r>
        <w:rPr>
          <w:rtl w:val="true"/>
        </w:rPr>
        <w:t xml:space="preserve">. </w:t>
      </w:r>
      <w:r>
        <w:rPr>
          <w:rtl w:val="true"/>
        </w:rPr>
        <w:t>قول الصحابي</w:t>
      </w:r>
      <w:bookmarkEnd w:id="1015"/>
    </w:p>
    <w:p>
      <w:pPr>
        <w:pStyle w:val="BookText"/>
        <w:rPr/>
      </w:pPr>
      <w:r>
        <w:rPr>
          <w:rFonts w:ascii="Amiri" w:hAnsi="Amiri" w:eastAsia="Amiri" w:cs="Amiri"/>
          <w:color w:val="111111"/>
          <w:sz w:val="28"/>
          <w:sz w:val="28"/>
          <w:szCs w:val="28"/>
          <w:rtl w:val="true"/>
          <w:lang w:bidi="ar-SA"/>
        </w:rPr>
        <w:t xml:space="preserve">إذا نقل الصحابي قولاً ، ولم يُسْنده إلى الرسول ، ودلّت القرائن على أنّه نقلُ قول لا نقلُ رأي فهل هو حجّة أو لا؟ لاحتمال كونه ناقلاً قول الرسول ، أو قول غيره ، وهذا 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لوقف النقل على الصحابي دون أن يتجاوز عنه إلى غيره</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1273395_1067777946"/>
      <w:bookmarkStart w:id="1017" w:name="_Toc373"/>
      <w:bookmarkEnd w:id="1016"/>
      <w:r>
        <w:rPr/>
        <w:t>2</w:t>
      </w:r>
      <w:r>
        <w:rPr>
          <w:rtl w:val="true"/>
        </w:rPr>
        <w:t xml:space="preserve">. </w:t>
      </w:r>
      <w:r>
        <w:rPr>
          <w:rtl w:val="true"/>
        </w:rPr>
        <w:t>رأي الصحابي</w:t>
      </w:r>
      <w:bookmarkEnd w:id="1017"/>
    </w:p>
    <w:p>
      <w:pPr>
        <w:pStyle w:val="BookText"/>
        <w:rPr/>
      </w:pPr>
      <w:r>
        <w:rPr>
          <w:rFonts w:ascii="Amiri" w:hAnsi="Amiri" w:eastAsia="Amiri" w:cs="Amiri"/>
          <w:color w:val="111111"/>
          <w:sz w:val="28"/>
          <w:sz w:val="28"/>
          <w:szCs w:val="28"/>
          <w:rtl w:val="true"/>
          <w:lang w:bidi="ar-SA"/>
        </w:rPr>
        <w:t>إذا نقل رأيه واستنباطه من الكتاب والسنّة وما فهمه منهما ، فهو حجّة له ولمقلِّديه ، ولا يكون حجّة لسائر المجتهدين</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1273397_1067777946"/>
      <w:bookmarkStart w:id="1019" w:name="_Toc374"/>
      <w:bookmarkEnd w:id="1018"/>
      <w:r>
        <w:rPr/>
        <w:t>3</w:t>
      </w:r>
      <w:r>
        <w:rPr>
          <w:rtl w:val="true"/>
        </w:rPr>
        <w:t xml:space="preserve">. </w:t>
      </w:r>
      <w:r>
        <w:rPr>
          <w:rtl w:val="true"/>
        </w:rPr>
        <w:t>قوله المردّد بين النقل والرأي</w:t>
      </w:r>
      <w:bookmarkEnd w:id="1019"/>
    </w:p>
    <w:p>
      <w:pPr>
        <w:pStyle w:val="Heading6"/>
        <w:numPr>
          <w:ilvl w:val="5"/>
          <w:numId w:val="1"/>
        </w:numPr>
        <w:rPr/>
      </w:pPr>
      <w:bookmarkStart w:id="1020" w:name="__RefHeading___Toc1273399_1067777946"/>
      <w:bookmarkStart w:id="1021" w:name="_Toc375"/>
      <w:bookmarkEnd w:id="1020"/>
      <w:r>
        <w:rPr>
          <w:rtl w:val="true"/>
        </w:rPr>
        <w:t>اشارة</w:t>
      </w:r>
      <w:bookmarkEnd w:id="1021"/>
    </w:p>
    <w:p>
      <w:pPr>
        <w:pStyle w:val="BookText"/>
        <w:rPr/>
      </w:pPr>
      <w:r>
        <w:rPr>
          <w:rFonts w:ascii="Amiri" w:hAnsi="Amiri" w:eastAsia="Amiri" w:cs="Amiri"/>
          <w:color w:val="111111"/>
          <w:sz w:val="28"/>
          <w:sz w:val="28"/>
          <w:szCs w:val="28"/>
          <w:rtl w:val="true"/>
          <w:lang w:bidi="ar-SA"/>
        </w:rPr>
        <w:t xml:space="preserve">إذا تردّد بين كونه نقلَ قول أو نقلَ رأي ؛ فلو قلنا بحجّية قوله ورأيه على سائر المجتهدين ، يكون حجّةً في المقام بخلاف ما لو خصّصنا الحجّية بنقل القول دون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النقل المردّد بين القول والرأي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الصور الثلاث التي تصلح لأن تقع محلاً لورود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الأقوال ، فمن قائل بحجّية ما روي عن الصحابي ، إلى آخر ناف لها ، إلى ثالث يفصّل بين كون المنقول موافقاً للقياس فليس بحجّة وكونه مخالفاً له فهو حجّة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وقفت على الصور المتصوّرة لمحلّ النزاع والأقوال ، فلنتناول كلّ واحدة منها بالدراسة </w:t>
      </w:r>
      <w:r>
        <w:rPr>
          <w:rFonts w:eastAsia="Amiri" w:cs="Amiri" w:ascii="Amiri" w:hAnsi="Amiri"/>
          <w:color w:val="111111"/>
          <w:sz w:val="28"/>
          <w:szCs w:val="28"/>
          <w:rtl w:val="true"/>
          <w:lang w:bidi="ar-SA"/>
        </w:rPr>
        <w:t xml:space="preserve">: </w:t>
      </w:r>
      <w:bookmarkStart w:id="1022" w:name="pg10155_105719"/>
    </w:p>
    <w:p>
      <w:pPr>
        <w:pStyle w:val="Heading6"/>
        <w:numPr>
          <w:ilvl w:val="5"/>
          <w:numId w:val="1"/>
        </w:numPr>
        <w:rPr/>
      </w:pPr>
      <w:bookmarkStart w:id="1023" w:name="__RefHeading___Toc1273401_1067777946"/>
      <w:bookmarkStart w:id="1024" w:name="_Toc376"/>
      <w:bookmarkEnd w:id="1022"/>
      <w:bookmarkEnd w:id="1023"/>
      <w:r>
        <w:rPr/>
        <w:t>1</w:t>
      </w:r>
      <w:r>
        <w:rPr>
          <w:rtl w:val="true"/>
        </w:rPr>
        <w:t xml:space="preserve">. </w:t>
      </w:r>
      <w:r>
        <w:rPr>
          <w:rtl w:val="true"/>
        </w:rPr>
        <w:t>الحجّة هو قول الصحابي لا رأيه</w:t>
      </w:r>
      <w:bookmarkEnd w:id="1024"/>
    </w:p>
    <w:p>
      <w:pPr>
        <w:pStyle w:val="Heading6"/>
        <w:numPr>
          <w:ilvl w:val="5"/>
          <w:numId w:val="1"/>
        </w:numPr>
        <w:rPr/>
      </w:pPr>
      <w:bookmarkStart w:id="1025" w:name="__RefHeading___Toc1273403_1067777946"/>
      <w:bookmarkStart w:id="1026" w:name="_Toc377"/>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 xml:space="preserve">يظهر من السرخسي انّ محلّ النزاع هو الصورة الأُولى ، فقد حاول في كلام مبسوط أن يثبت انّ قول الصحابي ظاهر في أنّ مستنده هو قول النبي وإن لم يسنده إليه ظاهراً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أصحابنا المتقدّمين والمتأخرين انّ قول الواحد من الصحابة حجّة فيما لا مدخل للقياس في معرفة الحكم فيه ، وذلك لأنّ أحداً لا يظن بهم المجازفة في القول ، ولا يجوز أن يحمل قولهم في حكم الشرع على الكذب ؛ فإنّ طريق الدين من النصوص إنّما انتقل إلينا بروايتهم ، وفي حمل قولهم على الكذب والباطل قولٌ بفسقهم ، وذلك يبطل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 الرأي أو السماع ممّن ينزل عليه الوحي ، ولا مدخل للرأي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 فتعيّن السماع وصار فتواه مطلقاً كروايته عن رسول الله ، ولا شكّ انّه لو ذكر سماعه من رسول الله لكان ذلك حجّة لإثبات الحكم به ، فكذلك إذا أفتى به ولا طريق لفتواه إلاّ السماع ، ولهذا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الواحد منهم فيما لا يوافقه القياس يكون حجّة في العمل به كالنص يترك القياس به</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وخلاصة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الصحابي إن كان موافقاً للقياس نحدس بأنّه رأيه ونظره استند إلى القياس فلا يكون حجّة للمجتهد الآخر ، وأمّا إذا كان مخالفاً للقياس ، فلا يكون لقوله مبدأ سوى السماع عن الرسول ويكون حجّة</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1273405_1067777946"/>
      <w:bookmarkStart w:id="1028" w:name="_Toc378"/>
      <w:bookmarkEnd w:id="1027"/>
      <w:r>
        <w:rPr>
          <w:rtl w:val="true"/>
        </w:rPr>
        <w:t xml:space="preserve">يلاحظ على كلامه بوجوه </w:t>
      </w:r>
      <w:r>
        <w:rPr>
          <w:rtl w:val="true"/>
        </w:rPr>
        <w:t>:</w:t>
      </w:r>
      <w:bookmarkEnd w:id="1028"/>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 مبنيّ على أنّ للاجتهاد دعامتين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 </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قول الصحابي مخالفاً للقياس ، فيكون دليلاً على أنّه اعتمد على النص ونقله ، ولكنّك خبير بأنّ للاجتهاد دعامات أُخرى ، فمن الممكن أن يستند في قوله إلى إطلاق الآية وليس لها إطلاق ، أو عموم دليل وليس بعام ، وعلى كلّ تقدير استنتج الحكم من دليل لو وصل إلينا لم نعتبره دليلاً ، فمع هذا الاحتمال لم يبق وثوق بأنّه سبحانه أذن في الإفتاء وفق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أقصى ما يمكن أن يقال هو الظنّ بأنّه استند إلى النّص ، لا القطع ، ومن المعلوم أنّ الظنّ لا يغني عن الحقّ شيئاً ، بل يجب أن يحرز أنّه استند إلى النص ، فيكون ممّا أذن الله أن يفتى به ، فما لم يحرز اعتماده على النصّ إحرازاً علمياً ، يدخل الإفتاء به تحت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قول الصحابي مستنداً إلى سماعه عن النبي ، أو عمّن سمعه من النبي ، لم يكن يترك ذكره ، لما فيه من الشرف والمفخرة له ، بشهادة أنا نجد اهتمام الصحابة بنقل كلّ ما يمتّ إلى النبي بصلة من دقيق وجليل وقول وفعل وتقرير وتصديق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فالإفتاء بلا ذكر السماع يُشرف الفقيه على القطع بأنّ ما نقله الصحابي هو في الواقع اجتهاد منه ، وبذلك لا يبقى أيّ اطمئنان ووثوق بمثل هذا القول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حقيقة مرّة ، وهي انّ التأكيد على حجية قول الصحابي لأجل انّ حذفه من الفقه السنّي يوجب انهيار صرح البناء الفقهي الذي أشادوه ، وتغيّر القسم الأعظم من فتاواهم ، وحلول فتاوى أُخر محلّها ربما استتبع فقهاً جديداً لا </w:t>
      </w:r>
      <w:bookmarkStart w:id="1029" w:name="pg10155_105721"/>
    </w:p>
    <w:p>
      <w:pPr>
        <w:pStyle w:val="BookText"/>
        <w:rPr/>
      </w:pPr>
      <w:bookmarkEnd w:id="1029"/>
      <w:r>
        <w:rPr>
          <w:rFonts w:ascii="Amiri" w:hAnsi="Amiri" w:eastAsia="Amiri" w:cs="Amiri"/>
          <w:color w:val="111111"/>
          <w:sz w:val="28"/>
          <w:sz w:val="28"/>
          <w:szCs w:val="28"/>
          <w:rtl w:val="true"/>
          <w:lang w:bidi="ar-SA"/>
        </w:rPr>
        <w:t>أُنس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ما جاء به بعض المعاصرين حيث يقول في جملة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الصحابة هم الذين عاصروا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ونقلوا أقواله وأفعاله ، فكانوا أعرف الناس بأسرار التشريع الإسلامي ومصادره وموارده ، فمن اتّبعهم فهو من الذين قال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الإمام أبي حنيفة ،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أجد في كتاب الله ولا سنّة رسول الله ، أخذت بقول من شئت من أصحابه ، وتركت من شئت ، ولا أخرج من قولهم إلى قول غيرهم</w:t>
      </w:r>
      <w:r>
        <w:rPr>
          <w:rFonts w:eastAsia="Amiri" w:cs="Amiri" w:ascii="Amiri" w:hAnsi="Amiri"/>
          <w:color w:val="111111"/>
          <w:sz w:val="28"/>
          <w:szCs w:val="28"/>
          <w:rtl w:val="true"/>
          <w:lang w:bidi="ar-SA"/>
        </w:rPr>
        <w:t xml:space="preserve">. </w:t>
      </w:r>
      <w:r>
        <w:rPr>
          <w:rStyle w:val="FootnoteAnchor"/>
          <w:rtl w:val="true"/>
        </w:rPr>
        <w:footnoteReference w:id="856"/>
      </w:r>
    </w:p>
    <w:p>
      <w:pPr>
        <w:pStyle w:val="Heading6"/>
        <w:numPr>
          <w:ilvl w:val="5"/>
          <w:numId w:val="1"/>
        </w:numPr>
        <w:rPr/>
      </w:pPr>
      <w:bookmarkStart w:id="1030" w:name="__RefHeading___Toc1273407_1067777946"/>
      <w:bookmarkStart w:id="1031" w:name="_Toc379"/>
      <w:bookmarkEnd w:id="1030"/>
      <w:r>
        <w:rPr>
          <w:rtl w:val="true"/>
        </w:rPr>
        <w:t xml:space="preserve">يلاحظ عليه بأمرين </w:t>
      </w:r>
      <w:r>
        <w:rPr>
          <w:rtl w:val="true"/>
        </w:rPr>
        <w:t>:</w:t>
      </w:r>
      <w:bookmarkEnd w:id="10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كونهم أعرف بآراء التشريع لا يلازم كون المنقول ممّا سمعه ، إذ من المحتمل انّه استنبطه من الأدلّة بحجّة أنّهم أعرف بأسرار التشريع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ما نقله من أبي حنيفة يدلّ على حرمة الخروج عن أقوال الصحابة إذا علم إجمالاً أنّ الحقّ غير خارج عن أقوالهم المتعارضة ، وأين هذا من الأخذ بقول كلّ صحابي وإن لم ينحصر الحقّ في قوله؟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نكتة أُخرى وهي انّ الصحابة لو كانوا مقتصرين في مقام الأخذ ، على سنّة الرسول فقط كان لما ذكره وجه ،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يقتصروا عليها ، بل أخذوا من مستسلمة أهل الكتاب ، فقد أخذ أبو هريرة وابن عباس من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عدّوه من أوعية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 كما أخذ عنه وعن أضرابه كتميم </w:t>
      </w:r>
      <w:bookmarkStart w:id="1032" w:name="pg10155_105722"/>
    </w:p>
    <w:p>
      <w:pPr>
        <w:pStyle w:val="BookText"/>
        <w:rPr/>
      </w:pPr>
      <w:bookmarkEnd w:id="1032"/>
      <w:r>
        <w:rPr>
          <w:rFonts w:ascii="Amiri" w:hAnsi="Amiri" w:eastAsia="Amiri" w:cs="Amiri"/>
          <w:color w:val="111111"/>
          <w:sz w:val="28"/>
          <w:sz w:val="28"/>
          <w:szCs w:val="28"/>
          <w:rtl w:val="true"/>
          <w:lang w:bidi="ar-SA"/>
        </w:rPr>
        <w:t>الداري غيرهما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الحجّة هو العلم بأنّه بصدد نقل سنة الرسول ، وأمّا إذا ظنّ بأنّه كذلك فليس بحجّة وما دلّ من الأدلّة على حجّية قول الصحابي ، منحصر بما إذا علم أنّه بصدد بيان كلام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 أو عمله وفعله ، أو تقريره وتصديقه</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1273409_1067777946"/>
      <w:bookmarkStart w:id="1034" w:name="_Toc380"/>
      <w:bookmarkEnd w:id="1033"/>
      <w:r>
        <w:rPr/>
        <w:t>2</w:t>
      </w:r>
      <w:r>
        <w:rPr>
          <w:rtl w:val="true"/>
        </w:rPr>
        <w:t xml:space="preserve">. </w:t>
      </w:r>
      <w:r>
        <w:rPr>
          <w:rtl w:val="true"/>
        </w:rPr>
        <w:t>الحجّة هو الأعم من القول والرأي</w:t>
      </w:r>
      <w:bookmarkEnd w:id="1034"/>
    </w:p>
    <w:p>
      <w:pPr>
        <w:pStyle w:val="Heading6"/>
        <w:numPr>
          <w:ilvl w:val="5"/>
          <w:numId w:val="1"/>
        </w:numPr>
        <w:rPr/>
      </w:pPr>
      <w:bookmarkStart w:id="1035" w:name="__RefHeading___Toc1273411_1067777946"/>
      <w:bookmarkStart w:id="1036" w:name="_Toc381"/>
      <w:bookmarkEnd w:id="1035"/>
      <w:r>
        <w:rPr>
          <w:rtl w:val="true"/>
        </w:rPr>
        <w:t>اشارة</w:t>
      </w:r>
      <w:bookmarkEnd w:id="1036"/>
    </w:p>
    <w:p>
      <w:pPr>
        <w:pStyle w:val="BookText"/>
        <w:rPr/>
      </w:pPr>
      <w:r>
        <w:rPr>
          <w:rFonts w:ascii="Amiri" w:hAnsi="Amiri" w:eastAsia="Amiri" w:cs="Amiri"/>
          <w:color w:val="111111"/>
          <w:sz w:val="28"/>
          <w:sz w:val="28"/>
          <w:szCs w:val="28"/>
          <w:rtl w:val="true"/>
          <w:lang w:bidi="ar-SA"/>
        </w:rPr>
        <w:t xml:space="preserve">يظهر من كلام ابن القيم ، انّ موضوع النزاع أعمّ من القول والرأي فقد أقام على حجّيته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لا يسعنا ذكر معشارها ، لأنّ غالبها لا يخرج عن نطاق الحدس وليس لها أصالة ، وإنّما نقتصر على دليلين </w:t>
      </w:r>
      <w:r>
        <w:rPr>
          <w:rFonts w:eastAsia="Amiri" w:cs="Amiri" w:ascii="Amiri" w:hAnsi="Amiri"/>
          <w:color w:val="111111"/>
          <w:sz w:val="28"/>
          <w:szCs w:val="28"/>
          <w:rtl w:val="true"/>
          <w:lang w:bidi="ar-SA"/>
        </w:rPr>
        <w:t>:</w:t>
      </w:r>
    </w:p>
    <w:p>
      <w:pPr>
        <w:pStyle w:val="Heading6"/>
        <w:numPr>
          <w:ilvl w:val="5"/>
          <w:numId w:val="1"/>
        </w:numPr>
        <w:rPr/>
      </w:pPr>
      <w:bookmarkStart w:id="1037" w:name="__RefHeading___Toc1273413_1067777946"/>
      <w:bookmarkStart w:id="1038" w:name="_Toc382"/>
      <w:bookmarkEnd w:id="1037"/>
      <w:r>
        <w:rPr>
          <w:rtl w:val="true"/>
        </w:rPr>
        <w:t>الدليل الأوّل</w:t>
      </w:r>
      <w:bookmarkEnd w:id="1038"/>
    </w:p>
    <w:p>
      <w:pPr>
        <w:pStyle w:val="Heading6"/>
        <w:numPr>
          <w:ilvl w:val="5"/>
          <w:numId w:val="1"/>
        </w:numPr>
        <w:rPr/>
      </w:pPr>
      <w:bookmarkStart w:id="1039" w:name="__RefHeading___Toc1273415_1067777946"/>
      <w:bookmarkStart w:id="1040" w:name="_Toc383"/>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 xml:space="preserve">إنّ قول الصحابي يحتمل أوجهاً لا تخرج عن ستة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قد سمعها من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سمعها ممّن سمعها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فهمها من آيات كتاب الله فهماً خفي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قد اتّفق عليها ملؤُهم ولم ينقل إلينا إلاّ قول المفتي بها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لمكان علمه باللغة ودلالة اللفظ على الوجه الذي انفرد به عنّا ، أو لقرائن حالية اقترنت بالخطاب ، أو لمجموع أُمور فهموها على طول الزمان لأجل معاشرة النبي</w:t>
      </w:r>
      <w:r>
        <w:rPr>
          <w:rFonts w:eastAsia="Amiri" w:cs="Amiri" w:ascii="Amiri" w:hAnsi="Amiri"/>
          <w:color w:val="111111"/>
          <w:sz w:val="28"/>
          <w:szCs w:val="28"/>
          <w:rtl w:val="true"/>
          <w:lang w:bidi="ar-SA"/>
        </w:rPr>
        <w:t xml:space="preserve">. </w:t>
      </w:r>
      <w:bookmarkStart w:id="1041" w:name="pg10155_105723"/>
    </w:p>
    <w:p>
      <w:pPr>
        <w:pStyle w:val="BookText"/>
        <w:rPr/>
      </w:pPr>
      <w:bookmarkEnd w:id="104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فهم ما لم يرده الرسول واخطأ في فهمه ، والمراد غير ما فهمه ، وعلى هذا التقدير لا يكون قوله حجّة ، ومعلوم قطعاً أنّ وقوع احتمال من خمسة أغلب على الظن من وقوع احتمال واحد معين ، وذلك يفيد ظناً غالباً قوياً على أنّ الصواب في قوله دون ما خالفه من أقوال مَن بعده وليس المطلوب إلاّ الظنّ الغالب والعمل به متعيّن ، ويكفي العارف هذا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42" w:name="__RefHeading___Toc1273417_1067777946"/>
      <w:bookmarkStart w:id="1043" w:name="_Toc384"/>
      <w:bookmarkEnd w:id="1042"/>
      <w:r>
        <w:rPr>
          <w:rtl w:val="true"/>
        </w:rPr>
        <w:t xml:space="preserve">أقول </w:t>
      </w:r>
      <w:r>
        <w:rPr>
          <w:rtl w:val="true"/>
        </w:rPr>
        <w:t xml:space="preserve">: </w:t>
      </w:r>
      <w:r>
        <w:rPr>
          <w:rtl w:val="true"/>
        </w:rPr>
        <w:t xml:space="preserve">يلاحظ عليه بوجوه </w:t>
      </w:r>
      <w:r>
        <w:rPr>
          <w:rtl w:val="true"/>
        </w:rPr>
        <w:t>:</w:t>
      </w:r>
      <w:bookmarkEnd w:id="1043"/>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ما يمكن أن يقال هو الظن الغالب بأنّه استند إلى الوجوه الخمسة الأُولى لا القطع به ، وقد دللنا في صدر الفصل على أنّ الأصل في الظن عدم الحجّية ، إلاّ إذا دلّ دليل قطعي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نعلم أنّ فهمه من الكتاب كان فهماً صحيحاً؟ أو انّ استفادته من اللغة كانت استفادة رصينة مع أنّ التابعين من العرب الأقحاح مثله؟ فما هو الفرق بين أن يكون قوله حجّة دون التابعين؟</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يحتمل أن يكون لفتواه مصادر ظنّية اعتمد عليها ، كالقياس بشيء لا يخطر في أذهاننا ، أو الاعتماد على وجوه واعتبارات تبلورت في ذهنه ، أو الاستناد إلى الإطلاق والعموم مع أنّه ليس من مواردها ، لكون المورد شبهة مصداقية لهما</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1273419_1067777946"/>
      <w:bookmarkStart w:id="1045" w:name="_Toc385"/>
      <w:bookmarkEnd w:id="1044"/>
      <w:r>
        <w:rPr>
          <w:rtl w:val="true"/>
        </w:rPr>
        <w:t>الدليل الثاني</w:t>
      </w:r>
      <w:bookmarkEnd w:id="1045"/>
    </w:p>
    <w:p>
      <w:pPr>
        <w:pStyle w:val="Heading6"/>
        <w:numPr>
          <w:ilvl w:val="5"/>
          <w:numId w:val="1"/>
        </w:numPr>
        <w:rPr/>
      </w:pPr>
      <w:bookmarkStart w:id="1046" w:name="__RefHeading___Toc1273421_1067777946"/>
      <w:bookmarkStart w:id="1047" w:name="_Toc386"/>
      <w:bookmarkEnd w:id="1046"/>
      <w:r>
        <w:rPr>
          <w:rtl w:val="true"/>
        </w:rPr>
        <w:t>اشارة</w:t>
      </w:r>
      <w:bookmarkEnd w:id="1047"/>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ابن القيم في الوجه الرابع والأربعين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bookmarkStart w:id="1048" w:name="pg10155_105724"/>
    </w:p>
    <w:p>
      <w:pPr>
        <w:pStyle w:val="BookText"/>
        <w:rPr/>
      </w:pPr>
      <w:bookmarkEnd w:id="104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ظاهرين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تخلو الأرضُ من قائم لله بحجّة ، لئلاّ تبطل حججُ الله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أن يخطئ الصحابي في حكم ولا يكون في ذلك العصر ناطق بالصواب في ذلك الحكم لم يكن في الأُمّة قائم بالحقّ في ذلك الحكم ، لأنّهم بين ساكت ومخطئ ، ولم يكن في الأرض قائم لله بحجّة في ذلك الأمر ، ولا من يأمر فيه بمعروف أو ينهى فيه عن منكر</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الأوّل فيدلّ على وجود طائفة ظاهرين بالحقّ من أُمّته ، ولكن من أين نعلم أنّهم هم الصحابة؟ فانّ الأخبار عن الكبرى لا تثبت الصغرى ، أي كون القائمين بالحقّ هم الصحابة ، فليكن التابعين لهم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الثاني فيدلّ على وجود القائم بالحقّ بين الأُمّة في كلّ الأزمنة والأعصار لا الناطق بالحقّ ، وشتان ما بين القائم بالحقّ والناطق بالحقّ ، والقائم بالحقّ بطبيعة الحال يكون ناطقاً ، ولكن ربما يكون مضطراً للسكوت خوفاً من حكّام الجور ، فلا يكون سكوت الأُمّة دليلاً على إصابة الصحابي الناطق وكونه القائم بالحقّ</w:t>
      </w:r>
      <w:r>
        <w:rPr>
          <w:rFonts w:eastAsia="Amiri" w:cs="Amiri" w:ascii="Amiri" w:hAnsi="Amiri"/>
          <w:color w:val="111111"/>
          <w:sz w:val="28"/>
          <w:szCs w:val="28"/>
          <w:rtl w:val="true"/>
          <w:lang w:bidi="ar-SA"/>
        </w:rPr>
        <w:t>.</w:t>
      </w:r>
    </w:p>
    <w:p>
      <w:pPr>
        <w:pStyle w:val="Heading6"/>
        <w:numPr>
          <w:ilvl w:val="5"/>
          <w:numId w:val="1"/>
        </w:numPr>
        <w:rPr/>
      </w:pPr>
      <w:bookmarkStart w:id="1049" w:name="__RefHeading___Toc1273423_1067777946"/>
      <w:bookmarkStart w:id="1050" w:name="_Toc387"/>
      <w:bookmarkEnd w:id="1049"/>
      <w:r>
        <w:rPr>
          <w:rtl w:val="true"/>
        </w:rPr>
        <w:t>وجود المخالفة بين الصحابة</w:t>
      </w:r>
      <w:bookmarkEnd w:id="1050"/>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تاريخ التشريع حافل بنماذج كثيرة من مخالفة صحابي لصحابي آخر حتى بعد سماع كلامه وقوله ، فلو كان قول الصحابي نتاجاً للسماع لما جاز لآخر أن يخالفه ويقدّم رأيه على قوله ، فإنّه يكون من قبيل تقديم الرأي على النصّ ، وهذا يعرب على أنّ قول الصحابي لا يساوق سماعه عن النبي ، بل أعمّ منه بكثير ، وهذا </w:t>
      </w:r>
      <w:bookmarkStart w:id="1051" w:name="pg10155_105725"/>
    </w:p>
    <w:p>
      <w:pPr>
        <w:pStyle w:val="BookText"/>
        <w:rPr/>
      </w:pPr>
      <w:bookmarkEnd w:id="1051"/>
      <w:r>
        <w:rPr>
          <w:rFonts w:ascii="Amiri" w:hAnsi="Amiri" w:eastAsia="Amiri" w:cs="Amiri"/>
          <w:color w:val="111111"/>
          <w:sz w:val="28"/>
          <w:sz w:val="28"/>
          <w:szCs w:val="28"/>
          <w:rtl w:val="true"/>
          <w:lang w:bidi="ar-SA"/>
        </w:rPr>
        <w:t xml:space="preserve">هو الذي يسوغ وجود المخالفة بينهم ، فمثلاً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بكر وعمر وعبد الله بن عباس يرون قول الرجل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 إيلاء ويميناً ، وفي الوقت نفسه كان ابن مسعود يراه طلقة واحدة ، وكان زيد ابن ثابت يراه طلاق ثلاث ، فلم يقل أحد انّ قول الخليفتين حجّة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كلّ واحد كان مجتهداً ومستنبطاً ، وليس رأي المستنبط حجّة على الآخرين ، فإذا كان هذا هو الحال بين الصحابة ، فليكن كذلك بعدهم ، فإنّ التكليف واحد ، والتشريع فارد ، فلا معنى أن يكون تكليف الصحابة مغايراً لتكليف التابعين لهم بإحسان ، أي لا يكون رأي الصحابي حجّة على مثله ، ولكنّه حجّة على التابعين</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1273425_1067777946"/>
      <w:bookmarkStart w:id="1053" w:name="_Toc388"/>
      <w:bookmarkEnd w:id="1052"/>
      <w:r>
        <w:rPr>
          <w:rtl w:val="true"/>
        </w:rPr>
        <w:t>اجتهاد الصحابي بين الردّ والقبول</w:t>
      </w:r>
      <w:bookmarkEnd w:id="1053"/>
    </w:p>
    <w:p>
      <w:pPr>
        <w:pStyle w:val="BookText"/>
        <w:rPr/>
      </w:pPr>
      <w:r>
        <w:rPr>
          <w:rFonts w:ascii="Amiri" w:hAnsi="Amiri" w:eastAsia="Amiri" w:cs="Amiri"/>
          <w:color w:val="111111"/>
          <w:sz w:val="28"/>
          <w:sz w:val="28"/>
          <w:szCs w:val="28"/>
          <w:rtl w:val="true"/>
          <w:lang w:bidi="ar-SA"/>
        </w:rPr>
        <w:t xml:space="preserve">كان اجتهاد الصحابة عند غيبتهم عن الرسول حجّة لهم لعدم تمكّنهم من الرجوع إليه ، فإذا ما رجعوا إليه ، إمّا يقرّهم على ما رأوا ، وإمّا أن يبيّن لهم خطّ الصواب ، فلم يكن اجتهاد الصحابي بما هو اجتهاد من مصادر التشريع ، وهو ظاهر لمن رجع إلى اجتهادات الصحابة وطرحها على الرسول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مصوّب لهم ومخطِّئ ، ولنذكر نموذجين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باليمن أتاه ثلاثة نفر يختصمون في غلام ، فقال كلّ واحد منهم هو ابني ، فجعل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يخبرهم واحداً واحداً أترضى أن يكون الولد لهذا؟ فأبوا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شركاء متشاكسون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فأقرع بينهم ، فجعل الولد للذي خرجت له القرعة ، وجعل عليه للرجلين الآخرين ثلثي الدية ، فبلغ ذلك</w:t>
      </w:r>
      <w:bookmarkStart w:id="1054" w:name="pg10155_105726"/>
    </w:p>
    <w:p>
      <w:pPr>
        <w:pStyle w:val="BookText"/>
        <w:rPr/>
      </w:pPr>
      <w:bookmarkEnd w:id="1054"/>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حتى بدت نواجذه ، من قضاء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الخطيب البغدادي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والمتفقّه</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وقد اعتبر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الحكم أنّه بالنسبة للقارع بمنزلة الإتلاف للآخرين ، كمن أتلف رقيقاً بينه وبين شريكين له ، فإنّه يجب عليه ثلثا القيمة لشريكيه ، فإتلاف الولد الحر بحكم القرعة ، كإتلاف الرقيق الذي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مسلم ، عن سعيد بن عبد الرحمن بن أبزى ، عن أبيه انّ رجلاً أتى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أجنبت فلم أجد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يا أمير المؤمنين إذ أنا وأنت في سرية ، فأجنبنا فلم نجد ماء ، فأمّا أنت فلم تصلّ ، وأمّا أنا فتمعكت في التراب وصليت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يكفيك أن تضرب بيديك الأرض ، ثمّ تنفخ ، ثمّ تمسح بهما وجهك وكفيك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لم أُحدّث به</w:t>
      </w:r>
      <w:r>
        <w:rPr>
          <w:rFonts w:eastAsia="Amiri" w:cs="Amiri" w:ascii="Amiri" w:hAnsi="Amiri"/>
          <w:color w:val="111111"/>
          <w:sz w:val="28"/>
          <w:szCs w:val="28"/>
          <w:rtl w:val="true"/>
          <w:lang w:bidi="ar-SA"/>
        </w:rPr>
        <w:t xml:space="preserve">. </w:t>
      </w:r>
      <w:r>
        <w:rPr>
          <w:rStyle w:val="FootnoteAnchor"/>
          <w:rtl w:val="true"/>
        </w:rPr>
        <w:footnoteReference w:id="859"/>
      </w:r>
    </w:p>
    <w:p>
      <w:pPr>
        <w:pStyle w:val="Heading6"/>
        <w:numPr>
          <w:ilvl w:val="5"/>
          <w:numId w:val="1"/>
        </w:numPr>
        <w:rPr/>
      </w:pPr>
      <w:bookmarkStart w:id="1055" w:name="__RefHeading___Toc1273427_1067777946"/>
      <w:bookmarkStart w:id="1056" w:name="_Toc389"/>
      <w:bookmarkEnd w:id="1055"/>
      <w:r>
        <w:rPr>
          <w:rtl w:val="true"/>
        </w:rPr>
        <w:t>أحاديث الاقتداء بالصحابة</w:t>
      </w:r>
      <w:bookmarkEnd w:id="1056"/>
    </w:p>
    <w:p>
      <w:pPr>
        <w:pStyle w:val="BookText"/>
        <w:rPr/>
      </w:pPr>
      <w:r>
        <w:rPr>
          <w:rFonts w:ascii="Amiri" w:hAnsi="Amiri" w:eastAsia="Amiri" w:cs="Amiri"/>
          <w:color w:val="111111"/>
          <w:sz w:val="28"/>
          <w:sz w:val="28"/>
          <w:szCs w:val="28"/>
          <w:rtl w:val="true"/>
          <w:lang w:bidi="ar-SA"/>
        </w:rPr>
        <w:t>قد ذكرنا انّ ابن قيم الجوزية استدلّ على أنّ رأي الصحابة والتابعين حجّة بأنفسهما ، واستدل على ذلك بوجوه كثيرة لا دلالة فيها لما يروم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ما استدلّ به من الروايات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الترمذي من حديث الثوري ، عن عبد الملك بن عمير ، عن هلال مولى رِبْعي بن حِرَاش ، عن رِبْعي ، عن حذيفة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اقتدوا</w:t>
      </w:r>
    </w:p>
    <w:p>
      <w:pPr>
        <w:pStyle w:val="BookText"/>
        <w:rPr/>
      </w:pPr>
      <w:r>
        <w:rPr>
          <w:rFonts w:ascii="Amiri" w:hAnsi="Amiri" w:eastAsia="Amiri" w:cs="Amiri"/>
          <w:color w:val="111111"/>
          <w:sz w:val="28"/>
          <w:sz w:val="28"/>
          <w:szCs w:val="28"/>
          <w:rtl w:val="true"/>
          <w:lang w:bidi="ar-SA"/>
        </w:rPr>
        <w:t>باللّذين من بعدي أبي بكر وعمر</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مخدوش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سنداً فبعبد الملك بن عمير ، حيث روى إسحاق الكوسج ، عن يحيى بن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الحسن الهسنجاني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ابن عمير مضطرب الحديث جداً مع قلّة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إسحاق الكوسج عن أحمد ، أنّه ضعفه جداً</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وقد نُقل هذا الحديث بسند ثان عن أحمد بن محمد بن الجسور ، حدّثنا أحمد ابن الفضل الدينوري ، حدّثنا محمد بن جبير ، حدّثنا عبد الرحمن بن الأسود الطفاوي ، حدّثنا محمد بن كثير الملائي ، حدّثنا المفضل الضبي ، عن ضرارة بن مرة ، عن عبد الله بن أبي الهذيل العتري ، عن 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مخدوش أيضاً ، لأنّه مروي عن مولى لربعي مجهول ، كما أنّ المفضل بن محمد الضبي متروك الحديث ، متروك القراءة</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نقل هذا الحديث بسند ثالث عن القاضي أبي الوليد بن الفرضي ، عن ابن الدخيل ، عن العقيلي ، عن محمد بن إسماعيل ، حدثنا محمد بن فضيل ، حدثنا وكيع ، حدثنا سالم المرادي ، عن عمرو بن هرم ، عن ربعي بن حرث وأبي عبد الله ، عن رجل من أصحاب حذيفة ، عن حذيفة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أنّ هلال مولى ربعي مجهول ، كما أنّ سالم المرادي قد ضعَّفه ابن معين والنسائي</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وأمّا دلالةً ، فقد 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لكان عليهم لا لهم ،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مالك وأبي حنيفة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 الناس لأبي بكر وعمر ، وقد بيّنا انّ أصحاب مالك خالفوا أبا بكر ممّا رووا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خمسة مواضع ، وخالفوا عمر في نحو ثلاثين قضية ممّا رووا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 وقد ذكرنا انّ عمر وأبا بكر اختلفا ، وإن اتّباعهما فيما اختلفا فيه ، متعذر ممتنع لا يقدر عليه أحد</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مسلم في صحيحه من حديث عبد الله بن رباح عن أبي قتادة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يطع القوم أبا بكر وعمر يُرشَدُوا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الرواية ، وقلنا بأنّ المراد من القوم هم المسلمون بأجمعهم إلى يوم القيامة ، لدلّت على وجوب طاعتهما فيما لهما فيه أمر ونهي ، وأين هما من لزوم الأخذ بآرائهما وفتاواهما في الأحكام الشرعية التي ليس لهما فيه أي أمر ونهي؟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طريق عبد الله بن روح ، عن سلام بن 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غصين ، عن الأعمش ، عن أبي سفيان ، عن جابر مرفوعاً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مخدوش سنداً ودلالة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سنداً فبالحارث بن غصين ، قال عنه ابن عبد البر في كتاب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كما أنّ في السند المذكور سلام بن سلم المدائني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سليمان المدائني ، قال عنه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ضعّف سلام بن سلم</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وقال عنه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سلم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المجروحين</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كما روي هذا الحديث أيضاً عن طريق عبد الرحيم بن زيد العمي ، عن أبيه ، عن سعيد بن المسيب ،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طريق حمزة الجزري ، عن نافع ،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عبد الرحيم بن زيد وأباه متروكان </w:t>
      </w:r>
      <w:r>
        <w:rPr>
          <w:rStyle w:val="FootnoteAnchor"/>
          <w:rtl w:val="true"/>
        </w:rPr>
        <w:footnoteReference w:id="868"/>
      </w:r>
      <w:r>
        <w:rPr>
          <w:rFonts w:ascii="Amiri" w:hAnsi="Amiri" w:eastAsia="Amiri" w:cs="Amiri"/>
          <w:color w:val="111111"/>
          <w:sz w:val="28"/>
          <w:sz w:val="28"/>
          <w:szCs w:val="28"/>
          <w:rtl w:val="true"/>
          <w:lang w:bidi="ar-SA"/>
        </w:rPr>
        <w:t>، وحمزة الجزري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قاله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أنّ هذه الرواية لا تثبت أصلاً ، إذ من المحال أن يأمر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 كلّ قائل من الصحابة ، وفيهم من يحلل الشيء ، وغيره منهم يحرّمه</w:t>
      </w:r>
      <w:r>
        <w:rPr>
          <w:rFonts w:eastAsia="Amiri" w:cs="Amiri" w:ascii="Amiri" w:hAnsi="Amiri"/>
          <w:color w:val="111111"/>
          <w:sz w:val="28"/>
          <w:szCs w:val="28"/>
          <w:rtl w:val="true"/>
          <w:lang w:bidi="ar-SA"/>
        </w:rPr>
        <w:t xml:space="preserve">. </w:t>
      </w:r>
      <w:r>
        <w:rPr>
          <w:rStyle w:val="FootnoteAnchor"/>
          <w:rtl w:val="true"/>
        </w:rPr>
        <w:footnoteReference w:id="869"/>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أجاد الشوكاني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تمسّك به بعض القائلين بحجيّة قول الصحابي ممّا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 فهذا ممّا لم يثبت قط ، والكلام فيه معروف عند أهل هذا الشأن بحيث لا يصحّ العمل بمثله </w:t>
      </w:r>
      <w:bookmarkStart w:id="1057" w:name="pg10155_105730"/>
    </w:p>
    <w:p>
      <w:pPr>
        <w:pStyle w:val="BookText"/>
        <w:rPr/>
      </w:pPr>
      <w:bookmarkEnd w:id="1057"/>
      <w:r>
        <w:rPr>
          <w:rFonts w:ascii="Amiri" w:hAnsi="Amiri" w:eastAsia="Amiri" w:cs="Amiri"/>
          <w:color w:val="111111"/>
          <w:sz w:val="28"/>
          <w:sz w:val="28"/>
          <w:szCs w:val="28"/>
          <w:rtl w:val="true"/>
          <w:lang w:bidi="ar-SA"/>
        </w:rPr>
        <w:t>في أدنى حكم من أحكام الشرع ، فكيف مثل هذا الأمر العظيم والخطب الجليل؟</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يجب أن يعتمد على كتاب الله وسنّة رسوله ، وان يحتج بما جعله الله حجّة بينه وبين الله تبارك وتعالى ، كخبر العدل المتصل إلى المعصوم ، أو العقل فيما له فيه قضاء وحكم ، وأمّا في غير هذه الموارد كآراء الصحابة أو سنّتهم وسيرتهم أو التابعين فكلّها أُمور ظنية لا دليل على الاحتجاج بها إلاّ إذا ثبت أنّها أقوال الرسول وسننه ، وأنّى لنا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الفقه ليس هو نقل آراء الصحابة والتابعين ، أو الفقهاء الذين جاءوا بعدهم ، فإنّ مرد ذلك إلى سرد آراء أُناس غير مصونين عن الخطأ والزلل</w:t>
      </w:r>
      <w:r>
        <w:rPr>
          <w:rFonts w:eastAsia="Amiri" w:cs="Amiri" w:ascii="Amiri" w:hAnsi="Amiri"/>
          <w:color w:val="111111"/>
          <w:sz w:val="28"/>
          <w:szCs w:val="28"/>
          <w:rtl w:val="true"/>
          <w:lang w:bidi="ar-SA"/>
        </w:rPr>
        <w:t>.</w:t>
      </w:r>
    </w:p>
    <w:p>
      <w:pPr>
        <w:pStyle w:val="Heading6"/>
        <w:numPr>
          <w:ilvl w:val="5"/>
          <w:numId w:val="1"/>
        </w:numPr>
        <w:rPr/>
      </w:pPr>
      <w:bookmarkStart w:id="1058" w:name="__RefHeading___Toc1273429_1067777946"/>
      <w:bookmarkStart w:id="1059" w:name="_Toc390"/>
      <w:bookmarkEnd w:id="1058"/>
      <w:r>
        <w:rPr>
          <w:rtl w:val="true"/>
        </w:rPr>
        <w:t>رؤيا الصحابي والتشريع</w:t>
      </w:r>
      <w:bookmarkEnd w:id="1059"/>
    </w:p>
    <w:p>
      <w:pPr>
        <w:pStyle w:val="BookText"/>
        <w:rPr/>
      </w:pPr>
      <w:r>
        <w:rPr>
          <w:rFonts w:ascii="Amiri" w:hAnsi="Amiri" w:eastAsia="Amiri" w:cs="Amiri"/>
          <w:color w:val="111111"/>
          <w:sz w:val="28"/>
          <w:sz w:val="28"/>
          <w:szCs w:val="28"/>
          <w:rtl w:val="true"/>
          <w:lang w:bidi="ar-SA"/>
        </w:rPr>
        <w:t>قد وقفت على أنّ التشريع الإلهي أعلى وأجلّ من أن تناله يد الاجتهاد ، فالتشريع فيض إلهي جار من ينبوع فياض لا يشوبه خطأ ولا وهم ولا ظن ولا خرص ولا تخمين ، والنبي هو المبيّن للتشريع ، وليس بمجتهد فيه يضرب الآراء بعضها ببعض كي يصل إلى حكم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وأسوأ من ذلك أن تكون رؤيا الصحابة أو تصويبهم مصدراً للتشريع ، ومع الأسف نرى نماذج كثيرة منها مروية في الصحاح والمسانيد ، فلنقتصر على ذكر نموذجين على سبيل المثال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النبي للصلاة كيف يجمع الناس لها؟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راية عند</w:t>
      </w:r>
    </w:p>
    <w:p>
      <w:pPr>
        <w:pStyle w:val="BookText"/>
        <w:rPr/>
      </w:pPr>
      <w:r>
        <w:rPr>
          <w:rFonts w:ascii="Amiri" w:hAnsi="Amiri" w:eastAsia="Amiri" w:cs="Amiri"/>
          <w:color w:val="111111"/>
          <w:sz w:val="28"/>
          <w:sz w:val="28"/>
          <w:szCs w:val="28"/>
          <w:rtl w:val="true"/>
          <w:lang w:bidi="ar-SA"/>
        </w:rPr>
        <w:t xml:space="preserve">حضور الصلاة ، فإذا رأوها آذن بعضهم بعضاً ، فلم يعجبه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القبع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شبور اليهود ، فلم يُعجبه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أمر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الناقوس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أمر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عبد الله بن زيد بن عبد ربّه وهو مهتم 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 الأذان في منامه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لبين نائم ويقظان ، إذ أتاني آت فأراني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بن الخطاب قد رآه قبل ذلك ، فكتمه عشرين يوماً ، ثمّ أخبر النبي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أن تخبرني؟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سبقني عبد الله بن زيد ، فاستحييت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قم فانظر ما يأمرك به عبد الله بن زيد فافعله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بلال ، قال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 عمير انّ الأنصار تزعم أنّ عبد الله بن زيد لو لا انّه كان يومئذ مريضاً لجعله رسول الله مؤذناً</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إنّ هذه الرواية وما شاكلها لا تتفق مع مقام النبوة ، لأنّه سبحانه بعث رسوله لإقامة الصلاة مع المؤمنين في أوقات مختلفة ، وطبيعة الحال تستدعي أن يعلّمه سبحانه كيفية تحقّق هذه الأُمنية ، فلا معنى لتحيّر النبي أياماً طويلة ، وهو لا يدري كيف يحقّق المسئولية الملقاة على عاتقه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الصلاة والصيام من الأُمور العبادية وليست من الأُمور الطبيعية العادية </w:t>
      </w:r>
    </w:p>
    <w:p>
      <w:pPr>
        <w:pStyle w:val="BookText"/>
        <w:rPr/>
      </w:pPr>
      <w:r>
        <w:rPr>
          <w:rFonts w:ascii="Amiri" w:hAnsi="Amiri" w:eastAsia="Amiri" w:cs="Amiri"/>
          <w:color w:val="111111"/>
          <w:sz w:val="28"/>
          <w:sz w:val="28"/>
          <w:szCs w:val="28"/>
          <w:rtl w:val="true"/>
          <w:lang w:bidi="ar-SA"/>
        </w:rPr>
        <w:t>حتى يشاور النبي فيها أصحابه ، أوليس من الوهن في أمر الدين أن تكون رؤيا وأحلام أشخاص عاديّين مصدراً لأمر عبادي في غاية الأهمية كالأذان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يدفعنا إلى القول بأنّ الرؤيا كانت مصدراً للأذان أمر مكذوب ومجعول على الشريعة ، وانّ الكذّابين المنتمين إلى بيت عبد الله بن زيد هم الذين أشاعوا هذه الأُكذوبة طلباً لعلو المنزلة والجاه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عن اسناد الروايات الواردة في هذا الموضوع وما فيها من التناقضات لا يناسب وضع الكتاب</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الإمام أحمد أنّ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يأتون الصلاة ، وقد سبقهم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ببعضها ، فكان الرجل يشير إلى الرجل إن جاءكم صلى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أو اثنتين ، فيصلّيها ، ثمّ يدخل مع القوم في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معاذ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أجده على حال أبداً إلاّ كنت عليها ، ثمّ قضيت ما سبقني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وقد سبقه النبي ببعضها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معه ، فلمّا قضى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قام فقضى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سنَّ لكم معاذ فهكذا فاصنعوا</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انّ الصلاة عبادة إلهية وليس في الإسلام عبادة أعظم منها ، فكيف تخضع لسنّة صحابي مقطوع عن الوحي ، وقد سنَّ شيئاً اعتباطياً دون أن يستأذن </w:t>
      </w:r>
      <w:bookmarkStart w:id="1060" w:name="pg10155_105733"/>
    </w:p>
    <w:p>
      <w:pPr>
        <w:pStyle w:val="BookText"/>
        <w:rPr/>
      </w:pPr>
      <w:bookmarkEnd w:id="1060"/>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عمله أشبه بالبدعة وإدخال شيء في الدين ما لم يأذن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ومعاذ أجلَّ من أن لا يعرف حد البدعة والسنّة ويدخل في الصلاة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يقضي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تصفّحت الصحاح والمسانيد تعثر على نماذج كثيرة لهذا النوع من التشريع</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1273431_1067777946"/>
      <w:bookmarkStart w:id="1062" w:name="_Toc391"/>
      <w:bookmarkEnd w:id="1061"/>
      <w:r>
        <w:rPr>
          <w:rtl w:val="true"/>
        </w:rPr>
        <w:t>عود إلى بدء</w:t>
      </w:r>
      <w:bookmarkEnd w:id="1062"/>
    </w:p>
    <w:p>
      <w:pPr>
        <w:pStyle w:val="BookText"/>
        <w:rPr/>
      </w:pPr>
      <w:r>
        <w:rPr>
          <w:rFonts w:ascii="Amiri" w:hAnsi="Amiri" w:eastAsia="Amiri" w:cs="Amiri"/>
          <w:color w:val="111111"/>
          <w:sz w:val="28"/>
          <w:sz w:val="28"/>
          <w:szCs w:val="28"/>
          <w:rtl w:val="true"/>
          <w:lang w:bidi="ar-SA"/>
        </w:rPr>
        <w:t xml:space="preserve">قد تقدّم في صدر البحث انّ مغزى القول بحجيّة مذهب الصحابي إلى حكاية قول الرسول بقرينة انّهم يشترطون في حجية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مخالفاً للقياس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إذا كان موافقاً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من الشاطبي في موافقاته انّ سنّة الصحابة سنّة يعمل بها ويرجع إليها ، واستدلّ على ذلك بوجوه أربعة لا يستدلّ بها إلاّ من أعوزه الدليل مع الرغبة الأكيدة إلى إثبات المدّعى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ثناء الله عليهم من غير مثنوية ، مدحهم بالعدالة وما يرجع إليها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ففي الأُولى إثبات الأفضلية على سائر الأُمم ، وذلك يقضي باستقامتهم في كلّ حال ، وجريان أحوالهم على الموافقة دون المخالفة ؛ وفي الثانية إثبات العدالة مطلقاً ، وذلك يدلّ على ما دلّت عليه الأُولى</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على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بمعزل عن الدلالة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استقامتهم على كلّ </w:t>
      </w:r>
    </w:p>
    <w:p>
      <w:pPr>
        <w:pStyle w:val="BookText"/>
        <w:rPr/>
      </w:pP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بصدد بيان أحد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الآية تخاطب معاشر المسلمين عبر القرون بأنّهم خير أُمّة أظهرها الله للناس بهدايتها بحجّة انّهم يؤمنون بالله ويأتون بفريضتي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وإن كان للحاضرين في عصر الخطاب لكن خطابات القرآن كخطابات الكتب المصنّفة لا تختص بفرد دون فرد ، بل تشمل كلّ المسلمين من دون اختصاص بالصحابة ، كيف وقد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فيكون الخطاب عاماً يشمل جميع المسلمين من عصر الرسالة إلى يوم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وصف الأُمّة بهذا الوصف ليس باعتبار اتصاف كلّ فرد منهم به بل لأجل اتصاف جمع منهم بحقيقة الإيمان والقيام بحق الأمر بالمعروف والنهي عن المنكر ، وليس ذلك بأمر بديع وقد وصف القرآن بني إسرائيل بكونهم ملوكاً وهو وصف لبعضهم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نِعْمَتَ اللهِ عَلَيْكُمْ إِذْ جَعَلَ فِيكُمْ أَنْبِياءَ وَجَعَلَكُمْ مُلُوكاً</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ولو افترضنا تواجد هذه الصفات في عامة المسلمين ، لما كان دليلاً على حجّية آرائهم وتفكراتهم ، بل يكون دليلاً على فضيلتهم وكرامتهم وأين هي من حجّية آراءهم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الآية تمدح حال المؤمنين في أوّل ظهور الإسلام من السابقين الأوّلين من المهاجرين والأنصار ، وتخاطبهم بقوله كنتم خير أُمّة ظهرت للناس لأجل</w:t>
      </w:r>
    </w:p>
    <w:p>
      <w:pPr>
        <w:pStyle w:val="BookText"/>
        <w:rPr/>
      </w:pPr>
      <w:r>
        <w:rPr>
          <w:rFonts w:ascii="Amiri" w:hAnsi="Amiri" w:eastAsia="Amiri" w:cs="Amiri"/>
          <w:color w:val="111111"/>
          <w:sz w:val="28"/>
          <w:sz w:val="28"/>
          <w:szCs w:val="28"/>
          <w:rtl w:val="true"/>
          <w:lang w:bidi="ar-SA"/>
        </w:rPr>
        <w:t>الإيمان بالله والأمر بالمعروف والنهي عن المنكر ، ثمّ يصف بأنّه لو كان أهل الكتاب مثلكم لكان خيراً لهم ، ولكنّهم اختلفوا ، منهم أُمّة مؤمنون وأكثرهم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 ذيل الآية ، وإليك الآية بتمامها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فاتّضح بذلك انّ الآية ليست بصدد إثبات الاستقامة للصحابة في عامّة الأحوال ولا بصدد إثبات العدالة لهم ، ولا لإفاضة الحجّية على أقوالهم وآرائهم ، وليست للآية أي صلة بهذا الموضوع ، بل يدور المعنى على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قلنا بأنّ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منسلخ عن الزمان يكون الهدف مدح المسلمين عامة لأجل اتّصافهم بالأوصاف الواردة بالآية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المنكر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ووحدة الكلمة المفهومة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عامّة المسلمين لا يشاركون في هذه الأوصاف ، بل عدّة منهم بوصف الجميع باعتبار وصف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افترضنا تواجدها في جميعهم ، لما كان أيضاً دليلاً على حجّية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منسلخ عن الزمان والآية تختص بالمهاجرين والأنصار ، فالآية بصدد تنبيه أهل الكتاب وتذكيرهم بأن يتّصفوا بأوصاف المسلمين ويكونوا مثلهم في الأوصاف الأربعة ، 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على وتيرة واحدة ، فقليل منهم مؤمن بالله وأكثرهم 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الآية الأُولى</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الثانية ،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لِتَكُونُوا شُهَداءَ </w:t>
      </w:r>
    </w:p>
    <w:p>
      <w:pPr>
        <w:pStyle w:val="BookText"/>
        <w:rPr/>
      </w:pPr>
      <w:r>
        <w:rPr>
          <w:rFonts w:ascii="Amiri" w:hAnsi="Amiri" w:eastAsia="Amiri" w:cs="Amiri"/>
          <w:color w:val="111111"/>
          <w:sz w:val="28"/>
          <w:sz w:val="28"/>
          <w:szCs w:val="28"/>
          <w:rtl w:val="true"/>
          <w:lang w:bidi="ar-SA"/>
        </w:rPr>
        <w:t>عَلَى النَّاسِ 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يلاحظ على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الآية انّه سبحانه جعل الأُمّة الإسلامية أُمّة وسطاً ، لأجل تخلّلهم بين الناس والرسول فجعلهم وسطاً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ليكونوا شهداء على الناس من جانب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الرسول شهيداً عليهم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فمعنى كونهم وسطاً لأجل تخلّلهم بين الرسول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هم المشهود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الإسلامية هم الشهداء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والرسول هو الشهيد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ظاهر الآية ، وبذلك يعلم معنى الوسطية التي هي تخلّلهم بين الناس والرسول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هذا فيجب أن نقف على معنى كون الأُمّة شهداء على الناس ، فهل يصح وصف جميع الأُمّة بذلك ، وإنّما هو وصف لطائفة خاصة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وصلوا في طهارة القلب والروح إلى حدّ يشهدون يوم القيامة على الناس؟ ومن المعلوم أنّ مثل هذه الشهادة ليست في وسع الإنسان العادي إلاّ رجل يتولّى الله أمره وكشف الغطاء عن بصره وبصيرته ، وأمّا من هم الذين لهم تلك الميزة والمكانة فالآية ساكتة عنه ، ولكن الآيات الأُخرى تفصح عن ذلك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879"/>
      </w:r>
      <w:r>
        <w:rPr>
          <w:rFonts w:ascii="IRNazanin" w:hAnsi="IRNazanin" w:eastAsia="IRNazanin"/>
          <w:color w:val="111111"/>
          <w:sz w:val="28"/>
          <w:sz w:val="28"/>
          <w:szCs w:val="28"/>
          <w:rtl w:val="true"/>
          <w:lang w:bidi="fa-IR"/>
        </w:rPr>
        <w:t xml:space="preserve">، والمراد من الشهداء هم شهداء </w:t>
      </w:r>
    </w:p>
    <w:p>
      <w:pPr>
        <w:pStyle w:val="BookText"/>
        <w:rPr/>
      </w:pPr>
      <w:r>
        <w:rPr>
          <w:rFonts w:ascii="Amiri" w:hAnsi="Amiri" w:eastAsia="Amiri" w:cs="Amiri"/>
          <w:color w:val="111111"/>
          <w:sz w:val="28"/>
          <w:sz w:val="28"/>
          <w:szCs w:val="28"/>
          <w:rtl w:val="true"/>
          <w:lang w:bidi="ar-SA"/>
        </w:rPr>
        <w:t>الاعمال الذين شملتهم عنايته سبحانه فشهدوا على حقائق الأعمال والمعاني النفسية من الكفر والإيمان والفوز والخسران ، فلا صلة للآية بعدالة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بياناً بديعاً رواه أبو عمرو الزبيري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بعد تلاوة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ظننتَ انّ الله عنى بهذه الآية جميع أهل القبلة من الموحّدين؟ أفترى أنّ من لا يجوز شهادته في الدنيا على صاع من تمر يطلب الله شهادته يوم القيامة ويقبلها منه بحضرة جميع الأُمم الماضية؟</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ثمّ لو افترضنا دلالة الآية على عدالة كلّ صحابي ، ولكنّه لا يكون دليلاً على حجّية كلّ ما يصدر عنهم من السنّة ، وإلاّ لعمّمنا الحكم إلى كلّ عادل ، سواء كان صحابياً أم غير صحابي ، لكون الموضوع هو العدل والعدالة ، وغاية ما تقتضيه العدالة انّه لا يتعمّد الكذب ، امّا مطابقة كلامه وفعله للواقع نزيهاً عن الخطأ وا لاشتباه فالآيتان لا تدلاّن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الشاطبي استدلّ بوجه ثان وهو التمسّك في مدح الصحابة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الحديث من الأمر باتّباعهم ، وانّ سنّتهم في طلب الاتّباع كسنّة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بسنّتي وسنّة الخلفاء الراشدين المهديين ، تمسّكوا بها وعضوا عليها بالنواجذ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وتفترق أُمّتي على ثلاث وسبعين فرقة كلّها في النار إلاّ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 وأصحابي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مثل الملح ، لا يصلح الطعام إلاّ به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اختار أصحابي على جميع العالمين سوى النبيّين </w:t>
      </w:r>
    </w:p>
    <w:p>
      <w:pPr>
        <w:pStyle w:val="BookText"/>
        <w:rPr/>
      </w:pPr>
      <w:r>
        <w:rPr>
          <w:rFonts w:ascii="Amiri" w:hAnsi="Amiri" w:eastAsia="Amiri" w:cs="Amiri"/>
          <w:color w:val="111111"/>
          <w:sz w:val="28"/>
          <w:sz w:val="28"/>
          <w:szCs w:val="28"/>
          <w:rtl w:val="true"/>
          <w:lang w:bidi="ar-SA"/>
        </w:rPr>
        <w:t xml:space="preserve">والمرسلين ، واختار لي منهم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وعمر وعثمان وعلياً ، فجعلهم خير أصحابي كلّهم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في معناه</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يلاحظ على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الشاطبي أرسل هذه الروايات إرسالَ المسلّمات من دون أن يبحث عن أسانيدها وما جاء فيها من الطعون ، ونحن أيضاً نتغافل عمّا حول الأسانيد من الضعف والنكارة ونركّز الأمر على 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الحديث الأوّل ،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فعليكم سنّتي وسنّة الخلفاء الراشدين 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محقّق كتاب الموافقات انّه قطعة من الحديث الذي أخرجه أبو داود والترمذي ولم يصف السند بشيء ، فهو قاصر عن إثبات عدالة عامّة الصحابة وبالتالي حجّية أقوالهم ومذاهبهم ، فانّه يختص بالخلفاء الأربعة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العمل بمضمونه مستحيل لاختلاف سيرة الخلفاء وكيف يمكن أن يتعبّدنا الشارع بالمتناقضات من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أبو بكر ساوى في توزيع الأموال الخراجية وخالفه عمر حيث فاوت فيها ، وكان أبو بكر يرى طلاق الثلاث واحداً ، ورآه عمر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الاختلاف بين سيرة الشيخين وعثمان فواضح جدّاً حتّى أنّ اختلافه معهما أودى بحياة الخليفة وأثار حفيظة المسلمين على خلافته فقتل في عقر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اختلاف سيرة علي مع عثمان بل مع الجميع واضح لمن استقرأ التاريخ ، فكيف يمكن للنبي أن يتعبّدنا بالعمل بالمتناقضات؟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الثاني ،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تفترق أُمّتي على ثلاث وسبعين فرقة كلّها في النار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نكارة الحديث</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الزيادة غير موجودة في بعض نصوص الرواية ، ولا يصحّ أن </w:t>
      </w:r>
    </w:p>
    <w:p>
      <w:pPr>
        <w:pStyle w:val="BookText"/>
        <w:rPr/>
      </w:pPr>
      <w:r>
        <w:rPr>
          <w:rFonts w:ascii="Amiri" w:hAnsi="Amiri" w:eastAsia="Amiri" w:cs="Amiri"/>
          <w:color w:val="111111"/>
          <w:sz w:val="28"/>
          <w:sz w:val="28"/>
          <w:szCs w:val="28"/>
          <w:rtl w:val="true"/>
          <w:lang w:bidi="ar-SA"/>
        </w:rPr>
        <w:t>يقال انّ الراوي ترك نقلها مع عدم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المعيار الوحيد للهلاك والنجاة هو شخص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أصحابه فلا يمكن أن يكونوا معياراً للهداية والنجاة إلاّ بقدر اهتدائهم واقتدائهم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فلو تخلّفوا عنه قليلاً أو كثيراً فلا يكون الاقتداء بهم موجباً للنجاة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إمّا صحابته كلّهم ، أو الأكثرية الساحقة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العدم ، لاختلاف الصحابة في مسالكهم ومشاربهم السياسية والدينية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وأدلّ دليل على ذلك ما وقع من الخلاف في السقيفة وبعدها في كثير من الأحكام والموضوعات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يلتزم به أهل السنّة ، فانّ الأكثرية الساحقة من الصحابة خالفوا الخليفة الثالث ، وقد قتله المصريون والكوفيون في مرأى ومسمع من بقية الصحابة ، الذين كانوا بين مؤلِّب ، أو مهاجم ، أو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الثالث ،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مثل الملح لا يصلح الطعام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معلق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ابن قيّم الجوزية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بطة باسنادين إلى عبد الرزاق ، ثمّ بطرق أُخرى عن الحسن عنه ، منها رواية البغوي فلو افترضنا صحّة الحديث ، فالحديث مجمل للغاية ، لا يثبت شيئاً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الحديث الرابع ،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اختار أصحابي على جميع العالمين سوى النبيّين والمرسلين ، واختار لي منهم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وعمر وعثمان وعلياً ، فجعلهم </w:t>
      </w:r>
    </w:p>
    <w:p>
      <w:pPr>
        <w:pStyle w:val="BookText"/>
        <w:rPr/>
      </w:pPr>
      <w:r>
        <w:rPr>
          <w:rFonts w:ascii="Amiri" w:hAnsi="Amiri" w:eastAsia="Amiri" w:cs="Amiri"/>
          <w:color w:val="111111"/>
          <w:sz w:val="28"/>
          <w:sz w:val="28"/>
          <w:szCs w:val="28"/>
          <w:rtl w:val="true"/>
          <w:lang w:bidi="ar-SA"/>
        </w:rPr>
        <w:t>خير أصحابي كلّهم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غض النظر عن سنده فهو يناقض ما تضافر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ارتداد كثيراً من أصحابه فكيف يمكن أن يكونوا كلّهم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عن أبي هريرة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 قائم إذا زمرة حتى إذا عرفتهم خرج رجل من بيني وبينهم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على أدبارهم القهقرى ، ثمّ إذا زمرة حتّى إذا عرفتهم خرج رجل من بيني وبينهم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 فلا أراه يخلص منهم إلاّ مثل همل النعم</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وفي روايته الأُخرى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فرطكم على الحوض من مرّ عليّ شرب ، ومن شرب لم يظمأ أبداً ، ليردن عليّ أقوام أعرفهم ويعرفوني ، ثمّ يحال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فسمعني النعمان بن أبي عياش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من سهل؟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على أبي سعيد الخدري لسمعته وهو يزيد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 فأقول سحقاً سحقاً لمن غير بعدي</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وكأنّ هذه الأحاديث تفسر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ولا يصحّ حملها على الأعراب المرتدّة لمكان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أعرفهم ويعرفوني</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الحديث الخامس ، 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فيكفي في ضعفه ما قاله ابن حزم في حقّه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موضوع مكذوب باطل ،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لا يصحّ وقال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هذا الكلام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وقد نقل الشارح الحديدي عن النقيب أبي جعفر يحيى بن محمد العلوي البصري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موضوعات متعصبة الأموية فانّ لهم من ينصرهم بلسانه وبوضعه الأحاديث إذا عجز عن نصرهم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جمهور العلماء قدموا الصحابة عند ترجيح الأقاويل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 طائفة قول أبي بكر وعمر حجّة ودليلاً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عدّ قول الخلفاء الأربعة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يعدّ قول الصحابة على الإطلاق حجّة ودليلاً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قول من هذه الأقوال متعلّق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ترجّح عند العلماء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تقوية تضاف إلى أمر كلّي هو المعتمد في المسألة ، وذلك أنّ السلف والخلف من التابعين ومن بعدهم يهابون مخالفة الصحابة ، ويتكثرون بموافقتهم ، وأكثر ما تجد هذا المعنى في علوم الخلاف الدائر بين الأئمّة المعتبرين ، فتجدهم إذا عينوا مذاهبهم قوّوها بذكر من ذهب إليها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لما اعتقدوا في أنفسهم وفي مخالفيهم من تعظيمهم ، وقوة مآخذهم دون غيرهم ، وكبر شأنهم في الشريعة ، وأنّهم ممّا يجب متابعتهم وتقليدهم فضلاً عن النظر معهم فيما نظروا فيه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عن الشافعي أنّ المجتهد قبل أن يجتهد لا يُمنع من تقليد </w:t>
      </w:r>
    </w:p>
    <w:p>
      <w:pPr>
        <w:pStyle w:val="BookText"/>
        <w:rPr/>
      </w:pPr>
      <w:r>
        <w:rPr>
          <w:rFonts w:ascii="Amiri" w:hAnsi="Amiri" w:eastAsia="Amiri" w:cs="Amiri"/>
          <w:color w:val="111111"/>
          <w:sz w:val="28"/>
          <w:sz w:val="28"/>
          <w:szCs w:val="28"/>
          <w:rtl w:val="true"/>
          <w:lang w:bidi="ar-SA"/>
        </w:rPr>
        <w:t>الصحابة ، ويمنع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المنقول عنه في الصحابي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أتركُ الحديثَ لقول من لو عاصرتُه لحَجَجْتُه؟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يعرف لهم قدرهم</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المدّعى في هذا الدليل بطوله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ممّا يجب متابعتهم وتقليدهم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الدليل غير واف بإثباته ولا يلازمه إذ غاية ما يثبته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جمهور العلماء عند تعارض الأقاويل يرجّحون قول الشيخين أو الخلفاء الأربعة أو عامّة الصحابة ، وأين الترجيح عند التعارض من القول بحجّية آرائهم ومذاهبهم وسننهم مطلقاً ، كان هناك تعارض أوّلاً ، وانّه يجب على الخلف متابعة الصحابة وتقليدهم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أصل الدليل غير ثابت ، إذ طالما خالف الخَلفُ ، السلفَ ، نعم لو اتّفقت الصحابة على أمر من الأُمور يكون حكمه ، حكم سائر الإجماعات ، وعندئذ لا تظهر خصوصية ، لإجماعهم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علّق على الدليل محقّق 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غرض المسألة وجوب الأخذ بسنّتهم التي اتّفقوا عليها فذلك ما لا نزاع فيه ، لأنّه أهمّ أنواع الإجماع فليس من باب السنّة ، وإن كان الغرض ما جرى العمل عليه في عهدهم ، وإن لم يتّفقوا عليه ، فهذا ليس بدليل شرعي يتقيّد به المجتهد</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ويظهر من الآمدي وجه آخر لحجّية سنّتهم ، وهي أنّها عند الاختلاف لا تخرج عن كونها حجّة في نفسها كأخبار الآحاد والنصوص الظاهرة ، وعلى هذا يكون سنّة قولاً وفعلاً في غير موضع الإجماع منهم ، تعدّ سنّة كخبر الواحد فيعوّل عليها ويرجع إليها كحجّة ظنية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رأي الصحابة وسنّتهم ، على خبر الواحد ، قياس مع </w:t>
      </w:r>
    </w:p>
    <w:p>
      <w:pPr>
        <w:pStyle w:val="BookText"/>
        <w:rPr/>
      </w:pPr>
      <w:r>
        <w:rPr>
          <w:rFonts w:ascii="Amiri" w:hAnsi="Amiri" w:eastAsia="Amiri" w:cs="Amiri"/>
          <w:color w:val="111111"/>
          <w:sz w:val="28"/>
          <w:sz w:val="28"/>
          <w:szCs w:val="28"/>
          <w:rtl w:val="true"/>
          <w:lang w:bidi="ar-SA"/>
        </w:rPr>
        <w:t>الفارق ، فانّ الثاني يروي عن المعصوم ويسنده إليه ، فيدخل في باب السنّة المحكية بواسطة الثقة ، بخلاف سنّة الصحابي ، فهي مرددة بين النقل عن المعصوم ، والاستنباط عن الكتاب والسنّة ، ومع هذا التردد كيف يجوز للمجتهد أن يأخذ بها ، إذ لو كانت رأي الصحابي لا يكون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قد عرفت أنّ الأصل في الظن هو عدم الحجّية ، والشكّ فيها يساوق القطع بعدمها ، فكيف يُؤخذ بهذا الظن مع عدم قياس 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الأحاديث من إيجاب محبّتهم وذم من أبغضهم ، وانّ من أحبّهم فقد أحبّ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أبغضهم فقد أبغض النبي عليه الصلاة والسلام ، وما ذاك من جهة كونهم رأوه أو جاوروه أو حاوروه فقط ، إذ لا مزية في ذلك ، وإنّما هو لشدة متابعتهم له وأخذهم أنفسهم بالعمل على سنّته ، مع حمايته ونصرته ، ومن كان بهذه المثابة حقيق أن يتّخذ قدوة ، وتجعل سيرته قبلة ، ولما بالغ مالك في هذا المعنى بالنسبة إلى الصحابة أو من اهتدى بهديهم واستنّ بسنّتهم جعله الله تعالى قدوة لغيره في ذلك ، فقد كان المعاصرون لمالك يتبعون آثاره ويقتدون بأفعاله ، ببركة اتّباعه لمن أثنى الله ورسوله عليهم وجعلهم قدوة أو من اتّبعهم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 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888"/>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 كسابقه ضعيف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غض النظر عمّا في أسانيد هذه الروايات انّ أقصى ما يدلّ عليه ، هو تكريمهم وحرمة بغضهم ، لأنّهم رأوا نور الوحي ، وعاشوا معه في السراء والضرّاء ، في الحرب والسلم ، والشدة والرخاء ، وأين هذا من حجّية آرائهم ومذاهبهم واجتهاداتهم ، كمشرِّع يؤخذ بتشريعاته؟</w:t>
      </w:r>
      <w:r>
        <w:rPr>
          <w:rFonts w:eastAsia="Amiri" w:cs="Amiri" w:ascii="Amiri" w:hAnsi="Amiri"/>
          <w:color w:val="111111"/>
          <w:sz w:val="28"/>
          <w:szCs w:val="28"/>
          <w:rtl w:val="true"/>
          <w:lang w:bidi="ar-SA"/>
        </w:rPr>
        <w:t xml:space="preserve">! </w:t>
      </w:r>
      <w:bookmarkStart w:id="1063" w:name="pg10155_105744"/>
    </w:p>
    <w:p>
      <w:pPr>
        <w:pStyle w:val="BookText"/>
        <w:rPr/>
      </w:pPr>
      <w:bookmarkEnd w:id="1063"/>
      <w:r>
        <w:rPr>
          <w:rFonts w:ascii="Amiri" w:hAnsi="Amiri" w:eastAsia="Amiri" w:cs="Amiri"/>
          <w:color w:val="111111"/>
          <w:sz w:val="28"/>
          <w:sz w:val="28"/>
          <w:szCs w:val="28"/>
          <w:rtl w:val="true"/>
          <w:lang w:bidi="ar-SA"/>
        </w:rPr>
        <w:t xml:space="preserve">والعجب انّ الشاطبي يجعل الأمر بحب الصحابة دليلاً على حجّية آرائهم ومذاهبهم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حجّية أقوالهم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ذا لم يأخذ شيئاً من أقوال أئمّة أهل البيت وآرائهم ومذاهبهم؟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تضافر النصوص على لزوم حبهم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وأمّا النصوص فنقتصر من الكثير بالقليل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عبد حتّى أكون أحب إليه من نفسه ، وتكون عترتي أحبّ إليه من عترته ، ويكون أهلي أحبّ إليه من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عصبة ينتمون إليها إلاّ ولد فاطمة فأنا وليّهم وأنا عصبتهم وهم عترتي خلقوا من طينتي ، ويل للمكذبين بفضلهم ، من أحبهم أحبه الله ، ومن أبغضهم أبغضه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حسن وحسين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890"/>
      </w:r>
    </w:p>
    <w:p>
      <w:pPr>
        <w:pStyle w:val="Heading6"/>
        <w:numPr>
          <w:ilvl w:val="5"/>
          <w:numId w:val="1"/>
        </w:numPr>
        <w:rPr/>
      </w:pPr>
      <w:bookmarkStart w:id="1064" w:name="__RefHeading___Toc1273433_1067777946"/>
      <w:bookmarkStart w:id="1065" w:name="_Toc392"/>
      <w:bookmarkEnd w:id="1064"/>
      <w:r>
        <w:rPr>
          <w:rtl w:val="true"/>
        </w:rPr>
        <w:t>أيّ الفريقين أحقّ بالأمن؟</w:t>
      </w:r>
      <w:bookmarkEnd w:id="1065"/>
    </w:p>
    <w:p>
      <w:pPr>
        <w:pStyle w:val="BookText"/>
        <w:rPr/>
      </w:pPr>
      <w:r>
        <w:rPr>
          <w:rFonts w:ascii="Amiri" w:hAnsi="Amiri" w:eastAsia="Amiri" w:cs="Amiri"/>
          <w:color w:val="111111"/>
          <w:sz w:val="28"/>
          <w:sz w:val="28"/>
          <w:szCs w:val="28"/>
          <w:rtl w:val="true"/>
          <w:lang w:bidi="ar-SA"/>
        </w:rPr>
        <w:t xml:space="preserve">قد عرفت منزلة مذهب الصحابي ورأيه تحليلاً ونقداً ، وتبيّن انّ قول الصحابي إنّما يكون حجّة إذا أسنده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لو وقف ولم يسنده ، أو تبيّن انّه رأيه ومذهبه وسنّته فلا قيمة له في عالم الاعتبار ، ومع ذلك عرفت إصرار الشاطبي ومن لفّ لفّه على لزوم الأخذ بآرائهم ومذاهبهم وإن كان نتيجة اجتهادهم واستنباطهم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يوافقه من قدماء القوم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السيوطي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حاجب بن خليفة شهدت عمر بن عبد العزيز يخطب وهو خليفة ،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ما سنَّ رسولُ الله وصاحباه فهو دين نأخذ به وتنتهي إليه وما سنّ سواهما فإنّا نرجئه</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سعد في طبقاته عن ثعلبة بن أبي مالك القرطبي انّه قال في محاضرته مع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سنّة أحبّ إليّ من سنّة عمر</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وجدناهم يأخذون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الفقهاء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بفتوى الصحابي ولكن يختلفون في طريق الأخذ ، فالشافعي كما يصرح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بفتواهم على أنّها اجتهاد منهم واجتهادهم أولى من اجتهاده ، ووجدنا مالكاً يأخذ بفتواهم على أنّها من السنّة ويوازن بينها وبين الأخبار المروية ان تعارض الخبر مع فتوى صحابي ، ثمّ يقول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اختلف في نظر أبي حنيفة وأبو الحسن الكرخي اعتبر أبو حنيفة الأخذ بفتوى الصحابي من قبيل الأخذ بالحديث والسنّة وأبو سعيد البراذعي يجعل أبا حنيفة مثل الشافعي ، وأمّا أحمد بن حنبل فنراه يقدم الحديث الصحيح على فتوى الصحابي ويأخذ بكلّ فتاوى الصحابة كما نجده يقدّم فتوى الصحابي على الحديث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ويلخّص أبو زهرة رأي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فتاوى الصحابة سنّة ولكنّها سنّة بعد الحديث الصحيح وحيث لا تصح سنّة غير أقوالهم</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دار الأمر بين الأخذ بهذه السنن والآراء التي هي نتاج الاجتهاد والاستنباط دون الاستناد إلى قول الرسول وفعله وتقريره ، وبين الأخذ بأقوال أئمّة أهل البيت الذين يروون عن آبائهم فأجدادهم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فأيّهما أولى وأحق بالأخذ؟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هشام بن سالم وحمّاد بن عثمان وغيرهما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حديثي حديث أبي ، وحديث أبي حديث جدّي ، وحديث جدّي حديث الحسين ، وحديث الحسين حديث الحسن ، وحديث الحسن حديث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حدثتني بحديث فأسنده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 عن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الله عزّ وجلّ ، وكلّما أحدّثك بهذا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لحديث واحد تأخذه عن صادق خير لك من الدنيا وما فيها</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عنبسة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مسألة فأجابه فيها ،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أجبتك بشيء فهو عن رسول الله لسنا نقول برأينا من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لجابر عن أبي جعفر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انّا لو كنّا نحدّثكم برأينا وهو انا لكنّا من الهالكين ، ولكنّا نحدّثكم بأحاديث نكنزها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وعلى ضوء هذا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الْفَرِيقَيْنِ أَحَقُّ بِالْأَمْنِ إِنْ كُنْتُمْ تَعْلَمُونَ</w:t>
      </w:r>
      <w:r>
        <w:rPr>
          <w:rFonts w:eastAsia="Amiri" w:cs="Amiri" w:ascii="Amiri" w:hAnsi="Amiri"/>
          <w:color w:val="111111"/>
          <w:sz w:val="28"/>
          <w:szCs w:val="28"/>
          <w:rtl w:val="true"/>
          <w:lang w:bidi="ar-SA"/>
        </w:rPr>
        <w:t xml:space="preserve">). </w:t>
      </w:r>
      <w:r>
        <w:rPr>
          <w:rStyle w:val="FootnoteAnchor"/>
          <w:rtl w:val="true"/>
        </w:rPr>
        <w:footnoteReference w:id="897"/>
      </w:r>
      <w:bookmarkStart w:id="1066" w:name="pg10155_105747"/>
    </w:p>
    <w:p>
      <w:pPr>
        <w:pStyle w:val="Heading6"/>
        <w:numPr>
          <w:ilvl w:val="5"/>
          <w:numId w:val="1"/>
        </w:numPr>
        <w:rPr/>
      </w:pPr>
      <w:bookmarkStart w:id="1067" w:name="__RefHeading___Toc1273435_1067777946"/>
      <w:bookmarkStart w:id="1068" w:name="_Toc393"/>
      <w:bookmarkEnd w:id="1066"/>
      <w:bookmarkEnd w:id="1067"/>
      <w:r>
        <w:rPr/>
        <w:t>7</w:t>
      </w:r>
      <w:r>
        <w:rPr>
          <w:rtl w:val="true"/>
        </w:rPr>
        <w:t xml:space="preserve">- </w:t>
      </w:r>
      <w:r>
        <w:rPr>
          <w:rtl w:val="true"/>
        </w:rPr>
        <w:t>مصادر التشريع فيما لا نصّ فيه عند أهل السنّة</w:t>
      </w:r>
      <w:bookmarkEnd w:id="1068"/>
    </w:p>
    <w:p>
      <w:pPr>
        <w:pStyle w:val="Heading6"/>
        <w:numPr>
          <w:ilvl w:val="5"/>
          <w:numId w:val="1"/>
        </w:numPr>
        <w:rPr/>
      </w:pPr>
      <w:bookmarkStart w:id="1069" w:name="__RefHeading___Toc1273437_1067777946"/>
      <w:bookmarkStart w:id="1070" w:name="_Toc394"/>
      <w:bookmarkEnd w:id="1069"/>
      <w:r>
        <w:rPr>
          <w:rtl w:val="true"/>
        </w:rPr>
        <w:t>إجماع أهل المدينة</w:t>
      </w:r>
      <w:bookmarkEnd w:id="1070"/>
    </w:p>
    <w:p>
      <w:pPr>
        <w:pStyle w:val="BookText"/>
        <w:rPr/>
      </w:pPr>
      <w:r>
        <w:rPr>
          <w:rFonts w:ascii="Amiri" w:hAnsi="Amiri" w:eastAsia="Amiri" w:cs="Amiri"/>
          <w:color w:val="111111"/>
          <w:sz w:val="28"/>
          <w:sz w:val="28"/>
          <w:szCs w:val="28"/>
          <w:rtl w:val="true"/>
          <w:lang w:bidi="ar-SA"/>
        </w:rPr>
        <w:t xml:space="preserve">قد نقل انّ مالك بن أنس اعتمد في فقهه على أحد عشر دليلاً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أهل المدينة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الصحابي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المرسلة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والعادة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الذرائع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الشاطبي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هذه الأدلّة إلى أربعة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والرأي ، فإنّ إجماع أهل المدينة وقول الصحابي كاشفان عن السنّة فهما من شعبها ، والخمسة الباقية من شعب الرأي ومن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فقد ذهب مالك إلى حجّية اتّفاق أهل المدينة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المدينة دار الهجرة ، وبها نزل القرآن وأقام رسول الله وأقام صحابته ، وأهل المدينة أعرف الناس بالتنزيل وبما كان من بيان رسول الله للوحي ، وهذه ميزات ليست لغيرهم ، وعلى هذا فالحقّ لا يخرج عمّا يذهبون إليه ، فيكون عملهم حجّة يقدّم على القياس وخبر الواحد</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أوجد مشربه هذا ضجة كبيرة بين معاصريه ، فردّ عليه فقيه عصره </w:t>
      </w:r>
    </w:p>
    <w:p>
      <w:pPr>
        <w:pStyle w:val="BookText"/>
        <w:rPr/>
      </w:pPr>
      <w:r>
        <w:rPr>
          <w:rFonts w:ascii="Amiri" w:hAnsi="Amiri" w:eastAsia="Amiri" w:cs="Amiri"/>
          <w:color w:val="111111"/>
          <w:sz w:val="28"/>
          <w:sz w:val="28"/>
          <w:szCs w:val="28"/>
          <w:rtl w:val="true"/>
          <w:lang w:bidi="ar-SA"/>
        </w:rPr>
        <w:t xml:space="preserve">اللّيث بن سعد في رسالة مفصّلة نقد فيها قسماً من آراء مالك التي أفتى بها نظراً لاتّفاق أهل المدينة عليها وإن كان موضع خلاف بينهم وبين من خرجوا من دار الهجرة إلى غيرها من أمصار الإسلام ، وهذه المسائل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الصلاتين ليلة المطر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بشهادة واحد ويمين صاحب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المرأة مؤخّر صداقها حال قيام الزوجية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الإيلاء ووقوع الطلاق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إذا ملّك الزوج امرأته أمرها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أعمال صلاة الاستسقاء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زكاة أموال الخليطين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المفلس وقد باعه رجل سلعة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الإسهام في الجهاد لفرس واحد أو لفرسين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ابن قيّم الجوزية رسالة الليث بن سعد إلى مالك بن أنس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 عن رب العالمين</w:t>
      </w:r>
      <w:r>
        <w:rPr>
          <w:rFonts w:eastAsia="Amiri" w:cs="Amiri" w:ascii="Amiri" w:hAnsi="Amiri"/>
          <w:color w:val="111111"/>
          <w:sz w:val="28"/>
          <w:szCs w:val="28"/>
          <w:rtl w:val="true"/>
          <w:lang w:bidi="ar-SA"/>
        </w:rPr>
        <w:t xml:space="preserve">». </w:t>
      </w:r>
      <w:r>
        <w:rPr>
          <w:rStyle w:val="FootnoteAnchor"/>
          <w:rtl w:val="true"/>
        </w:rPr>
        <w:footnoteReference w:id="898"/>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سبقه في النقل أبو يوسف يعقوب بن سفيان الفسوي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وبسط الدكتور محمد يوسف موسى الكلام حول هذه المسائل من وجهة نظر الفقه السنّي ، فمن أراد التفصيل فليرجع إليه</w:t>
      </w:r>
      <w:r>
        <w:rPr>
          <w:rFonts w:eastAsia="Amiri" w:cs="Amiri" w:ascii="Amiri" w:hAnsi="Amiri"/>
          <w:color w:val="111111"/>
          <w:sz w:val="28"/>
          <w:szCs w:val="28"/>
          <w:rtl w:val="true"/>
          <w:lang w:bidi="ar-SA"/>
        </w:rPr>
        <w:t xml:space="preserve">. </w:t>
      </w:r>
      <w:r>
        <w:rPr>
          <w:rStyle w:val="FootnoteAnchor"/>
          <w:rtl w:val="true"/>
        </w:rPr>
        <w:footnoteReference w:id="900"/>
      </w:r>
      <w:bookmarkStart w:id="1071" w:name="pg10155_105749"/>
    </w:p>
    <w:p>
      <w:pPr>
        <w:pStyle w:val="BookText"/>
        <w:rPr/>
      </w:pPr>
      <w:bookmarkEnd w:id="1071"/>
      <w:r>
        <w:rPr>
          <w:rFonts w:ascii="Amiri" w:hAnsi="Amiri" w:eastAsia="Amiri" w:cs="Amiri"/>
          <w:color w:val="111111"/>
          <w:sz w:val="28"/>
          <w:sz w:val="28"/>
          <w:szCs w:val="28"/>
          <w:rtl w:val="true"/>
          <w:lang w:bidi="ar-SA"/>
        </w:rPr>
        <w:t xml:space="preserve">ولمّا وصلت رسالة الليث إلى مالك ردّ عليها وكتب رسالة نقلها القاضي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المدارك وتقريب المسالك لمعرفة اعلام مذهب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هذه الرسالة موجزة ننقلها بنصها ، وكان الأحرى أن ننقل رسالة الليث أيضاً ، لكن إسهابها عاقنا عن إثباتها بنصّها </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1273439_1067777946"/>
      <w:bookmarkStart w:id="1073" w:name="_Toc395"/>
      <w:bookmarkEnd w:id="1072"/>
      <w:r>
        <w:rPr>
          <w:rtl w:val="true"/>
        </w:rPr>
        <w:t>رسالة مالك إلى الليث بن سعد</w:t>
      </w:r>
      <w:bookmarkEnd w:id="1073"/>
    </w:p>
    <w:p>
      <w:pPr>
        <w:pStyle w:val="BookText"/>
        <w:rPr/>
      </w:pPr>
      <w:r>
        <w:rPr>
          <w:rFonts w:ascii="Amiri" w:hAnsi="Amiri" w:eastAsia="Amiri" w:cs="Amiri"/>
          <w:color w:val="111111"/>
          <w:sz w:val="28"/>
          <w:sz w:val="28"/>
          <w:szCs w:val="28"/>
          <w:rtl w:val="true"/>
          <w:lang w:bidi="ar-SA"/>
        </w:rPr>
        <w:t>من مالك بن أنس إلى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أحمد الله إليك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عصمنا الله وإيّاك بطاعته في السر والعلانية ، وعافانا وإيّاك من كلّ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رحمك الله أنّه بلغني أنّك تفتي الناس بأشياء مخالفة لما عليه جماعة الناس عندنا وببلدنا الذي نحن فيه وأنت في إمامتك وفضلك ومنزلتك من أهل بلدك ، وحاجة من قبلك إليك ، واعتمادهم على ما جاءهم منك ، حقيق بأن تخاف على نفسك وتتبع ما ترجو النجاة باتّباعه ، فإنّ الله 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الناس تبع لأهل المدينة ، إليها كانت الهجرة ، وبها نزل القرآن ، وأحلّ الحلال وحرّم الحرام ، إذ رسول الله بين أظهرهم يحضرون الوحي والتنزيل ، ويأمرهم فيطيعونه ، ويسنّ لهم فيتّبعونه ، حتى توفّاه الله ، واختار له ما عنده صلوات الله عليه ورحمته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من بعده أتبع الناس له من أُمّته ممّن ولي الأمر من بعده ، فما نزل بهم ممّا علموا أنفذوه ، وما لم يكن </w:t>
      </w:r>
    </w:p>
    <w:p>
      <w:pPr>
        <w:pStyle w:val="BookText"/>
        <w:rPr/>
      </w:pPr>
      <w:r>
        <w:rPr>
          <w:rFonts w:ascii="Amiri" w:hAnsi="Amiri" w:eastAsia="Amiri" w:cs="Amiri"/>
          <w:color w:val="111111"/>
          <w:sz w:val="28"/>
          <w:sz w:val="28"/>
          <w:szCs w:val="28"/>
          <w:rtl w:val="true"/>
          <w:lang w:bidi="ar-SA"/>
        </w:rPr>
        <w:t>عندهم فيه علم سألوا عنه ، ثمّ أخذوا بأقوى ما وجدوا في ذلك في اجتهادهم وحداثة عهدهم ، وإن خالفهم مخالف أو قال امرؤ غيره أقوى منه أو أولى ، ترك قوله وعمل بغيره ، ثمّ كان التابعون من بعدهم يسلكون تلك السبل ويتبعون تلك السنن ، فإذا كان الأمر بالمدينة ظاهراً معمولاً به لم أر لأحد خلافه للذي في أيديهم من تلك الوراثة التي لا يجوز لأحد انتحالها ولا ادّعاؤها ، ولو ذهب أهل الأمصار يقولون هذا العمل ببلدنا ، وهذا الذي مضى عليه من مضى منّا ، لم يكونوا من ذلك على ثقة ، ولم يكن لهم من ذلك الذي جاز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رحمك الله فيما كتبت إليك فيه لنفسك ، واعلم أنّي أرجو أن لا يكون دعاني إلى ما كتبت به إليك إلاّ النصيحة لله تعالى وحده ، والنظر لك والضن بك ، فانزل كتابي منك منزلته ، فإنّك إن فعلت تعلم أنّي لم آلك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 لطاعته وطاعة رسوله في كلّ أمر 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 ، وكتب يوم الأحد لتسع مضين من صفر</w:t>
      </w:r>
      <w:r>
        <w:rPr>
          <w:rFonts w:eastAsia="Amiri" w:cs="Amiri" w:ascii="Amiri" w:hAnsi="Amiri"/>
          <w:color w:val="111111"/>
          <w:sz w:val="28"/>
          <w:szCs w:val="28"/>
          <w:rtl w:val="true"/>
          <w:lang w:bidi="ar-SA"/>
        </w:rPr>
        <w:t xml:space="preserve">. </w:t>
      </w:r>
      <w:r>
        <w:rPr>
          <w:rStyle w:val="FootnoteAnchor"/>
          <w:rtl w:val="true"/>
        </w:rPr>
        <w:footnoteReference w:id="903"/>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رسالة مالك إلى الليث مقنعة لمن أتى بعده ، فقد رد عليه ابن حزم الظاهري قائلاً في إبطال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هو إجماع أهل المدينة ، فإنّ هذا قول لهج به المالكيون قديماً وحديثاً ، وهو في غاية الفساد ، لأنّ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المدينة أعلم بأحكام رسول الله من سواهم كذب وباطل ، وإنّما الحقّ انّ أصحاب رسول الله وهم العالمون بأحكامه ، سواء بقى منهم من بقى بالمدينة ، أو خرج منهم من خرج لم يزد </w:t>
      </w:r>
      <w:r>
        <w:rPr>
          <w:rStyle w:val="FootnoteAnchor"/>
          <w:rtl w:val="true"/>
        </w:rPr>
        <w:footnoteReference w:id="904"/>
      </w:r>
      <w:r>
        <w:rPr>
          <w:rFonts w:ascii="Amiri" w:hAnsi="Amiri" w:eastAsia="Amiri" w:cs="Amiri"/>
          <w:color w:val="111111"/>
          <w:sz w:val="28"/>
          <w:sz w:val="28"/>
          <w:szCs w:val="28"/>
          <w:rtl w:val="true"/>
          <w:lang w:bidi="ar-SA"/>
        </w:rPr>
        <w:t xml:space="preserve">الباقي بالمدينة بقاءه فيها درجة في علمه وفضله ولا حطّ </w:t>
      </w:r>
      <w:r>
        <w:rPr>
          <w:rStyle w:val="FootnoteAnchor"/>
          <w:rtl w:val="true"/>
        </w:rPr>
        <w:footnoteReference w:id="905"/>
      </w:r>
      <w:r>
        <w:rPr>
          <w:rFonts w:ascii="IRNazanin" w:hAnsi="IRNazanin" w:eastAsia="IRNazanin"/>
          <w:color w:val="111111"/>
          <w:sz w:val="28"/>
          <w:sz w:val="28"/>
          <w:szCs w:val="28"/>
          <w:rtl w:val="true"/>
          <w:lang w:bidi="fa-IR"/>
        </w:rPr>
        <w:t xml:space="preserve">الخارج </w:t>
      </w:r>
    </w:p>
    <w:p>
      <w:pPr>
        <w:pStyle w:val="BookText"/>
        <w:rPr/>
      </w:pPr>
      <w:r>
        <w:rPr>
          <w:rFonts w:ascii="Amiri" w:hAnsi="Amiri" w:eastAsia="Amiri" w:cs="Amiri"/>
          <w:color w:val="111111"/>
          <w:sz w:val="28"/>
          <w:sz w:val="28"/>
          <w:szCs w:val="28"/>
          <w:rtl w:val="true"/>
          <w:lang w:bidi="ar-SA"/>
        </w:rPr>
        <w:t>منهم عن المدينة خروجه عنها درجة من علمه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آخر حكمه وعلموا ما نسخ ممّا لم ينسخ ، فتمويه فاحش وكذب ظاهر ، بل الخارجون من الصحابة عن المدينة شهدوا من ذلك كالذي شهده المقيم لها منهم سواء ، كعلي وابن مسعود وأنس وغيرهم ، والكذب عار في الدنيا ونار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فساد كلّ ما موّهوا به ، وبنوه على هذا الأصل الفاسد ، وأسموه بهذا الأساس المنهار</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كما ردّ عليه الإمام الآمدي أيضاً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الأكثرون على أنّ إجماع أهل المدينة وحدهم لا يكون حجّة على من خالفهم في حالة انعقاد إجماعهم ، خلافاً لمالك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أصحابه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بذلك ترجيح روايتهم على رواية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أن يكون إجماعهم أولى ، ولا تمتنع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مذهب الأكثرين ، وذلك انّ الأدلّة الدالّة على أنّ الإجماع حجّة ، ليست ناظرة إلى أهل المدينة دون سواهم لا سيما وانّهم لا يشكلون كلّ الأُمة ، فلا يكون إجماعهم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من نصر مذهب مالك بالنص والعقل ، وذكر من الثاني ثلاثة أوجه ، ثمّ أخذ بالرد على جميع الوجوه ، وخرج بالنتيجة التالية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يكون إجماع أهل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 والمصرين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والبصرة ، </w:t>
      </w:r>
    </w:p>
    <w:p>
      <w:pPr>
        <w:pStyle w:val="BookText"/>
        <w:rPr/>
      </w:pPr>
      <w:r>
        <w:rPr>
          <w:rFonts w:ascii="Amiri" w:hAnsi="Amiri" w:eastAsia="Amiri" w:cs="Amiri"/>
          <w:color w:val="111111"/>
          <w:sz w:val="28"/>
          <w:sz w:val="28"/>
          <w:szCs w:val="28"/>
          <w:rtl w:val="true"/>
          <w:lang w:bidi="ar-SA"/>
        </w:rPr>
        <w:t>حجّة على مخالفيهم ، وإن خالف فيه قوم لما ذكرناه من الدليل</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إنّ اتّفاق أهل المدينة على حكم شرعي ليس بأقوى من إجماع علماء عصر واحد على حكم شرعي ، فكما أنّ الثاني لا يكون حجّة على المجتهد ولا يمكن أن يستدلّ به على الحكم الشرعي ، فهكذا اتّفاق أهل المدينة خاصة انّ عنصر الاتّفاق تم على تقليد بعضهم البعض ، فالاحتجاج بهذا الاتفاق ونسبته إلى الشارع بدعة وإفتاء بما لم يعلم أنّه من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اتفاقهم ملازماً للإصابة خاصة في العصور الأُولى ، فيؤخذ به لحصول العلم ، وأنّى للمجتهد إثبات تلك الملازمة ، أو لو كشف اتّفاقهم عن وجود دليل معتبر وصل إليهم ولم يصل إلينا يمكن أن يحتج به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وحصيلة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اتّفاق أهل المدينة أو اتّفاق 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والبصرة رهن وجود الملازمة العادية بين الاتّفاق وإصابته للواقع ، أو بين الاتّفاق ووجود دليل معتبر وإلاّ فلا قيمة لاتّفاق غير المعصوم قليلاً كان أو كثيراً</w:t>
      </w:r>
      <w:r>
        <w:rPr>
          <w:rFonts w:eastAsia="Amiri" w:cs="Amiri" w:ascii="Amiri" w:hAnsi="Amiri"/>
          <w:color w:val="111111"/>
          <w:sz w:val="28"/>
          <w:szCs w:val="28"/>
          <w:rtl w:val="true"/>
          <w:lang w:bidi="ar-SA"/>
        </w:rPr>
        <w:t xml:space="preserve">. </w:t>
      </w:r>
      <w:bookmarkStart w:id="1074" w:name="pg10155_105753"/>
    </w:p>
    <w:p>
      <w:pPr>
        <w:pStyle w:val="Heading6"/>
        <w:numPr>
          <w:ilvl w:val="5"/>
          <w:numId w:val="1"/>
        </w:numPr>
        <w:rPr/>
      </w:pPr>
      <w:bookmarkStart w:id="1075" w:name="__RefHeading___Toc1273441_1067777946"/>
      <w:bookmarkStart w:id="1076" w:name="_Toc396"/>
      <w:bookmarkEnd w:id="1074"/>
      <w:bookmarkEnd w:id="1075"/>
      <w:r>
        <w:rPr/>
        <w:t>8</w:t>
      </w:r>
      <w:r>
        <w:rPr>
          <w:rtl w:val="true"/>
        </w:rPr>
        <w:t xml:space="preserve">- </w:t>
      </w:r>
      <w:r>
        <w:rPr>
          <w:rtl w:val="true"/>
        </w:rPr>
        <w:t>مصادر التشريع فيما لا نصّ فيه عند أهل السنّة</w:t>
      </w:r>
      <w:bookmarkEnd w:id="1076"/>
    </w:p>
    <w:p>
      <w:pPr>
        <w:pStyle w:val="Heading6"/>
        <w:numPr>
          <w:ilvl w:val="5"/>
          <w:numId w:val="1"/>
        </w:numPr>
        <w:rPr/>
      </w:pPr>
      <w:bookmarkStart w:id="1077" w:name="__RefHeading___Toc1273443_1067777946"/>
      <w:bookmarkStart w:id="1078" w:name="_Toc397"/>
      <w:bookmarkEnd w:id="1077"/>
      <w:r>
        <w:rPr>
          <w:rtl w:val="true"/>
        </w:rPr>
        <w:t>إجماع العترة</w:t>
      </w:r>
      <w:bookmarkEnd w:id="1078"/>
    </w:p>
    <w:p>
      <w:pPr>
        <w:pStyle w:val="BookText"/>
        <w:rPr/>
      </w:pPr>
      <w:r>
        <w:rPr>
          <w:rFonts w:ascii="Amiri" w:hAnsi="Amiri" w:eastAsia="Amiri" w:cs="Amiri"/>
          <w:color w:val="111111"/>
          <w:sz w:val="28"/>
          <w:sz w:val="28"/>
          <w:szCs w:val="28"/>
          <w:rtl w:val="true"/>
          <w:lang w:bidi="ar-SA"/>
        </w:rPr>
        <w:t xml:space="preserve">إجماع العترة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كلّ من كتب في تاريخ الفقه الإسلامي وتعرض لمنابع الفقه والأحكام غفل عن ذكر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وحجّية أقوالهم فضلاً عن حجّية اتّفاقهم ، وذلك بعين الله بخس لحقوقهم ، وحيث إنّ المقام يقتضي الاختصار نستعرض المهم من الأدلّة الدالّة على حجّية أقوالهم فضلاً عن اتّفاقهم على حكم من الأحكام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والاستدلال بالآية على عصمة أهل البيت وبالتالي حجية أقوالهم رهن أُمور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في الآية إرادة تكوينية لا تشريعية ، والفرق بين الإرادتين واضحة ، فإنّ إرادة التطهير بصورة التقنين تعلّقت بعامّة المكلّفين من غير </w:t>
      </w:r>
    </w:p>
    <w:p>
      <w:pPr>
        <w:pStyle w:val="BookText"/>
        <w:rPr/>
      </w:pPr>
      <w:r>
        <w:rPr>
          <w:rFonts w:ascii="Amiri" w:hAnsi="Amiri" w:eastAsia="Amiri" w:cs="Amiri"/>
          <w:color w:val="111111"/>
          <w:sz w:val="28"/>
          <w:sz w:val="28"/>
          <w:szCs w:val="28"/>
          <w:rtl w:val="true"/>
          <w:lang w:bidi="ar-SA"/>
        </w:rPr>
        <w:t xml:space="preserve">اختصاص بأئمّة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يُرِيدُ لِيُطَهِّرَكُمْ وَلِيُتِمَّ نِعْمَتَهُ عَلَيْكُمْ</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فلو كانت الإرادة المشار إليها في الآية إرادة تشريعية لما كان للتخصيص والحصر وجه مع انّا نجد فيها تخصيصاً بوجوه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قوله سبحانه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ليذهب الرجس عنكم لأجل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تعلّقت إرادته بتطهيرهم بصيغة الاختصاص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أخصّكم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المطلوب بتكرير الفعل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أرفقه بالمفعول المطلق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يؤكد انّ الإرادة التي تعلّقت بتطهير أهل البيت غير الإرادة التي تعلّقت بعامة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مثل هذا التخصيص في مريم البتول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911"/>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الرجس كل قذارة باطنية ونفسية ، كالشرك ، والنفاق ، وفقد الإيمان ، ومساوئ الأخلاق ، والصفات السيئة ، والأفعال القبيحة التي يجمعها الكفر والنفاق والعصيان ، فالرجس بهذا المعنى أذهبه الله عن أهل البيت ، ولا شكّ انّ المنزّه عن الرجس بهذا المعنى يكون معصوماً من الذنب بإرادة منه سبحانه ، </w:t>
      </w:r>
    </w:p>
    <w:p>
      <w:pPr>
        <w:pStyle w:val="BookText"/>
        <w:rPr/>
      </w:pPr>
      <w:r>
        <w:rPr>
          <w:rFonts w:ascii="Amiri" w:hAnsi="Amiri" w:eastAsia="Amiri" w:cs="Amiri"/>
          <w:color w:val="111111"/>
          <w:sz w:val="28"/>
          <w:sz w:val="28"/>
          <w:szCs w:val="28"/>
          <w:rtl w:val="true"/>
          <w:lang w:bidi="ar-SA"/>
        </w:rPr>
        <w:t>كيف وقد ربّاهم الله سبحانه وجعلهم هداة للأُمة كما بعث أنبياءه ورسله لتلك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أهل البيت هو علي وفاطمة وأولادهما ، لأنّ أهل البيت وإن كان يطلق على النساء والزوجات بلا شك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أَتَعْجَبِينَ مِنْ أَمْرِ اللهِ رَحْمَتُ اللهِ وَبَرَكاتُهُ عَلَيْكُمْ أَهْلَ الْبَيْتِ</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ولكن دلّ الدليل القاطع على أنّ المراد في الآية غير نساء النبي وأزواجه وذلك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انّه سبحانه عند ما يتحدّث عن أزواج النبي يذكرهن بصيغة جمع المؤنث ولا يذكرهن بصيغة الجمع المذكر ، فإنّه سبحانه أتى في تلك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باثنين وعشرين ضميراً مؤنثاً مخاطباً بها نساء النبي ، وإليك الإيعاز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تُرِدْنَ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تَعالَيْنَ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أُمتّعكُنّ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أُسرّحْكُنَّ</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كُنْتُنَّ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تُرِدْنَ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مِنْكُنَّ</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مِنْكُنَّ</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مِنْكُنَّ</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لَسْتُنَّ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اتَّقَيْتُنَّ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قَرنَ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بُيُوتِكُنَّ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تَبَرَّجْنَ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أَقِمْنَ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 اللهَ</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اذكُرْنَ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الوقت نفسه عند ما يذكر أئمة أهل البيت في آخر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بضمائر مذكّرة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العدول دليل على أنّ الذكر الحكيم انتقل من موضوع إلى موضوع آخر ، أي من نساء النبي إلى أهل بيته ، فلا بدّ أن يكون المراد منه غير نساءه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أماط الستر عن وجه الحقيقة ، فقد صرّح بأسماء من نزلت الآية بحقّهم حتى يتعيّن المنظور منه باسمه ورسمه ولم يكتف بذلك ، بل أدخل جميع من نزلت الآية في حقّهم تحت الكساء ومنع من دخول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على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الأسماء وجعل الجميع تحت كساء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كلّما يمرّ ببيت فاطمة إلى ثمانية أشهر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تضافرت الروايات على ذلك ، ولو لا خوف الإطناب لأتينا بكلِّ ما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نذكر من كلّ طائفة نموذج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الطبري في تفسير الآية عن أبي سعيد الخدري قال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 رضي الله عنه وحسن رضي الله عنه ، وحسين رضي الله عنه ، وفاطمة رضي الله عنها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رويت روايات كثيرة في هذا المجال ، فمن أراد فليرجع إلى تفسير الطبري والدر المنثور للسيوطي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السيوطي وأخرج ابن أبي شيبة وأحمد ومسلم وابن جرير وابن أبي حاتم والحاكم عن عائشة رضي الله عنها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غداة وعليه مرط مرجل من شعر أسود ، فجاء الحسن والحسين رضي الله عنهما فأدخلهما معه ، ثمّ جاء علي فأدخله معه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نذكر فاطمة في هذا الحديث ، فقد جاء في حديث آخر ، حيث روى السيوطي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 ابن جرير والحاكم وابن مردويه عن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رسول الله الوحي ، فأدخل علياً وفاطمة وابنيهما تحت ثوبه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جاء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فاطمة ومعه حسن وحسين ، وعلي حتى دخل ، فأدنى علياً وفاطمة فأجلسهما بين يديه وأجلس حسناً وحسيناً كلّ واحد منهما على فخذه ، ثمّ لفّ عليهم ثوبه وأنا مستدبرهم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الطبري عن أنس أنّ النبي كان يمرّ ببيت فاطمة ستة أشهر كلّما خرج إلى الصلاة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919"/>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تربو على أربع وثلاثين رواية ، رُوِيتْ من عيون الصحابة ؛ أبو سعيد الخدري ، أنس بن مالك ، ابن عباس ، أبو هريرة الدوسي ، سعد بن أبي وقاص ، واثلة بن الأسقع ، أبو الحمراء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حارث ، وأُمهات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عائشة وأُمّ سلمة</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فعلى ضوء هذا فأئمّة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من الذنب ، قولاً وفعلاً فيكون قولهم كاتفاقهم حجّة وإن غاب هذا الأمر عن أكثر إخواننا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عدّ نجم الدين الطوفي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العترة الطاهرة من مصادر التشريع الإسلامي كما أنهاها إلى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 وإليك رءوسها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 أهل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المصلحة المرسلة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 الذرائع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الأخذ بالأخف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 أهل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 العترة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الخلفاءالأربعة</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ولا يخفى انّ بعضها متّفق عليه وبعضها مختلف فيه ، وانّ كثيراً ممّا عدّه من مصادر التشريع قابل للإدغام في البعض الآخر ، كما مرّ في بعض الفصول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بيان ما هو مصادر التشريع عند أهل السنّة ، وإليك الكلام فيما بقي من جذور الاختلاف</w:t>
      </w:r>
      <w:r>
        <w:rPr>
          <w:rFonts w:eastAsia="Amiri" w:cs="Amiri" w:ascii="Amiri" w:hAnsi="Amiri"/>
          <w:color w:val="111111"/>
          <w:sz w:val="28"/>
          <w:szCs w:val="28"/>
          <w:rtl w:val="true"/>
          <w:lang w:bidi="ar-SA"/>
        </w:rPr>
        <w:t xml:space="preserve">. </w:t>
      </w:r>
      <w:bookmarkStart w:id="1079" w:name="pg10155_105759"/>
    </w:p>
    <w:p>
      <w:pPr>
        <w:pStyle w:val="Heading3"/>
        <w:numPr>
          <w:ilvl w:val="2"/>
          <w:numId w:val="1"/>
        </w:numPr>
        <w:rPr/>
      </w:pPr>
      <w:bookmarkStart w:id="1080" w:name="__RefHeading___Toc1273445_1067777946"/>
      <w:bookmarkStart w:id="1081" w:name="_Toc398"/>
      <w:bookmarkEnd w:id="1079"/>
      <w:bookmarkEnd w:id="1080"/>
      <w:r>
        <w:rPr>
          <w:rtl w:val="true"/>
        </w:rPr>
        <w:t>الفصل السابع</w:t>
      </w:r>
      <w:r>
        <w:rPr>
          <w:rtl w:val="true"/>
        </w:rPr>
        <w:t xml:space="preserve">: </w:t>
      </w:r>
      <w:r>
        <w:rPr>
          <w:rtl w:val="true"/>
        </w:rPr>
        <w:t>هل الإجماع أصل برأسه أو حاك عن الدليل؟</w:t>
      </w:r>
      <w:bookmarkEnd w:id="1081"/>
    </w:p>
    <w:p>
      <w:pPr>
        <w:pStyle w:val="Heading4"/>
        <w:numPr>
          <w:ilvl w:val="3"/>
          <w:numId w:val="1"/>
        </w:numPr>
        <w:rPr/>
      </w:pPr>
      <w:bookmarkStart w:id="1082" w:name="__RefHeading___Toc1273447_1067777946"/>
      <w:bookmarkStart w:id="1083" w:name="_Toc399"/>
      <w:bookmarkEnd w:id="1082"/>
      <w:r>
        <w:rPr>
          <w:rtl w:val="true"/>
        </w:rPr>
        <w:t>اشارة</w:t>
      </w:r>
      <w:bookmarkEnd w:id="1083"/>
    </w:p>
    <w:p>
      <w:pPr>
        <w:pStyle w:val="BookText"/>
        <w:rPr/>
      </w:pPr>
      <w:r>
        <w:rPr>
          <w:rFonts w:ascii="Amiri" w:hAnsi="Amiri" w:eastAsia="Amiri" w:cs="Amiri"/>
          <w:color w:val="111111"/>
          <w:sz w:val="28"/>
          <w:sz w:val="28"/>
          <w:szCs w:val="28"/>
          <w:rtl w:val="true"/>
          <w:lang w:bidi="ar-SA"/>
        </w:rPr>
        <w:t xml:space="preserve">اتّفق الفريقان على حجّية الإجماع المحصّل واختلفوا في وجه حجّيته وسبب كونه من مصادر التشريع ؛ فالشيعة الإمامية على أنّه حجّة لأجل كشفه عن قول المعصوم أو دليل معتبر صدر عنه المجمعون ، وعلى هذا ليس الإجماع دليلاً برأسه فلو يتمّ كشفه عن قوله أو الدليل المعتبر فلا يعدّ حجّة ، وهذا بخلاف الإجماع عند أهل السنّة ، فله عندهم كيان مستقل في جعل المجمع عليه حكماً واقعيّاً ، فلا يحتاج في حجّيته رجوعه إلى الأُصول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مستقل في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أن يكون له مستند كما يقول الخضري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ينعقد الإجماع إلاّ عن مستند</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المستند هو المصلحة أو دفع المفسدة ، فالاتّفاق على حكم شرعي استناداً إلى ذلك الدليل يجعله حكماً شرعياً قطعياً ، كزيادة أذان لصلاة الجمعة في عهد عثمان لإعلام الناس </w:t>
      </w:r>
      <w:bookmarkStart w:id="1084" w:name="pg10155_105760"/>
    </w:p>
    <w:p>
      <w:pPr>
        <w:pStyle w:val="BookText"/>
        <w:rPr/>
      </w:pPr>
      <w:bookmarkEnd w:id="1084"/>
      <w:r>
        <w:rPr>
          <w:rFonts w:ascii="Amiri" w:hAnsi="Amiri" w:eastAsia="Amiri" w:cs="Amiri"/>
          <w:color w:val="111111"/>
          <w:sz w:val="28"/>
          <w:sz w:val="28"/>
          <w:szCs w:val="28"/>
          <w:rtl w:val="true"/>
          <w:lang w:bidi="ar-SA"/>
        </w:rPr>
        <w:t>بالصلاة كي لا تفوتهم حتّى صار الأذان الآخر عملاً شرعياً إلهياً وإن لم ينزل به الوحي</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وعلى هذا فاتّفاق الأُمّة على شيء سبب لصيرورة المجمع عليه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وينبغي الكلام في موقفين </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1273449_1067777946"/>
      <w:bookmarkStart w:id="1086" w:name="_Toc400"/>
      <w:bookmarkEnd w:id="1085"/>
      <w:r>
        <w:rPr>
          <w:rtl w:val="true"/>
        </w:rPr>
        <w:t xml:space="preserve">الأوّل </w:t>
      </w:r>
      <w:r>
        <w:rPr>
          <w:rtl w:val="true"/>
        </w:rPr>
        <w:t xml:space="preserve">: </w:t>
      </w:r>
      <w:r>
        <w:rPr>
          <w:rtl w:val="true"/>
        </w:rPr>
        <w:t>مكانة الإجماع المحصّل عند الشيعة</w:t>
      </w:r>
      <w:bookmarkEnd w:id="1086"/>
    </w:p>
    <w:p>
      <w:pPr>
        <w:pStyle w:val="Heading5"/>
        <w:numPr>
          <w:ilvl w:val="4"/>
          <w:numId w:val="1"/>
        </w:numPr>
        <w:rPr/>
      </w:pPr>
      <w:bookmarkStart w:id="1087" w:name="__RefHeading___Toc1273451_1067777946"/>
      <w:bookmarkStart w:id="1088" w:name="_Toc401"/>
      <w:bookmarkEnd w:id="1087"/>
      <w:r>
        <w:rPr>
          <w:rtl w:val="true"/>
        </w:rPr>
        <w:t>اشارة</w:t>
      </w:r>
      <w:bookmarkEnd w:id="1088"/>
    </w:p>
    <w:p>
      <w:pPr>
        <w:pStyle w:val="BookText"/>
        <w:rPr/>
      </w:pPr>
      <w:r>
        <w:rPr>
          <w:rFonts w:ascii="Amiri" w:hAnsi="Amiri" w:eastAsia="Amiri" w:cs="Amiri"/>
          <w:color w:val="111111"/>
          <w:sz w:val="28"/>
          <w:sz w:val="28"/>
          <w:szCs w:val="28"/>
          <w:rtl w:val="true"/>
          <w:lang w:bidi="ar-SA"/>
        </w:rPr>
        <w:t xml:space="preserve">إنّ الأُمّة مع قطع النظر عن الإمام المعصوم بينهم ، غير مصونة من الخطأ في الأحكام ، فليس للاتّفاق والإجماع رصيد علمي ، إلاّ إذا كشف عن الحجّة بأحد الطريقين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استكشاف قول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بالملازمة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استكشاف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بالملازمة العادية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الأوّل فحاصل النظرية انّه يمكن أن يستكشف عقلاً رأي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اتّفاق من عداه من العلماء على حكم وعدم ردعهم عنه نظراً إلى قاعدة اللطف التي لأجلها وجب على الله نصب الحجّة الموصوف بالعلم والعصمة في كلّ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أعظم فوائدها ، حفظ الحقّ وتمييزه عن الباطل كي لا يضيع بخفائه ويرتفع عن أهله أو يشتبه بغيره ، وتلقينُهم طريقاً يتمكّن العلماء وغيرهم من الوصول به إليه ومنعهم وتثبيطهم عن الباطل أوّلاً ، أو ردّهم عنه إذا أجمعوا عليه ثانياً</w:t>
      </w:r>
      <w:r>
        <w:rPr>
          <w:rFonts w:eastAsia="Amiri" w:cs="Amiri" w:ascii="Amiri" w:hAnsi="Amiri"/>
          <w:color w:val="111111"/>
          <w:sz w:val="28"/>
          <w:szCs w:val="28"/>
          <w:rtl w:val="true"/>
          <w:lang w:bidi="ar-SA"/>
        </w:rPr>
        <w:t xml:space="preserve">. </w:t>
      </w:r>
      <w:r>
        <w:rPr>
          <w:rStyle w:val="FootnoteAnchor"/>
          <w:rtl w:val="true"/>
        </w:rPr>
        <w:footnoteReference w:id="923"/>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فوائد نصب الإمام هو هداية الأُمّة وردّهم عن </w:t>
      </w:r>
      <w:bookmarkStart w:id="1089" w:name="pg10155_105761"/>
    </w:p>
    <w:p>
      <w:pPr>
        <w:pStyle w:val="BookText"/>
        <w:rPr/>
      </w:pPr>
      <w:bookmarkEnd w:id="1089"/>
      <w:r>
        <w:rPr>
          <w:rFonts w:ascii="Amiri" w:hAnsi="Amiri" w:eastAsia="Amiri" w:cs="Amiri"/>
          <w:color w:val="111111"/>
          <w:sz w:val="28"/>
          <w:sz w:val="28"/>
          <w:szCs w:val="28"/>
          <w:rtl w:val="true"/>
          <w:lang w:bidi="ar-SA"/>
        </w:rPr>
        <w:t>الإجماع على الباطل وإرشادهم إلى الحقّ ، فلو كان المجمع عليه باطلاً كان على الإمام ردّهم عن ذلك الاتّفاق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استكشاف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بالملازمة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تقريره بالنحوين التاليين </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1273453_1067777946"/>
      <w:bookmarkStart w:id="1091" w:name="_Toc402"/>
      <w:bookmarkEnd w:id="1090"/>
      <w:r>
        <w:rPr>
          <w:rtl w:val="true"/>
        </w:rPr>
        <w:t xml:space="preserve">الف </w:t>
      </w:r>
      <w:r>
        <w:rPr>
          <w:rtl w:val="true"/>
        </w:rPr>
        <w:t xml:space="preserve">: </w:t>
      </w:r>
      <w:r>
        <w:rPr>
          <w:rtl w:val="true"/>
        </w:rPr>
        <w:t>تراكم الظنون مورث لليقين</w:t>
      </w:r>
      <w:bookmarkEnd w:id="1091"/>
    </w:p>
    <w:p>
      <w:pPr>
        <w:pStyle w:val="BookText"/>
        <w:rPr/>
      </w:pPr>
      <w:r>
        <w:rPr>
          <w:rFonts w:ascii="Amiri" w:hAnsi="Amiri" w:eastAsia="Amiri" w:cs="Amiri"/>
          <w:color w:val="111111"/>
          <w:sz w:val="28"/>
          <w:sz w:val="28"/>
          <w:szCs w:val="28"/>
          <w:rtl w:val="true"/>
          <w:lang w:bidi="ar-SA"/>
        </w:rPr>
        <w:t xml:space="preserve">إنّ فتوى كلّ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يفيد الظن ولو بأدنى مراتبه ،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تعزَّز بفتوى فقيه ثان فثالث ، إلى حدّ ربما يحصل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إفتاء جماعة على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بالحكم ، إذ من البعيد أن يتطرّق البطلان إلى فتوى جماعة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المحقّق النائيني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حجّيته لمكان تراكم الظنون من الفتاوى إلى حدّ يوجب القطع بالحكم ، كما هو الوجه في حصول القطع من الخبر المتواتر</w:t>
      </w:r>
      <w:r>
        <w:rPr>
          <w:rFonts w:eastAsia="Amiri" w:cs="Amiri" w:ascii="Amiri" w:hAnsi="Amiri"/>
          <w:color w:val="111111"/>
          <w:sz w:val="28"/>
          <w:szCs w:val="28"/>
          <w:rtl w:val="true"/>
          <w:lang w:bidi="ar-SA"/>
        </w:rPr>
        <w:t xml:space="preserve">. </w:t>
      </w:r>
      <w:r>
        <w:rPr>
          <w:rStyle w:val="FootnoteAnchor"/>
          <w:rtl w:val="true"/>
        </w:rPr>
        <w:footnoteReference w:id="924"/>
      </w:r>
    </w:p>
    <w:p>
      <w:pPr>
        <w:pStyle w:val="Heading5"/>
        <w:numPr>
          <w:ilvl w:val="4"/>
          <w:numId w:val="1"/>
        </w:numPr>
        <w:rPr/>
      </w:pPr>
      <w:bookmarkStart w:id="1092" w:name="__RefHeading___Toc1273455_1067777946"/>
      <w:bookmarkStart w:id="1093" w:name="_Toc403"/>
      <w:bookmarkEnd w:id="1092"/>
      <w:r>
        <w:rPr>
          <w:rtl w:val="true"/>
        </w:rPr>
        <w:t xml:space="preserve">ب </w:t>
      </w:r>
      <w:r>
        <w:rPr>
          <w:rtl w:val="true"/>
        </w:rPr>
        <w:t xml:space="preserve">: </w:t>
      </w:r>
      <w:r>
        <w:rPr>
          <w:rtl w:val="true"/>
        </w:rPr>
        <w:t>الاتّفاق كاشف عن دليل معتبر</w:t>
      </w:r>
      <w:bookmarkEnd w:id="1093"/>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حجّية الاتّفاق ليس لأجل إفادتها القطع بالحكم ، بل لأجل كشفه عن وجود دليل معتبر وصل إليهم ولم يصل إلينا ، وهذا هو الذي اعتمد عليه صاحب الفصول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قول المعصوم عن دليل معتبر باتّفاق علمائنا الذين كان ديدنهم الانقطاع إلى الأئمّة في الأحكام وطريقتهم التحرّز عن القول بالرأي والاستحسان</w:t>
      </w:r>
      <w:r>
        <w:rPr>
          <w:rFonts w:eastAsia="Amiri" w:cs="Amiri" w:ascii="Amiri" w:hAnsi="Amiri"/>
          <w:color w:val="111111"/>
          <w:sz w:val="28"/>
          <w:szCs w:val="28"/>
          <w:rtl w:val="true"/>
          <w:lang w:bidi="ar-SA"/>
        </w:rPr>
        <w:t xml:space="preserve">. </w:t>
      </w:r>
      <w:r>
        <w:rPr>
          <w:rStyle w:val="FootnoteAnchor"/>
          <w:rtl w:val="true"/>
        </w:rPr>
        <w:footnoteReference w:id="925"/>
      </w:r>
      <w:bookmarkStart w:id="1094" w:name="pg10155_105762"/>
    </w:p>
    <w:p>
      <w:pPr>
        <w:pStyle w:val="Heading4"/>
        <w:numPr>
          <w:ilvl w:val="3"/>
          <w:numId w:val="1"/>
        </w:numPr>
        <w:rPr/>
      </w:pPr>
      <w:bookmarkStart w:id="1095" w:name="__RefHeading___Toc1273457_1067777946"/>
      <w:bookmarkStart w:id="1096" w:name="_Toc404"/>
      <w:bookmarkEnd w:id="1094"/>
      <w:bookmarkEnd w:id="1095"/>
      <w:r>
        <w:rPr>
          <w:rtl w:val="true"/>
        </w:rPr>
        <w:t xml:space="preserve">الثاني </w:t>
      </w:r>
      <w:r>
        <w:rPr>
          <w:rtl w:val="true"/>
        </w:rPr>
        <w:t xml:space="preserve">: </w:t>
      </w:r>
      <w:r>
        <w:rPr>
          <w:rtl w:val="true"/>
        </w:rPr>
        <w:t>الإجماع أصل برأسه عند السنّة</w:t>
      </w:r>
      <w:bookmarkEnd w:id="1096"/>
    </w:p>
    <w:p>
      <w:pPr>
        <w:pStyle w:val="BookText"/>
        <w:rPr/>
      </w:pPr>
      <w:r>
        <w:rPr>
          <w:rFonts w:ascii="Amiri" w:hAnsi="Amiri" w:eastAsia="Amiri" w:cs="Amiri"/>
          <w:color w:val="111111"/>
          <w:sz w:val="28"/>
          <w:sz w:val="28"/>
          <w:szCs w:val="28"/>
          <w:rtl w:val="true"/>
          <w:lang w:bidi="ar-SA"/>
        </w:rPr>
        <w:t>قد عرفت أنّ الإجماع عند أهل السنّة برأسه بشرط أن يكون في مورد الإجماع مستند ظني ، بل يظهر من الآمدي انّه لا يشترط المستند بل يجوز صدوره عن توفيق بأن يوفقهم الله تعالى لاختيار الصواب</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وعلى كلّ تقدير فالكلام في ثبوت مدّعاه وانّه أصل برأسه ، وقد استدل بآيات وروايات ، وقد أوضحنا حال الآيات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الفقه الإسلامي ومنابعه</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وانّها لا صلة للآيات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استدلّوا بروايات لا صلة لها بالمقصود ، مثل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مع الواحد وهو مع الاثنين أبعد</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 ، ولا يبالي الله بشذوذ من شذ</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على الحق ظاهرين لا يضرهم من خالفهم</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عن الجماعة أو فارق الجماعة قيد شبر فقد خلع ربقة الإسلام من عنقه</w:t>
      </w:r>
      <w:r>
        <w:rPr>
          <w:rFonts w:eastAsia="Amiri" w:cs="Amiri" w:ascii="Amiri" w:hAnsi="Amiri"/>
          <w:color w:val="111111"/>
          <w:sz w:val="28"/>
          <w:szCs w:val="28"/>
          <w:rtl w:val="true"/>
          <w:lang w:bidi="ar-SA"/>
        </w:rPr>
        <w:t xml:space="preserve">». </w:t>
      </w:r>
      <w:r>
        <w:rPr>
          <w:rStyle w:val="FootnoteAnchor"/>
          <w:rtl w:val="true"/>
        </w:rPr>
        <w:footnoteReference w:id="931"/>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فارق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 فميتة جاهلية</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إلى غيرها من الروايات أوردها الخضري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فإنّ هذه الروايات لا مساس لها بحجّية الإجماع ، وإنّما الغاية منها الدعوة إلى الأُلفة والتجمع ،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السواد الأعظم فانّه من شذّ شذّ في النار</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والمهم في المقام ما استندوا عليه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تجتمع أُمّتي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ألّفنا رسالة في بيان حال الحديث وأوضحنا انّ أكثرها ضعيف ، وعلى فرض صحة السند فهو خبر غير متواتر فلا يفيد العلم ، ومعه لا يمكن أن يحتج به على مسألة أُصولية</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يقول الطوفي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وإن تعدّدت ألفاظه ورواياته لا نسلم انّه بلغ رتبة التواتر المعنوي ، لأنّه إذا عرضنا هذا الخبر على أذهاننا ، وسخاء حاتم وشجاعة علي ونحوهما من المتواترات المعنوية ، وجدناها قاطعة بثبوت الرأي الثاني غير قاطعة بالأوّل ، فهو إذن في القوة دون سخاء حاتم وشجاعة علي ، وهما متواتران ، وما دون المتواتر ليس بمتواتر ، فهذا الخبر ليس بمتواتر لكنّه في غاية الاستفاضة</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وقال تاج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الحديث فلا أشك انّه اليوم غير متواتر ، بل لا يصحّ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منه طريق على السبيل الذي يرتضيه جهابذة الحفاظ ، ولكنّي أعتقد صحّة القدر المشترك من كلّ طرقه ، والأغلب على الظن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اجتماعها عن الخطأ</w:t>
      </w:r>
      <w:r>
        <w:rPr>
          <w:rFonts w:eastAsia="Amiri" w:cs="Amiri" w:ascii="Amiri" w:hAnsi="Amiri"/>
          <w:color w:val="111111"/>
          <w:sz w:val="28"/>
          <w:szCs w:val="28"/>
          <w:rtl w:val="true"/>
          <w:lang w:bidi="ar-SA"/>
        </w:rPr>
        <w:t xml:space="preserve">». </w:t>
      </w:r>
      <w:r>
        <w:rPr>
          <w:rStyle w:val="FootnoteAnchor"/>
          <w:rtl w:val="true"/>
        </w:rPr>
        <w:footnoteReference w:id="937"/>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حول سندها وأمّا الدلالة ففيها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جعل الملاك اتّفاق الأُمّة ، ومن المعلوم أنّ اتّفاقهم بعامّة أصنافهم حجّة إمّا برأسها أو لكشفها عن الدليل ، وأين هو من اتّفاق المجتهدين منهم في عصر واحد ، أو اتّفاق أهل الحديث كما في رأي مالك ، أو اتفاق أهل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أهل المصرين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اتّفاق الشيخين ، أو اتّفاق الخلفاء الأربع؟</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المنقول مسنداً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جاء الخطأ في غير الكتب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فالحديث على فرض ثبوته يرجع إلى المسائل العقائدية التي عليها مدار الهداية والضلالة ، أو ما يرجع إلى صلاح الأُمّة من وحدة الكلمة والاجتناب عن التشتت فيما يمس وحدة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المسائل الفقهية فلا يوصف المصيب والمخطئ فيها بالهداية والضلالة كما لا يكون مصير الشاذ فيها هو النار أو لا يكون الشاذ نصيب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فالاستدلال به على حجّية الإجماع في المسائل الفقهية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سعة دلالة الحديث فالمصون من الضلالة هو الأُمّة بما هي أُمّة ، لا الفقهاء فقط ، ولا أهل العلم ، ولا أهل الحلّ والعقد ، وعلى ذلك ينحصر مفاد الحديث بما اتّفقت عليه جميع الأُمّة من العقائد والأُصول</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مصونية الأُمّة كما يمكن أن يكون سببه كمال عقلها ، يمكن أن يكون لوجود معصوم فيهم ، والرواية ساكتة عنه ، فلا يمكن أن يستدلّ بالرواية على أنّ الأُمّة مع قطع النظر عن المعصوم مصونة عن الخطأ ، بل لما ثبت في محله انّ الزمان لا يخلو من إمام معصوم تكون عصمة الأُمّة بعصمة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1097" w:name="pg10155_105765"/>
    </w:p>
    <w:p>
      <w:pPr>
        <w:pStyle w:val="Heading3"/>
        <w:numPr>
          <w:ilvl w:val="2"/>
          <w:numId w:val="1"/>
        </w:numPr>
        <w:rPr/>
      </w:pPr>
      <w:bookmarkStart w:id="1098" w:name="__RefHeading___Toc1273459_1067777946"/>
      <w:bookmarkStart w:id="1099" w:name="_Toc405"/>
      <w:bookmarkEnd w:id="1097"/>
      <w:bookmarkEnd w:id="1098"/>
      <w:r>
        <w:rPr>
          <w:rtl w:val="true"/>
        </w:rPr>
        <w:t>الفصل الثامن</w:t>
      </w:r>
      <w:r>
        <w:rPr>
          <w:rtl w:val="true"/>
        </w:rPr>
        <w:t xml:space="preserve">: </w:t>
      </w:r>
      <w:r>
        <w:rPr>
          <w:rtl w:val="true"/>
        </w:rPr>
        <w:t>الخلاف في مسألة التخطئة والتصويب</w:t>
      </w:r>
      <w:bookmarkEnd w:id="1099"/>
    </w:p>
    <w:p>
      <w:pPr>
        <w:pStyle w:val="Heading4"/>
        <w:numPr>
          <w:ilvl w:val="3"/>
          <w:numId w:val="1"/>
        </w:numPr>
        <w:rPr/>
      </w:pPr>
      <w:bookmarkStart w:id="1100" w:name="__RefHeading___Toc1273461_1067777946"/>
      <w:bookmarkStart w:id="1101" w:name="_Toc406"/>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اتّفقت الشيعة الإمامية على أنّ لله سبحانه في كلّ واقعة حكماً شرعياً أُمر الرسول بتبليغه بلا واسطة أو من خلال بيان خلفائه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بسنده عن عمر بن قيس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يدع شيئاً تحتاج إليه الأُمّة إلاّ أنزله في كتابه وبيّنه لرسوله ، وجعل لكلّ شيء حدّاً وجعل عليه دليلاً يدلّ عليه ، وجعل على من تعدّى ذلك الحدّ 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بسنده عن حمّاد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وفيه كتاب أو سنّة</w:t>
      </w:r>
      <w:r>
        <w:rPr>
          <w:rFonts w:eastAsia="Amiri" w:cs="Amiri" w:ascii="Amiri" w:hAnsi="Amiri"/>
          <w:color w:val="111111"/>
          <w:sz w:val="28"/>
          <w:szCs w:val="28"/>
          <w:rtl w:val="true"/>
          <w:lang w:bidi="ar-SA"/>
        </w:rPr>
        <w:t xml:space="preserve">». </w:t>
      </w:r>
      <w:r>
        <w:rPr>
          <w:rStyle w:val="FootnoteAnchor"/>
          <w:rtl w:val="true"/>
        </w:rPr>
        <w:footnoteReference w:id="939"/>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الجامعة التي هي كتاب علي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كلّ ما يحتاج الناس إليه ، وليس من قضية إلاّ وهي فيها حتّى أرش الخدش</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إلى غير ذلك من الروايات الحاكية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هذه الأحاديث ، اتّفقت الشيعة الإمامية على أنّ لله سبحانه في كلّ واقعة حكماً بيّنه الرسول مباشرة أو عن طريق خلفائه ، والمجتهد إمّا مصيب أو مخطئ ، فلذلك عرفت بالمخطئة أي لا يصوّبون آراء المجتهدين عامة في كلّ مسألة ، بل المصيب واحد وغيره 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لدى الشيعة ، وأمّا السنّة فقد اشتهروا بالتصويب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ورد النصّ في حكم واقعة خاصة يبيّن حكمها فلا أظنّ أنّ أحداً يصف المجتهد بالتصويب ، بل المصيب واحد ، وغيره 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فمسألة التصويب مختصّة بما إذا لم يكن في الواقعة نصّ ، كما نصّ به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المصوبة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للأشاعرة والآخر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الواقعة التي لا نصّ فيها حكم معيّن يُطلب بالظن ، بل الحكم يتبع الظن ، وحكم الله تعالى على كلّ مجتهد ما غلب على ظنه ، وهو المختار ، وإليه ذهب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من المصوبة إلى أنّ في تلك الواقعة حكماً معيناً يتوجه إليه الطلب ، إذ لا بدّ للطلب من مطلوب ، لكن لم يكلف المجتهد إصابتَه ، فلذلك كان مصيباً وإن أخطأ ذلك الحكم المعيّن الذي لم يؤمر بإصابته</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وربما ينسب القول الثاني في كتب الأُصول </w:t>
      </w:r>
      <w:r>
        <w:rPr>
          <w:rStyle w:val="FootnoteAnchor"/>
          <w:rtl w:val="true"/>
        </w:rPr>
        <w:footnoteReference w:id="942"/>
      </w:r>
      <w:r>
        <w:rPr>
          <w:rFonts w:ascii="Amiri" w:hAnsi="Amiri" w:eastAsia="Amiri" w:cs="Amiri"/>
          <w:color w:val="111111"/>
          <w:sz w:val="28"/>
          <w:sz w:val="28"/>
          <w:szCs w:val="28"/>
          <w:rtl w:val="true"/>
          <w:lang w:bidi="ar-SA"/>
        </w:rPr>
        <w:t>إلى المعتزلة ، ويظهر من الغزالي فيما يأتي انّه خيرة الشافعي</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عدل صاحب القول الثاني عن تصويب الأشاعرة ، لأجل توجّه الدور </w:t>
      </w:r>
      <w:bookmarkStart w:id="1102" w:name="pg10155_105767"/>
    </w:p>
    <w:p>
      <w:pPr>
        <w:pStyle w:val="BookText"/>
        <w:rPr/>
      </w:pPr>
      <w:bookmarkEnd w:id="1102"/>
      <w:r>
        <w:rPr>
          <w:rFonts w:ascii="Amiri" w:hAnsi="Amiri" w:eastAsia="Amiri" w:cs="Amiri"/>
          <w:color w:val="111111"/>
          <w:sz w:val="28"/>
          <w:sz w:val="28"/>
          <w:szCs w:val="28"/>
          <w:rtl w:val="true"/>
          <w:lang w:bidi="ar-SA"/>
        </w:rPr>
        <w:t>إليه ، لأنّه إذا لم يكن لله سبحانه فيما لا نصّ فيه حكم معيّن فما معنى الطلب وبذل الجهد؟ فالطلب موقوف على وجود الحكم لله سبحانه ، والمفروض انّه تابع لرأي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القول الثاني فالمفروض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حكماً معيناً يتوجّه إليه الطلب لكن المجتهد غير مكلّف بإصابته ، فلذلك يكون مصيباً وإن كان قد أخطأ ذلك الحكمَ المعين الذي لم يؤمر بإصابته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التصويب بالمعنى الثاني إلى الشافعي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المصوبة فقد اختلفوا فيه ، فذهب بعضهم إلى إثباته وإليه تشير نصوص الشافعي لأنّه لا بدّ للطالب من مطلوب ، وربّما عبروا عنه بأنّ مطلوب المجتهد الأشبه عند الله تعالى والأشبه معين عند الله</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وقال الخضري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المجتهد لم يكلّف بإصابته ، فلذلك كان مصيباً وإن أخطأ ذلك المعين الذي لم يؤمر بإصابته</w:t>
      </w:r>
      <w:r>
        <w:rPr>
          <w:rFonts w:eastAsia="Amiri" w:cs="Amiri" w:ascii="Amiri" w:hAnsi="Amiri"/>
          <w:color w:val="111111"/>
          <w:sz w:val="28"/>
          <w:szCs w:val="28"/>
          <w:rtl w:val="true"/>
          <w:lang w:bidi="ar-SA"/>
        </w:rPr>
        <w:t xml:space="preserve">. </w:t>
      </w:r>
      <w:r>
        <w:rPr>
          <w:rStyle w:val="FootnoteAnchor"/>
          <w:rtl w:val="true"/>
        </w:rPr>
        <w:footnoteReference w:id="944"/>
      </w:r>
    </w:p>
    <w:p>
      <w:pPr>
        <w:pStyle w:val="Heading4"/>
        <w:numPr>
          <w:ilvl w:val="3"/>
          <w:numId w:val="1"/>
        </w:numPr>
        <w:rPr/>
      </w:pPr>
      <w:bookmarkStart w:id="1103" w:name="__RefHeading___Toc1273463_1067777946"/>
      <w:bookmarkStart w:id="1104" w:name="_Toc407"/>
      <w:bookmarkEnd w:id="1103"/>
      <w:r>
        <w:rPr>
          <w:rtl w:val="true"/>
        </w:rPr>
        <w:t>قول ثالث في التصويب</w:t>
      </w:r>
      <w:bookmarkEnd w:id="1104"/>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القول بإنكار الحكم الإلهي في الوقائع التي لا نصّ فيها ، يحبط من جامعية الإسلام في مجالي العقيدة والشريعة ، حاول بعض أهل السنّة تفسير التصويب بمعنى لا يخالف ذلك ، ومجمل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بالتصويب ليس بمعنى نفي حكم الله في الواقع ، وانّ حكم الله تابع لرأي المفتي ، بل هو في قبال القول بالتأثيم وانّ المجتهد إذا أخطأ يأثم ، فصار القائل بالتصويب يعني نفي الإثم لا إصابة الواقع ، فعليه يصير النزاع في التصويب والتخطئة لفظياً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ضوء ذلك فالمراد من التصويب هو نفي القول بالإثم الذي أصرّ عليه بشر المريسيّ لا إصابة كلّ مجتهد للحق الملازم لنفي الحكم المشترك ، وكيف يمكن نسبة القول بالتصويب بمعنى نفي حكم الله في الواقعة مع أنّهم رووا في كتبهم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الحاكم فاجتهد فأصاب فله أجران وإذا أخطأ فله أجر</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وممّن جزم بالمعنى الثالث الشوكاني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المجتهد لا يأثم بالخطإ ، بل يؤجر على الخطأ بعد أن يُوفي الاجتهاد حقّه ، ولم نقل انّه مصيب للحقّ الذي هو حكم الله في المسألة ، فإنّ هذا خلاف ما نطق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اجتهد الحاكم فأصاب فله أجران وإن أخطأ فله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انّ الأقوال في تخطئة المجتهد وتصويبه لا يتجاوز عن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لله سبحانه في كلّ واقعة حكماً واقعياً بلّغه الرسول مباشرة أو غير مباشرة ، والمجتهد إمّا يصيبه أو يخطأه ، وهذا ما عليه الإمامية ، وهو مقتضى إكمال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لله تعالى في الواقعة التي ليس فيها نصّ حكم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المنسوب إلى الأشاعرة واختاره الغزالي ، وقد أطال الكلام في تقريبه ودفع ما يورد عليه من الشبه ، وقد تصعّد وتصوب ولكنّه لم يتمكن من رفع الدور المتوجه إلى هذه النظرية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لله سبحانه في كلّ واقعة حكماً معيناً يتوجه إلى الطلب ، إذ لا بدّ </w:t>
      </w:r>
    </w:p>
    <w:p>
      <w:pPr>
        <w:pStyle w:val="BookText"/>
        <w:rPr/>
      </w:pPr>
      <w:r>
        <w:rPr>
          <w:rFonts w:ascii="Amiri" w:hAnsi="Amiri" w:eastAsia="Amiri" w:cs="Amiri"/>
          <w:color w:val="111111"/>
          <w:sz w:val="28"/>
          <w:sz w:val="28"/>
          <w:szCs w:val="28"/>
          <w:rtl w:val="true"/>
          <w:lang w:bidi="ar-SA"/>
        </w:rPr>
        <w:t>للطلب من مطلوب لكن المجتهد لم يكلّف إصابته ، فلذلك كان مصيباً وإن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المنسوب إلى الإمام الشافعي وفي الكتب الأُصولية للمعتزلة كما مرّ</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المراد من التصويب هو رفع الإثم لا إصابة المجتهد ، وفي الحقيقة يتفق هو مع الإمامية في أنّ لله سبحانه في كلّ واقعة حكماً معيناً لكن خطأ المجتهد لا يستلزم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قول خامس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المجتهد الذي أخطأ الدليل القطعي آثم غير فاسق ولا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بشر المريسي ، ونسبه الغزالي والآمدي إلى ابن عليّة وأبي بكر الأصم ، وهؤلاء هم المؤثمة</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وقد عرفت مقتضى الأدلّة هو التخطئة مطلقاً ، وأمّا الأجر مع التخطئة فهو رهن ثبوت الدليل على الأجر ولعلّه غير بعيد حسب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هو الحافز للقول بالتصويب بالمعنيين الأوّلين فيُكْمن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النصوص بين أهل السنّة فاستنتج منها عدم الحكم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المسائل التي لا نصّ فيها فيعلم أنّه لا حكم فيها ، لأنّ حكم الله تعالى خطابُه ، وخطابه يعرف بأن يُسمع من الرسول ، أو يدلّ عليه دليل قاطع من نقل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سكوته ، فانّه قد يعرفنا خطاب الله من غير استماع صيغة ، فإذا لم يكن خطاب لا مسموع ولا مدلول عليه فكيف يكون فيه حكم؟ فقليل النبيذ إن اعتقد فيه كونه عند الله حراماً فمعنى تحريمه انّه قيل فيه لا تشربوه ، وهذا خطاب والخطاب يستدعي مخاطباً ، والمخاطب به هم الملائكة أو الجن أو الآدميون ، ولا بدّ أن يكون المخاطب به هم المكلّفون من الآدميين ، ومتى </w:t>
      </w:r>
    </w:p>
    <w:p>
      <w:pPr>
        <w:pStyle w:val="BookText"/>
        <w:rPr/>
      </w:pPr>
      <w:r>
        <w:rPr>
          <w:rFonts w:ascii="Amiri" w:hAnsi="Amiri" w:eastAsia="Amiri" w:cs="Amiri"/>
          <w:color w:val="111111"/>
          <w:sz w:val="28"/>
          <w:sz w:val="28"/>
          <w:szCs w:val="28"/>
          <w:rtl w:val="true"/>
          <w:lang w:bidi="ar-SA"/>
        </w:rPr>
        <w:t>خوطبوا ولم ينزل فيه نصّ ، بل هو مسكوت عنه غير منطوق به ولا مدلول عليه بدليل قاطع سوى النطق ، فإذن لا يعقل خطاب لا مخاطب به ، كما لا يعقل علم لا معلوم له وقتل لا مقتول له ، ويستحيل أن يخاطب من لا يسمع الخطاب ولا يعرفه بدليل</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فاستنتج من عدم ورود النص في الصحاح والسنن والمسانيد ، عدم ورود النصّ من الشارع ، ولكنّه لو رجع إلى أحاديث أئمّة أهل البيت المروية عن النبي بأسانيد لا غبار عليها ، لوقف على النصّ في أكثر المسائل ووجود الإطلاقات والعمومات والعمل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لدى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الحافز عند الشافعي الذي ذهب إلى وجود الحكم في كلّ واقعة لله سبحانه ولكنّه لم يكلّف بإصابته هو وجود الإشكال في الجمع بين الحكم الواقعي عند الله سبحانه والأمارات الظنية التي ثبتت حجّيتها مع العلم ، وذلك لأنّ بعضها يخالف الحكم الواقعي المعيّن عند الله ، فلم يجد بدّاً لأجل الجمع بين الحكم الواقعي وحجّية هذه الأمارات بالقول بعدم تكليف المجتهد بإصابة الواقع وعندئذ يرفع اليد عن الأحكام الواقعية المعيّنة عند الله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يعبّر عنه في علم الأُصول الإمامي بانقلاب الحكم الواقعي إلى ما في الأمارات والأُصول ، ولنا حول الجمع بين الحكم الواقعي ، ومفاد الأمارات والأُصول العملية بحوث رائعة لا يسع المجال لإيرادها ، ومن حاول التوسع فليرجع إلى المصدرين التاليين</w:t>
      </w:r>
      <w:r>
        <w:rPr>
          <w:rFonts w:eastAsia="Amiri" w:cs="Amiri" w:ascii="Amiri" w:hAnsi="Amiri"/>
          <w:color w:val="111111"/>
          <w:sz w:val="28"/>
          <w:szCs w:val="28"/>
          <w:rtl w:val="true"/>
          <w:lang w:bidi="ar-SA"/>
        </w:rPr>
        <w:t xml:space="preserve">. </w:t>
      </w:r>
      <w:r>
        <w:rPr>
          <w:rStyle w:val="FootnoteAnchor"/>
          <w:rtl w:val="true"/>
        </w:rPr>
        <w:footnoteReference w:id="949"/>
      </w:r>
      <w:bookmarkStart w:id="1105" w:name="pg10155_105771"/>
    </w:p>
    <w:p>
      <w:pPr>
        <w:pStyle w:val="Heading3"/>
        <w:numPr>
          <w:ilvl w:val="2"/>
          <w:numId w:val="1"/>
        </w:numPr>
        <w:rPr/>
      </w:pPr>
      <w:bookmarkStart w:id="1106" w:name="__RefHeading___Toc1273465_1067777946"/>
      <w:bookmarkStart w:id="1107" w:name="_Toc408"/>
      <w:bookmarkEnd w:id="1105"/>
      <w:bookmarkEnd w:id="1106"/>
      <w:r>
        <w:rPr>
          <w:rtl w:val="true"/>
        </w:rPr>
        <w:t>الفصل التاسع</w:t>
      </w:r>
      <w:r>
        <w:rPr>
          <w:rtl w:val="true"/>
        </w:rPr>
        <w:t xml:space="preserve">: </w:t>
      </w:r>
      <w:r>
        <w:rPr>
          <w:rtl w:val="true"/>
        </w:rPr>
        <w:t>انفتاح باب الاجتهاد عند الشيعة وانسداده عند السنّة</w:t>
      </w:r>
      <w:bookmarkEnd w:id="1107"/>
    </w:p>
    <w:p>
      <w:pPr>
        <w:pStyle w:val="Heading4"/>
        <w:numPr>
          <w:ilvl w:val="3"/>
          <w:numId w:val="1"/>
        </w:numPr>
        <w:rPr/>
      </w:pPr>
      <w:bookmarkStart w:id="1108" w:name="__RefHeading___Toc1273467_1067777946"/>
      <w:bookmarkStart w:id="1109" w:name="_Toc409"/>
      <w:bookmarkEnd w:id="1108"/>
      <w:r>
        <w:rPr/>
        <w:t>1</w:t>
      </w:r>
      <w:r>
        <w:rPr>
          <w:rtl w:val="true"/>
        </w:rPr>
        <w:t xml:space="preserve">. </w:t>
      </w:r>
      <w:r>
        <w:rPr>
          <w:rtl w:val="true"/>
        </w:rPr>
        <w:t>الاجتهاد لغة واصطلاحاً</w:t>
      </w:r>
      <w:bookmarkEnd w:id="1109"/>
    </w:p>
    <w:p>
      <w:pPr>
        <w:pStyle w:val="BookText"/>
        <w:rPr/>
      </w:pPr>
      <w:r>
        <w:rPr>
          <w:rFonts w:ascii="Amiri" w:hAnsi="Amiri" w:eastAsia="Amiri" w:cs="Amiri"/>
          <w:color w:val="111111"/>
          <w:sz w:val="28"/>
          <w:sz w:val="28"/>
          <w:szCs w:val="28"/>
          <w:rtl w:val="true"/>
          <w:lang w:bidi="ar-SA"/>
        </w:rPr>
        <w:t xml:space="preserve">الاجتهاد مأخوذ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الطاقة والوسع ، وبفتحها بمعنى المشقة ، فإذا كان من باب الافتعال يراد به إمّا بذل الوسع والطاقة في طلب الشيء ، أو تحمّل المشقّة</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وأمّا في اصطلاح الأُصوليّين فعرّفه الغزّالي بأنّه بذل المجتهد وسعه في طلب العلم بأحكام الشريعة ، والاجتهاد التام هو أن يبذل الوسع بحيث يحسّ من نفسه بالعجز من مزيد الطلب</w:t>
      </w:r>
      <w:r>
        <w:rPr>
          <w:rFonts w:eastAsia="Amiri" w:cs="Amiri" w:ascii="Amiri" w:hAnsi="Amiri"/>
          <w:color w:val="111111"/>
          <w:sz w:val="28"/>
          <w:szCs w:val="28"/>
          <w:rtl w:val="true"/>
          <w:lang w:bidi="ar-SA"/>
        </w:rPr>
        <w:t xml:space="preserve">. </w:t>
      </w:r>
      <w:r>
        <w:rPr>
          <w:rStyle w:val="FootnoteAnchor"/>
          <w:rtl w:val="true"/>
        </w:rPr>
        <w:footnoteReference w:id="951"/>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مشتمل على الدور الواضح حيث أُخذ المعرّف في التعريف</w:t>
      </w:r>
      <w:r>
        <w:rPr>
          <w:rFonts w:eastAsia="Amiri" w:cs="Amiri" w:ascii="Amiri" w:hAnsi="Amiri"/>
          <w:color w:val="111111"/>
          <w:sz w:val="28"/>
          <w:szCs w:val="28"/>
          <w:rtl w:val="true"/>
          <w:lang w:bidi="ar-SA"/>
        </w:rPr>
        <w:t xml:space="preserve">. </w:t>
      </w:r>
      <w:bookmarkStart w:id="1110" w:name="pg10155_105772"/>
    </w:p>
    <w:p>
      <w:pPr>
        <w:pStyle w:val="BookText"/>
        <w:rPr/>
      </w:pPr>
      <w:bookmarkEnd w:id="1110"/>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الاجتهاد تارة يكون تحصيل العلم بالحكم الشرعي وأُخرى تحصيل الحجّة القطعية عليه ، وكون الشيء حجّة قطعية لا يلازم كون مفاده قطعياً وعلماً واقعياً بالحكم الشرعي ، كما في الخبر الواحد القائم على حكم من الأحكام ، فقد قام الدليل القطعي على حجّيته ، فهو حجّة قطعاً ومع ذلك لا يفيد العلم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التعاريف ما عرّفه الشيخ بهاء الدين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ملكة يقتدر بها على استنباط الحكم الشرعي الفرعي من الأصل ، فعلاً أو قوّة قريبة من الفعل</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 أو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قيدان للاستنباط لا للملكة للزوم فعلية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من الاجتهاد أعمّ من استنباط الحكم الشرعي الفرعي أو الوظيفة الفعلية ، كالبراءة والاشتغال عند اليأس عن الدليل الاجتهادي</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273469_1067777946"/>
      <w:bookmarkStart w:id="1112" w:name="_Toc410"/>
      <w:bookmarkEnd w:id="1111"/>
      <w:r>
        <w:rPr/>
        <w:t>2</w:t>
      </w:r>
      <w:r>
        <w:rPr>
          <w:rtl w:val="true"/>
        </w:rPr>
        <w:t xml:space="preserve">. </w:t>
      </w:r>
      <w:r>
        <w:rPr>
          <w:rtl w:val="true"/>
        </w:rPr>
        <w:t>الاجتهاد المطلق والاجتهاد في مذهب خاص</w:t>
      </w:r>
      <w:bookmarkEnd w:id="1112"/>
    </w:p>
    <w:p>
      <w:pPr>
        <w:pStyle w:val="BookText"/>
        <w:rPr/>
      </w:pPr>
      <w:r>
        <w:rPr>
          <w:rFonts w:ascii="Amiri" w:hAnsi="Amiri" w:eastAsia="Amiri" w:cs="Amiri"/>
          <w:color w:val="111111"/>
          <w:sz w:val="28"/>
          <w:sz w:val="28"/>
          <w:szCs w:val="28"/>
          <w:rtl w:val="true"/>
          <w:lang w:bidi="ar-SA"/>
        </w:rPr>
        <w:t>المراد من الاجتهاد المطلق هو أن يجتهد على وفق الأُصول والمعايير التي حصلها قبل الاستنباط واعتمد عليها في علم الأُصول وغيره وأثبت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يستنبط الحكم الشرعي على وفق المنهاج الذي اختاره بنفسه ، والمراد من الاجتهاد في المذهب هو الاجتهاد على وفق الأُصول التي قررها إمام مذهبه ويلتزم بمنهاجه وأُصوله التي اعتبرها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يخالف الواحد منهم مذهب إمامه في بعض الأحكام الفرعية ، </w:t>
      </w:r>
      <w:bookmarkStart w:id="1113" w:name="pg10155_105773"/>
    </w:p>
    <w:p>
      <w:pPr>
        <w:pStyle w:val="BookText"/>
        <w:rPr/>
      </w:pPr>
      <w:bookmarkEnd w:id="1113"/>
      <w:r>
        <w:rPr>
          <w:rFonts w:ascii="Amiri" w:hAnsi="Amiri" w:eastAsia="Amiri" w:cs="Amiri"/>
          <w:color w:val="111111"/>
          <w:sz w:val="28"/>
          <w:sz w:val="28"/>
          <w:szCs w:val="28"/>
          <w:rtl w:val="true"/>
          <w:lang w:bidi="ar-SA"/>
        </w:rPr>
        <w:t>ومن هؤلاء الحسن بن زياد من الحنفية ، وابن القاسم وأشهب من المالكية ، والبويطي والمازني من الشافعية</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ثمّ إنّ مهمة الصنف الثاني تتلخص في الأُمور التالية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بالنحو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المسائل التي لا رواية فيها عن إمام المذهب وفق الأُصول المجعولة من قبله وبالقياس على ما اجتهد فيها من الفروع ، كالخصاف والطحاوي والكرخي من الحنفية ، واللخمي وابن العربي وابنُ رشيد من المالكية ، والغزالي والاسفراييني من الشافعية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الذي لا يتجاوز تفسير قول مجمل من أقوال أئمتهم أو تعيين وجه معين لحكم يحتمل وجهين فإليهم المرجع في إزالة الخفاء والغموض الذي يوجد في بعض أقوال الأئمّة وأحكامهم ، كالجصاص وأضرابه من علماء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اجتهاد أهل الترجيح بمعنى الموازنة بين ما روي عن أئمّتهم من الروايات المختلفة ، وترجيح بعض على بعض من جهة الرواية أو من جهة الدراية ، كأن يقول المجتهد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أصحّ رواية وهذا أولى النقول بالقبول ، أو هذا أوفق للقياس أو أرفق للناس ، ومن هؤلاء القدوري وصاحب الهداية وأضرابهما من علماء الحنفية</w:t>
      </w:r>
      <w:r>
        <w:rPr>
          <w:rFonts w:eastAsia="Amiri" w:cs="Amiri" w:ascii="Amiri" w:hAnsi="Amiri"/>
          <w:color w:val="111111"/>
          <w:sz w:val="28"/>
          <w:szCs w:val="28"/>
          <w:rtl w:val="true"/>
          <w:lang w:bidi="ar-SA"/>
        </w:rPr>
        <w:t xml:space="preserve">. </w:t>
      </w:r>
      <w:r>
        <w:rPr>
          <w:rStyle w:val="FootnoteAnchor"/>
          <w:rtl w:val="true"/>
        </w:rPr>
        <w:footnoteReference w:id="954"/>
      </w:r>
    </w:p>
    <w:p>
      <w:pPr>
        <w:pStyle w:val="Heading4"/>
        <w:numPr>
          <w:ilvl w:val="3"/>
          <w:numId w:val="1"/>
        </w:numPr>
        <w:rPr/>
      </w:pPr>
      <w:bookmarkStart w:id="1114" w:name="__RefHeading___Toc1273471_1067777946"/>
      <w:bookmarkStart w:id="1115" w:name="_Toc411"/>
      <w:bookmarkEnd w:id="1114"/>
      <w:r>
        <w:rPr/>
        <w:t>3</w:t>
      </w:r>
      <w:r>
        <w:rPr>
          <w:rtl w:val="true"/>
        </w:rPr>
        <w:t xml:space="preserve">. </w:t>
      </w:r>
      <w:r>
        <w:rPr>
          <w:rtl w:val="true"/>
        </w:rPr>
        <w:t>لزوم فتح باب الاجتهاد</w:t>
      </w:r>
      <w:bookmarkEnd w:id="1115"/>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الاجتهاد رمز خلود الدين وبقاء قوانينه ، لأنّه يحفظ غضاضة الدين </w:t>
      </w:r>
    </w:p>
    <w:p>
      <w:pPr>
        <w:pStyle w:val="BookText"/>
        <w:rPr/>
      </w:pPr>
      <w:r>
        <w:rPr>
          <w:rFonts w:ascii="Amiri" w:hAnsi="Amiri" w:eastAsia="Amiri" w:cs="Amiri"/>
          <w:color w:val="111111"/>
          <w:sz w:val="28"/>
          <w:sz w:val="28"/>
          <w:szCs w:val="28"/>
          <w:rtl w:val="true"/>
          <w:lang w:bidi="ar-SA"/>
        </w:rPr>
        <w:t>وطراوته ، ويجدّده ويصونه عن الاندراس ، ويغني المسلمين عن موائد الأجانب ، بإعطائه كلّ موضوع ما يقتضيه من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لزوم فتح هذا الباب في أعصارنا هذه فلا يحتاج إلى البرهنة والدليل ، إذ نحن في زمن تتوالى فيه الاختراعات والصناعات ، وتستجدّ الحوادث التي لم يكن لها مثيل فيما غبر ، وتجعلنا هذه المجالات امام أحد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بذل الوسع في استنباط أحكام الموضوعات الحديثة ، من الأُصول والقواعد الإسلامية أو اتّباع المبادئ الأُوروبية ، من غير نظر إلى مقاصد الشريعة ، وإمّا الوقوف من غير إعطاء حكم</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وليس الاجتهاد من البدع المحدثة ، فانّه كان مفتوحاً في زمن النبوة وبين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غيرهم وفضلاً عن سائر الأزمنة التي بعده ، نعم غايته انّ الاجتهاد يومئذ كان خفيف المئونة جدّاً لقرب العهد وتوفر القرائن وإمكان السؤال المفيد للعلم القاطع ، ثمّ كلّما بعد العهد من زمن الرسالة وكثرت الآراء والأحاديث والروايات ، ربّما قد دخل فيها الدسّ والوضع ، وتوفرت دواعي الكذب على النبي ، أخذ الاجتهاد ومعرفة الحكم الشرعي ، يصعب ويحتاج إلى مزيد من المئونة واستفراغ الوسع</w:t>
      </w:r>
      <w:r>
        <w:rPr>
          <w:rFonts w:eastAsia="Amiri" w:cs="Amiri" w:ascii="Amiri" w:hAnsi="Amiri"/>
          <w:color w:val="111111"/>
          <w:sz w:val="28"/>
          <w:szCs w:val="28"/>
          <w:rtl w:val="true"/>
          <w:lang w:bidi="ar-SA"/>
        </w:rPr>
        <w:t xml:space="preserve">. </w:t>
      </w:r>
      <w:r>
        <w:rPr>
          <w:rStyle w:val="FootnoteAnchor"/>
          <w:rtl w:val="true"/>
        </w:rPr>
        <w:footnoteReference w:id="956"/>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هذا الباب مفتوحاً عند الشيعة ، من زمن صاحب الرسالة إلى يومنا هذا ، وقد تخرج منهم الآلاف من المجتهدين والفقهاء ، قد أحيوا الشريعة وأنقذوها من الانطماس ، وأغنوا بذلك الأُمّة الإسلامية في كلّ مصر وعصر ، عن التطلّع إلى موائد الغربيّين ، وألّفوا مختصرات ومطوّلات لا يحصيها إلاّ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اقتدى الشيعة في فتح هذا الباب على مصراعيه في وجه الأُمّة بأئمّة دينهم وخلفاء رسولهم الذين حثُّوا شيعتهم بأقوالهم وأفعالهم على التفقّه في الدين والاجتهاد فيه ،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يتفقه فهو 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وأرشدوهم إلى كيفية استخراج الفروع المتشابكة من الآيات والقواعد المتلقاة عنهم ، بالتدبّر فيهما ، وأمروا أصحابهم بالتفريع ، وقد بلغت عنايتهم بذلك إلى حد دفعهم إلى تنصيب بعض من يعبأ بقوله ورأيه ، لمنصب الإفتاء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أهل السنّة قد أقفلوا باب الاجتهاد إلاّ الاجتهاد في مذهب خاص ، وبما انّ الفتاوى المنقولة عن الأئمّة مختلفة ، أخذ علماء كلّ مذهب يبذلون جهدهم لتشخيص ما هو رأي كلّ إمام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لما ذا أقفل هذا الباب المفتوح من زمن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تفلسف في بيان وجهه بعض الكتّاب من متأخّريهم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مجرّد إغلاق باب الاجتهاد باجتماع بعض العلماء وإصدار قرار منهم ، وإنّما كان حالة نفسية واجتماعية ، ذلك انّهم رأوا غزو التتر لبغداد وعسفهم بالمسلمين ، فخافوا على الإسلام ، ورأوا انّ أقصى ما يصبون إليه هو أن يصلوا إلى الاحتفاظ بتراث الأئمة ممّا وضعوه واستنبطوه</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ولا يخفى ما في اعتذاره من الإشكال ، وسوف يوافيك بيان الأسباب الّتي أدّت إلى الاغلاق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زمان إقفاله فيظهر من المقريزي في خططه انّه أقفل عام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قال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تولّى القاضي أبو يوسف القضاء من قبل هارون الرشيد بعد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صار قاضي القضاة ، فكان لا يولّي القضاء إلاّ من أراده ، ولمّا كان هو من </w:t>
      </w:r>
    </w:p>
    <w:p>
      <w:pPr>
        <w:pStyle w:val="BookText"/>
        <w:rPr/>
      </w:pPr>
      <w:r>
        <w:rPr>
          <w:rFonts w:ascii="Amiri" w:hAnsi="Amiri" w:eastAsia="Amiri" w:cs="Amiri"/>
          <w:color w:val="111111"/>
          <w:sz w:val="28"/>
          <w:sz w:val="28"/>
          <w:szCs w:val="28"/>
          <w:rtl w:val="true"/>
          <w:lang w:bidi="ar-SA"/>
        </w:rPr>
        <w:t>أخصّ تلاميذ أبي حنيفة فكان لم ينصب للقضاء ببلاد خراسان والشام والعراق وغيرهما إلاّ من كان مقلّداً لأبي حنيفة ، فهو الذي تسبّب في نشر مذهب الحنفية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أوان انتشار مذهب الحنفية في المشرق نشر مذهب مالك في إفريقية المغرب ، بسبب زياد بن عبد الرحمن ، فانّه أوّل من حمل مذهب مالك إليها ، وأوّل من حمل مذهب مالك إلى مصر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مذهب محمد بن إدريس الشافعي في مصر بعد قدومه إليها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المذهب في مصر لمالك والشافعي إلى أن أتى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بجيوشِ مولاه المعز لدين الله أبي تميم معد الخليفة الفاطمي إلى مصر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بها مذهب الشيعة حتّى لم يبق بها مذهب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سوى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المقريزي بيّن بدء انحصار المذاهب في أربعة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فاستمرت ولاية القضاة الأربعة من سنة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في مجموع أمصار الإسلام مذهب يعرف من مذاهب الإسلام غير هذه الأربعة ، وعودي من تمذهب بغيرها ، وأُنكر عليه ، ولم يُولّ قاض ولا قُبلت شهادة أحد ما لم يكن مقلّداً لأحد هذه المذاهب ، وأفتى فقهاؤهم في هذه الأمصار في طول هذه المدة بوجوب اتّباع هذه المذاهب وتحريم ما عداها والعمل على هذا ، إلى اليوم</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الكلمة 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وتحريم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عن أعظم المصائب التي واجه بها الإسلام ، حيث إنّه قد مضى على الإسلام ما يقرب من سبعة قرون ومات فيها على دين الإسلام ما لا يحصي عددهم إلاّ ربهم ، ولم يسمع أحد من أهل القرنين الأوّلين اسم المذاهب أبداً ، وفيما بعد القرنين كان المسلمون بالنسبة إلى </w:t>
      </w:r>
    </w:p>
    <w:p>
      <w:pPr>
        <w:pStyle w:val="BookText"/>
        <w:rPr/>
      </w:pPr>
      <w:r>
        <w:rPr>
          <w:rFonts w:ascii="Amiri" w:hAnsi="Amiri" w:eastAsia="Amiri" w:cs="Amiri"/>
          <w:color w:val="111111"/>
          <w:sz w:val="28"/>
          <w:sz w:val="28"/>
          <w:szCs w:val="28"/>
          <w:rtl w:val="true"/>
          <w:lang w:bidi="ar-SA"/>
        </w:rPr>
        <w:t xml:space="preserve">الأحكام الفرعية في غاية من السعة والحرية ، كان يقلّد عامّيهم من اعتمد عليه من المجتهدين ، وكان المجتهدون يستنبطون الأحكام عن الكتاب والسنّة على موازينهم المقررة عندهم في العمل بالسنّة النبوية ، فأي شيء أوجب في هذا التاريخ على عامّة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العامّي المقلّد والفقيه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أحد في الأحكام الشرعية عن حد تقليد الأئمة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دليل شرعي صار اتّباع أحد المذاهب الأربعة واجباً مخيراً ، والرجوع إلى ما ورائها حراماً معيناً مع علمنا بأحوال جميع المذاهب من بدئها وكيفية نشرها وتأثير العوامل في تقدّم بعضها على غيرها ، بالقهر والغلبة من الدولة والحكومة ، كما أوضح عن بعض ذلك ما ذكره ابن الفوطي في الحوادث الجامعة ،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قبل انقراض بني العباس بإحدى عشرة سنة في أيام المستعصم الذي قتله هولاكو ،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فلاحظ ذلك الكتاب</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وقد خلّف هذا الوضع أثراً سلبياً عجيباً ، وهو انّ انتصار كلّ حاكم من الحكام لمذهب من المذاهب ، صار سبباً لانقراض كثير من المذاهب ؛ كمذهب سفيان الثوري ، وسفيان بن عينية ، وعبد الله بن مبارك ، وابن عمر ، والأوزاعي ، ومحمد بن عبد الرحمن بن أبي ليلى ، وليث بن سعد ، وداود بن علي ، وأبي ثور ، وابن جرير الطبري ، وغيرهم</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كانت الدولة العباسية تثبّت دعائم مذهب أبي حنيفة ، فيولّى القضاء من كان متّبعاً لهذا المذهب ، ولمّا استولى الفاطميون على مصر نشروا المذهب الإسماعيلي ومنعوا التفقّه على مذهب أبي حنيفة ، لأنّه مذهب الدولة العباسية وسمحوا بالتفقّه على المذهب المالكي والشافعي والحنبلي</w:t>
      </w:r>
      <w:r>
        <w:rPr>
          <w:rFonts w:eastAsia="Amiri" w:cs="Amiri" w:ascii="Amiri" w:hAnsi="Amiri"/>
          <w:color w:val="111111"/>
          <w:sz w:val="28"/>
          <w:szCs w:val="28"/>
          <w:rtl w:val="true"/>
          <w:lang w:bidi="ar-SA"/>
        </w:rPr>
        <w:t xml:space="preserve">. </w:t>
      </w:r>
      <w:bookmarkStart w:id="1116" w:name="pg10155_105778"/>
    </w:p>
    <w:p>
      <w:pPr>
        <w:pStyle w:val="Heading4"/>
        <w:numPr>
          <w:ilvl w:val="3"/>
          <w:numId w:val="1"/>
        </w:numPr>
        <w:rPr/>
      </w:pPr>
      <w:bookmarkStart w:id="1117" w:name="__RefHeading___Toc1273473_1067777946"/>
      <w:bookmarkStart w:id="1118" w:name="_Toc412"/>
      <w:bookmarkEnd w:id="1116"/>
      <w:bookmarkEnd w:id="1117"/>
      <w:r>
        <w:rPr/>
        <w:t>4</w:t>
      </w:r>
      <w:r>
        <w:rPr>
          <w:rtl w:val="true"/>
        </w:rPr>
        <w:t xml:space="preserve">. </w:t>
      </w:r>
      <w:r>
        <w:rPr>
          <w:rtl w:val="true"/>
        </w:rPr>
        <w:t>ما هي العوامل التي سببت الإغلاق؟</w:t>
      </w:r>
      <w:bookmarkEnd w:id="1118"/>
    </w:p>
    <w:p>
      <w:pPr>
        <w:pStyle w:val="Heading5"/>
        <w:numPr>
          <w:ilvl w:val="4"/>
          <w:numId w:val="1"/>
        </w:numPr>
        <w:rPr/>
      </w:pPr>
      <w:bookmarkStart w:id="1119" w:name="__RefHeading___Toc1273475_1067777946"/>
      <w:bookmarkStart w:id="1120" w:name="_Toc413"/>
      <w:bookmarkEnd w:id="1119"/>
      <w:r>
        <w:rPr>
          <w:rtl w:val="true"/>
        </w:rPr>
        <w:t>اشارة</w:t>
      </w:r>
      <w:bookmarkEnd w:id="1120"/>
    </w:p>
    <w:p>
      <w:pPr>
        <w:pStyle w:val="BookText"/>
        <w:rPr/>
      </w:pPr>
      <w:r>
        <w:rPr>
          <w:rFonts w:ascii="Amiri" w:hAnsi="Amiri" w:eastAsia="Amiri" w:cs="Amiri"/>
          <w:color w:val="111111"/>
          <w:sz w:val="28"/>
          <w:sz w:val="28"/>
          <w:szCs w:val="28"/>
          <w:rtl w:val="true"/>
          <w:lang w:bidi="ar-SA"/>
        </w:rPr>
        <w:t>ثمّ إنّ المهم هو كشف العوامل التي سبّبت إغلاق باب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الأُستاذ مصطفى أحمد الزرقاء عوامل ثلاثة نأتي بها بنصها </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1273477_1067777946"/>
      <w:bookmarkStart w:id="1122" w:name="_Toc414"/>
      <w:bookmarkEnd w:id="1121"/>
      <w:r>
        <w:rPr>
          <w:rtl w:val="true"/>
        </w:rPr>
        <w:t>أ</w:t>
      </w:r>
      <w:r>
        <w:rPr>
          <w:rtl w:val="true"/>
        </w:rPr>
        <w:t xml:space="preserve">. </w:t>
      </w:r>
      <w:r>
        <w:rPr>
          <w:rtl w:val="true"/>
        </w:rPr>
        <w:t>التعصّب المذهبي</w:t>
      </w:r>
      <w:bookmarkEnd w:id="1122"/>
    </w:p>
    <w:p>
      <w:pPr>
        <w:pStyle w:val="BookText"/>
        <w:rPr/>
      </w:pPr>
      <w:r>
        <w:rPr>
          <w:rFonts w:ascii="Amiri" w:hAnsi="Amiri" w:eastAsia="Amiri" w:cs="Amiri"/>
          <w:color w:val="111111"/>
          <w:sz w:val="28"/>
          <w:sz w:val="28"/>
          <w:szCs w:val="28"/>
          <w:rtl w:val="true"/>
          <w:lang w:bidi="ar-SA"/>
        </w:rPr>
        <w:t>فقد تعصّب التلاميذ لآثار أساتذتهم من الأئمّة المجتهدين الّذين أناروا العصر السابق ، وكشفوا ظلمات المسائل بنور عقولهم الساطع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التعصّب لفكرة تحمل الإنسان على الجمود عليها والتعلّق بأهدابها ، ودعوة الناس إليها دون سواها ، وهكذا فعل أُولئك الذين جاءوا بعد الأئمة السابقين ، فقد عنوا بدراسة مذاهبهم ونشرها بدلاً من السير على منهاجها ، والاجتهاد كما اجتهد أصحابها ، فوثق الناس بالسابقين وشكّوا في أنفسهم</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1273479_1067777946"/>
      <w:bookmarkStart w:id="1124" w:name="_Toc415"/>
      <w:bookmarkEnd w:id="1123"/>
      <w:r>
        <w:rPr>
          <w:rtl w:val="true"/>
        </w:rPr>
        <w:t>ب</w:t>
      </w:r>
      <w:r>
        <w:rPr>
          <w:rtl w:val="true"/>
        </w:rPr>
        <w:t xml:space="preserve">. </w:t>
      </w:r>
      <w:r>
        <w:rPr>
          <w:rtl w:val="true"/>
        </w:rPr>
        <w:t>ولاية القضاء</w:t>
      </w:r>
      <w:bookmarkEnd w:id="1124"/>
    </w:p>
    <w:p>
      <w:pPr>
        <w:pStyle w:val="BookText"/>
        <w:rPr/>
      </w:pPr>
      <w:r>
        <w:rPr>
          <w:rFonts w:ascii="Amiri" w:hAnsi="Amiri" w:eastAsia="Amiri" w:cs="Amiri"/>
          <w:color w:val="111111"/>
          <w:sz w:val="28"/>
          <w:sz w:val="28"/>
          <w:szCs w:val="28"/>
          <w:rtl w:val="true"/>
          <w:lang w:bidi="ar-SA"/>
        </w:rPr>
        <w:t>فقد كان الخلفاء يختارون القضاة أوّل الأمر من المجتهدين لا من مقلّديهم ، ولكنّهم فيما بعدُ آثروا اختيارهم من المقلّدين ، ليقيدوهم بمذهب معين ، ويعيّنوا لهم ما يحكمون على أساسه بحيث يكونون معزولين عن كلّ قضاء يخالف ذلك المذهب ، ولأنّ بعض القضاة المجتهدين كان يتعرض الفقهاء المذهبيون لتخطئته ، فيكون حكمه مثاراً لنقد الناس لا سبب اطمئنان لهم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 تقيّد القاضي بمذهب يرتضيه الخليفة سبباً في اكتفاء أكثر الناس به وأقبالهم عليه</w:t>
      </w:r>
      <w:r>
        <w:rPr>
          <w:rFonts w:eastAsia="Amiri" w:cs="Amiri" w:ascii="Amiri" w:hAnsi="Amiri"/>
          <w:color w:val="111111"/>
          <w:sz w:val="28"/>
          <w:szCs w:val="28"/>
          <w:rtl w:val="true"/>
          <w:lang w:bidi="ar-SA"/>
        </w:rPr>
        <w:t xml:space="preserve">. </w:t>
      </w:r>
      <w:bookmarkStart w:id="1125" w:name="pg10155_105779"/>
    </w:p>
    <w:p>
      <w:pPr>
        <w:pStyle w:val="Heading5"/>
        <w:numPr>
          <w:ilvl w:val="4"/>
          <w:numId w:val="1"/>
        </w:numPr>
        <w:rPr/>
      </w:pPr>
      <w:bookmarkStart w:id="1126" w:name="__RefHeading___Toc1273481_1067777946"/>
      <w:bookmarkStart w:id="1127" w:name="_Toc416"/>
      <w:bookmarkEnd w:id="1125"/>
      <w:bookmarkEnd w:id="1126"/>
      <w:r>
        <w:rPr>
          <w:rtl w:val="true"/>
        </w:rPr>
        <w:t>ج</w:t>
      </w:r>
      <w:r>
        <w:rPr>
          <w:rtl w:val="true"/>
        </w:rPr>
        <w:t xml:space="preserve">. </w:t>
      </w:r>
      <w:r>
        <w:rPr>
          <w:rtl w:val="true"/>
        </w:rPr>
        <w:t>تدوين المذاهب</w:t>
      </w:r>
      <w:bookmarkEnd w:id="1127"/>
    </w:p>
    <w:p>
      <w:pPr>
        <w:pStyle w:val="BookText"/>
        <w:rPr/>
      </w:pPr>
      <w:r>
        <w:rPr>
          <w:rFonts w:ascii="Amiri" w:hAnsi="Amiri" w:eastAsia="Amiri" w:cs="Amiri"/>
          <w:color w:val="111111"/>
          <w:sz w:val="28"/>
          <w:sz w:val="28"/>
          <w:szCs w:val="28"/>
          <w:rtl w:val="true"/>
          <w:lang w:bidi="ar-SA"/>
        </w:rPr>
        <w:t>إنّ تدوينها قد سهل على الناس تناولها ، والناس دائماً يطلبون السهل اليسير دون الصعب العسير ، وقد كان يدفع الناس إلى الاجتهاد في العصور السابقة ضرورة ملجئة إلى تعرّف أحكام حوادث وشئون جديدة لا يعرفون حكمها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المجتهدون في الأدوار السابقة ودوّنوا أحكام الحوادث التي عرضت والتي يحتمل عروضها ، صار الناس كلّما عرضت لهم مسألة وجدوا السابقين قد تعرّضوا لها ، فاكتفوا بمقالهم في شأنها ، فسدّت حاجتهم بما وجدوا ، فلا حافز يحفزهم إلى بحث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وساعد على ذلك ما للأقدمين من موقع علمي كبير جدير بالتقدير ، وما يكسبهم تفوقهم على مضي الزمن من إجلال ، وما يكون من عناية الأُمم بتكريم سلفها الصالح ليرتبط حاضرها بماضيها برباط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كلّه انصرف الناس إلى التقليد ، اللهمّ إلاّ في تعرّف علل الأحكام المذهبية ، أو ترجيح بعض الآراء في المذهب نفسه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من أُوتي القدرة العلمية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 في المذهب ، أي انّه ليس مجتهداً مطلقاً ذا مذهب مستقل ، بل هو من أتباع إمام مجتهد ، ولكنّه ذو رأي معتبر في ضمن مذهب إمامه ، وفي البناء على أُصوله</w:t>
      </w:r>
      <w:r>
        <w:rPr>
          <w:rFonts w:eastAsia="Amiri" w:cs="Amiri" w:ascii="Amiri" w:hAnsi="Amiri"/>
          <w:color w:val="111111"/>
          <w:sz w:val="28"/>
          <w:szCs w:val="28"/>
          <w:rtl w:val="true"/>
          <w:lang w:bidi="ar-SA"/>
        </w:rPr>
        <w:t xml:space="preserve">. </w:t>
      </w:r>
      <w:r>
        <w:rPr>
          <w:rStyle w:val="FootnoteAnchor"/>
          <w:rtl w:val="true"/>
        </w:rPr>
        <w:footnoteReference w:id="960"/>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العوامل الثلاثة وإن سببت ركود الحركة الاجتهادية ، ولكنّها عوامل جانبية على ما يبدو ، بل هناك سبب آخر وهو المهم في شلِّ الحركة العلمية الفقهية ، وهو تأثير السياسة التي اتّخذها القادر بالله الخليفة العباسي للحد من </w:t>
      </w:r>
    </w:p>
    <w:p>
      <w:pPr>
        <w:pStyle w:val="BookText"/>
        <w:rPr/>
      </w:pPr>
      <w:r>
        <w:rPr>
          <w:rFonts w:ascii="Amiri" w:hAnsi="Amiri" w:eastAsia="Amiri" w:cs="Amiri"/>
          <w:color w:val="111111"/>
          <w:sz w:val="28"/>
          <w:sz w:val="28"/>
          <w:szCs w:val="28"/>
          <w:rtl w:val="true"/>
          <w:lang w:bidi="ar-SA"/>
        </w:rPr>
        <w:t xml:space="preserve">نشاط الحركة الاجتهادية حيث تصدّى للخلافة ما يقرب عن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ساد في هذه الفترة الطويلة فكرة التقشّف والتنسّك وذم الفكر والاجتهاد في الدين ، ويعرف ذلك عن ما ذُكر من حالاته وأفعاله ، فقد عرفوا القادر بالله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ذكر فيه فضائل الصحابة على ترتيب مذهب أصحاب الحديث ، وأورد في كتابه فضائل عمر بن عبد العزيز ، وأفكار المعتزلة ، والقائلين بخلق القرآن ، وكان الكتاب يقرأ في كلّ جمعة في حلقة أصحاب الحديث بجامع المهدي ، ويحضر الناس سماعه ، ذكر محمد بن عبد الملك الهمداني انّ القادر بالله كان يلبس زي العوام ويقصد الأماكن المعروفة بالبركة ، كقبر معروف وتربة ابن بشار</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وقد بلغ كبح جماح الفكر حداً انّه استتاب القادر بالله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المعتزلة والحنفية ، فأظهروا الرجوع وتبرّءوا من الاعتزال ، ثمّ نهاهم عن الكلام والتدريس والمناظرة في الاعتزال والرفض والمقالات المخالفة للإسلام ، وأخذ خطوطهم بذلك وانّهم متى خالفوه حلّ بهم من النكال والعقوبة ما يتّعظ به أمثالهم ، وامتثل يمين الدولة وأمين الملّة أبو القاسم محمود أمرَ أمير المؤمنين ، واستنّ بسننه في أعماله التي استخلفه عليها في خراسان وغيرها في قتل المعتزلة والرافضة والإسماعيلية والقرامطة والجهمية والمشبهة وصلبهم وحبسهم ونفاهم ، وأمر بلعنهم على منابر المسلمين ، وإبعاد كلّ طائفة من أهل البدع وطردهم عن ديارهم ، وصار ذلك سنّة في الإسلام</w:t>
      </w:r>
      <w:r>
        <w:rPr>
          <w:rFonts w:eastAsia="Amiri" w:cs="Amiri" w:ascii="Amiri" w:hAnsi="Amiri"/>
          <w:color w:val="111111"/>
          <w:sz w:val="28"/>
          <w:szCs w:val="28"/>
          <w:rtl w:val="true"/>
          <w:lang w:bidi="ar-SA"/>
        </w:rPr>
        <w:t xml:space="preserve">. </w:t>
      </w:r>
      <w:r>
        <w:rPr>
          <w:rStyle w:val="FootnoteAnchor"/>
          <w:rtl w:val="true"/>
        </w:rPr>
        <w:footnoteReference w:id="963"/>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حال أمير المؤمنين وحال وزيره في أصقاع كبيرة من الأرض </w:t>
      </w:r>
    </w:p>
    <w:p>
      <w:pPr>
        <w:pStyle w:val="BookText"/>
        <w:rPr/>
      </w:pPr>
      <w:r>
        <w:rPr>
          <w:rFonts w:ascii="Amiri" w:hAnsi="Amiri" w:eastAsia="Amiri" w:cs="Amiri"/>
          <w:color w:val="111111"/>
          <w:sz w:val="28"/>
          <w:sz w:val="28"/>
          <w:szCs w:val="28"/>
          <w:rtl w:val="true"/>
          <w:lang w:bidi="ar-SA"/>
        </w:rPr>
        <w:t>كخراسان ، فكيف يستطيع أيّ متكلم بارع أو فقيه متضلّع أن يفكّر في تجديد الهيكلية الفقهية أو العقائدية ، أو يطرح وجهات نظره الخاصة ، إذ لا يؤمن من أن يؤخذ باتّهام مخالفته لأهل السنّة والجماعة ، فينكل به أو يحبس أو يصلب على أعواد المشانق؟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مضى انّه كتب كتاباً 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القادري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وحي منزل يجب أن يقرأ في كلّ جمعة ، وقد امتد ذلك طول خلافته الطويلة ، ومع أنّه توفّي عام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ولكن السياسة التي ابتدعها للدولة دامت بعد موته في خلافة ابنه القائم بأمر الله ، وهذا هو ابن الجوزي يذكر في حوادث عام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قرأ الاعتقاد القادري في الديوان ، وحضر الزهّاد والعلماء ، وممّن حضر الشيخ أبو الحسن علي بن عمر القزويني ، فكتب خطه تحته قبل أن يكتب الفقهاء ، وكتب الفقهاء خطوطهم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اعتقاد المسلمين ومن خالفه فقد فسق وكفر ، ثمّ ذكر نص الاعتقاد القادري</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ويقول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قول أهل السنّة والجماعة الذي من تمسّك به كان على الحق المبين ، وعلى منهاج الدين ، والطريق المستقيم ، ورجا به النجاة من النار ودخوله الجنة</w:t>
      </w:r>
      <w:r>
        <w:rPr>
          <w:rFonts w:eastAsia="Amiri" w:cs="Amiri" w:ascii="Amiri" w:hAnsi="Amiri"/>
          <w:color w:val="111111"/>
          <w:sz w:val="28"/>
          <w:szCs w:val="28"/>
          <w:rtl w:val="true"/>
          <w:lang w:bidi="ar-SA"/>
        </w:rPr>
        <w:t xml:space="preserve">. </w:t>
      </w:r>
      <w:r>
        <w:rPr>
          <w:rStyle w:val="FootnoteAnchor"/>
          <w:rtl w:val="true"/>
        </w:rPr>
        <w:footnoteReference w:id="965"/>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عبد الوهاب 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التشريع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أربع ربما تتداخل بعض ما ذكره فيما نقلناه عن الأُستاذ مصطفى أحمد الزرقاء ، فمن أراد التفصيل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التشريع الإسلامي</w:t>
      </w:r>
      <w:r>
        <w:rPr>
          <w:rFonts w:eastAsia="Amiri" w:cs="Amiri" w:ascii="Amiri" w:hAnsi="Amiri"/>
          <w:color w:val="111111"/>
          <w:sz w:val="28"/>
          <w:szCs w:val="28"/>
          <w:rtl w:val="true"/>
          <w:lang w:bidi="ar-SA"/>
        </w:rPr>
        <w:t xml:space="preserve">». </w:t>
      </w:r>
      <w:r>
        <w:rPr>
          <w:rStyle w:val="FootnoteAnchor"/>
          <w:rtl w:val="true"/>
        </w:rPr>
        <w:footnoteReference w:id="966"/>
      </w:r>
      <w:bookmarkStart w:id="1128" w:name="pg10155_105782"/>
    </w:p>
    <w:p>
      <w:pPr>
        <w:pStyle w:val="Heading4"/>
        <w:numPr>
          <w:ilvl w:val="3"/>
          <w:numId w:val="1"/>
        </w:numPr>
        <w:rPr/>
      </w:pPr>
      <w:bookmarkStart w:id="1129" w:name="__RefHeading___Toc1273483_1067777946"/>
      <w:bookmarkStart w:id="1130" w:name="_Toc417"/>
      <w:bookmarkEnd w:id="1128"/>
      <w:bookmarkEnd w:id="1129"/>
      <w:r>
        <w:rPr/>
        <w:t>5</w:t>
      </w:r>
      <w:r>
        <w:rPr>
          <w:rtl w:val="true"/>
        </w:rPr>
        <w:t xml:space="preserve">. </w:t>
      </w:r>
      <w:r>
        <w:rPr>
          <w:rtl w:val="true"/>
        </w:rPr>
        <w:t>اجتهاد الشيعة اجتهاد مطلق</w:t>
      </w:r>
      <w:bookmarkEnd w:id="1130"/>
    </w:p>
    <w:p>
      <w:pPr>
        <w:pStyle w:val="BookText"/>
        <w:rPr/>
      </w:pPr>
      <w:r>
        <w:rPr>
          <w:rFonts w:ascii="Amiri" w:hAnsi="Amiri" w:eastAsia="Amiri" w:cs="Amiri"/>
          <w:color w:val="111111"/>
          <w:sz w:val="28"/>
          <w:sz w:val="28"/>
          <w:szCs w:val="28"/>
          <w:rtl w:val="true"/>
          <w:lang w:bidi="ar-SA"/>
        </w:rPr>
        <w:t>إنّ اجتهاد فقهاء الشيعة من أوّل يومهم ، اجتهاد مطلق ، وكلّ مجتهد ، يجتهد حسب الميزان والمنهاج الذي انتخبه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يظهر من الشيخ أبي زهرة انّ اجتهاد الشيعة ، من قبل الاجتهاد المنتسب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في مذهب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اجتهادهم حسب ما رسمت لهم المناهج من بيان أحكام النسخ والعموم ، وطريق الاستنباط والتعارض بين الأخبار وحكم العقل وإن لم يكن نصّ ، وكلّ هذا يقتضي أن يطبق في اجتهاده ، لا أن يرسم ويخطِّط ، فهو يسير في اجتهاده على خط مرسوم لا يعدوه ولا يبتعد عنه يمنة ولا يسرة ، وبهذا النظر يكون في درجة المجتهد المنتسب</w:t>
      </w:r>
      <w:r>
        <w:rPr>
          <w:rFonts w:eastAsia="Amiri" w:cs="Amiri" w:ascii="Amiri" w:hAnsi="Amiri"/>
          <w:color w:val="111111"/>
          <w:sz w:val="28"/>
          <w:szCs w:val="28"/>
          <w:rtl w:val="true"/>
          <w:lang w:bidi="ar-SA"/>
        </w:rPr>
        <w:t xml:space="preserve">. </w:t>
      </w:r>
      <w:r>
        <w:rPr>
          <w:rStyle w:val="FootnoteAnchor"/>
          <w:rtl w:val="true"/>
        </w:rPr>
        <w:footnoteReference w:id="967"/>
      </w:r>
    </w:p>
    <w:p>
      <w:pPr>
        <w:pStyle w:val="Heading4"/>
        <w:numPr>
          <w:ilvl w:val="3"/>
          <w:numId w:val="1"/>
        </w:numPr>
        <w:rPr/>
      </w:pPr>
      <w:bookmarkStart w:id="1131" w:name="__RefHeading___Toc1273485_1067777946"/>
      <w:bookmarkStart w:id="1132" w:name="_Toc418"/>
      <w:bookmarkEnd w:id="1131"/>
      <w:r>
        <w:rPr>
          <w:rtl w:val="true"/>
        </w:rPr>
        <w:t xml:space="preserve">يلاحظ عليه بأمرين </w:t>
      </w:r>
      <w:r>
        <w:rPr>
          <w:rtl w:val="true"/>
        </w:rPr>
        <w:t>:</w:t>
      </w:r>
      <w:bookmarkEnd w:id="1132"/>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من الخطط التي يسر عليها مجتهد الشيعة ومستنبطهم ، أمر حصّله من الكتاب والسنّة النبوية القطعية والسيرة المستمرة إلى عهد الرسول والعقل الحاسم إلى غير ذلك من الأُمور التي تكون السنة والشيعة أمامها سواء</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الخطط الكلّية التي أخذوها عن أئمّة أهل البيت انّما وصلت إليهم عن النبي ، فهم حفظة سنّة النبي وعيبة علمه ، وأعدال الكتاب وقرناؤه ، معصومون من الضلال والخطأ كنفس القرآن من دون أن يكونوا أنبياء ، وهم يصدرون من عين صافية ، لا كدر فيها ، ومن أخذ عنهم فقد صدر أيضاً عن عين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أبا زهرة زعم انّ أئمّة أهل البيت ، مجتهدون كالأئمّة الأربعة أو غيرهم ، لهم آراء وتفكّرات ، شأن كلّ عالم مفكّر ، ورتّب على ذلك بأنّ اجتهاد فقهاء </w:t>
      </w:r>
    </w:p>
    <w:p>
      <w:pPr>
        <w:pStyle w:val="BookText"/>
        <w:rPr/>
      </w:pPr>
      <w:r>
        <w:rPr>
          <w:rFonts w:ascii="Amiri" w:hAnsi="Amiri" w:eastAsia="Amiri" w:cs="Amiri"/>
          <w:color w:val="111111"/>
          <w:sz w:val="28"/>
          <w:sz w:val="28"/>
          <w:szCs w:val="28"/>
          <w:rtl w:val="true"/>
          <w:lang w:bidi="ar-SA"/>
        </w:rPr>
        <w:t xml:space="preserve">الشيعة اجتهاد في مذهب وليس اجتهاداً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زعم خاطئ ، يضاد كلماتهم وإرشاداتهم ، كما مرّ في صدر البحث فما رسموا من الخطوط ، والضوابط ، فإنّما هو مقتبس من أحاديث الرسول ، وكلماته رواها كابر عن كابر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سبحانه ونشكره ونستعين به ونصلّي على</w:t>
      </w:r>
    </w:p>
    <w:p>
      <w:pPr>
        <w:pStyle w:val="BookText"/>
        <w:rPr/>
      </w:pPr>
      <w:r>
        <w:rPr>
          <w:rFonts w:ascii="Amiri" w:hAnsi="Amiri" w:eastAsia="Amiri" w:cs="Amiri"/>
          <w:color w:val="111111"/>
          <w:sz w:val="28"/>
          <w:sz w:val="28"/>
          <w:szCs w:val="28"/>
          <w:rtl w:val="true"/>
          <w:lang w:bidi="ar-SA"/>
        </w:rPr>
        <w:t>خاتم أنبيائه وخلفائه الطاهرين</w:t>
      </w:r>
    </w:p>
    <w:p>
      <w:pPr>
        <w:pStyle w:val="BookText"/>
        <w:rPr/>
      </w:pPr>
      <w:r>
        <w:rPr>
          <w:rFonts w:ascii="Amiri" w:hAnsi="Amiri" w:eastAsia="Amiri" w:cs="Amiri"/>
          <w:color w:val="111111"/>
          <w:sz w:val="28"/>
          <w:sz w:val="28"/>
          <w:szCs w:val="28"/>
          <w:rtl w:val="true"/>
          <w:lang w:bidi="ar-SA"/>
        </w:rPr>
        <w:t>فرغ المؤلّف من تبييض هذه الأوراق</w:t>
      </w:r>
    </w:p>
    <w:p>
      <w:pPr>
        <w:pStyle w:val="BookText"/>
        <w:rPr/>
      </w:pPr>
      <w:r>
        <w:rPr>
          <w:rFonts w:ascii="Amiri" w:hAnsi="Amiri" w:eastAsia="Amiri" w:cs="Amiri"/>
          <w:color w:val="111111"/>
          <w:sz w:val="28"/>
          <w:sz w:val="28"/>
          <w:szCs w:val="28"/>
          <w:rtl w:val="true"/>
          <w:lang w:bidi="ar-SA"/>
        </w:rPr>
        <w:t>عشية يوم العشرين من شهر رمضان المبارك</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133" w:name="pg10155_105784"/>
    </w:p>
    <w:p>
      <w:pPr>
        <w:pStyle w:val="Heading2"/>
        <w:numPr>
          <w:ilvl w:val="1"/>
          <w:numId w:val="1"/>
        </w:numPr>
        <w:rPr/>
      </w:pPr>
      <w:bookmarkStart w:id="1134" w:name="__RefHeading___Toc1273487_1067777946"/>
      <w:bookmarkStart w:id="1135" w:name="_Toc419"/>
      <w:bookmarkEnd w:id="1133"/>
      <w:bookmarkEnd w:id="1134"/>
      <w:r>
        <w:rPr>
          <w:rtl w:val="true"/>
        </w:rPr>
        <w:t>فهرس محتويات الكتاب</w:t>
      </w:r>
      <w:bookmarkEnd w:id="1135"/>
    </w:p>
    <w:p>
      <w:pPr>
        <w:pStyle w:val="BookText"/>
        <w:rPr/>
      </w:pPr>
      <w:r>
        <w:rPr>
          <w:rFonts w:ascii="Amiri" w:hAnsi="Amiri" w:eastAsia="Amiri" w:cs="Amiri"/>
          <w:color w:val="111111"/>
          <w:sz w:val="28"/>
          <w:sz w:val="28"/>
          <w:szCs w:val="28"/>
          <w:rtl w:val="true"/>
          <w:lang w:bidi="ar-SA"/>
        </w:rPr>
        <w:t xml:space="preserve">المسائل الخلافيّة ودورها في الاستنباط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الكتب المؤلّفة في الخلافيّات 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الكتب المؤلّفة في الخلافيّات من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ما هو السبب لاختلاف فقهاء السنة فيما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ما هو سبب الاختلاف بين الفقهين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والسني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الفتوى التاريخية للإمام الشيخ الشلتوت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 في الكتاب والسنّة</w:t>
      </w:r>
    </w:p>
    <w:p>
      <w:pPr>
        <w:pStyle w:val="BookText"/>
        <w:rPr/>
      </w:pPr>
      <w:r>
        <w:rPr>
          <w:rFonts w:ascii="Amiri" w:hAnsi="Amiri" w:eastAsia="Amiri" w:cs="Amiri"/>
          <w:color w:val="111111"/>
          <w:sz w:val="28"/>
          <w:sz w:val="28"/>
          <w:szCs w:val="28"/>
          <w:rtl w:val="true"/>
          <w:lang w:bidi="ar-SA"/>
        </w:rPr>
        <w:t>الغنيمة مطلق ما يفوز به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ورود الآية في مورد الغنائم الحربيّة غير 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وجوب الخمس في الركاز من باب الغنيمة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أبي يوسف في المعدن والركاز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السنة النبوية والخمس في أرباح 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إيضاح الاستدلال على تعلق الخمس بالأرباح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مواضع الخمس</w:t>
      </w:r>
    </w:p>
    <w:p>
      <w:pPr>
        <w:pStyle w:val="BookText"/>
        <w:rPr/>
      </w:pPr>
      <w:r>
        <w:rPr>
          <w:rFonts w:ascii="Amiri" w:hAnsi="Amiri" w:eastAsia="Amiri" w:cs="Amiri"/>
          <w:color w:val="111111"/>
          <w:sz w:val="28"/>
          <w:sz w:val="28"/>
          <w:szCs w:val="28"/>
          <w:rtl w:val="true"/>
          <w:lang w:bidi="ar-SA"/>
        </w:rPr>
        <w:t>في القرآن الكريم</w:t>
      </w:r>
    </w:p>
    <w:p>
      <w:pPr>
        <w:pStyle w:val="BookText"/>
        <w:rPr/>
      </w:pPr>
      <w:r>
        <w:rPr>
          <w:rFonts w:ascii="Amiri" w:hAnsi="Amiri" w:eastAsia="Amiri" w:cs="Amiri"/>
          <w:color w:val="111111"/>
          <w:sz w:val="28"/>
          <w:sz w:val="28"/>
          <w:szCs w:val="28"/>
          <w:rtl w:val="true"/>
          <w:lang w:bidi="ar-SA"/>
        </w:rPr>
        <w:t>الخمس حسب تنصيص الآية يقسم على ستة أسهم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مواضع الخمس في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اسقاط حقّ ذي القربى بعد رحيل الرسولصلَّى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اسقاط سهم ذي القربى كان اجتهاداً تجاه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الاشهاد على الطلاق</w:t>
      </w:r>
    </w:p>
    <w:p>
      <w:pPr>
        <w:pStyle w:val="BookText"/>
        <w:rPr/>
      </w:pPr>
      <w:r>
        <w:rPr>
          <w:rFonts w:ascii="Amiri" w:hAnsi="Amiri" w:eastAsia="Amiri" w:cs="Amiri"/>
          <w:color w:val="111111"/>
          <w:sz w:val="28"/>
          <w:sz w:val="28"/>
          <w:szCs w:val="28"/>
          <w:rtl w:val="true"/>
          <w:lang w:bidi="ar-SA"/>
        </w:rPr>
        <w:t xml:space="preserve">دلالة الآية على لزوم الإشهاد في صحة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تصريح علمين من أهل السنة على لزوم الإشهاد في صحّة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رجوع الاشهاد في الآية إلى الطلاق دون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رسالة الشيخ أحمد محمد شاكر إلى الشيخ محمد حسين كاشف الغطاء في رجوع الاشهاد إلى الطلاق والرجعة معا </w:t>
      </w:r>
      <w:r>
        <w:rPr>
          <w:rFonts w:eastAsia="Amiri" w:cs="Amiri" w:ascii="Amiri" w:hAnsi="Amiri"/>
          <w:color w:val="111111"/>
          <w:sz w:val="28"/>
          <w:szCs w:val="28"/>
          <w:lang w:bidi="ar-SA"/>
        </w:rPr>
        <w:t>58</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إجابة الشيخ كاشف الغطاء على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الطلاق ثلاثاً دفعة واحدة</w:t>
      </w:r>
    </w:p>
    <w:p>
      <w:pPr>
        <w:pStyle w:val="BookText"/>
        <w:rPr/>
      </w:pPr>
      <w:r>
        <w:rPr>
          <w:rFonts w:ascii="Amiri" w:hAnsi="Amiri" w:eastAsia="Amiri" w:cs="Amiri"/>
          <w:color w:val="111111"/>
          <w:sz w:val="28"/>
          <w:sz w:val="28"/>
          <w:szCs w:val="28"/>
          <w:rtl w:val="true"/>
          <w:lang w:bidi="ar-SA"/>
        </w:rPr>
        <w:t>بصيغة أو ثلاث صيغ</w:t>
      </w:r>
    </w:p>
    <w:p>
      <w:pPr>
        <w:pStyle w:val="BookText"/>
        <w:rPr/>
      </w:pPr>
      <w:r>
        <w:rPr>
          <w:rFonts w:ascii="Amiri" w:hAnsi="Amiri" w:eastAsia="Amiri" w:cs="Amiri"/>
          <w:color w:val="111111"/>
          <w:sz w:val="28"/>
          <w:sz w:val="28"/>
          <w:szCs w:val="28"/>
          <w:rtl w:val="true"/>
          <w:lang w:bidi="ar-SA"/>
        </w:rPr>
        <w:t>مضاعفات تصحيح الطلاق ثلاثاً دفعة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نقل كلام الشيخ أحمد محمد شاكر في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أقوال الفقهاء في الطلاق ثلاثاً في مجلس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دراسة الآيات الواردة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تفسير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على بطلان الطلاق ثلاثاً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على البطلان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باحسان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على البطلان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الاستدلال على البطلان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بذلك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الاستدلال على بطلان الطلاق ثلاثاً عن طريق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استدلال القائل بصحّة الطلاق ثلاثاً بالسنة والإجماع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اجتهاد الخليفة تجاه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تبريرات لحكم الخليفة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 الكتاب بالإجماع الكاشف عن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تعزيرهم على ما تعدّوا به حدود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تنفيذ الطلاق ثلاثاً للحد من 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تغير الأحكام بالمصالح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تغيّر الأحكام حسب مقتضيات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جزاء الانحراف عن الطريق المهيع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 المعلّق</w:t>
      </w:r>
    </w:p>
    <w:p>
      <w:pPr>
        <w:pStyle w:val="BookText"/>
        <w:rPr/>
      </w:pPr>
      <w:r>
        <w:rPr>
          <w:rFonts w:ascii="Amiri" w:hAnsi="Amiri" w:eastAsia="Amiri" w:cs="Amiri"/>
          <w:color w:val="111111"/>
          <w:sz w:val="28"/>
          <w:sz w:val="28"/>
          <w:szCs w:val="28"/>
          <w:rtl w:val="true"/>
          <w:lang w:bidi="ar-SA"/>
        </w:rPr>
        <w:t xml:space="preserve">تقسيم الطلاق إلى منجَّز ومعلَّق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أدلّة القائل ببطلان الطلاق المعلق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الطلاق المشروط غير مسنون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مقتضى الاستصحاب بقاء الزوجية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الطلاق المعلّق خارج عن القسمين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المطلقة أشبه بالمعلقة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إجماع أئمّة أهل البيت على البطلان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أدلّة القائلين بالصحة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ونقده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ونقده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الحلف بالطلاق</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للطلاق إلاّ صيغة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تسويد الصفحات الطوال حول أقسام الحلف بالطلاق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بطلان الحلف بالطلاق عند البعض من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بطلان الطلاق بالحلف به عند الإمامية وأدلته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دليل القائلين بالصحّة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تتعلّق الكفّارة إذا حنث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الطلاق في الحيض والنفاس</w:t>
      </w:r>
    </w:p>
    <w:p>
      <w:pPr>
        <w:pStyle w:val="BookText"/>
        <w:rPr/>
      </w:pPr>
      <w:r>
        <w:rPr>
          <w:rFonts w:ascii="Amiri" w:hAnsi="Amiri" w:eastAsia="Amiri" w:cs="Amiri"/>
          <w:color w:val="111111"/>
          <w:sz w:val="28"/>
          <w:sz w:val="28"/>
          <w:szCs w:val="28"/>
          <w:rtl w:val="true"/>
          <w:lang w:bidi="ar-SA"/>
        </w:rPr>
        <w:t>أو في طهر جامعها</w:t>
      </w:r>
    </w:p>
    <w:p>
      <w:pPr>
        <w:pStyle w:val="BookText"/>
        <w:rPr/>
      </w:pPr>
      <w:r>
        <w:rPr>
          <w:rFonts w:ascii="Amiri" w:hAnsi="Amiri" w:eastAsia="Amiri" w:cs="Amiri"/>
          <w:color w:val="111111"/>
          <w:sz w:val="28"/>
          <w:sz w:val="28"/>
          <w:szCs w:val="28"/>
          <w:rtl w:val="true"/>
          <w:lang w:bidi="ar-SA"/>
        </w:rPr>
        <w:t xml:space="preserve">تقسيم الطلاق إلى سنّي وبدعيّ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تفسير شرطية الطهر في الطلاق السني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نقل كلمات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ما هو المراد من القرء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عدم احتساب الحيضة على فرض الطلاق فيها من العدة عند الجميع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الاستدلال بالكتاب على شرطيّة الطهر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الاستدلال بالسنة على شرطيّة الطهر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الروايات الواردة حول طلاق عبد اللّه بن عمر على طوائف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دلّ على عدم الاعتداد بالطلاق في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يتضمن التصريح باحتسابها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ليس فيه تصريح بأحد الأمرين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معالجة الصور المتعارضة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حكم الطلاق في طهر المواقعة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دلالة الكتاب على عدم صحّة الطلاق في ذلك الطهر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 للوارث إذا لم تتجاوز الثلث</w:t>
      </w:r>
    </w:p>
    <w:p>
      <w:pPr>
        <w:pStyle w:val="BookText"/>
        <w:rPr/>
      </w:pPr>
      <w:r>
        <w:rPr>
          <w:rFonts w:ascii="Amiri" w:hAnsi="Amiri" w:eastAsia="Amiri" w:cs="Amiri"/>
          <w:color w:val="111111"/>
          <w:sz w:val="28"/>
          <w:sz w:val="28"/>
          <w:szCs w:val="28"/>
          <w:rtl w:val="true"/>
          <w:lang w:bidi="ar-SA"/>
        </w:rPr>
        <w:t xml:space="preserve">اتّفاق الإمامية على انّ الوصية للوارث جائزة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اتّفاق أهل السسنة إلاّ القليل على انّه لا وصية للوارث إلاّ إذا أجاز سائر الورثة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عرض المسألة على الكتاب والسنّة ودلالتها على نفوذ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هل آية الوصية منسوخة ب آية المواريث ونقدها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هل آية الوصية منسوخة بالسنة ونقدها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دراسة سند رواية أبي أمامة الباهلي وجود مجاهيل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ملاحظات على تجويز نسخ الآية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 يرث الكافر دون العكس</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توريث الكافر من المسلم باطل إجماعاً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توريث المسلم من الكافر صحيح عند الإمامية وبيانه ضمن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استعراض كلمات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الكتاب حجّة قطعية لا يعدل عنه إلاّ بدليل قطعي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أدلّة القائلين بإرث المسلم من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أدلّة القائلين بعدم التوريث ونقدها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الميراث بالقرابة</w:t>
      </w:r>
    </w:p>
    <w:p>
      <w:pPr>
        <w:pStyle w:val="BookText"/>
        <w:rPr/>
      </w:pPr>
      <w:r>
        <w:rPr>
          <w:rFonts w:ascii="Amiri" w:hAnsi="Amiri" w:eastAsia="Amiri" w:cs="Amiri"/>
          <w:color w:val="111111"/>
          <w:sz w:val="28"/>
          <w:sz w:val="28"/>
          <w:szCs w:val="28"/>
          <w:rtl w:val="true"/>
          <w:lang w:bidi="ar-SA"/>
        </w:rPr>
        <w:t>أو بالتعصيب</w:t>
      </w:r>
    </w:p>
    <w:p>
      <w:pPr>
        <w:pStyle w:val="BookText"/>
        <w:rPr/>
      </w:pPr>
      <w:r>
        <w:rPr>
          <w:rFonts w:ascii="Amiri" w:hAnsi="Amiri" w:eastAsia="Amiri" w:cs="Amiri"/>
          <w:color w:val="111111"/>
          <w:sz w:val="28"/>
          <w:sz w:val="28"/>
          <w:szCs w:val="28"/>
          <w:rtl w:val="true"/>
          <w:lang w:bidi="ar-SA"/>
        </w:rPr>
        <w:t xml:space="preserve">العَصَبة في اللغة والاصطلاح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أقسام العصبة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أقسام نسبة الفروض مع مجموع التركة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إيضاح التوريث بالتعصيب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ضابطة الميراث عند الفريقين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عدم الثمرة فيما إذا كان قريب مساو لا فرض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ترتب الثمرة إذا لم يكن قريب مساو لا فرض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دراسة أدلة نفاة التعصيب من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دراسة أدلة نفاة التعصيب من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الأحاديث المأثورة من أئمّة أهل البيت في نفي التعصيب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أدلّة القائلين بالتعصيب من الكتاب ونقدها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دراسة أدلّة القائلين بالتعصيب من السنة ونقدها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مضاعفات القول بالتعصيب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العول في الإرث</w:t>
      </w:r>
    </w:p>
    <w:p>
      <w:pPr>
        <w:pStyle w:val="BookText"/>
        <w:rPr/>
      </w:pPr>
      <w:r>
        <w:rPr>
          <w:rFonts w:ascii="Amiri" w:hAnsi="Amiri" w:eastAsia="Amiri" w:cs="Amiri"/>
          <w:color w:val="111111"/>
          <w:sz w:val="28"/>
          <w:sz w:val="28"/>
          <w:szCs w:val="28"/>
          <w:rtl w:val="true"/>
          <w:lang w:bidi="ar-SA"/>
        </w:rPr>
        <w:t xml:space="preserve">العول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العول تاريخياً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الأقوال المطروحة في العول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ذكر نماذج من صور العول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أدلة القائلين بصحّة العول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قياس الحق بالدين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قياس الإرث بالوصية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تقديم البعض على البعض ترجيح بلا مرجح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علي عليه السَّلام في المسألة المنبرية وإيضاحه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أدلّة القائلين ببطلان العول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استلزام العول نسبة الجهل أو العبث إلى المشرّع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استلزامه التناقض والاغراء بالجهل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استلزامه تفضيل النساء على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تصريح أئمّة أهل البيت على بطلان العول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أُسلوب علاج العول من منظار 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ما الفرق بين البنت وكلالة 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نكات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التقية</w:t>
      </w:r>
    </w:p>
    <w:p>
      <w:pPr>
        <w:pStyle w:val="BookText"/>
        <w:rPr/>
      </w:pPr>
      <w:r>
        <w:rPr>
          <w:rFonts w:ascii="Amiri" w:hAnsi="Amiri" w:eastAsia="Amiri" w:cs="Amiri"/>
          <w:color w:val="111111"/>
          <w:sz w:val="28"/>
          <w:sz w:val="28"/>
          <w:szCs w:val="28"/>
          <w:rtl w:val="true"/>
          <w:lang w:bidi="ar-SA"/>
        </w:rPr>
        <w:t xml:space="preserve">اعمال سياسة القمع والاستبداد في حقّ الشيعة عبر القرون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التقية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التقية تاريخياً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التقية في عصر الكليم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التقية في عصر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التقية بعد رحيل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تقية المحدثين في مسألة خلق القرآن في عصر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محنة الشيعة في العصر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محنة الشيعة في العصر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محنة الشيعة في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 والعثماني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كلام العلاّمة هبة الدين الشهرستاني حول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حصيلة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الغاية من تشريع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التقية في الكتاب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التقية في السنة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التقية في كلمات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مجال التقية هو الأُمور الشخصية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أقسام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شبهات حول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الآثار البنّاءة للتقية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موقف أئمّة أهل البيت من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في اجزاء العمل الموافق للتقية عن الإعادة والقضاء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حكم التقية لغاية المداراة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خاتمة المطاف</w:t>
      </w:r>
    </w:p>
    <w:p>
      <w:pPr>
        <w:pStyle w:val="BookText"/>
        <w:rPr/>
      </w:pPr>
      <w:r>
        <w:rPr>
          <w:rFonts w:ascii="Amiri" w:hAnsi="Amiri" w:eastAsia="Amiri" w:cs="Amiri"/>
          <w:color w:val="111111"/>
          <w:sz w:val="28"/>
          <w:sz w:val="28"/>
          <w:szCs w:val="28"/>
          <w:rtl w:val="true"/>
          <w:lang w:bidi="ar-SA"/>
        </w:rPr>
        <w:t>في جذور الاختلاف بين الفقهين</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أهل البيت هم المرجع العلمي بعد النبي صلَّى اللّه عليه وآله وسلَّم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أئمّة الشيعة أوصياء الرسول وخلفاؤه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حجّية أقوال العترة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مصادر علومهم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السماع عن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الاستنباط من 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الاشراقات الإلهية وكونهم 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عصمة الأئمة الإثني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عصمة الإمام في الكتاب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والمرجعية العلمية بعد رحيل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الافتاء بالرأي مكان الافتاء بالكتاب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اعتراف الصحابة بقصور علمهم بالشريعة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قلّة معرفتهم بالأحكام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اختلافهم فيما يكثر الابتلاء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المرجع العلمي وأصناف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المرجع العلمي وعدم تدوين الحديث وتفرق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العقل في مجالات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العقل أحد الأدلة الأربعة عندنا مصرّ ونقل كلام ابن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العقل في مجال التحسين والتقبيح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الآثار المرتبة على القول بالتحسين والتقبيح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العقل في مجال الملازمات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العقل في مجال تنقيح المناط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العقل في مجال لدرك المصالح والمفاسد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تابع للمصالح والمفاسد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إنكار الأشاعرة تبعية أفعاله سبحانه بالأغراض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إنكارهم تبعية الأحكام بالمصالح والمفاسد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مرجحات باب التزاحم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المرجع فيما لا نصّ فيه في الفقه الشيعي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المرجع فيما لا نصّ فيه في الفقه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الأُصول العلمية عبارة عن البراءة والاشتغال والتخيير والاستصحاب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التشريع فيما لا نصّ فيه عند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القياس</w:t>
      </w:r>
    </w:p>
    <w:p>
      <w:pPr>
        <w:pStyle w:val="BookText"/>
        <w:rPr/>
      </w:pPr>
      <w:r>
        <w:rPr>
          <w:rFonts w:ascii="Amiri" w:hAnsi="Amiri" w:eastAsia="Amiri" w:cs="Amiri"/>
          <w:color w:val="111111"/>
          <w:sz w:val="28"/>
          <w:sz w:val="28"/>
          <w:szCs w:val="28"/>
          <w:rtl w:val="true"/>
          <w:lang w:bidi="ar-SA"/>
        </w:rPr>
        <w:t xml:space="preserve">القياس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أركان القياس وإمكان العمل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أقسام القياس والفرق بين علة الحكم وحكمته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حكم القياس في منصوص العلة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قياس الأولوية وتنقيح المناط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المتشابهان غير المتماثلين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تخريج المناط بالسبر والتقسيم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تخريج المناط بالسبر والتقسيم يفيد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الشكّ في الحجّية يساوق القطع بعدمها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الاستدلال على حجّية القياس ب آيات سبع لا دلالة لها على حجّية القياس </w:t>
      </w:r>
      <w:r>
        <w:rPr>
          <w:rFonts w:eastAsia="Amiri" w:cs="Amiri" w:ascii="Amiri" w:hAnsi="Amiri"/>
          <w:color w:val="111111"/>
          <w:sz w:val="28"/>
          <w:szCs w:val="28"/>
          <w:lang w:bidi="ar-SA"/>
        </w:rPr>
        <w:t>453</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دراسة حديث معاذ بن جبل سنداً ودلالة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الصور المختلفة لحديث معاذ بن جبل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الاستدلال بحديث ابن عمر وحديث ابن عباس ونقدهما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الاستدلال بحديث الاعرابي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الاستدلال بإجماع الصحابة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الاستدلال بدليل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القياس في كلمات أئمّة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القياس في كلمات الصحابة والتابعين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الاستحسان</w:t>
      </w:r>
    </w:p>
    <w:p>
      <w:pPr>
        <w:pStyle w:val="BookText"/>
        <w:rPr/>
      </w:pPr>
      <w:r>
        <w:rPr>
          <w:rFonts w:ascii="Amiri" w:hAnsi="Amiri" w:eastAsia="Amiri" w:cs="Amiri"/>
          <w:color w:val="111111"/>
          <w:sz w:val="28"/>
          <w:sz w:val="28"/>
          <w:szCs w:val="28"/>
          <w:rtl w:val="true"/>
          <w:lang w:bidi="ar-SA"/>
        </w:rPr>
        <w:t xml:space="preserve">تعريف الاستحسان بتعاريف 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ما هو المراد من 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العمل بالرأي والظن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العدول من قياس إلى قياس أقوى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العدول من مقتضى قياس جلي إلى قياس خفي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العدول من مقتضى القياس بدليل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الاستحسان والعمل بأقوى الدليلين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الاستحسان والأخذ بالعرف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الاستحسان والمصلحة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العدول عن مقتضى الدليل إلى ما يستحسنه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الاستدلال على حجّية الاستحسان بوجوه ضعيفة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الاستصلاح أو المصالح المرسلة</w:t>
      </w:r>
    </w:p>
    <w:p>
      <w:pPr>
        <w:pStyle w:val="BookText"/>
        <w:rPr/>
      </w:pPr>
      <w:r>
        <w:rPr>
          <w:rFonts w:ascii="Amiri" w:hAnsi="Amiri" w:eastAsia="Amiri" w:cs="Amiri"/>
          <w:color w:val="111111"/>
          <w:sz w:val="28"/>
          <w:sz w:val="28"/>
          <w:szCs w:val="28"/>
          <w:rtl w:val="true"/>
          <w:lang w:bidi="ar-SA"/>
        </w:rPr>
        <w:t xml:space="preserve">تفسير مفردات العنوان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الاستصلاح وتقديم المصلحة على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الاستصلاح وتقييد النصّ بالمصلحة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الاستصلاح وانشاء الحكم فيما لا نصّ فيه على وفق المصلحة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ما هو السبب لعدّ الاستصلاح من مصادر 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الاستصلاح ليس دليلاً مستقلاً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 الذرائع</w:t>
      </w:r>
    </w:p>
    <w:p>
      <w:pPr>
        <w:pStyle w:val="BookText"/>
        <w:rPr/>
      </w:pPr>
      <w:r>
        <w:rPr>
          <w:rFonts w:ascii="Amiri" w:hAnsi="Amiri" w:eastAsia="Amiri" w:cs="Amiri"/>
          <w:color w:val="111111"/>
          <w:sz w:val="28"/>
          <w:sz w:val="28"/>
          <w:szCs w:val="28"/>
          <w:rtl w:val="true"/>
          <w:lang w:bidi="ar-SA"/>
        </w:rPr>
        <w:t xml:space="preserve">سدّ الذرائع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أدلّة القاعدة من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أدلّة القاعدة من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أدلة القاعدة من الإجماع والعقل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مكانة القاعدة في علم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دراسة بعض الفروع المبنيّة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الذرائع</w:t>
      </w:r>
    </w:p>
    <w:p>
      <w:pPr>
        <w:pStyle w:val="BookText"/>
        <w:rPr/>
      </w:pPr>
      <w:r>
        <w:rPr>
          <w:rFonts w:ascii="Amiri" w:hAnsi="Amiri" w:eastAsia="Amiri" w:cs="Amiri"/>
          <w:color w:val="111111"/>
          <w:sz w:val="28"/>
          <w:sz w:val="28"/>
          <w:szCs w:val="28"/>
          <w:rtl w:val="true"/>
          <w:lang w:bidi="ar-SA"/>
        </w:rPr>
        <w:t xml:space="preserve">الاستدلال على جواز فتح الذرائع بالكتاب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الاستدلال على فتح الذرائع بالسنة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الحاسم في فتح الذرائع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الصحابي</w:t>
      </w:r>
    </w:p>
    <w:p>
      <w:pPr>
        <w:pStyle w:val="BookText"/>
        <w:rPr/>
      </w:pPr>
      <w:r>
        <w:rPr>
          <w:rFonts w:ascii="Amiri" w:hAnsi="Amiri" w:eastAsia="Amiri" w:cs="Amiri"/>
          <w:color w:val="111111"/>
          <w:sz w:val="28"/>
          <w:sz w:val="28"/>
          <w:szCs w:val="28"/>
          <w:rtl w:val="true"/>
          <w:lang w:bidi="ar-SA"/>
        </w:rPr>
        <w:t>قول الصحابي حجّة إذا أسنده إلى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رأي الصحابي أو القول المردد بين النقل والرأي ليسا بحجّة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الحجّة هو الأعم من القول والرأي عند ابن القيم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وجود المخالفة بين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أحاديث الاقتداء بالصحابة وتفسيرها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رؤيا الصحابة والتشريع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عود إلى بدء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استدلال الشاطئ بوجوه أربعة على حجّية رأي الصحابي ونقدها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 أهل المدينة</w:t>
      </w:r>
    </w:p>
    <w:p>
      <w:pPr>
        <w:pStyle w:val="BookText"/>
        <w:rPr/>
      </w:pPr>
      <w:r>
        <w:rPr>
          <w:rFonts w:ascii="Amiri" w:hAnsi="Amiri" w:eastAsia="Amiri" w:cs="Amiri"/>
          <w:color w:val="111111"/>
          <w:sz w:val="28"/>
          <w:sz w:val="28"/>
          <w:szCs w:val="28"/>
          <w:rtl w:val="true"/>
          <w:lang w:bidi="ar-SA"/>
        </w:rPr>
        <w:t>اختلاف مالك والليث في حجّية إجماع أهل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رسالة الليث إلى مالك في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 العترة الطاهرة</w:t>
      </w:r>
    </w:p>
    <w:p>
      <w:pPr>
        <w:pStyle w:val="BookText"/>
        <w:rPr/>
      </w:pPr>
      <w:r>
        <w:rPr>
          <w:rFonts w:ascii="Amiri" w:hAnsi="Amiri" w:eastAsia="Amiri" w:cs="Amiri"/>
          <w:color w:val="111111"/>
          <w:sz w:val="28"/>
          <w:sz w:val="28"/>
          <w:szCs w:val="28"/>
          <w:rtl w:val="true"/>
          <w:lang w:bidi="ar-SA"/>
        </w:rPr>
        <w:t xml:space="preserve">أئمّة أهل البيت معصومون بتنصيص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الإجماع أصل برأسه أو حاك عن الدليل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مكانة الإجماع المحصّل عند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الإجماع عند أهل السنة أصل برأسه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برواية لا تجتمع أُمتي على خطأ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التخطئة والتصويب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التصويب وأقسامه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ما هو السبب للقول بالتصويب عند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انفتاح باب الاجتهاد عند الشيعة وانسداده عند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الاجتهاد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الاجتهاد المطلق والاجتهاد في مذهب 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 xml:space="preserve">لزوم فتح باب الاجتهاد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مبدأ غلق باب الاجتهاد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ما هي العوامل التي سبّبت الاغلاق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اجتهاد الشيعة اجتهاد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الحمدالله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إبانة المختار لشيخ الشريعة الاصبهاني ، نقله عن بعض الأعاظم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للوقوف على أسماء هذه الكتب وميزاتها 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اختلاف ؛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اختلاف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خلاف ؛ مقدّمة كتاب اختلاف الفقهاء للمروزي ، والخلافيات للإمام البيهقي ، واختلاف الفقهاء لأبي جعفر الطبري وغيرها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المعرفة ، بيروت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العلم ، الحديث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وللحديث أطراف في صحيح البخاري ، لاحظ الأرقام التالية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أيضاً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الفتوى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القاهرة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يُخيّل لبعض البسطاء أنّ الشيعة تنفرد بالقول بوجوب الخمس في غير الغنائم ، ولأجل توضيح الحال ندرس الموضوع في ظل الكتاب والسنّة ، وكلمات الفقهاء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غنم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غنم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باب ما يقال عند إخراج الزكاة ، الحديث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العجماء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ترى أنّ أبا يوسف يعد الخمس الوارد في هذا الموضع من مصاديق الغنيمة الواردة في آية الخمس وهو شاهد على كونها عامة مفهوماً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أبي يوسف ، واطلاق الآية يخالفه مضافاً إلى مخالفته مع روايات أئمّة أهل البيت فإنّها تفرض الخمس في الجميع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621620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اليمن ؛ 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تنوير الحوالك في شرح موطأ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النهب بغير إذن صاحبه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الصيد ، راجع 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المطبوع بهامش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العالية الرياحي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رفيع بن مهران ، مات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أبي رباح مات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أخرج حديثه أصحاب الصحاح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أن يقول ستة أسداس وقد مرّ وجه العدول عنه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فجعل لهم تارة خمس الخمس ، بلحاظ المواضع الخمسة ما سوى لله ، وجعله كله لهم تارة أُخرى كما في ذيل كلامه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 لهم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أمره أيضاً بيده ، فلا منافاة بين الجعلين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أيضاً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تحريم الزكاة على رسول الله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المغني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وصلّى عليها علي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الجهاد والسير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وعمران بن حصين كان أيضاً من كبار أصحاب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الطلاق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الأحوال الشخصية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الفقه على المذاهب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بقية أحاديث الباب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بقية أحاديث الباب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بقية أحاديث الباب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نصّ كلامه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والتفريق بينهما غريب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يقف على صدق هذا ، من طالع مبحث الحلف بالطلاق في الكتب الفقهية التي تعبر عنه بالطلاق غير المعتبر ، حيث أصبح الطلاق أُلعوبة بيد الزوج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الطلاق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ما ذكره ، نقل عن الإمام عليّ رأيان متناقضان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الوقوع والوقوع مع الإثم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الوجوه ذكرها الجصّاص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صلاة جعفر الطيّار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379378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 من المصادر المتوفرة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الطلاق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الطلاق البائن كطلاق غير المدخولة ، وطلاق اليائسة من المحيض الطاعنة في السن وغيرهما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الحر العاملي في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 وقال في كتابه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رواته موثّقون ؛ ونقل الشوكاني في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كثير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 جيد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26789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طلّقها الزوج الثاني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الطلاق الثلاث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اتّفقت فقهاء المذاهب الأربع على أنّ اللعان يحرم مؤبداً فلا تحلّ له أبداً حتّى وإن أكذب نفسه ، نعم قالت الحنفية بالحرمة المؤبدة إلاّ إذا أكذب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دار الكتاب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التتابع في الشر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التتابع في الشر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التتابع في الشر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 صحيح</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إيقاظ همم أُولي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الطلاق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إليه أيضاً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إغاثة اللهفان من مصايد الشيطان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وفائدة السبق والرماية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النفس على الاستعداد للقتال والهداية لممارسة النضال وهي معاملة صحيحة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كتابنا مفاهيم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إغاثة اللهفان له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 كتاب الطلاق ،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السابع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بتصحيح الدكتور محمد خليل هراس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 الجزء الرابع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ردّ المرأة لوقوع الطلاق مكرهاً ، وبما أنّه لم تكن هناك كراهة ولم يطلب أهل المرأة سوى النفقة ، يحمل على خلاف ظاهره ، من بطلان الطلاق لأجل الحلف به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رواية عن شريح تركنا نقلها لعدم دلالتها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عليه عطف عطاء عليه أيضاً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213212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قولاً رابعاً لا يخلو من إبهام ولذا تركنا نقله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الطلاق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تلك الصور ،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ومحمد بن مسلم وبكير بن أعين وبُريد وفضيل وإسماعيل الأزرق ومعمر بن يحيى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التصريح به من صاحب المنار أيضاً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وَلِأَبَوَيْهِ لِكُلِّ واحِدٍ مِنْهُمَا السُّدُسُ مِمَّا تَرَكَ إِنْ كانَ لَهُ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قتادة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نصّه وسنده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من العنق ما بين المذبح إلى المنحر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تقصع بجرّتها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شدة المضغ وضمّ بعض الأسنان على بعض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قصع 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خروجها من الجوف إلى 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لا وصية لوارث ، الحديث </w:t>
      </w:r>
      <w:r>
        <w:rPr>
          <w:rFonts w:eastAsia="IRNazanin" w:cs="IRNazanin"/>
          <w:b w:val="false"/>
          <w:bCs w:val="false"/>
          <w:i w:val="false"/>
          <w:iCs w:val="false"/>
          <w:color w:val="333333"/>
          <w:sz w:val="20"/>
          <w:szCs w:val="20"/>
        </w:rPr>
        <w:t>21212120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227226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178175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 ، باب إبطال الوصية للوارث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بأسناده الثلاثة ينتهي إلى عمرو بن خارجة الذي قال البزار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نعلم له عن النبي إلاّ هذا الحديث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الوصية للوارث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265264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نقلناه عن أئمة الرجال في حق رواة الحديث ونقلته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ثلاثة عشر حديثاً تصرِّح بجواز الوصية للوارث</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ثلاثة عشر حديثاً تصرِّح بجواز الوصية للوارث</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سلف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لوارث وصية إلاّ من الثلث</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مؤسسة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بمصباح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الرواية الرابعة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ميراث أهل الشرك وأهل الإسلام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لا يرث المسلم الكافر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الرواية الثامنة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الفرائض</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إرث نقله عن العذب الفائض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عصبة بالغير أي الأخ</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ونظائره الكثيرة في الفرائض يعرب عن عدم وجود نظام محدّد في الفرائض في متناول الصحابة ، ومع أنّهم يروون عن النبي أنّ أعلم الصحابة بالفرائض هو زيد بن ثابت 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أفرضهم زيد ، وأقرأهم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تبع قضاء عمر ولم يكن عنده شيء في المسألة التي يكثر الابتلاء بها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الشيخ جاد الحق ، شيخ الأزهر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كتاب الفرائض ، باب فيمن أعطى ذوي الأرحام دون الموالي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 كتاب الفرائض عند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يثبت الميراث عندنا بالتعصيب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السعدي وهو ممدوح ، والحسين الرزاز مجهول ، وفي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الرزّاز وهو أيضاً مجهول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ابن الابن إذا لم يكن ابن ؛ 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الجد مع الأب والإخوة ، ورواها عن سليمان بن 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مسلم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السند في غيرهما ، واحد ، وباب ابني عم أحدهما أخ والآخر زوج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رواها عن أُمية بن بسطام ، عن يزيد بن زريع عن روح عن عبد الله بن طاوس</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حوادث عام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أبي زيد أحمد بن يعقوب بن نصر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في الحديث ، عالم به ، كان قديماً من الواقفة توفّي عام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رجال السند ففي تعليقة الخلاف أنّه لم يتعرّف على البربريّ ، وأمّا بشر بن هارون لعلّه تصحيف بشر بن موسى ، إذ هو الراوي عن الحميدي على ما في تاريخ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والحميدي هو عبد الله بن الزبير القرشي توفّي بمكة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وسفيان هو سفيان بن عيينة ، وأبو إسحاق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بن عبيد السبيعي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 الملك بن مروان سابع خلفاء بني أُمية ، بويع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ابن خمس وأربعين سنة ، وكان خاتمه بيده يختم رسائله بخاتمه صيانة عن التزوير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الغفاري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ميراث البنات رقم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فرائض الصلب 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ميراث الصلب رقم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14384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والسنن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الابنتين ، وقال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قيس خطأ ، إنّما هو سعد بن الربيع ، وقال أبو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أخطأ بشر بن المفضل فيه انّما هما ابنتا سعد بن الربيع ، وثابت بن قيس قتل يوم اليمامة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ولاحظ بقيّة كلامه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الفرائض باب ميراث البنات ، وباب ميراث الأخوات مع البنات عصبة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في الفرائض ، باب ما جاء في ميراث الصلب رقم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ابنة ابن مع ابنة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ميراث ابنة الابن مع ابنة الصلب رقم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ميراث الصلب رقم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المسألة نفس ما ابتلى به عمر بن الخطاب ، غير أنّه أُضيفت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الزوجة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السهام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الدلائل الثلاثة الأُول من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تفصيل منّا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العول والردّ ؛ الشرح الكبير في ذيل متن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في ذيل متن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الغفّاري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والحديث صحيح على شرط مسلم ؛ وأورده الذهبي في تلخيصه إذعاناً بصحّته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جمال الدين على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الاستقلال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كفانا في نقد ما اختلقه من الشبهات أو أخذها ممّن تقدم عليه العلمان الجليلان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الحسين العاملي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موسى جار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محسن العاملي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الوشيعة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الله أسرارهما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وقي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تعليق أحمد محمد شاكر على دائرة المعارف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المكتبة السلفية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تبريز</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التقية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السلفية ؛ 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علق الطوسي على الرواية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التقية رخصة ، والافصاح بالحق فضيلة ، وظاهر أخبارنا يدلّ على انّها واجبة ، وخلافها خطأ وسيوافيك أنّها على أقسام خمسة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والحاكمون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الرومي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لأبي عطاء السندي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 في ألف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التاسع ؛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تعاليق اوائل المقالات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وستوافيك نصوص الآيات في ثنايا البحث</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حديث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بهامش 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إرشاد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في هامش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التقية مطبوعة ضمن 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حول موارد استثنيت من الأدلّة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في هامش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206195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الصلاة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رسالة التقية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المصادر الشيعية ولاحظ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تبوك</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المرتد الملّي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من لم يكن أحد والديه مسلماً حين انعقاد نطفته ، كما إذا كان الوالدان كتابيين فأسلم الولد بعد البلوغ ثم ارتدّ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تعارض بين الخبرين ، غير أنّ الأوّل متواتر دون الثاني والأوّل مسند ، والثاني مرسل نقله الإمام مالك في موطئه ، وأين هو من حديث العترة الذي أطبق المحدّثون على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والتفصيل موكول إلى محلّه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 الشافعي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العلاّمة المجلسي ما ورد من الأثر حول كتب الإمام عليّ في موسوعته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جهات علومهم وما عندهم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الباب ،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 أحاديث تصرّح بما ذكر ، والمراد منها أُصول الأحكام وجذورها لا فروعها وجزئياتها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في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في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للوقوف على سائر الكلمات حول المحدّث ، كتاب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مستفيض ، رواه الخطيب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متواتر أخرجه مسلم في صحيحه والدارمي في فضائل القرآن وأحمد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فيما نقلناه من الأحاديث ،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 من الباب الرابع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سيدنا شرف الدين في مراجعاته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لفريد وجدي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جهد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لفريد وجدي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جهد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لتاريخ الفلسفة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لفريد وجدي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المحمدي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الميراث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سعيد في سننه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للطوسي كتاب السرقة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صفات المنافقين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وليس في الرواية ما يدلّ على انّه كان منافقاً ، وإنّما ذكره مسلم في ذلك الباب لصيانة عدالة الصحابة</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الصحبة والصحابة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تمهيد لتاريخ الفلسفة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ابن حزم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المطبوع مع تعاليقنا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الآستانة ، اسلامبول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 الحواشي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رفضوا المصالح المرسلة التي لم يتّفق العقلاء عليها بل يدركها الفقيه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 ، للشيخ الصدوق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التسعة ،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السادس في علوم الحديث</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حمد محمد شاكر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قاس</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للسيد محمد تقي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نبّه بوجود اصطلاحين في استعمال القياس</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القوانين المحكمة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 الأُصولين ، الطبعة الحديثة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فيما لا نص 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لأبي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كتاب الصيام ، الحديث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روي بطرق مختلفة وباختلاف يسير في المتن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النسخة المطبوعة ببولاق مصر عام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لأبي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الاحكام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الحاصل من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في علم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الأُنثى من أولاد المعز ما لم يتمّ له سنة ، والجفرة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يبلغ أربعة أشهر وفصل عن أُمّه وأخذ في الرعي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ذكره في باب الاجتهاد ، وهو عنده مساو للقياس كما مرّ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ينتهي سند الجميع إلى حارث بن عمرو عن ناس من أصحاب معاذ من أهل حمص</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مصر ، تحقيق أحمد محمد شاكر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مصر ، تحقيق أحمد محمد شاكر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الحاصل من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الحاصل من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رقم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للوقوف على صور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في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مذهب أهل البيت إنكار القياس</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القياس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للوقوف على تفصيل هذه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شرف الدين ،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الاعتصام بالكتاب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 وغيرهما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من تعليقات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الاحكام في أُصول الاحكام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الموقعين عن ربّ العالمين لابن قيم الجوزية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الكتاب العربي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الاحكام في أُصول الاحكام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الموقعين لابن قيم الجوزية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المنخول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 ضبط الاستحسان ما ذكره الكرخي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الفصول في احكام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بلوغ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أُصول الفقه للدواليبي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في فلان هنات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خصلات شر ، ولا يقال ذلك في الخير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الطلاق ثلاثاً ،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دار الكتاب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الأُصول العامة للفقه المقارن للسيد محمد تقي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للفقه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برقم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171149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قصة أهل السبت في مواضع خمسة من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 لعنهم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نَلْعَنَهُمْ كَما لَعَنَّا أَصْحابَ السَّبْتِ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الإكراه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كلامه من المبالغة فإنّ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رأسهم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ابتدعت تلك القاعدة ، فكيف نزّهه عنها؟</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الشمراخ غصن دقيق ينبت في أعلى الغصن الغليظ</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السامي في تاريخ الفقه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بلوغ المرام برقم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جمعوه ثم أذابوه احتيالاً على الوقوع في المحرم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كتاب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جواز الأخذ بفتاوى الصحابة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التيمّم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محمد محي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الأذان برقم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بدء الأذان 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للشاطبي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الحوض ، الحديث </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تعليقة الموافقات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 التعليقة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للوقوف على هذه الأحاديث ونظائرها الكثيرة ، كتاب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أهل السنة والسلفية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من أبواب المقدّمات وما هو الحجّة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أخذنا بالقليل عن الكثير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697687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الفقه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 وهو تصحيف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 وهو تصحيف</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ولكلامه صلة ، فراجع</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نفس تعبير الطوفي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فالحجّة عندنا قول أحد العترة فضلاً عن إجماعهم وبما انّا قدمنا بعض الكلام في حجية قول العترة الطاهرة في الفصل الثاني من فصول جذور الاختلاف اختصرنا الكلام في المقام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وللوقوف على مصادر هذه الروايات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جامع الأُصول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الطوفي ، نشرها الأُستاذ عبد الوهاب خلاف في مصادر التشريع الإسلامي فيما يرجع إلى المقام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عن وجه حجّية الإجماع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للخضري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السنة الإسلامي ومنابعه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الحديث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 الحديث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 الحديث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الرسالة في مصادر الفقه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الإسلامي ، رسالة الطوفي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الحاجب عن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 المخطوط في الأزهر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للخضري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الرد إلى الكتاب والسنة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فيه ذكر الصحيفة الجامعة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للكاظمي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للخضري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للكاظمي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العقول إلى علم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جهد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المنهج الرابع في الاجتهاد والتقليد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الثالثة ، العدد الثاني عن مقال أحمد أمين المصري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 من السنة الثالثة عن مقال أحمد أمين المصري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الخطط المقريزية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الاجتهاد للطهراني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الفقهي العام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179177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بالخلافة عام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عام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التشريع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image" Target="media/image2.jpeg"/><Relationship Id="rId635" Type="http://schemas.openxmlformats.org/officeDocument/2006/relationships/image" Target="media/image2.jpeg"/><Relationship Id="rId636" Type="http://schemas.openxmlformats.org/officeDocument/2006/relationships/footer" Target="footer629.xml"/><Relationship Id="rId637" Type="http://schemas.openxmlformats.org/officeDocument/2006/relationships/footnotes" Target="footnotes.xml"/><Relationship Id="rId638" Type="http://schemas.openxmlformats.org/officeDocument/2006/relationships/numbering" Target="numbering.xml"/><Relationship Id="rId639" Type="http://schemas.openxmlformats.org/officeDocument/2006/relationships/fontTable" Target="fontTable.xml"/><Relationship Id="rId640" Type="http://schemas.openxmlformats.org/officeDocument/2006/relationships/settings" Target="settings.xml"/><Relationship Id="rId6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641</Pages>
  <Words>58596</Words>
  <Characters>236394</Characters>
  <CharactersWithSpaces>292682</CharactersWithSpaces>
  <Paragraphs>2549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2026-08-21T00:18:39Z</dcterms:created>
  <dc:creator>ghaemiyeh.com</dc:creator>
  <dc:description/>
  <dc:language>en-US</dc:language>
  <cp:lastModifiedBy/>
  <dcterms:modified xsi:type="dcterms:W3CDTF">2026-08-21T03:48:57Z</dcterms:modified>
  <cp:revision>1</cp:revision>
  <dc:subject/>
  <dc:title>الانصاف فی مسائل دام فیها الخلاف جلد 2</dc:title>
</cp:coreProperties>
</file>

<file path=docProps/custom.xml><?xml version="1.0" encoding="utf-8"?>
<Properties xmlns="http://schemas.openxmlformats.org/officeDocument/2006/custom-properties" xmlns:vt="http://schemas.openxmlformats.org/officeDocument/2006/docPropsVTypes"/>
</file>