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الطلاق والخلع والمباراة الظهار الایلاء واللعان فی شرح تحریرالوسیلة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16417_2870459653">
            <w:r>
              <w:rPr>
                <w:webHidden/>
                <w:rStyle w:val="IndexLink"/>
                <w:rtl w:val="true"/>
              </w:rPr>
              <w:t>هویة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5416419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5416421_2870459653">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5416423_2870459653">
            <w:r>
              <w:rPr>
                <w:webHidden/>
                <w:rStyle w:val="IndexLink"/>
                <w:rtl w:val="true"/>
              </w:rPr>
              <w:t>مقدّمة الناشر</w:t>
            </w:r>
            <w:r>
              <w:rPr>
                <w:rStyle w:val="IndexLink"/>
                <w:rtl w:val="true"/>
              </w:rPr>
              <w:tab/>
            </w:r>
            <w:r>
              <w:rPr>
                <w:rStyle w:val="IndexLink"/>
              </w:rPr>
              <w:t>17</w:t>
            </w:r>
          </w:hyperlink>
        </w:p>
        <w:p>
          <w:pPr>
            <w:pStyle w:val="Contents2"/>
            <w:tabs>
              <w:tab w:val="clear" w:pos="8743"/>
              <w:tab w:val="right" w:pos="9026" w:leader="dot"/>
            </w:tabs>
            <w:rPr/>
          </w:pPr>
          <w:hyperlink w:anchor="__RefHeading___Toc5416425_2870459653">
            <w:r>
              <w:rPr>
                <w:webHidden/>
                <w:rStyle w:val="IndexLink"/>
                <w:rtl w:val="true"/>
              </w:rPr>
              <w:t>مقدمة المؤلّف</w:t>
            </w:r>
            <w:r>
              <w:rPr>
                <w:rStyle w:val="IndexLink"/>
                <w:rtl w:val="true"/>
              </w:rPr>
              <w:tab/>
            </w:r>
            <w:r>
              <w:rPr>
                <w:rStyle w:val="IndexLink"/>
              </w:rPr>
              <w:t>19</w:t>
            </w:r>
          </w:hyperlink>
        </w:p>
        <w:p>
          <w:pPr>
            <w:pStyle w:val="Contents2"/>
            <w:tabs>
              <w:tab w:val="clear" w:pos="8743"/>
              <w:tab w:val="right" w:pos="9026" w:leader="dot"/>
            </w:tabs>
            <w:rPr/>
          </w:pPr>
          <w:hyperlink w:anchor="__RefHeading___Toc5416427_2870459653">
            <w:r>
              <w:rPr>
                <w:webHidden/>
                <w:rStyle w:val="IndexLink"/>
                <w:rtl w:val="true"/>
              </w:rPr>
              <w:t>مقدّمة المقرّر</w:t>
            </w:r>
            <w:r>
              <w:rPr>
                <w:rStyle w:val="IndexLink"/>
                <w:rtl w:val="true"/>
              </w:rPr>
              <w:tab/>
            </w:r>
            <w:r>
              <w:rPr>
                <w:rStyle w:val="IndexLink"/>
              </w:rPr>
              <w:t>21</w:t>
            </w:r>
          </w:hyperlink>
        </w:p>
        <w:p>
          <w:pPr>
            <w:pStyle w:val="Contents2"/>
            <w:tabs>
              <w:tab w:val="clear" w:pos="8743"/>
              <w:tab w:val="right" w:pos="9026" w:leader="dot"/>
            </w:tabs>
            <w:rPr/>
          </w:pPr>
          <w:hyperlink w:anchor="__RefHeading___Toc5416429_2870459653">
            <w:r>
              <w:rPr>
                <w:webHidden/>
                <w:rStyle w:val="IndexLink"/>
                <w:rtl w:val="true"/>
              </w:rPr>
              <w:t>کتاب الطلاق</w:t>
            </w:r>
            <w:r>
              <w:rPr>
                <w:rStyle w:val="IndexLink"/>
                <w:rtl w:val="true"/>
              </w:rPr>
              <w:tab/>
            </w:r>
            <w:r>
              <w:rPr>
                <w:rStyle w:val="IndexLink"/>
              </w:rPr>
              <w:t>25</w:t>
            </w:r>
          </w:hyperlink>
        </w:p>
        <w:p>
          <w:pPr>
            <w:pStyle w:val="Contents3"/>
            <w:tabs>
              <w:tab w:val="clear" w:pos="8459"/>
              <w:tab w:val="right" w:pos="9026" w:leader="dot"/>
            </w:tabs>
            <w:rPr/>
          </w:pPr>
          <w:hyperlink w:anchor="__RefHeading___Toc5416431_2870459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5416433_2870459653">
            <w:r>
              <w:rPr>
                <w:webHidden/>
                <w:rStyle w:val="IndexLink"/>
                <w:rtl w:val="true"/>
              </w:rPr>
              <w:t>(</w:t>
            </w:r>
            <w:r>
              <w:rPr>
                <w:rStyle w:val="IndexLink"/>
              </w:rPr>
              <w:t>1</w:t>
            </w:r>
            <w:r>
              <w:rPr>
                <w:rStyle w:val="IndexLink"/>
                <w:rtl w:val="true"/>
              </w:rPr>
              <w:t xml:space="preserve">) </w:t>
            </w:r>
            <w:r>
              <w:rPr>
                <w:rStyle w:val="IndexLink"/>
                <w:rtl w:val="true"/>
              </w:rPr>
              <w:t>ينبغي ذكر أُمور قبل البحث في شروط الطلاق</w:t>
            </w:r>
            <w:r>
              <w:rPr>
                <w:rStyle w:val="IndexLink"/>
                <w:rtl w:val="true"/>
              </w:rPr>
              <w:t>:</w:t>
              <w:tab/>
            </w:r>
            <w:r>
              <w:rPr>
                <w:rStyle w:val="IndexLink"/>
              </w:rPr>
              <w:t>25</w:t>
            </w:r>
          </w:hyperlink>
        </w:p>
        <w:p>
          <w:pPr>
            <w:pStyle w:val="Contents3"/>
            <w:tabs>
              <w:tab w:val="clear" w:pos="8459"/>
              <w:tab w:val="right" w:pos="9026" w:leader="dot"/>
            </w:tabs>
            <w:rPr/>
          </w:pPr>
          <w:hyperlink w:anchor="__RefHeading___Toc5416435_2870459653">
            <w:r>
              <w:rPr>
                <w:webHidden/>
                <w:rStyle w:val="IndexLink"/>
                <w:rtl w:val="true"/>
              </w:rPr>
              <w:t>الأوّل</w:t>
            </w:r>
            <w:r>
              <w:rPr>
                <w:rStyle w:val="IndexLink"/>
                <w:rtl w:val="true"/>
              </w:rPr>
              <w:t xml:space="preserve">: </w:t>
            </w:r>
            <w:r>
              <w:rPr>
                <w:rStyle w:val="IndexLink"/>
                <w:rtl w:val="true"/>
              </w:rPr>
              <w:t>الطلاق من الأُمور التشریعیّة الإمضائیّة</w:t>
            </w:r>
            <w:r>
              <w:rPr>
                <w:rStyle w:val="IndexLink"/>
                <w:rtl w:val="true"/>
              </w:rPr>
              <w:tab/>
            </w:r>
            <w:r>
              <w:rPr>
                <w:rStyle w:val="IndexLink"/>
              </w:rPr>
              <w:t>25</w:t>
            </w:r>
          </w:hyperlink>
        </w:p>
        <w:p>
          <w:pPr>
            <w:pStyle w:val="Contents3"/>
            <w:tabs>
              <w:tab w:val="clear" w:pos="8459"/>
              <w:tab w:val="right" w:pos="9026" w:leader="dot"/>
            </w:tabs>
            <w:rPr/>
          </w:pPr>
          <w:hyperlink w:anchor="__RefHeading___Toc5416437_2870459653">
            <w:r>
              <w:rPr>
                <w:webHidden/>
                <w:rStyle w:val="IndexLink"/>
                <w:rtl w:val="true"/>
              </w:rPr>
              <w:t>الثاني</w:t>
            </w:r>
            <w:r>
              <w:rPr>
                <w:rStyle w:val="IndexLink"/>
                <w:rtl w:val="true"/>
              </w:rPr>
              <w:t xml:space="preserve">: </w:t>
            </w:r>
            <w:r>
              <w:rPr>
                <w:rStyle w:val="IndexLink"/>
                <w:rtl w:val="true"/>
              </w:rPr>
              <w:t>رجحان البحث عن الطلاق في قسم الإیقاعات</w:t>
            </w:r>
            <w:r>
              <w:rPr>
                <w:rStyle w:val="IndexLink"/>
                <w:rtl w:val="true"/>
              </w:rPr>
              <w:tab/>
            </w:r>
            <w:r>
              <w:rPr>
                <w:rStyle w:val="IndexLink"/>
              </w:rPr>
              <w:t>28</w:t>
            </w:r>
          </w:hyperlink>
        </w:p>
        <w:p>
          <w:pPr>
            <w:pStyle w:val="Contents3"/>
            <w:tabs>
              <w:tab w:val="clear" w:pos="8459"/>
              <w:tab w:val="right" w:pos="9026" w:leader="dot"/>
            </w:tabs>
            <w:rPr/>
          </w:pPr>
          <w:hyperlink w:anchor="__RefHeading___Toc5416439_2870459653">
            <w:r>
              <w:rPr>
                <w:webHidden/>
                <w:rStyle w:val="IndexLink"/>
                <w:rtl w:val="true"/>
              </w:rPr>
              <w:t>الثالث</w:t>
            </w:r>
            <w:r>
              <w:rPr>
                <w:rStyle w:val="IndexLink"/>
                <w:rtl w:val="true"/>
              </w:rPr>
              <w:t xml:space="preserve">: </w:t>
            </w:r>
            <w:r>
              <w:rPr>
                <w:rStyle w:val="IndexLink"/>
                <w:rtl w:val="true"/>
              </w:rPr>
              <w:t>وقوع الطلاق في الأزمان المختلفة</w:t>
            </w:r>
            <w:r>
              <w:rPr>
                <w:rStyle w:val="IndexLink"/>
                <w:rtl w:val="true"/>
              </w:rPr>
              <w:tab/>
            </w:r>
            <w:r>
              <w:rPr>
                <w:rStyle w:val="IndexLink"/>
              </w:rPr>
              <w:t>28</w:t>
            </w:r>
          </w:hyperlink>
        </w:p>
        <w:p>
          <w:pPr>
            <w:pStyle w:val="Contents3"/>
            <w:tabs>
              <w:tab w:val="clear" w:pos="8459"/>
              <w:tab w:val="right" w:pos="9026" w:leader="dot"/>
            </w:tabs>
            <w:rPr/>
          </w:pPr>
          <w:hyperlink w:anchor="__RefHeading___Toc5416441_2870459653">
            <w:r>
              <w:rPr>
                <w:webHidden/>
                <w:rStyle w:val="IndexLink"/>
                <w:rtl w:val="true"/>
              </w:rPr>
              <w:t>الرابع</w:t>
            </w:r>
            <w:r>
              <w:rPr>
                <w:rStyle w:val="IndexLink"/>
                <w:rtl w:val="true"/>
              </w:rPr>
              <w:t xml:space="preserve">: </w:t>
            </w:r>
            <w:r>
              <w:rPr>
                <w:rStyle w:val="IndexLink"/>
                <w:rtl w:val="true"/>
              </w:rPr>
              <w:t>تعریف الطلاق</w:t>
            </w:r>
            <w:r>
              <w:rPr>
                <w:rStyle w:val="IndexLink"/>
                <w:rtl w:val="true"/>
              </w:rPr>
              <w:tab/>
            </w:r>
            <w:r>
              <w:rPr>
                <w:rStyle w:val="IndexLink"/>
              </w:rPr>
              <w:t>29</w:t>
            </w:r>
          </w:hyperlink>
        </w:p>
        <w:p>
          <w:pPr>
            <w:pStyle w:val="Contents3"/>
            <w:tabs>
              <w:tab w:val="clear" w:pos="8459"/>
              <w:tab w:val="right" w:pos="9026" w:leader="dot"/>
            </w:tabs>
            <w:rPr/>
          </w:pPr>
          <w:hyperlink w:anchor="__RefHeading___Toc5416443_2870459653">
            <w:r>
              <w:rPr>
                <w:webHidden/>
                <w:rStyle w:val="IndexLink"/>
                <w:rtl w:val="true"/>
              </w:rPr>
              <w:t>الخامس</w:t>
            </w:r>
            <w:r>
              <w:rPr>
                <w:rStyle w:val="IndexLink"/>
                <w:rtl w:val="true"/>
              </w:rPr>
              <w:t xml:space="preserve">: </w:t>
            </w:r>
            <w:r>
              <w:rPr>
                <w:rStyle w:val="IndexLink"/>
                <w:rtl w:val="true"/>
              </w:rPr>
              <w:t>الأصل في الطلاق</w:t>
            </w:r>
            <w:r>
              <w:rPr>
                <w:rStyle w:val="IndexLink"/>
                <w:rtl w:val="true"/>
              </w:rPr>
              <w:tab/>
            </w:r>
            <w:r>
              <w:rPr>
                <w:rStyle w:val="IndexLink"/>
              </w:rPr>
              <w:t>30</w:t>
            </w:r>
          </w:hyperlink>
        </w:p>
        <w:p>
          <w:pPr>
            <w:pStyle w:val="Contents3"/>
            <w:tabs>
              <w:tab w:val="clear" w:pos="8459"/>
              <w:tab w:val="right" w:pos="9026" w:leader="dot"/>
            </w:tabs>
            <w:rPr/>
          </w:pPr>
          <w:hyperlink w:anchor="__RefHeading___Toc5416445_2870459653">
            <w:r>
              <w:rPr>
                <w:webHidden/>
                <w:rStyle w:val="IndexLink"/>
                <w:rtl w:val="true"/>
              </w:rPr>
              <w:t>السادس</w:t>
            </w:r>
            <w:r>
              <w:rPr>
                <w:rStyle w:val="IndexLink"/>
                <w:rtl w:val="true"/>
              </w:rPr>
              <w:t xml:space="preserve">: </w:t>
            </w:r>
            <w:r>
              <w:rPr>
                <w:rStyle w:val="IndexLink"/>
                <w:rtl w:val="true"/>
              </w:rPr>
              <w:t>کراهة الطلاق في الأخبار</w:t>
            </w:r>
            <w:r>
              <w:rPr>
                <w:rStyle w:val="IndexLink"/>
                <w:rtl w:val="true"/>
              </w:rPr>
              <w:tab/>
            </w:r>
            <w:r>
              <w:rPr>
                <w:rStyle w:val="IndexLink"/>
              </w:rPr>
              <w:t>31</w:t>
            </w:r>
          </w:hyperlink>
        </w:p>
        <w:p>
          <w:pPr>
            <w:pStyle w:val="Contents2"/>
            <w:tabs>
              <w:tab w:val="clear" w:pos="8743"/>
              <w:tab w:val="right" w:pos="9026" w:leader="dot"/>
            </w:tabs>
            <w:rPr/>
          </w:pPr>
          <w:hyperlink w:anchor="__RefHeading___Toc5416447_2870459653">
            <w:r>
              <w:rPr>
                <w:webHidden/>
                <w:rStyle w:val="IndexLink"/>
                <w:rtl w:val="true"/>
              </w:rPr>
              <w:t>القول في شروطه</w:t>
            </w:r>
            <w:r>
              <w:rPr>
                <w:rStyle w:val="IndexLink"/>
                <w:rtl w:val="true"/>
              </w:rPr>
              <w:tab/>
            </w:r>
            <w:r>
              <w:rPr>
                <w:rStyle w:val="IndexLink"/>
              </w:rPr>
              <w:t>37</w:t>
            </w:r>
          </w:hyperlink>
        </w:p>
        <w:p>
          <w:pPr>
            <w:pStyle w:val="Contents3"/>
            <w:tabs>
              <w:tab w:val="clear" w:pos="8459"/>
              <w:tab w:val="right" w:pos="9026" w:leader="dot"/>
            </w:tabs>
            <w:rPr/>
          </w:pPr>
          <w:hyperlink w:anchor="__RefHeading___Toc5416449_2870459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416451_2870459653">
            <w:r>
              <w:rPr>
                <w:webHidden/>
                <w:rStyle w:val="IndexLink"/>
                <w:rtl w:val="true"/>
              </w:rPr>
              <w:t>شروط المطلِّق</w:t>
            </w:r>
            <w:r>
              <w:rPr>
                <w:rStyle w:val="IndexLink"/>
                <w:rtl w:val="true"/>
              </w:rPr>
              <w:tab/>
            </w:r>
            <w:r>
              <w:rPr>
                <w:rStyle w:val="IndexLink"/>
              </w:rPr>
              <w:t>37</w:t>
            </w:r>
          </w:hyperlink>
        </w:p>
        <w:p>
          <w:pPr>
            <w:pStyle w:val="Contents4"/>
            <w:tabs>
              <w:tab w:val="clear" w:pos="8176"/>
              <w:tab w:val="right" w:pos="9026" w:leader="dot"/>
            </w:tabs>
            <w:rPr/>
          </w:pPr>
          <w:hyperlink w:anchor="__RefHeading___Toc5416453_2870459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5416455_2870459653">
            <w:r>
              <w:rPr>
                <w:webHidden/>
                <w:rStyle w:val="IndexLink"/>
                <w:rtl w:val="true"/>
              </w:rPr>
              <w:t>اشتراط البلوغ في المطلِّق</w:t>
            </w:r>
            <w:r>
              <w:rPr>
                <w:rStyle w:val="IndexLink"/>
                <w:rtl w:val="true"/>
              </w:rPr>
              <w:tab/>
            </w:r>
            <w:r>
              <w:rPr>
                <w:rStyle w:val="IndexLink"/>
              </w:rPr>
              <w:t>37</w:t>
            </w:r>
          </w:hyperlink>
        </w:p>
        <w:p>
          <w:pPr>
            <w:pStyle w:val="Contents4"/>
            <w:tabs>
              <w:tab w:val="clear" w:pos="8176"/>
              <w:tab w:val="right" w:pos="9026" w:leader="dot"/>
            </w:tabs>
            <w:rPr/>
          </w:pPr>
          <w:hyperlink w:anchor="__RefHeading___Toc5416457_2870459653">
            <w:r>
              <w:rPr>
                <w:webHidden/>
                <w:rStyle w:val="IndexLink"/>
                <w:rtl w:val="true"/>
              </w:rPr>
              <w:t>الأخبار الدالّة علی عدم صحّة طلاق الصبيّ</w:t>
            </w:r>
            <w:r>
              <w:rPr>
                <w:rStyle w:val="IndexLink"/>
                <w:rtl w:val="true"/>
              </w:rPr>
              <w:tab/>
            </w:r>
            <w:r>
              <w:rPr>
                <w:rStyle w:val="IndexLink"/>
              </w:rPr>
              <w:t>39</w:t>
            </w:r>
          </w:hyperlink>
        </w:p>
        <w:p>
          <w:pPr>
            <w:pStyle w:val="Contents4"/>
            <w:tabs>
              <w:tab w:val="clear" w:pos="8176"/>
              <w:tab w:val="right" w:pos="9026" w:leader="dot"/>
            </w:tabs>
            <w:rPr/>
          </w:pPr>
          <w:hyperlink w:anchor="__RefHeading___Toc5416459_2870459653">
            <w:r>
              <w:rPr>
                <w:webHidden/>
                <w:rStyle w:val="IndexLink"/>
                <w:rtl w:val="true"/>
              </w:rPr>
              <w:t>الأخبار الدالّة علی صحّة طلاق الصبيّ</w:t>
            </w:r>
            <w:r>
              <w:rPr>
                <w:rStyle w:val="IndexLink"/>
                <w:rtl w:val="true"/>
              </w:rPr>
              <w:tab/>
            </w:r>
            <w:r>
              <w:rPr>
                <w:rStyle w:val="IndexLink"/>
              </w:rPr>
              <w:t>40</w:t>
            </w:r>
          </w:hyperlink>
        </w:p>
        <w:p>
          <w:pPr>
            <w:pStyle w:val="Contents4"/>
            <w:tabs>
              <w:tab w:val="clear" w:pos="8176"/>
              <w:tab w:val="right" w:pos="9026" w:leader="dot"/>
            </w:tabs>
            <w:rPr/>
          </w:pPr>
          <w:hyperlink w:anchor="__RefHeading___Toc5416461_2870459653">
            <w:r>
              <w:rPr>
                <w:webHidden/>
                <w:rStyle w:val="IndexLink"/>
                <w:rtl w:val="true"/>
              </w:rPr>
              <w:t>الخبر الدالّ علی صحّة الطلاق إن کان له عشرة سنين</w:t>
            </w:r>
            <w:r>
              <w:rPr>
                <w:rStyle w:val="IndexLink"/>
                <w:rtl w:val="true"/>
              </w:rPr>
              <w:tab/>
            </w:r>
            <w:r>
              <w:rPr>
                <w:rStyle w:val="IndexLink"/>
              </w:rPr>
              <w:t>40</w:t>
            </w:r>
          </w:hyperlink>
        </w:p>
        <w:p>
          <w:pPr>
            <w:pStyle w:val="Contents3"/>
            <w:tabs>
              <w:tab w:val="clear" w:pos="8459"/>
              <w:tab w:val="right" w:pos="9026" w:leader="dot"/>
            </w:tabs>
            <w:rPr/>
          </w:pPr>
          <w:hyperlink w:anchor="__RefHeading___Toc5416463_2870459653">
            <w:r>
              <w:rPr>
                <w:webHidden/>
                <w:rStyle w:val="IndexLink"/>
                <w:rtl w:val="true"/>
              </w:rPr>
              <w:t>اشتراط العقل في المطلِّق</w:t>
            </w:r>
            <w:r>
              <w:rPr>
                <w:rStyle w:val="IndexLink"/>
                <w:rtl w:val="true"/>
              </w:rPr>
              <w:tab/>
            </w:r>
            <w:r>
              <w:rPr>
                <w:rStyle w:val="IndexLink"/>
              </w:rPr>
              <w:t>45</w:t>
            </w:r>
          </w:hyperlink>
        </w:p>
        <w:p>
          <w:pPr>
            <w:pStyle w:val="Contents4"/>
            <w:tabs>
              <w:tab w:val="clear" w:pos="8176"/>
              <w:tab w:val="right" w:pos="9026" w:leader="dot"/>
            </w:tabs>
            <w:rPr/>
          </w:pPr>
          <w:hyperlink w:anchor="__RefHeading___Toc5416465_2870459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5416467_2870459653">
            <w:r>
              <w:rPr>
                <w:webHidden/>
                <w:rStyle w:val="IndexLink"/>
                <w:rtl w:val="true"/>
              </w:rPr>
              <w:t>عدم صحّة طلاق الوليّ والوصيّ والحاکم للصبيّ</w:t>
            </w:r>
            <w:r>
              <w:rPr>
                <w:rStyle w:val="IndexLink"/>
                <w:rtl w:val="true"/>
              </w:rPr>
              <w:tab/>
            </w:r>
            <w:r>
              <w:rPr>
                <w:rStyle w:val="IndexLink"/>
              </w:rPr>
              <w:t>46</w:t>
            </w:r>
          </w:hyperlink>
        </w:p>
        <w:p>
          <w:pPr>
            <w:pStyle w:val="Contents4"/>
            <w:tabs>
              <w:tab w:val="clear" w:pos="8176"/>
              <w:tab w:val="right" w:pos="9026" w:leader="dot"/>
            </w:tabs>
            <w:rPr/>
          </w:pPr>
          <w:hyperlink w:anchor="__RefHeading___Toc5416469_2870459653">
            <w:r>
              <w:rPr>
                <w:webHidden/>
                <w:rStyle w:val="IndexLink"/>
                <w:rtl w:val="true"/>
              </w:rPr>
              <w:t>حکم الطلاق عن السفیه والمجنون</w:t>
            </w:r>
            <w:r>
              <w:rPr>
                <w:rStyle w:val="IndexLink"/>
                <w:rtl w:val="true"/>
              </w:rPr>
              <w:tab/>
            </w:r>
            <w:r>
              <w:rPr>
                <w:rStyle w:val="IndexLink"/>
              </w:rPr>
              <w:t>48</w:t>
            </w:r>
          </w:hyperlink>
        </w:p>
        <w:p>
          <w:pPr>
            <w:pStyle w:val="Contents4"/>
            <w:tabs>
              <w:tab w:val="clear" w:pos="8176"/>
              <w:tab w:val="right" w:pos="9026" w:leader="dot"/>
            </w:tabs>
            <w:rPr/>
          </w:pPr>
          <w:hyperlink w:anchor="__RefHeading___Toc5416471_2870459653">
            <w:r>
              <w:rPr>
                <w:webHidden/>
                <w:rStyle w:val="IndexLink"/>
                <w:rtl w:val="true"/>
              </w:rPr>
              <w:t>الأخبار الدالّة علی طلاق الوليّ عن السفیه</w:t>
            </w:r>
            <w:r>
              <w:rPr>
                <w:rStyle w:val="IndexLink"/>
                <w:rtl w:val="true"/>
              </w:rPr>
              <w:tab/>
            </w:r>
            <w:r>
              <w:rPr>
                <w:rStyle w:val="IndexLink"/>
              </w:rPr>
              <w:t>49</w:t>
            </w:r>
          </w:hyperlink>
        </w:p>
        <w:p>
          <w:pPr>
            <w:pStyle w:val="Contents4"/>
            <w:tabs>
              <w:tab w:val="clear" w:pos="8176"/>
              <w:tab w:val="right" w:pos="9026" w:leader="dot"/>
            </w:tabs>
            <w:rPr/>
          </w:pPr>
          <w:hyperlink w:anchor="__RefHeading___Toc5416473_2870459653">
            <w:r>
              <w:rPr>
                <w:webHidden/>
                <w:rStyle w:val="IndexLink"/>
                <w:rtl w:val="true"/>
              </w:rPr>
              <w:t>کلام صاحب الجواهر في المراد عن المعتوه</w:t>
            </w:r>
            <w:r>
              <w:rPr>
                <w:rStyle w:val="IndexLink"/>
                <w:rtl w:val="true"/>
              </w:rPr>
              <w:tab/>
            </w:r>
            <w:r>
              <w:rPr>
                <w:rStyle w:val="IndexLink"/>
              </w:rPr>
              <w:t>51</w:t>
            </w:r>
          </w:hyperlink>
        </w:p>
        <w:p>
          <w:pPr>
            <w:pStyle w:val="Contents4"/>
            <w:tabs>
              <w:tab w:val="clear" w:pos="8176"/>
              <w:tab w:val="right" w:pos="9026" w:leader="dot"/>
            </w:tabs>
            <w:rPr/>
          </w:pPr>
          <w:hyperlink w:anchor="__RefHeading___Toc5416475_2870459653">
            <w:r>
              <w:rPr>
                <w:webHidden/>
                <w:rStyle w:val="IndexLink"/>
                <w:rtl w:val="true"/>
              </w:rPr>
              <w:t>کلام صاحب الجواهر في جواز طلاق المعتوه والسفیه مع الإذن</w:t>
            </w:r>
            <w:r>
              <w:rPr>
                <w:rStyle w:val="IndexLink"/>
                <w:rtl w:val="true"/>
              </w:rPr>
              <w:tab/>
            </w:r>
            <w:r>
              <w:rPr>
                <w:rStyle w:val="IndexLink"/>
              </w:rPr>
              <w:t>52</w:t>
            </w:r>
          </w:hyperlink>
        </w:p>
        <w:p>
          <w:pPr>
            <w:pStyle w:val="Contents4"/>
            <w:tabs>
              <w:tab w:val="clear" w:pos="8176"/>
              <w:tab w:val="right" w:pos="9026" w:leader="dot"/>
            </w:tabs>
            <w:rPr/>
          </w:pPr>
          <w:hyperlink w:anchor="__RefHeading___Toc5416477_2870459653">
            <w:r>
              <w:rPr>
                <w:webHidden/>
                <w:rStyle w:val="IndexLink"/>
                <w:rtl w:val="true"/>
              </w:rPr>
              <w:t>حکم طلاق من طرأ عليه الجنون بعد البلوغ</w:t>
            </w:r>
            <w:r>
              <w:rPr>
                <w:rStyle w:val="IndexLink"/>
                <w:rtl w:val="true"/>
              </w:rPr>
              <w:tab/>
            </w:r>
            <w:r>
              <w:rPr>
                <w:rStyle w:val="IndexLink"/>
              </w:rPr>
              <w:t>53</w:t>
            </w:r>
          </w:hyperlink>
        </w:p>
        <w:p>
          <w:pPr>
            <w:pStyle w:val="Contents4"/>
            <w:tabs>
              <w:tab w:val="clear" w:pos="8176"/>
              <w:tab w:val="right" w:pos="9026" w:leader="dot"/>
            </w:tabs>
            <w:rPr/>
          </w:pPr>
          <w:hyperlink w:anchor="__RefHeading___Toc5416479_2870459653">
            <w:r>
              <w:rPr>
                <w:webHidden/>
                <w:rStyle w:val="IndexLink"/>
                <w:rtl w:val="true"/>
              </w:rPr>
              <w:t>استدلال المشهور في صحّة طلاق الوليّ عن المجنون</w:t>
            </w:r>
            <w:r>
              <w:rPr>
                <w:rStyle w:val="IndexLink"/>
                <w:rtl w:val="true"/>
              </w:rPr>
              <w:tab/>
            </w:r>
            <w:r>
              <w:rPr>
                <w:rStyle w:val="IndexLink"/>
              </w:rPr>
              <w:t>54</w:t>
            </w:r>
          </w:hyperlink>
        </w:p>
        <w:p>
          <w:pPr>
            <w:pStyle w:val="Contents4"/>
            <w:tabs>
              <w:tab w:val="clear" w:pos="8176"/>
              <w:tab w:val="right" w:pos="9026" w:leader="dot"/>
            </w:tabs>
            <w:rPr/>
          </w:pPr>
          <w:hyperlink w:anchor="__RefHeading___Toc5416481_2870459653">
            <w:r>
              <w:rPr>
                <w:webHidden/>
                <w:rStyle w:val="IndexLink"/>
                <w:rtl w:val="true"/>
              </w:rPr>
              <w:t>مناقشة المسالك في الاستدلال بالروایات</w:t>
            </w:r>
            <w:r>
              <w:rPr>
                <w:rStyle w:val="IndexLink"/>
                <w:rtl w:val="true"/>
              </w:rPr>
              <w:tab/>
            </w:r>
            <w:r>
              <w:rPr>
                <w:rStyle w:val="IndexLink"/>
              </w:rPr>
              <w:t>55</w:t>
            </w:r>
          </w:hyperlink>
        </w:p>
        <w:p>
          <w:pPr>
            <w:pStyle w:val="Contents4"/>
            <w:tabs>
              <w:tab w:val="clear" w:pos="8176"/>
              <w:tab w:val="right" w:pos="9026" w:leader="dot"/>
            </w:tabs>
            <w:rPr/>
          </w:pPr>
          <w:hyperlink w:anchor="__RefHeading___Toc5416483_2870459653">
            <w:r>
              <w:rPr>
                <w:webHidden/>
                <w:rStyle w:val="IndexLink"/>
                <w:rtl w:val="true"/>
              </w:rPr>
              <w:t>کلام صاحب الحدائق في الردّ علی مناقشات المسالك واحتجاج الشیخ</w:t>
            </w:r>
            <w:r>
              <w:rPr>
                <w:rStyle w:val="IndexLink"/>
                <w:rtl w:val="true"/>
              </w:rPr>
              <w:tab/>
            </w:r>
            <w:r>
              <w:rPr>
                <w:rStyle w:val="IndexLink"/>
              </w:rPr>
              <w:t>56</w:t>
            </w:r>
          </w:hyperlink>
        </w:p>
        <w:p>
          <w:pPr>
            <w:pStyle w:val="Contents4"/>
            <w:tabs>
              <w:tab w:val="clear" w:pos="8176"/>
              <w:tab w:val="right" w:pos="9026" w:leader="dot"/>
            </w:tabs>
            <w:rPr/>
          </w:pPr>
          <w:hyperlink w:anchor="__RefHeading___Toc5416485_2870459653">
            <w:r>
              <w:rPr>
                <w:webHidden/>
                <w:rStyle w:val="IndexLink"/>
                <w:rtl w:val="true"/>
              </w:rPr>
              <w:t>استدلال الشیخ وابن إدریس في عدم صحّة طلاق الوليّ عن المجنون</w:t>
            </w:r>
            <w:r>
              <w:rPr>
                <w:rStyle w:val="IndexLink"/>
                <w:rtl w:val="true"/>
              </w:rPr>
              <w:tab/>
            </w:r>
            <w:r>
              <w:rPr>
                <w:rStyle w:val="IndexLink"/>
              </w:rPr>
              <w:t>57</w:t>
            </w:r>
          </w:hyperlink>
        </w:p>
        <w:p>
          <w:pPr>
            <w:pStyle w:val="Contents4"/>
            <w:tabs>
              <w:tab w:val="clear" w:pos="8176"/>
              <w:tab w:val="right" w:pos="9026" w:leader="dot"/>
            </w:tabs>
            <w:rPr/>
          </w:pPr>
          <w:hyperlink w:anchor="__RefHeading___Toc5416487_2870459653">
            <w:r>
              <w:rPr>
                <w:webHidden/>
                <w:rStyle w:val="IndexLink"/>
                <w:rtl w:val="true"/>
              </w:rPr>
              <w:t>في الردّ علی احتجاج الشیخ وابن إدریس</w:t>
            </w:r>
            <w:r>
              <w:rPr>
                <w:rStyle w:val="IndexLink"/>
                <w:rtl w:val="true"/>
              </w:rPr>
              <w:tab/>
            </w:r>
            <w:r>
              <w:rPr>
                <w:rStyle w:val="IndexLink"/>
              </w:rPr>
              <w:t>58</w:t>
            </w:r>
          </w:hyperlink>
        </w:p>
        <w:p>
          <w:pPr>
            <w:pStyle w:val="Contents5"/>
            <w:tabs>
              <w:tab w:val="clear" w:pos="7892"/>
              <w:tab w:val="right" w:pos="9026" w:leader="dot"/>
            </w:tabs>
            <w:rPr/>
          </w:pPr>
          <w:hyperlink w:anchor="__RefHeading___Toc5416489_2870459653">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416491_2870459653">
            <w:r>
              <w:rPr>
                <w:webHidden/>
                <w:rStyle w:val="IndexLink"/>
                <w:rtl w:val="true"/>
              </w:rPr>
              <w:t>فروعٌ</w:t>
            </w:r>
            <w:r>
              <w:rPr>
                <w:rStyle w:val="IndexLink"/>
                <w:rtl w:val="true"/>
              </w:rPr>
              <w:tab/>
            </w:r>
            <w:r>
              <w:rPr>
                <w:rStyle w:val="IndexLink"/>
              </w:rPr>
              <w:t>59</w:t>
            </w:r>
          </w:hyperlink>
        </w:p>
        <w:p>
          <w:pPr>
            <w:pStyle w:val="Contents5"/>
            <w:tabs>
              <w:tab w:val="clear" w:pos="7892"/>
              <w:tab w:val="right" w:pos="9026" w:leader="dot"/>
            </w:tabs>
            <w:rPr/>
          </w:pPr>
          <w:hyperlink w:anchor="__RefHeading___Toc5416493_2870459653">
            <w:r>
              <w:rPr>
                <w:webHidden/>
                <w:rStyle w:val="IndexLink"/>
                <w:rtl w:val="true"/>
              </w:rPr>
              <w:t>عدم الفرق في الجنون بین أن یکون عارضاً في الصغر أو بعده</w:t>
            </w:r>
            <w:r>
              <w:rPr>
                <w:rStyle w:val="IndexLink"/>
                <w:rtl w:val="true"/>
              </w:rPr>
              <w:tab/>
            </w:r>
            <w:r>
              <w:rPr>
                <w:rStyle w:val="IndexLink"/>
              </w:rPr>
              <w:t>59</w:t>
            </w:r>
          </w:hyperlink>
        </w:p>
        <w:p>
          <w:pPr>
            <w:pStyle w:val="Contents5"/>
            <w:tabs>
              <w:tab w:val="clear" w:pos="7892"/>
              <w:tab w:val="right" w:pos="9026" w:leader="dot"/>
            </w:tabs>
            <w:rPr/>
          </w:pPr>
          <w:hyperlink w:anchor="__RefHeading___Toc5416495_2870459653">
            <w:r>
              <w:rPr>
                <w:webHidden/>
                <w:rStyle w:val="IndexLink"/>
                <w:rtl w:val="true"/>
              </w:rPr>
              <w:t>جواز طلاق الزوجة نفسها من الزوج المجنون في صورة العسر والحرج</w:t>
            </w:r>
            <w:r>
              <w:rPr>
                <w:rStyle w:val="IndexLink"/>
                <w:rtl w:val="true"/>
              </w:rPr>
              <w:tab/>
            </w:r>
            <w:r>
              <w:rPr>
                <w:rStyle w:val="IndexLink"/>
              </w:rPr>
              <w:t>59</w:t>
            </w:r>
          </w:hyperlink>
        </w:p>
        <w:p>
          <w:pPr>
            <w:pStyle w:val="Contents5"/>
            <w:tabs>
              <w:tab w:val="clear" w:pos="7892"/>
              <w:tab w:val="right" w:pos="9026" w:leader="dot"/>
            </w:tabs>
            <w:rPr/>
          </w:pPr>
          <w:hyperlink w:anchor="__RefHeading___Toc5416497_2870459653">
            <w:r>
              <w:rPr>
                <w:webHidden/>
                <w:rStyle w:val="IndexLink"/>
                <w:rtl w:val="true"/>
              </w:rPr>
              <w:t>جواز طلاق الزوجة نفسها من الزوج السفیه في صورة العسر والحرج</w:t>
            </w:r>
            <w:r>
              <w:rPr>
                <w:rStyle w:val="IndexLink"/>
                <w:rtl w:val="true"/>
              </w:rPr>
              <w:tab/>
            </w:r>
            <w:r>
              <w:rPr>
                <w:rStyle w:val="IndexLink"/>
              </w:rPr>
              <w:t>61</w:t>
            </w:r>
          </w:hyperlink>
        </w:p>
        <w:p>
          <w:pPr>
            <w:pStyle w:val="Contents3"/>
            <w:tabs>
              <w:tab w:val="clear" w:pos="8459"/>
              <w:tab w:val="right" w:pos="9026" w:leader="dot"/>
            </w:tabs>
            <w:rPr/>
          </w:pPr>
          <w:hyperlink w:anchor="__RefHeading___Toc5416499_2870459653">
            <w:r>
              <w:rPr>
                <w:webHidden/>
                <w:rStyle w:val="IndexLink"/>
                <w:rtl w:val="true"/>
              </w:rPr>
              <w:t>شرطیّة القصد والاختیار للمطلِّق</w:t>
            </w:r>
            <w:r>
              <w:rPr>
                <w:rStyle w:val="IndexLink"/>
                <w:rtl w:val="true"/>
              </w:rPr>
              <w:tab/>
            </w:r>
            <w:r>
              <w:rPr>
                <w:rStyle w:val="IndexLink"/>
              </w:rPr>
              <w:t>62</w:t>
            </w:r>
          </w:hyperlink>
        </w:p>
        <w:p>
          <w:pPr>
            <w:pStyle w:val="Contents4"/>
            <w:tabs>
              <w:tab w:val="clear" w:pos="8176"/>
              <w:tab w:val="right" w:pos="9026" w:leader="dot"/>
            </w:tabs>
            <w:rPr/>
          </w:pPr>
          <w:hyperlink w:anchor="__RefHeading___Toc5416501_2870459653">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5416503_2870459653">
            <w:r>
              <w:rPr>
                <w:webHidden/>
                <w:rStyle w:val="IndexLink"/>
                <w:rtl w:val="true"/>
              </w:rPr>
              <w:t>حکم الإکراه</w:t>
            </w:r>
            <w:r>
              <w:rPr>
                <w:rStyle w:val="IndexLink"/>
                <w:rtl w:val="true"/>
              </w:rPr>
              <w:tab/>
            </w:r>
            <w:r>
              <w:rPr>
                <w:rStyle w:val="IndexLink"/>
              </w:rPr>
              <w:t>62</w:t>
            </w:r>
          </w:hyperlink>
        </w:p>
        <w:p>
          <w:pPr>
            <w:pStyle w:val="Contents4"/>
            <w:tabs>
              <w:tab w:val="clear" w:pos="8176"/>
              <w:tab w:val="right" w:pos="9026" w:leader="dot"/>
            </w:tabs>
            <w:rPr/>
          </w:pPr>
          <w:hyperlink w:anchor="__RefHeading___Toc5416505_2870459653">
            <w:r>
              <w:rPr>
                <w:webHidden/>
                <w:rStyle w:val="IndexLink"/>
                <w:rtl w:val="true"/>
              </w:rPr>
              <w:t>حکم الإکراه في القرآن</w:t>
            </w:r>
            <w:r>
              <w:rPr>
                <w:rStyle w:val="IndexLink"/>
                <w:rtl w:val="true"/>
              </w:rPr>
              <w:tab/>
            </w:r>
            <w:r>
              <w:rPr>
                <w:rStyle w:val="IndexLink"/>
              </w:rPr>
              <w:t>63</w:t>
            </w:r>
          </w:hyperlink>
        </w:p>
        <w:p>
          <w:pPr>
            <w:pStyle w:val="Contents4"/>
            <w:tabs>
              <w:tab w:val="clear" w:pos="8176"/>
              <w:tab w:val="right" w:pos="9026" w:leader="dot"/>
            </w:tabs>
            <w:rPr/>
          </w:pPr>
          <w:hyperlink w:anchor="__RefHeading___Toc5416507_2870459653">
            <w:r>
              <w:rPr>
                <w:webHidden/>
                <w:rStyle w:val="IndexLink"/>
                <w:rtl w:val="true"/>
              </w:rPr>
              <w:t>حکم إکراه الطلاق في الروایات العامّة</w:t>
            </w:r>
            <w:r>
              <w:rPr>
                <w:rStyle w:val="IndexLink"/>
                <w:rtl w:val="true"/>
              </w:rPr>
              <w:tab/>
            </w:r>
            <w:r>
              <w:rPr>
                <w:rStyle w:val="IndexLink"/>
              </w:rPr>
              <w:t>63</w:t>
            </w:r>
          </w:hyperlink>
        </w:p>
        <w:p>
          <w:pPr>
            <w:pStyle w:val="Contents4"/>
            <w:tabs>
              <w:tab w:val="clear" w:pos="8176"/>
              <w:tab w:val="right" w:pos="9026" w:leader="dot"/>
            </w:tabs>
            <w:rPr/>
          </w:pPr>
          <w:hyperlink w:anchor="__RefHeading___Toc5416509_2870459653">
            <w:r>
              <w:rPr>
                <w:webHidden/>
                <w:rStyle w:val="IndexLink"/>
                <w:rtl w:val="true"/>
              </w:rPr>
              <w:t>حکم إکراه الطلاق في الروایات الخاصّة</w:t>
            </w:r>
            <w:r>
              <w:rPr>
                <w:rStyle w:val="IndexLink"/>
                <w:rtl w:val="true"/>
              </w:rPr>
              <w:tab/>
            </w:r>
            <w:r>
              <w:rPr>
                <w:rStyle w:val="IndexLink"/>
              </w:rPr>
              <w:t>65</w:t>
            </w:r>
          </w:hyperlink>
        </w:p>
        <w:p>
          <w:pPr>
            <w:pStyle w:val="Contents4"/>
            <w:tabs>
              <w:tab w:val="clear" w:pos="8176"/>
              <w:tab w:val="right" w:pos="9026" w:leader="dot"/>
            </w:tabs>
            <w:rPr/>
          </w:pPr>
          <w:hyperlink w:anchor="__RefHeading___Toc5416511_2870459653">
            <w:r>
              <w:rPr>
                <w:webHidden/>
                <w:rStyle w:val="IndexLink"/>
                <w:rtl w:val="true"/>
              </w:rPr>
              <w:t>استثناء الموردین من قاعدة حدیث الرفع</w:t>
            </w:r>
            <w:r>
              <w:rPr>
                <w:rStyle w:val="IndexLink"/>
                <w:rtl w:val="true"/>
              </w:rPr>
              <w:tab/>
            </w:r>
            <w:r>
              <w:rPr>
                <w:rStyle w:val="IndexLink"/>
              </w:rPr>
              <w:t>66</w:t>
            </w:r>
          </w:hyperlink>
        </w:p>
        <w:p>
          <w:pPr>
            <w:pStyle w:val="Contents4"/>
            <w:tabs>
              <w:tab w:val="clear" w:pos="8176"/>
              <w:tab w:val="right" w:pos="9026" w:leader="dot"/>
            </w:tabs>
            <w:rPr/>
          </w:pPr>
          <w:hyperlink w:anchor="__RefHeading___Toc5416513_2870459653">
            <w:r>
              <w:rPr>
                <w:webHidden/>
                <w:rStyle w:val="IndexLink"/>
                <w:rtl w:val="true"/>
              </w:rPr>
              <w:t>کلام الإمام الخمیني</w:t>
            </w:r>
            <w:r>
              <w:rPr>
                <w:rStyle w:val="IndexLink"/>
                <w:rtl w:val="true"/>
              </w:rPr>
              <w:t>(</w:t>
            </w:r>
            <w:r>
              <w:rPr>
                <w:rStyle w:val="IndexLink"/>
                <w:rtl w:val="true"/>
              </w:rPr>
              <w:t>سلام الله علیه</w:t>
            </w:r>
            <w:r>
              <w:rPr>
                <w:rStyle w:val="IndexLink"/>
                <w:rtl w:val="true"/>
              </w:rPr>
              <w:t xml:space="preserve">) </w:t>
            </w:r>
            <w:r>
              <w:rPr>
                <w:rStyle w:val="IndexLink"/>
                <w:rtl w:val="true"/>
              </w:rPr>
              <w:t>حول موارد استثناء التقیّة</w:t>
            </w:r>
            <w:r>
              <w:rPr>
                <w:rStyle w:val="IndexLink"/>
                <w:rtl w:val="true"/>
              </w:rPr>
              <w:tab/>
            </w:r>
            <w:r>
              <w:rPr>
                <w:rStyle w:val="IndexLink"/>
              </w:rPr>
              <w:t>67</w:t>
            </w:r>
          </w:hyperlink>
        </w:p>
        <w:p>
          <w:pPr>
            <w:pStyle w:val="Contents4"/>
            <w:tabs>
              <w:tab w:val="clear" w:pos="8176"/>
              <w:tab w:val="right" w:pos="9026" w:leader="dot"/>
            </w:tabs>
            <w:rPr/>
          </w:pPr>
          <w:hyperlink w:anchor="__RefHeading___Toc5416515_2870459653">
            <w:r>
              <w:rPr>
                <w:webHidden/>
                <w:rStyle w:val="IndexLink"/>
                <w:rtl w:val="true"/>
              </w:rPr>
              <w:t>رضا المکرَه بعد الطلاق</w:t>
            </w:r>
            <w:r>
              <w:rPr>
                <w:rStyle w:val="IndexLink"/>
                <w:rtl w:val="true"/>
              </w:rPr>
              <w:tab/>
            </w:r>
            <w:r>
              <w:rPr>
                <w:rStyle w:val="IndexLink"/>
              </w:rPr>
              <w:t>69</w:t>
            </w:r>
          </w:hyperlink>
        </w:p>
        <w:p>
          <w:pPr>
            <w:pStyle w:val="Contents4"/>
            <w:tabs>
              <w:tab w:val="clear" w:pos="8176"/>
              <w:tab w:val="right" w:pos="9026" w:leader="dot"/>
            </w:tabs>
            <w:rPr/>
          </w:pPr>
          <w:hyperlink w:anchor="__RefHeading___Toc5416517_2870459653">
            <w:r>
              <w:rPr>
                <w:webHidden/>
                <w:rStyle w:val="IndexLink"/>
                <w:rtl w:val="true"/>
              </w:rPr>
              <w:t>تعریف الإکراه وما حوله</w:t>
            </w:r>
            <w:r>
              <w:rPr>
                <w:rStyle w:val="IndexLink"/>
                <w:rtl w:val="true"/>
              </w:rPr>
              <w:tab/>
            </w:r>
            <w:r>
              <w:rPr>
                <w:rStyle w:val="IndexLink"/>
              </w:rPr>
              <w:t>71</w:t>
            </w:r>
          </w:hyperlink>
        </w:p>
        <w:p>
          <w:pPr>
            <w:pStyle w:val="Contents4"/>
            <w:tabs>
              <w:tab w:val="clear" w:pos="8176"/>
              <w:tab w:val="right" w:pos="9026" w:leader="dot"/>
            </w:tabs>
            <w:rPr/>
          </w:pPr>
          <w:hyperlink w:anchor="__RefHeading___Toc5416519_2870459653">
            <w:r>
              <w:rPr>
                <w:webHidden/>
                <w:rStyle w:val="IndexLink"/>
                <w:rtl w:val="true"/>
              </w:rPr>
              <w:t>تحقّق الإکراه بالتوعّد وفعل المکرِه</w:t>
            </w:r>
            <w:r>
              <w:rPr>
                <w:rStyle w:val="IndexLink"/>
                <w:rtl w:val="true"/>
              </w:rPr>
              <w:tab/>
            </w:r>
            <w:r>
              <w:rPr>
                <w:rStyle w:val="IndexLink"/>
              </w:rPr>
              <w:t>72</w:t>
            </w:r>
          </w:hyperlink>
        </w:p>
        <w:p>
          <w:pPr>
            <w:pStyle w:val="Contents4"/>
            <w:tabs>
              <w:tab w:val="clear" w:pos="8176"/>
              <w:tab w:val="right" w:pos="9026" w:leader="dot"/>
            </w:tabs>
            <w:rPr/>
          </w:pPr>
          <w:hyperlink w:anchor="__RefHeading___Toc5416521_2870459653">
            <w:r>
              <w:rPr>
                <w:webHidden/>
                <w:rStyle w:val="IndexLink"/>
                <w:rtl w:val="true"/>
              </w:rPr>
              <w:t>في اعتبار الظنّ والعلم أو کفایة تحقّق الخوف بتوعید المکرِه</w:t>
            </w:r>
            <w:r>
              <w:rPr>
                <w:rStyle w:val="IndexLink"/>
                <w:rtl w:val="true"/>
              </w:rPr>
              <w:tab/>
            </w:r>
            <w:r>
              <w:rPr>
                <w:rStyle w:val="IndexLink"/>
              </w:rPr>
              <w:t>73</w:t>
            </w:r>
          </w:hyperlink>
        </w:p>
        <w:p>
          <w:pPr>
            <w:pStyle w:val="Contents4"/>
            <w:tabs>
              <w:tab w:val="clear" w:pos="8176"/>
              <w:tab w:val="right" w:pos="9026" w:leader="dot"/>
            </w:tabs>
            <w:rPr/>
          </w:pPr>
          <w:hyperlink w:anchor="__RefHeading___Toc5416523_2870459653">
            <w:r>
              <w:rPr>
                <w:webHidden/>
                <w:rStyle w:val="IndexLink"/>
                <w:rtl w:val="true"/>
              </w:rPr>
              <w:t>حکم الإکراه فیما لم یتوعّد المکرِه فعلاً</w:t>
            </w:r>
            <w:r>
              <w:rPr>
                <w:rStyle w:val="IndexLink"/>
                <w:rtl w:val="true"/>
              </w:rPr>
              <w:tab/>
            </w:r>
            <w:r>
              <w:rPr>
                <w:rStyle w:val="IndexLink"/>
              </w:rPr>
              <w:t>74</w:t>
            </w:r>
          </w:hyperlink>
        </w:p>
        <w:p>
          <w:pPr>
            <w:pStyle w:val="Contents4"/>
            <w:tabs>
              <w:tab w:val="clear" w:pos="8176"/>
              <w:tab w:val="right" w:pos="9026" w:leader="dot"/>
            </w:tabs>
            <w:rPr/>
          </w:pPr>
          <w:hyperlink w:anchor="__RefHeading___Toc5416525_2870459653">
            <w:r>
              <w:rPr>
                <w:webHidden/>
                <w:rStyle w:val="IndexLink"/>
                <w:rtl w:val="true"/>
              </w:rPr>
              <w:t>حصول الإکراه لمن خاف من التوعّد المکرِه</w:t>
            </w:r>
            <w:r>
              <w:rPr>
                <w:rStyle w:val="IndexLink"/>
                <w:rtl w:val="true"/>
              </w:rPr>
              <w:tab/>
            </w:r>
            <w:r>
              <w:rPr>
                <w:rStyle w:val="IndexLink"/>
              </w:rPr>
              <w:t>75</w:t>
            </w:r>
          </w:hyperlink>
        </w:p>
        <w:p>
          <w:pPr>
            <w:pStyle w:val="Contents4"/>
            <w:tabs>
              <w:tab w:val="clear" w:pos="8176"/>
              <w:tab w:val="right" w:pos="9026" w:leader="dot"/>
            </w:tabs>
            <w:rPr/>
          </w:pPr>
          <w:hyperlink w:anchor="__RefHeading___Toc5416527_2870459653">
            <w:r>
              <w:rPr>
                <w:webHidden/>
                <w:rStyle w:val="IndexLink"/>
                <w:rtl w:val="true"/>
              </w:rPr>
              <w:t>اشتراط صدق الإکراه بالعجز عن بعض التفصّیات</w:t>
            </w:r>
            <w:r>
              <w:rPr>
                <w:rStyle w:val="IndexLink"/>
                <w:rtl w:val="true"/>
              </w:rPr>
              <w:tab/>
            </w:r>
            <w:r>
              <w:rPr>
                <w:rStyle w:val="IndexLink"/>
              </w:rPr>
              <w:t>77</w:t>
            </w:r>
          </w:hyperlink>
        </w:p>
        <w:p>
          <w:pPr>
            <w:pStyle w:val="Contents4"/>
            <w:tabs>
              <w:tab w:val="clear" w:pos="8176"/>
              <w:tab w:val="right" w:pos="9026" w:leader="dot"/>
            </w:tabs>
            <w:rPr/>
          </w:pPr>
          <w:hyperlink w:anchor="__RefHeading___Toc5416529_2870459653">
            <w:r>
              <w:rPr>
                <w:webHidden/>
                <w:rStyle w:val="IndexLink"/>
                <w:rtl w:val="true"/>
              </w:rPr>
              <w:t>عدم صدق الإکراه مع إمکان التفصّي بمثل الفرار أو التوریة</w:t>
            </w:r>
            <w:r>
              <w:rPr>
                <w:rStyle w:val="IndexLink"/>
                <w:rtl w:val="true"/>
              </w:rPr>
              <w:tab/>
            </w:r>
            <w:r>
              <w:rPr>
                <w:rStyle w:val="IndexLink"/>
              </w:rPr>
              <w:t>78</w:t>
            </w:r>
          </w:hyperlink>
        </w:p>
        <w:p>
          <w:pPr>
            <w:pStyle w:val="Contents4"/>
            <w:tabs>
              <w:tab w:val="clear" w:pos="8176"/>
              <w:tab w:val="right" w:pos="9026" w:leader="dot"/>
            </w:tabs>
            <w:rPr/>
          </w:pPr>
          <w:hyperlink w:anchor="__RefHeading___Toc5416531_2870459653">
            <w:r>
              <w:rPr>
                <w:webHidden/>
                <w:rStyle w:val="IndexLink"/>
                <w:rtl w:val="true"/>
              </w:rPr>
              <w:t>عدم اعتبارالعجز عن التوریة في الإکراه</w:t>
            </w:r>
            <w:r>
              <w:rPr>
                <w:rStyle w:val="IndexLink"/>
                <w:rtl w:val="true"/>
              </w:rPr>
              <w:tab/>
            </w:r>
            <w:r>
              <w:rPr>
                <w:rStyle w:val="IndexLink"/>
              </w:rPr>
              <w:t>79</w:t>
            </w:r>
          </w:hyperlink>
        </w:p>
        <w:p>
          <w:pPr>
            <w:pStyle w:val="Contents4"/>
            <w:tabs>
              <w:tab w:val="clear" w:pos="8176"/>
              <w:tab w:val="right" w:pos="9026" w:leader="dot"/>
            </w:tabs>
            <w:rPr/>
          </w:pPr>
          <w:hyperlink w:anchor="__RefHeading___Toc5416533_2870459653">
            <w:r>
              <w:rPr>
                <w:webHidden/>
                <w:rStyle w:val="IndexLink"/>
                <w:rtl w:val="true"/>
              </w:rPr>
              <w:t>الردّ علی الوجهین في عدم اعتبار العجز عن التوریة في الإکراه</w:t>
            </w:r>
            <w:r>
              <w:rPr>
                <w:rStyle w:val="IndexLink"/>
                <w:rtl w:val="true"/>
              </w:rPr>
              <w:tab/>
            </w:r>
            <w:r>
              <w:rPr>
                <w:rStyle w:val="IndexLink"/>
              </w:rPr>
              <w:t>81</w:t>
            </w:r>
          </w:hyperlink>
        </w:p>
        <w:p>
          <w:pPr>
            <w:pStyle w:val="Contents4"/>
            <w:tabs>
              <w:tab w:val="clear" w:pos="8176"/>
              <w:tab w:val="right" w:pos="9026" w:leader="dot"/>
            </w:tabs>
            <w:rPr/>
          </w:pPr>
          <w:hyperlink w:anchor="__RefHeading___Toc5416535_2870459653">
            <w:r>
              <w:rPr>
                <w:webHidden/>
                <w:rStyle w:val="IndexLink"/>
                <w:rtl w:val="true"/>
              </w:rPr>
              <w:t>کلام صاحب الجواهر في عدم اعتبار العجز</w:t>
            </w:r>
            <w:r>
              <w:rPr>
                <w:rStyle w:val="IndexLink"/>
                <w:rtl w:val="true"/>
              </w:rPr>
              <w:tab/>
            </w:r>
            <w:r>
              <w:rPr>
                <w:rStyle w:val="IndexLink"/>
              </w:rPr>
              <w:t>82</w:t>
            </w:r>
          </w:hyperlink>
        </w:p>
        <w:p>
          <w:pPr>
            <w:pStyle w:val="Contents4"/>
            <w:tabs>
              <w:tab w:val="clear" w:pos="8176"/>
              <w:tab w:val="right" w:pos="9026" w:leader="dot"/>
            </w:tabs>
            <w:rPr/>
          </w:pPr>
          <w:hyperlink w:anchor="__RefHeading___Toc5416537_2870459653">
            <w:r>
              <w:rPr>
                <w:webHidden/>
                <w:rStyle w:val="IndexLink"/>
                <w:rtl w:val="true"/>
              </w:rPr>
              <w:t>کلام صاحب المسالك في عدم اعتبار التوریة</w:t>
            </w:r>
            <w:r>
              <w:rPr>
                <w:rStyle w:val="IndexLink"/>
                <w:rtl w:val="true"/>
              </w:rPr>
              <w:tab/>
            </w:r>
            <w:r>
              <w:rPr>
                <w:rStyle w:val="IndexLink"/>
              </w:rPr>
              <w:t>83</w:t>
            </w:r>
          </w:hyperlink>
        </w:p>
        <w:p>
          <w:pPr>
            <w:pStyle w:val="Contents4"/>
            <w:tabs>
              <w:tab w:val="clear" w:pos="8176"/>
              <w:tab w:val="right" w:pos="9026" w:leader="dot"/>
            </w:tabs>
            <w:rPr/>
          </w:pPr>
          <w:hyperlink w:anchor="__RefHeading___Toc5416539_2870459653">
            <w:r>
              <w:rPr>
                <w:webHidden/>
                <w:rStyle w:val="IndexLink"/>
                <w:rtl w:val="true"/>
              </w:rPr>
              <w:t>الردّ علی صاحب المسالك</w:t>
            </w:r>
            <w:r>
              <w:rPr>
                <w:rStyle w:val="IndexLink"/>
                <w:rtl w:val="true"/>
              </w:rPr>
              <w:tab/>
            </w:r>
            <w:r>
              <w:rPr>
                <w:rStyle w:val="IndexLink"/>
              </w:rPr>
              <w:t>84</w:t>
            </w:r>
          </w:hyperlink>
        </w:p>
        <w:p>
          <w:pPr>
            <w:pStyle w:val="Contents4"/>
            <w:tabs>
              <w:tab w:val="clear" w:pos="8176"/>
              <w:tab w:val="right" w:pos="9026" w:leader="dot"/>
            </w:tabs>
            <w:rPr/>
          </w:pPr>
          <w:hyperlink w:anchor="__RefHeading___Toc5416541_2870459653">
            <w:r>
              <w:rPr>
                <w:webHidden/>
                <w:rStyle w:val="IndexLink"/>
                <w:rtl w:val="true"/>
              </w:rPr>
              <w:t>تنبيهٌ</w:t>
            </w:r>
            <w:r>
              <w:rPr>
                <w:rStyle w:val="IndexLink"/>
                <w:rtl w:val="true"/>
              </w:rPr>
              <w:t xml:space="preserve">: </w:t>
            </w:r>
            <w:r>
              <w:rPr>
                <w:rStyle w:val="IndexLink"/>
                <w:rtl w:val="true"/>
              </w:rPr>
              <w:t>کلام الشیخ الأعظم</w:t>
            </w:r>
            <w:r>
              <w:rPr>
                <w:rStyle w:val="IndexLink"/>
                <w:rtl w:val="true"/>
              </w:rPr>
              <w:t>(</w:t>
            </w:r>
            <w:r>
              <w:rPr>
                <w:rStyle w:val="IndexLink"/>
                <w:rtl w:val="true"/>
              </w:rPr>
              <w:t>قدس سرُّه</w:t>
            </w:r>
            <w:r>
              <w:rPr>
                <w:rStyle w:val="IndexLink"/>
                <w:rtl w:val="true"/>
              </w:rPr>
              <w:t xml:space="preserve">) </w:t>
            </w:r>
            <w:r>
              <w:rPr>
                <w:rStyle w:val="IndexLink"/>
                <w:rtl w:val="true"/>
              </w:rPr>
              <w:t>في الإکراه المعتبر</w:t>
            </w:r>
            <w:r>
              <w:rPr>
                <w:rStyle w:val="IndexLink"/>
                <w:rtl w:val="true"/>
              </w:rPr>
              <w:tab/>
            </w:r>
            <w:r>
              <w:rPr>
                <w:rStyle w:val="IndexLink"/>
              </w:rPr>
              <w:t>84</w:t>
            </w:r>
          </w:hyperlink>
        </w:p>
        <w:p>
          <w:pPr>
            <w:pStyle w:val="Contents4"/>
            <w:tabs>
              <w:tab w:val="clear" w:pos="8176"/>
              <w:tab w:val="right" w:pos="9026" w:leader="dot"/>
            </w:tabs>
            <w:rPr/>
          </w:pPr>
          <w:hyperlink w:anchor="__RefHeading___Toc5416543_2870459653">
            <w:r>
              <w:rPr>
                <w:webHidden/>
                <w:rStyle w:val="IndexLink"/>
                <w:rtl w:val="true"/>
              </w:rPr>
              <w:t>وجوه استدلال الشیخ للإکراه الرافع</w:t>
            </w:r>
            <w:r>
              <w:rPr>
                <w:rStyle w:val="IndexLink"/>
                <w:rtl w:val="true"/>
              </w:rPr>
              <w:tab/>
            </w:r>
            <w:r>
              <w:rPr>
                <w:rStyle w:val="IndexLink"/>
              </w:rPr>
              <w:t>86</w:t>
            </w:r>
          </w:hyperlink>
        </w:p>
        <w:p>
          <w:pPr>
            <w:pStyle w:val="Contents4"/>
            <w:tabs>
              <w:tab w:val="clear" w:pos="8176"/>
              <w:tab w:val="right" w:pos="9026" w:leader="dot"/>
            </w:tabs>
            <w:rPr/>
          </w:pPr>
          <w:hyperlink w:anchor="__RefHeading___Toc5416545_2870459653">
            <w:r>
              <w:rPr>
                <w:webHidden/>
                <w:rStyle w:val="IndexLink"/>
                <w:rtl w:val="true"/>
              </w:rPr>
              <w:t>الردّ علی وجوه الاستدلال للشیخ في الإکراه</w:t>
            </w:r>
            <w:r>
              <w:rPr>
                <w:rStyle w:val="IndexLink"/>
                <w:rtl w:val="true"/>
              </w:rPr>
              <w:tab/>
            </w:r>
            <w:r>
              <w:rPr>
                <w:rStyle w:val="IndexLink"/>
              </w:rPr>
              <w:t>86</w:t>
            </w:r>
          </w:hyperlink>
        </w:p>
        <w:p>
          <w:pPr>
            <w:pStyle w:val="Contents4"/>
            <w:tabs>
              <w:tab w:val="clear" w:pos="8176"/>
              <w:tab w:val="right" w:pos="9026" w:leader="dot"/>
            </w:tabs>
            <w:rPr/>
          </w:pPr>
          <w:hyperlink w:anchor="__RefHeading___Toc5416547_2870459653">
            <w:r>
              <w:rPr>
                <w:webHidden/>
                <w:rStyle w:val="IndexLink"/>
                <w:rtl w:val="true"/>
              </w:rPr>
              <w:t>وقوع الإکراه فیمَن أُکره علی طلاق إحدی زوجتیه</w:t>
            </w:r>
            <w:r>
              <w:rPr>
                <w:rStyle w:val="IndexLink"/>
                <w:rtl w:val="true"/>
              </w:rPr>
              <w:tab/>
            </w:r>
            <w:r>
              <w:rPr>
                <w:rStyle w:val="IndexLink"/>
              </w:rPr>
              <w:t>89</w:t>
            </w:r>
          </w:hyperlink>
        </w:p>
        <w:p>
          <w:pPr>
            <w:pStyle w:val="Contents4"/>
            <w:tabs>
              <w:tab w:val="clear" w:pos="8176"/>
              <w:tab w:val="right" w:pos="9026" w:leader="dot"/>
            </w:tabs>
            <w:rPr/>
          </w:pPr>
          <w:hyperlink w:anchor="__RefHeading___Toc5416549_2870459653">
            <w:r>
              <w:rPr>
                <w:webHidden/>
                <w:rStyle w:val="IndexLink"/>
                <w:rtl w:val="true"/>
              </w:rPr>
              <w:t>وجهان فیمن طلّق زوجتیه مکرهاً علیه</w:t>
            </w:r>
            <w:r>
              <w:rPr>
                <w:rStyle w:val="IndexLink"/>
                <w:rtl w:val="true"/>
              </w:rPr>
              <w:tab/>
            </w:r>
            <w:r>
              <w:rPr>
                <w:rStyle w:val="IndexLink"/>
              </w:rPr>
              <w:t>89</w:t>
            </w:r>
          </w:hyperlink>
        </w:p>
        <w:p>
          <w:pPr>
            <w:pStyle w:val="Contents4"/>
            <w:tabs>
              <w:tab w:val="clear" w:pos="8176"/>
              <w:tab w:val="right" w:pos="9026" w:leader="dot"/>
            </w:tabs>
            <w:rPr/>
          </w:pPr>
          <w:hyperlink w:anchor="__RefHeading___Toc5416551_2870459653">
            <w:r>
              <w:rPr>
                <w:webHidden/>
                <w:rStyle w:val="IndexLink"/>
                <w:rtl w:val="true"/>
              </w:rPr>
              <w:t>في الإکراه علی أن یطلِّق ثلاث تطلیقات</w:t>
            </w:r>
            <w:r>
              <w:rPr>
                <w:rStyle w:val="IndexLink"/>
                <w:rtl w:val="true"/>
              </w:rPr>
              <w:tab/>
            </w:r>
            <w:r>
              <w:rPr>
                <w:rStyle w:val="IndexLink"/>
              </w:rPr>
              <w:t>90</w:t>
            </w:r>
          </w:hyperlink>
        </w:p>
        <w:p>
          <w:pPr>
            <w:pStyle w:val="Contents4"/>
            <w:tabs>
              <w:tab w:val="clear" w:pos="8176"/>
              <w:tab w:val="right" w:pos="9026" w:leader="dot"/>
            </w:tabs>
            <w:rPr/>
          </w:pPr>
          <w:hyperlink w:anchor="__RefHeading___Toc5416553_2870459653">
            <w:r>
              <w:rPr>
                <w:webHidden/>
                <w:rStyle w:val="IndexLink"/>
                <w:rtl w:val="true"/>
              </w:rPr>
              <w:t>کلام المسالك في بعض فروع الإکراه علی المطلِّق</w:t>
            </w:r>
            <w:r>
              <w:rPr>
                <w:rStyle w:val="IndexLink"/>
                <w:rtl w:val="true"/>
              </w:rPr>
              <w:tab/>
            </w:r>
            <w:r>
              <w:rPr>
                <w:rStyle w:val="IndexLink"/>
              </w:rPr>
              <w:t>91</w:t>
            </w:r>
          </w:hyperlink>
        </w:p>
        <w:p>
          <w:pPr>
            <w:pStyle w:val="Contents4"/>
            <w:tabs>
              <w:tab w:val="clear" w:pos="8176"/>
              <w:tab w:val="right" w:pos="9026" w:leader="dot"/>
            </w:tabs>
            <w:rPr/>
          </w:pPr>
          <w:hyperlink w:anchor="__RefHeading___Toc5416555_2870459653">
            <w:r>
              <w:rPr>
                <w:webHidden/>
                <w:rStyle w:val="IndexLink"/>
                <w:rtl w:val="true"/>
              </w:rPr>
              <w:t>الإکراه علی الطلاق بغیر الصیغة</w:t>
            </w:r>
            <w:r>
              <w:rPr>
                <w:rStyle w:val="IndexLink"/>
                <w:rtl w:val="true"/>
              </w:rPr>
              <w:tab/>
            </w:r>
            <w:r>
              <w:rPr>
                <w:rStyle w:val="IndexLink"/>
              </w:rPr>
              <w:t>91</w:t>
            </w:r>
          </w:hyperlink>
        </w:p>
        <w:p>
          <w:pPr>
            <w:pStyle w:val="Contents4"/>
            <w:tabs>
              <w:tab w:val="clear" w:pos="8176"/>
              <w:tab w:val="right" w:pos="9026" w:leader="dot"/>
            </w:tabs>
            <w:rPr/>
          </w:pPr>
          <w:hyperlink w:anchor="__RefHeading___Toc5416557_2870459653">
            <w:r>
              <w:rPr>
                <w:webHidden/>
                <w:rStyle w:val="IndexLink"/>
                <w:rtl w:val="true"/>
              </w:rPr>
              <w:t>وجهان في إکراه الوکیل علی الطلاق</w:t>
            </w:r>
            <w:r>
              <w:rPr>
                <w:rStyle w:val="IndexLink"/>
                <w:rtl w:val="true"/>
              </w:rPr>
              <w:tab/>
            </w:r>
            <w:r>
              <w:rPr>
                <w:rStyle w:val="IndexLink"/>
              </w:rPr>
              <w:t>92</w:t>
            </w:r>
          </w:hyperlink>
        </w:p>
        <w:p>
          <w:pPr>
            <w:pStyle w:val="Contents4"/>
            <w:tabs>
              <w:tab w:val="clear" w:pos="8176"/>
              <w:tab w:val="right" w:pos="9026" w:leader="dot"/>
            </w:tabs>
            <w:rPr/>
          </w:pPr>
          <w:hyperlink w:anchor="__RefHeading___Toc5416559_2870459653">
            <w:r>
              <w:rPr>
                <w:webHidden/>
                <w:rStyle w:val="IndexLink"/>
                <w:rtl w:val="true"/>
              </w:rPr>
              <w:t>حکم الإکراه في توعید المکرَه بفعل المستقبل</w:t>
            </w:r>
            <w:r>
              <w:rPr>
                <w:rStyle w:val="IndexLink"/>
                <w:rtl w:val="true"/>
              </w:rPr>
              <w:tab/>
            </w:r>
            <w:r>
              <w:rPr>
                <w:rStyle w:val="IndexLink"/>
              </w:rPr>
              <w:t>92</w:t>
            </w:r>
          </w:hyperlink>
        </w:p>
        <w:p>
          <w:pPr>
            <w:pStyle w:val="Contents4"/>
            <w:tabs>
              <w:tab w:val="clear" w:pos="8176"/>
              <w:tab w:val="right" w:pos="9026" w:leader="dot"/>
            </w:tabs>
            <w:rPr/>
          </w:pPr>
          <w:hyperlink w:anchor="__RefHeading___Toc5416561_2870459653">
            <w:r>
              <w:rPr>
                <w:webHidden/>
                <w:rStyle w:val="IndexLink"/>
                <w:rtl w:val="true"/>
              </w:rPr>
              <w:t>حکم بعض موارد الضرر في الإکراه</w:t>
            </w:r>
            <w:r>
              <w:rPr>
                <w:rStyle w:val="IndexLink"/>
                <w:rtl w:val="true"/>
              </w:rPr>
              <w:tab/>
            </w:r>
            <w:r>
              <w:rPr>
                <w:rStyle w:val="IndexLink"/>
              </w:rPr>
              <w:t>92</w:t>
            </w:r>
          </w:hyperlink>
        </w:p>
        <w:p>
          <w:pPr>
            <w:pStyle w:val="Contents4"/>
            <w:tabs>
              <w:tab w:val="clear" w:pos="8176"/>
              <w:tab w:val="right" w:pos="9026" w:leader="dot"/>
            </w:tabs>
            <w:rPr/>
          </w:pPr>
          <w:hyperlink w:anchor="__RefHeading___Toc5416563_2870459653">
            <w:r>
              <w:rPr>
                <w:webHidden/>
                <w:rStyle w:val="IndexLink"/>
                <w:rtl w:val="true"/>
              </w:rPr>
              <w:t>في العدول عن الطلاق بعد تلفّظه بالطلاق</w:t>
            </w:r>
            <w:r>
              <w:rPr>
                <w:rStyle w:val="IndexLink"/>
                <w:rtl w:val="true"/>
              </w:rPr>
              <w:tab/>
            </w:r>
            <w:r>
              <w:rPr>
                <w:rStyle w:val="IndexLink"/>
              </w:rPr>
              <w:t>93</w:t>
            </w:r>
          </w:hyperlink>
        </w:p>
        <w:p>
          <w:pPr>
            <w:pStyle w:val="Contents4"/>
            <w:tabs>
              <w:tab w:val="clear" w:pos="8176"/>
              <w:tab w:val="right" w:pos="9026" w:leader="dot"/>
            </w:tabs>
            <w:rPr/>
          </w:pPr>
          <w:hyperlink w:anchor="__RefHeading___Toc5416565_2870459653">
            <w:r>
              <w:rPr>
                <w:webHidden/>
                <w:rStyle w:val="IndexLink"/>
                <w:rtl w:val="true"/>
              </w:rPr>
              <w:t>عدم الفائدة في صحّة الطلاق عن إکراه عند تعقّب الرضا</w:t>
            </w:r>
            <w:r>
              <w:rPr>
                <w:rStyle w:val="IndexLink"/>
                <w:rtl w:val="true"/>
              </w:rPr>
              <w:tab/>
            </w:r>
            <w:r>
              <w:rPr>
                <w:rStyle w:val="IndexLink"/>
              </w:rPr>
              <w:t>94</w:t>
            </w:r>
          </w:hyperlink>
        </w:p>
        <w:p>
          <w:pPr>
            <w:pStyle w:val="Contents3"/>
            <w:tabs>
              <w:tab w:val="clear" w:pos="8459"/>
              <w:tab w:val="right" w:pos="9026" w:leader="dot"/>
            </w:tabs>
            <w:rPr/>
          </w:pPr>
          <w:hyperlink w:anchor="__RefHeading___Toc5416567_2870459653">
            <w:r>
              <w:rPr>
                <w:webHidden/>
                <w:rStyle w:val="IndexLink"/>
                <w:rtl w:val="true"/>
              </w:rPr>
              <w:t xml:space="preserve">شروط المطلَّقة </w:t>
            </w:r>
            <w:r>
              <w:rPr>
                <w:rStyle w:val="IndexLink"/>
                <w:rtl w:val="true"/>
              </w:rPr>
              <w:t>:</w:t>
              <w:tab/>
            </w:r>
            <w:r>
              <w:rPr>
                <w:rStyle w:val="IndexLink"/>
              </w:rPr>
              <w:t>94</w:t>
            </w:r>
          </w:hyperlink>
        </w:p>
        <w:p>
          <w:pPr>
            <w:pStyle w:val="Contents4"/>
            <w:tabs>
              <w:tab w:val="clear" w:pos="8176"/>
              <w:tab w:val="right" w:pos="9026" w:leader="dot"/>
            </w:tabs>
            <w:rPr/>
          </w:pPr>
          <w:hyperlink w:anchor="__RefHeading___Toc5416569_2870459653">
            <w:r>
              <w:rPr>
                <w:webHidden/>
                <w:rStyle w:val="IndexLink"/>
                <w:rtl w:val="true"/>
              </w:rPr>
              <w:t>الشرط أوّلها</w:t>
            </w:r>
            <w:r>
              <w:rPr>
                <w:rStyle w:val="IndexLink"/>
                <w:rtl w:val="true"/>
              </w:rPr>
              <w:t xml:space="preserve">: </w:t>
            </w:r>
            <w:r>
              <w:rPr>
                <w:rStyle w:val="IndexLink"/>
                <w:rtl w:val="true"/>
              </w:rPr>
              <w:t>أن تكون زوجة دائمة</w:t>
            </w:r>
            <w:r>
              <w:rPr>
                <w:rStyle w:val="IndexLink"/>
                <w:rtl w:val="true"/>
              </w:rPr>
              <w:tab/>
            </w:r>
            <w:r>
              <w:rPr>
                <w:rStyle w:val="IndexLink"/>
              </w:rPr>
              <w:t>94</w:t>
            </w:r>
          </w:hyperlink>
        </w:p>
        <w:p>
          <w:pPr>
            <w:pStyle w:val="Contents4"/>
            <w:tabs>
              <w:tab w:val="clear" w:pos="8176"/>
              <w:tab w:val="right" w:pos="9026" w:leader="dot"/>
            </w:tabs>
            <w:rPr/>
          </w:pPr>
          <w:hyperlink w:anchor="__RefHeading___Toc5416571_2870459653">
            <w:r>
              <w:rPr>
                <w:webHidden/>
                <w:rStyle w:val="IndexLink"/>
                <w:rtl w:val="true"/>
              </w:rPr>
              <w:t>الشرط الثاني للمطلَّقة</w:t>
            </w:r>
            <w:r>
              <w:rPr>
                <w:rStyle w:val="IndexLink"/>
                <w:rtl w:val="true"/>
              </w:rPr>
              <w:t xml:space="preserve">: </w:t>
            </w:r>
            <w:r>
              <w:rPr>
                <w:rStyle w:val="IndexLink"/>
                <w:rtl w:val="true"/>
              </w:rPr>
              <w:t>أن تكون طاهرة من الحيض والنفاس</w:t>
            </w:r>
            <w:r>
              <w:rPr>
                <w:rStyle w:val="IndexLink"/>
                <w:rtl w:val="true"/>
              </w:rPr>
              <w:tab/>
            </w:r>
            <w:r>
              <w:rPr>
                <w:rStyle w:val="IndexLink"/>
              </w:rPr>
              <w:t>99</w:t>
            </w:r>
          </w:hyperlink>
        </w:p>
        <w:p>
          <w:pPr>
            <w:pStyle w:val="Contents4"/>
            <w:tabs>
              <w:tab w:val="clear" w:pos="8176"/>
              <w:tab w:val="right" w:pos="9026" w:leader="dot"/>
            </w:tabs>
            <w:rPr/>
          </w:pPr>
          <w:hyperlink w:anchor="__RefHeading___Toc5416573_2870459653">
            <w:r>
              <w:rPr>
                <w:webHidden/>
                <w:rStyle w:val="IndexLink"/>
                <w:rtl w:val="true"/>
              </w:rPr>
              <w:t>الشرط الثالث للمطلَّقة</w:t>
            </w:r>
            <w:r>
              <w:rPr>
                <w:rStyle w:val="IndexLink"/>
                <w:rtl w:val="true"/>
              </w:rPr>
              <w:t xml:space="preserve">: </w:t>
            </w:r>
            <w:r>
              <w:rPr>
                <w:rStyle w:val="IndexLink"/>
                <w:rtl w:val="true"/>
              </w:rPr>
              <w:t>أن لا تكون في طهر واقعها فيه زوجها</w:t>
            </w:r>
            <w:r>
              <w:rPr>
                <w:rStyle w:val="IndexLink"/>
                <w:rtl w:val="true"/>
              </w:rPr>
              <w:tab/>
            </w:r>
            <w:r>
              <w:rPr>
                <w:rStyle w:val="IndexLink"/>
              </w:rPr>
              <w:t>102</w:t>
            </w:r>
          </w:hyperlink>
        </w:p>
        <w:p>
          <w:pPr>
            <w:pStyle w:val="Contents3"/>
            <w:tabs>
              <w:tab w:val="clear" w:pos="8459"/>
              <w:tab w:val="right" w:pos="9026" w:leader="dot"/>
            </w:tabs>
            <w:rPr/>
          </w:pPr>
          <w:hyperlink w:anchor="__RefHeading___Toc5416575_2870459653">
            <w:r>
              <w:rPr>
                <w:webHidden/>
                <w:rStyle w:val="IndexLink"/>
                <w:rtl w:val="true"/>
              </w:rPr>
              <w:t>طلاق المرأة في حال الحيض</w:t>
            </w:r>
            <w:r>
              <w:rPr>
                <w:rStyle w:val="IndexLink"/>
                <w:rtl w:val="true"/>
              </w:rPr>
              <w:tab/>
            </w:r>
            <w:r>
              <w:rPr>
                <w:rStyle w:val="IndexLink"/>
              </w:rPr>
              <w:t>104</w:t>
            </w:r>
          </w:hyperlink>
        </w:p>
        <w:p>
          <w:pPr>
            <w:pStyle w:val="Contents3"/>
            <w:tabs>
              <w:tab w:val="clear" w:pos="8459"/>
              <w:tab w:val="right" w:pos="9026" w:leader="dot"/>
            </w:tabs>
            <w:rPr/>
          </w:pPr>
          <w:hyperlink w:anchor="__RefHeading___Toc5416577_2870459653">
            <w:r>
              <w:rPr>
                <w:webHidden/>
                <w:rStyle w:val="IndexLink"/>
                <w:rtl w:val="true"/>
              </w:rPr>
              <w:t>اختلاف الأصحاب في طلاق الغائب</w:t>
            </w:r>
            <w:r>
              <w:rPr>
                <w:rStyle w:val="IndexLink"/>
                <w:rtl w:val="true"/>
              </w:rPr>
              <w:tab/>
            </w:r>
            <w:r>
              <w:rPr>
                <w:rStyle w:val="IndexLink"/>
              </w:rPr>
              <w:t>106</w:t>
            </w:r>
          </w:hyperlink>
        </w:p>
        <w:p>
          <w:pPr>
            <w:pStyle w:val="Contents4"/>
            <w:tabs>
              <w:tab w:val="clear" w:pos="8176"/>
              <w:tab w:val="right" w:pos="9026" w:leader="dot"/>
            </w:tabs>
            <w:rPr/>
          </w:pPr>
          <w:hyperlink w:anchor="__RefHeading___Toc5416579_2870459653">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416581_2870459653">
            <w:r>
              <w:rPr>
                <w:webHidden/>
                <w:rStyle w:val="IndexLink"/>
                <w:rtl w:val="true"/>
              </w:rPr>
              <w:t>تتمّة</w:t>
            </w:r>
            <w:r>
              <w:rPr>
                <w:rStyle w:val="IndexLink"/>
                <w:rtl w:val="true"/>
              </w:rPr>
              <w:t xml:space="preserve">: </w:t>
            </w:r>
            <w:r>
              <w:rPr>
                <w:rStyle w:val="IndexLink"/>
                <w:rtl w:val="true"/>
              </w:rPr>
              <w:t>زیادة صور في طلاق الغائب</w:t>
            </w:r>
            <w:r>
              <w:rPr>
                <w:rStyle w:val="IndexLink"/>
                <w:rtl w:val="true"/>
              </w:rPr>
              <w:tab/>
            </w:r>
            <w:r>
              <w:rPr>
                <w:rStyle w:val="IndexLink"/>
              </w:rPr>
              <w:t>121</w:t>
            </w:r>
          </w:hyperlink>
        </w:p>
        <w:p>
          <w:pPr>
            <w:pStyle w:val="Contents3"/>
            <w:tabs>
              <w:tab w:val="clear" w:pos="8459"/>
              <w:tab w:val="right" w:pos="9026" w:leader="dot"/>
            </w:tabs>
            <w:rPr/>
          </w:pPr>
          <w:hyperlink w:anchor="__RefHeading___Toc5416583_2870459653">
            <w:r>
              <w:rPr>
                <w:webHidden/>
                <w:rStyle w:val="IndexLink"/>
                <w:rtl w:val="true"/>
              </w:rPr>
              <w:t>اعتبار مضيّ ثلاثة أشهر</w:t>
            </w:r>
            <w:r>
              <w:rPr>
                <w:rStyle w:val="IndexLink"/>
                <w:rtl w:val="true"/>
              </w:rPr>
              <w:tab/>
            </w:r>
            <w:r>
              <w:rPr>
                <w:rStyle w:val="IndexLink"/>
              </w:rPr>
              <w:t>129</w:t>
            </w:r>
          </w:hyperlink>
        </w:p>
        <w:p>
          <w:pPr>
            <w:pStyle w:val="Contents3"/>
            <w:tabs>
              <w:tab w:val="clear" w:pos="8459"/>
              <w:tab w:val="right" w:pos="9026" w:leader="dot"/>
            </w:tabs>
            <w:rPr/>
          </w:pPr>
          <w:hyperlink w:anchor="__RefHeading___Toc5416585_2870459653">
            <w:r>
              <w:rPr>
                <w:webHidden/>
                <w:rStyle w:val="IndexLink"/>
                <w:rtl w:val="true"/>
              </w:rPr>
              <w:t>تعتبر الطهارة من الحيض والنفاس</w:t>
            </w:r>
            <w:r>
              <w:rPr>
                <w:rStyle w:val="IndexLink"/>
                <w:rtl w:val="true"/>
              </w:rPr>
              <w:tab/>
            </w:r>
            <w:r>
              <w:rPr>
                <w:rStyle w:val="IndexLink"/>
              </w:rPr>
              <w:t>135</w:t>
            </w:r>
          </w:hyperlink>
        </w:p>
        <w:p>
          <w:pPr>
            <w:pStyle w:val="Contents3"/>
            <w:tabs>
              <w:tab w:val="clear" w:pos="8459"/>
              <w:tab w:val="right" w:pos="9026" w:leader="dot"/>
            </w:tabs>
            <w:rPr/>
          </w:pPr>
          <w:hyperlink w:anchor="__RefHeading___Toc5416587_2870459653">
            <w:r>
              <w:rPr>
                <w:webHidden/>
                <w:rStyle w:val="IndexLink"/>
                <w:rtl w:val="true"/>
              </w:rPr>
              <w:t>تعيين المطلّقة لو کانت أکثر من واحدة</w:t>
            </w:r>
            <w:r>
              <w:rPr>
                <w:rStyle w:val="IndexLink"/>
                <w:rtl w:val="true"/>
              </w:rPr>
              <w:tab/>
            </w:r>
            <w:r>
              <w:rPr>
                <w:rStyle w:val="IndexLink"/>
              </w:rPr>
              <w:t>136</w:t>
            </w:r>
          </w:hyperlink>
        </w:p>
        <w:p>
          <w:pPr>
            <w:pStyle w:val="Contents4"/>
            <w:tabs>
              <w:tab w:val="clear" w:pos="8176"/>
              <w:tab w:val="right" w:pos="9026" w:leader="dot"/>
            </w:tabs>
            <w:rPr/>
          </w:pPr>
          <w:hyperlink w:anchor="__RefHeading___Toc5416589_2870459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416591_2870459653">
            <w:r>
              <w:rPr>
                <w:webHidden/>
                <w:rStyle w:val="IndexLink"/>
                <w:rtl w:val="true"/>
              </w:rPr>
              <w:t>فروعٌ</w:t>
            </w:r>
            <w:r>
              <w:rPr>
                <w:rStyle w:val="IndexLink"/>
                <w:rtl w:val="true"/>
              </w:rPr>
              <w:t xml:space="preserve">: </w:t>
            </w:r>
            <w:r>
              <w:rPr>
                <w:rStyle w:val="IndexLink"/>
                <w:rtl w:val="true"/>
              </w:rPr>
              <w:t>في تعیین المطلّقة</w:t>
            </w:r>
            <w:r>
              <w:rPr>
                <w:rStyle w:val="IndexLink"/>
                <w:rtl w:val="true"/>
              </w:rPr>
              <w:tab/>
            </w:r>
            <w:r>
              <w:rPr>
                <w:rStyle w:val="IndexLink"/>
              </w:rPr>
              <w:t>140</w:t>
            </w:r>
          </w:hyperlink>
        </w:p>
        <w:p>
          <w:pPr>
            <w:pStyle w:val="Contents2"/>
            <w:tabs>
              <w:tab w:val="clear" w:pos="8743"/>
              <w:tab w:val="right" w:pos="9026" w:leader="dot"/>
            </w:tabs>
            <w:rPr/>
          </w:pPr>
          <w:hyperlink w:anchor="__RefHeading___Toc5416593_2870459653">
            <w:r>
              <w:rPr>
                <w:webHidden/>
                <w:rStyle w:val="IndexLink"/>
                <w:rtl w:val="true"/>
              </w:rPr>
              <w:t xml:space="preserve">القول في الصيغة </w:t>
            </w:r>
            <w:r>
              <w:rPr>
                <w:rStyle w:val="IndexLink"/>
                <w:rtl w:val="true"/>
              </w:rPr>
              <w:t>(</w:t>
            </w:r>
            <w:r>
              <w:rPr>
                <w:rStyle w:val="IndexLink"/>
              </w:rPr>
              <w:t>1</w:t>
            </w:r>
            <w:r>
              <w:rPr>
                <w:rStyle w:val="IndexLink"/>
                <w:rtl w:val="true"/>
              </w:rPr>
              <w:t>)</w:t>
              <w:tab/>
            </w:r>
            <w:r>
              <w:rPr>
                <w:rStyle w:val="IndexLink"/>
              </w:rPr>
              <w:t>145</w:t>
            </w:r>
          </w:hyperlink>
        </w:p>
        <w:p>
          <w:pPr>
            <w:pStyle w:val="Contents3"/>
            <w:tabs>
              <w:tab w:val="clear" w:pos="8459"/>
              <w:tab w:val="right" w:pos="9026" w:leader="dot"/>
            </w:tabs>
            <w:rPr/>
          </w:pPr>
          <w:hyperlink w:anchor="__RefHeading___Toc5416595_2870459653">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5416597_2870459653">
            <w:r>
              <w:rPr>
                <w:webHidden/>
                <w:rStyle w:val="IndexLink"/>
                <w:rtl w:val="true"/>
              </w:rPr>
              <w:t>الأصل في شرطیّة الصیغة</w:t>
            </w:r>
            <w:r>
              <w:rPr>
                <w:rStyle w:val="IndexLink"/>
                <w:rtl w:val="true"/>
              </w:rPr>
              <w:tab/>
            </w:r>
            <w:r>
              <w:rPr>
                <w:rStyle w:val="IndexLink"/>
              </w:rPr>
              <w:t>145</w:t>
            </w:r>
          </w:hyperlink>
        </w:p>
        <w:p>
          <w:pPr>
            <w:pStyle w:val="Contents3"/>
            <w:tabs>
              <w:tab w:val="clear" w:pos="8459"/>
              <w:tab w:val="right" w:pos="9026" w:leader="dot"/>
            </w:tabs>
            <w:rPr/>
          </w:pPr>
          <w:hyperlink w:anchor="__RefHeading___Toc5416599_2870459653">
            <w:r>
              <w:rPr>
                <w:webHidden/>
                <w:rStyle w:val="IndexLink"/>
                <w:rtl w:val="true"/>
              </w:rPr>
              <w:t>الشروط في صیغة الطلاق</w:t>
            </w:r>
            <w:r>
              <w:rPr>
                <w:rStyle w:val="IndexLink"/>
                <w:rtl w:val="true"/>
              </w:rPr>
              <w:tab/>
            </w:r>
            <w:r>
              <w:rPr>
                <w:rStyle w:val="IndexLink"/>
              </w:rPr>
              <w:t>146</w:t>
            </w:r>
          </w:hyperlink>
        </w:p>
        <w:p>
          <w:pPr>
            <w:pStyle w:val="Contents3"/>
            <w:tabs>
              <w:tab w:val="clear" w:pos="8459"/>
              <w:tab w:val="right" w:pos="9026" w:leader="dot"/>
            </w:tabs>
            <w:rPr/>
          </w:pPr>
          <w:hyperlink w:anchor="__RefHeading___Toc5416601_2870459653">
            <w:r>
              <w:rPr>
                <w:webHidden/>
                <w:rStyle w:val="IndexLink"/>
                <w:rtl w:val="true"/>
              </w:rPr>
              <w:t>مادّة صيغة الطلاق وهيئتها</w:t>
            </w:r>
            <w:r>
              <w:rPr>
                <w:rStyle w:val="IndexLink"/>
                <w:rtl w:val="true"/>
              </w:rPr>
              <w:tab/>
            </w:r>
            <w:r>
              <w:rPr>
                <w:rStyle w:val="IndexLink"/>
              </w:rPr>
              <w:t>147</w:t>
            </w:r>
          </w:hyperlink>
        </w:p>
        <w:p>
          <w:pPr>
            <w:pStyle w:val="Contents3"/>
            <w:tabs>
              <w:tab w:val="clear" w:pos="8459"/>
              <w:tab w:val="right" w:pos="9026" w:leader="dot"/>
            </w:tabs>
            <w:rPr/>
          </w:pPr>
          <w:hyperlink w:anchor="__RefHeading___Toc5416603_2870459653">
            <w:r>
              <w:rPr>
                <w:webHidden/>
                <w:rStyle w:val="IndexLink"/>
                <w:rtl w:val="true"/>
              </w:rPr>
              <w:t>فرعٌ</w:t>
            </w:r>
            <w:r>
              <w:rPr>
                <w:rStyle w:val="IndexLink"/>
                <w:rtl w:val="true"/>
              </w:rPr>
              <w:t xml:space="preserve">: </w:t>
            </w:r>
            <w:r>
              <w:rPr>
                <w:rStyle w:val="IndexLink"/>
                <w:rtl w:val="true"/>
              </w:rPr>
              <w:t>في وقوع الطلاق بقوله</w:t>
            </w:r>
            <w:r>
              <w:rPr>
                <w:rStyle w:val="IndexLink"/>
                <w:rtl w:val="true"/>
              </w:rPr>
              <w:t>: «</w:t>
            </w:r>
            <w:r>
              <w:rPr>
                <w:rStyle w:val="IndexLink"/>
                <w:rtl w:val="true"/>
              </w:rPr>
              <w:t>نعم</w:t>
            </w:r>
            <w:r>
              <w:rPr>
                <w:rStyle w:val="IndexLink"/>
                <w:rtl w:val="true"/>
              </w:rPr>
              <w:t xml:space="preserve">» </w:t>
            </w:r>
            <w:r>
              <w:rPr>
                <w:rStyle w:val="IndexLink"/>
                <w:rtl w:val="true"/>
              </w:rPr>
              <w:t>وعدمه</w:t>
            </w:r>
            <w:r>
              <w:rPr>
                <w:rStyle w:val="IndexLink"/>
                <w:rtl w:val="true"/>
              </w:rPr>
              <w:tab/>
            </w:r>
            <w:r>
              <w:rPr>
                <w:rStyle w:val="IndexLink"/>
              </w:rPr>
              <w:t>162</w:t>
            </w:r>
          </w:hyperlink>
        </w:p>
        <w:p>
          <w:pPr>
            <w:pStyle w:val="Contents3"/>
            <w:tabs>
              <w:tab w:val="clear" w:pos="8459"/>
              <w:tab w:val="right" w:pos="9026" w:leader="dot"/>
            </w:tabs>
            <w:rPr/>
          </w:pPr>
          <w:hyperlink w:anchor="__RefHeading___Toc5416605_2870459653">
            <w:r>
              <w:rPr>
                <w:webHidden/>
                <w:rStyle w:val="IndexLink"/>
                <w:rtl w:val="true"/>
              </w:rPr>
              <w:t>وقوع طلاق أكثر من زوجة واحدة بصيغة واحدة</w:t>
            </w:r>
            <w:r>
              <w:rPr>
                <w:rStyle w:val="IndexLink"/>
                <w:rtl w:val="true"/>
              </w:rPr>
              <w:tab/>
            </w:r>
            <w:r>
              <w:rPr>
                <w:rStyle w:val="IndexLink"/>
              </w:rPr>
              <w:t>166</w:t>
            </w:r>
          </w:hyperlink>
        </w:p>
        <w:p>
          <w:pPr>
            <w:pStyle w:val="Contents3"/>
            <w:tabs>
              <w:tab w:val="clear" w:pos="8459"/>
              <w:tab w:val="right" w:pos="9026" w:leader="dot"/>
            </w:tabs>
            <w:rPr/>
          </w:pPr>
          <w:hyperlink w:anchor="__RefHeading___Toc5416607_2870459653">
            <w:r>
              <w:rPr>
                <w:webHidden/>
                <w:rStyle w:val="IndexLink"/>
                <w:rtl w:val="true"/>
              </w:rPr>
              <w:t>اشتراط العربیّة في الصیغة</w:t>
            </w:r>
            <w:r>
              <w:rPr>
                <w:rStyle w:val="IndexLink"/>
                <w:rtl w:val="true"/>
              </w:rPr>
              <w:tab/>
            </w:r>
            <w:r>
              <w:rPr>
                <w:rStyle w:val="IndexLink"/>
              </w:rPr>
              <w:t>167</w:t>
            </w:r>
          </w:hyperlink>
        </w:p>
        <w:p>
          <w:pPr>
            <w:pStyle w:val="Contents3"/>
            <w:tabs>
              <w:tab w:val="clear" w:pos="8459"/>
              <w:tab w:val="right" w:pos="9026" w:leader="dot"/>
            </w:tabs>
            <w:rPr/>
          </w:pPr>
          <w:hyperlink w:anchor="__RefHeading___Toc5416609_2870459653">
            <w:r>
              <w:rPr>
                <w:webHidden/>
                <w:rStyle w:val="IndexLink"/>
                <w:rtl w:val="true"/>
              </w:rPr>
              <w:t>وقوع الطلاق بالإشارة والکتابة</w:t>
            </w:r>
            <w:r>
              <w:rPr>
                <w:rStyle w:val="IndexLink"/>
                <w:rtl w:val="true"/>
              </w:rPr>
              <w:tab/>
            </w:r>
            <w:r>
              <w:rPr>
                <w:rStyle w:val="IndexLink"/>
              </w:rPr>
              <w:t>169</w:t>
            </w:r>
          </w:hyperlink>
        </w:p>
        <w:p>
          <w:pPr>
            <w:pStyle w:val="Contents3"/>
            <w:tabs>
              <w:tab w:val="clear" w:pos="8459"/>
              <w:tab w:val="right" w:pos="9026" w:leader="dot"/>
            </w:tabs>
            <w:rPr/>
          </w:pPr>
          <w:hyperlink w:anchor="__RefHeading___Toc5416611_2870459653">
            <w:r>
              <w:rPr>
                <w:webHidden/>
                <w:rStyle w:val="IndexLink"/>
                <w:rtl w:val="true"/>
              </w:rPr>
              <w:t>فرعٌ</w:t>
            </w:r>
            <w:r>
              <w:rPr>
                <w:rStyle w:val="IndexLink"/>
                <w:rtl w:val="true"/>
              </w:rPr>
              <w:t xml:space="preserve">: </w:t>
            </w:r>
            <w:r>
              <w:rPr>
                <w:rStyle w:val="IndexLink"/>
                <w:rtl w:val="true"/>
              </w:rPr>
              <w:t>تفويض الزوج أمر الطلاق إلی المرأة</w:t>
            </w:r>
            <w:r>
              <w:rPr>
                <w:rStyle w:val="IndexLink"/>
                <w:rtl w:val="true"/>
              </w:rPr>
              <w:tab/>
            </w:r>
            <w:r>
              <w:rPr>
                <w:rStyle w:val="IndexLink"/>
              </w:rPr>
              <w:t>176</w:t>
            </w:r>
          </w:hyperlink>
        </w:p>
        <w:p>
          <w:pPr>
            <w:pStyle w:val="Contents4"/>
            <w:tabs>
              <w:tab w:val="clear" w:pos="8176"/>
              <w:tab w:val="right" w:pos="9026" w:leader="dot"/>
            </w:tabs>
            <w:rPr/>
          </w:pPr>
          <w:hyperlink w:anchor="__RefHeading___Toc5416613_2870459653">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5416615_2870459653">
            <w:r>
              <w:rPr>
                <w:webHidden/>
                <w:rStyle w:val="IndexLink"/>
                <w:rtl w:val="true"/>
              </w:rPr>
              <w:t>تنبيهٌ</w:t>
            </w:r>
            <w:r>
              <w:rPr>
                <w:rStyle w:val="IndexLink"/>
                <w:rtl w:val="true"/>
              </w:rPr>
              <w:tab/>
            </w:r>
            <w:r>
              <w:rPr>
                <w:rStyle w:val="IndexLink"/>
              </w:rPr>
              <w:t>187</w:t>
            </w:r>
          </w:hyperlink>
        </w:p>
        <w:p>
          <w:pPr>
            <w:pStyle w:val="Contents3"/>
            <w:tabs>
              <w:tab w:val="clear" w:pos="8459"/>
              <w:tab w:val="right" w:pos="9026" w:leader="dot"/>
            </w:tabs>
            <w:rPr/>
          </w:pPr>
          <w:hyperlink w:anchor="__RefHeading___Toc5416617_2870459653">
            <w:r>
              <w:rPr>
                <w:webHidden/>
                <w:rStyle w:val="IndexLink"/>
                <w:rtl w:val="true"/>
              </w:rPr>
              <w:t>جواز الوکالة في الطلاق</w:t>
            </w:r>
            <w:r>
              <w:rPr>
                <w:rStyle w:val="IndexLink"/>
                <w:rtl w:val="true"/>
              </w:rPr>
              <w:tab/>
            </w:r>
            <w:r>
              <w:rPr>
                <w:rStyle w:val="IndexLink"/>
              </w:rPr>
              <w:t>188</w:t>
            </w:r>
          </w:hyperlink>
        </w:p>
        <w:p>
          <w:pPr>
            <w:pStyle w:val="Contents3"/>
            <w:tabs>
              <w:tab w:val="clear" w:pos="8459"/>
              <w:tab w:val="right" w:pos="9026" w:leader="dot"/>
            </w:tabs>
            <w:rPr/>
          </w:pPr>
          <w:hyperlink w:anchor="__RefHeading___Toc5416619_2870459653">
            <w:r>
              <w:rPr>
                <w:webHidden/>
                <w:rStyle w:val="IndexLink"/>
                <w:rtl w:val="true"/>
              </w:rPr>
              <w:t>حکم الطلاق ثلاثاً</w:t>
            </w:r>
            <w:r>
              <w:rPr>
                <w:rStyle w:val="IndexLink"/>
                <w:rtl w:val="true"/>
              </w:rPr>
              <w:tab/>
            </w:r>
            <w:r>
              <w:rPr>
                <w:rStyle w:val="IndexLink"/>
              </w:rPr>
              <w:t>196</w:t>
            </w:r>
          </w:hyperlink>
        </w:p>
        <w:p>
          <w:pPr>
            <w:pStyle w:val="Contents3"/>
            <w:tabs>
              <w:tab w:val="clear" w:pos="8459"/>
              <w:tab w:val="right" w:pos="9026" w:leader="dot"/>
            </w:tabs>
            <w:rPr/>
          </w:pPr>
          <w:hyperlink w:anchor="__RefHeading___Toc5416621_2870459653">
            <w:r>
              <w:rPr>
                <w:webHidden/>
                <w:rStyle w:val="IndexLink"/>
                <w:rtl w:val="true"/>
              </w:rPr>
              <w:t>فرعٌ</w:t>
            </w:r>
            <w:r>
              <w:rPr>
                <w:rStyle w:val="IndexLink"/>
                <w:rtl w:val="true"/>
              </w:rPr>
              <w:tab/>
            </w:r>
            <w:r>
              <w:rPr>
                <w:rStyle w:val="IndexLink"/>
              </w:rPr>
              <w:t>210</w:t>
            </w:r>
          </w:hyperlink>
        </w:p>
        <w:p>
          <w:pPr>
            <w:pStyle w:val="Contents3"/>
            <w:tabs>
              <w:tab w:val="clear" w:pos="8459"/>
              <w:tab w:val="right" w:pos="9026" w:leader="dot"/>
            </w:tabs>
            <w:rPr/>
          </w:pPr>
          <w:hyperlink w:anchor="__RefHeading___Toc5416623_2870459653">
            <w:r>
              <w:rPr>
                <w:webHidden/>
                <w:rStyle w:val="IndexLink"/>
                <w:rtl w:val="true"/>
              </w:rPr>
              <w:t>الإشهاد في الطلاق</w:t>
            </w:r>
            <w:r>
              <w:rPr>
                <w:rStyle w:val="IndexLink"/>
                <w:rtl w:val="true"/>
              </w:rPr>
              <w:tab/>
            </w:r>
            <w:r>
              <w:rPr>
                <w:rStyle w:val="IndexLink"/>
              </w:rPr>
              <w:t>217</w:t>
            </w:r>
          </w:hyperlink>
        </w:p>
        <w:p>
          <w:pPr>
            <w:pStyle w:val="Contents4"/>
            <w:tabs>
              <w:tab w:val="clear" w:pos="8176"/>
              <w:tab w:val="right" w:pos="9026" w:leader="dot"/>
            </w:tabs>
            <w:rPr/>
          </w:pPr>
          <w:hyperlink w:anchor="__RefHeading___Toc5416625_2870459653">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5416627_2870459653">
            <w:r>
              <w:rPr>
                <w:webHidden/>
                <w:rStyle w:val="IndexLink"/>
                <w:rtl w:val="true"/>
              </w:rPr>
              <w:t>اشتراط الإشهاد في الطلاق</w:t>
            </w:r>
            <w:r>
              <w:rPr>
                <w:rStyle w:val="IndexLink"/>
                <w:rtl w:val="true"/>
              </w:rPr>
              <w:tab/>
            </w:r>
            <w:r>
              <w:rPr>
                <w:rStyle w:val="IndexLink"/>
              </w:rPr>
              <w:t>217</w:t>
            </w:r>
          </w:hyperlink>
        </w:p>
        <w:p>
          <w:pPr>
            <w:pStyle w:val="Contents4"/>
            <w:tabs>
              <w:tab w:val="clear" w:pos="8176"/>
              <w:tab w:val="right" w:pos="9026" w:leader="dot"/>
            </w:tabs>
            <w:rPr/>
          </w:pPr>
          <w:hyperlink w:anchor="__RefHeading___Toc5416629_2870459653">
            <w:r>
              <w:rPr>
                <w:webHidden/>
                <w:rStyle w:val="IndexLink"/>
                <w:rtl w:val="true"/>
              </w:rPr>
              <w:t>كيفيّة الإشهاد واشتراط المعرفة وعدمه</w:t>
            </w:r>
            <w:r>
              <w:rPr>
                <w:rStyle w:val="IndexLink"/>
                <w:rtl w:val="true"/>
              </w:rPr>
              <w:tab/>
            </w:r>
            <w:r>
              <w:rPr>
                <w:rStyle w:val="IndexLink"/>
              </w:rPr>
              <w:t>219</w:t>
            </w:r>
          </w:hyperlink>
        </w:p>
        <w:p>
          <w:pPr>
            <w:pStyle w:val="Contents4"/>
            <w:tabs>
              <w:tab w:val="clear" w:pos="8176"/>
              <w:tab w:val="right" w:pos="9026" w:leader="dot"/>
            </w:tabs>
            <w:rPr/>
          </w:pPr>
          <w:hyperlink w:anchor="__RefHeading___Toc5416631_2870459653">
            <w:r>
              <w:rPr>
                <w:webHidden/>
                <w:rStyle w:val="IndexLink"/>
                <w:rtl w:val="true"/>
              </w:rPr>
              <w:t>عدالة المشترطة في الطلاق شرطاً واقعياً أو ظاهریاً؟</w:t>
            </w:r>
            <w:r>
              <w:rPr>
                <w:rStyle w:val="IndexLink"/>
                <w:rtl w:val="true"/>
              </w:rPr>
              <w:tab/>
            </w:r>
            <w:r>
              <w:rPr>
                <w:rStyle w:val="IndexLink"/>
              </w:rPr>
              <w:t>237</w:t>
            </w:r>
          </w:hyperlink>
        </w:p>
        <w:p>
          <w:pPr>
            <w:pStyle w:val="Contents2"/>
            <w:tabs>
              <w:tab w:val="clear" w:pos="8743"/>
              <w:tab w:val="right" w:pos="9026" w:leader="dot"/>
            </w:tabs>
            <w:rPr/>
          </w:pPr>
          <w:hyperlink w:anchor="__RefHeading___Toc5416633_2870459653">
            <w:r>
              <w:rPr>
                <w:webHidden/>
                <w:rStyle w:val="IndexLink"/>
                <w:rtl w:val="true"/>
              </w:rPr>
              <w:t>القول في أقسام الطلاق</w:t>
            </w:r>
            <w:r>
              <w:rPr>
                <w:rStyle w:val="IndexLink"/>
                <w:rtl w:val="true"/>
              </w:rPr>
              <w:tab/>
            </w:r>
            <w:r>
              <w:rPr>
                <w:rStyle w:val="IndexLink"/>
              </w:rPr>
              <w:t>241</w:t>
            </w:r>
          </w:hyperlink>
        </w:p>
        <w:p>
          <w:pPr>
            <w:pStyle w:val="Contents3"/>
            <w:tabs>
              <w:tab w:val="clear" w:pos="8459"/>
              <w:tab w:val="right" w:pos="9026" w:leader="dot"/>
            </w:tabs>
            <w:rPr/>
          </w:pPr>
          <w:hyperlink w:anchor="__RefHeading___Toc5416635_2870459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5416637_2870459653">
            <w:r>
              <w:rPr>
                <w:webHidden/>
                <w:rStyle w:val="IndexLink"/>
                <w:rtl w:val="true"/>
              </w:rPr>
              <w:t>تقسیم الطلاق إلی الواجب والمکروه والمستحبّ والحرام</w:t>
            </w:r>
            <w:r>
              <w:rPr>
                <w:rStyle w:val="IndexLink"/>
                <w:rtl w:val="true"/>
              </w:rPr>
              <w:tab/>
            </w:r>
            <w:r>
              <w:rPr>
                <w:rStyle w:val="IndexLink"/>
              </w:rPr>
              <w:t>241</w:t>
            </w:r>
          </w:hyperlink>
        </w:p>
        <w:p>
          <w:pPr>
            <w:pStyle w:val="Contents3"/>
            <w:tabs>
              <w:tab w:val="clear" w:pos="8459"/>
              <w:tab w:val="right" w:pos="9026" w:leader="dot"/>
            </w:tabs>
            <w:rPr/>
          </w:pPr>
          <w:hyperlink w:anchor="__RefHeading___Toc5416639_2870459653">
            <w:r>
              <w:rPr>
                <w:webHidden/>
                <w:rStyle w:val="IndexLink"/>
                <w:rtl w:val="true"/>
              </w:rPr>
              <w:t>أسباب تحریم الطلاق المحرّم</w:t>
            </w:r>
            <w:r>
              <w:rPr>
                <w:rStyle w:val="IndexLink"/>
                <w:rtl w:val="true"/>
              </w:rPr>
              <w:tab/>
            </w:r>
            <w:r>
              <w:rPr>
                <w:rStyle w:val="IndexLink"/>
              </w:rPr>
              <w:t>242</w:t>
            </w:r>
          </w:hyperlink>
        </w:p>
        <w:p>
          <w:pPr>
            <w:pStyle w:val="Contents3"/>
            <w:tabs>
              <w:tab w:val="clear" w:pos="8459"/>
              <w:tab w:val="right" w:pos="9026" w:leader="dot"/>
            </w:tabs>
            <w:rPr/>
          </w:pPr>
          <w:hyperlink w:anchor="__RefHeading___Toc5416641_2870459653">
            <w:r>
              <w:rPr>
                <w:webHidden/>
                <w:rStyle w:val="IndexLink"/>
                <w:rtl w:val="true"/>
              </w:rPr>
              <w:t>الردّ علی أدلّة الطلاق المحرّم</w:t>
            </w:r>
            <w:r>
              <w:rPr>
                <w:rStyle w:val="IndexLink"/>
                <w:rtl w:val="true"/>
              </w:rPr>
              <w:tab/>
            </w:r>
            <w:r>
              <w:rPr>
                <w:rStyle w:val="IndexLink"/>
              </w:rPr>
              <w:t>243</w:t>
            </w:r>
          </w:hyperlink>
        </w:p>
        <w:p>
          <w:pPr>
            <w:pStyle w:val="Contents3"/>
            <w:tabs>
              <w:tab w:val="clear" w:pos="8459"/>
              <w:tab w:val="right" w:pos="9026" w:leader="dot"/>
            </w:tabs>
            <w:rPr/>
          </w:pPr>
          <w:hyperlink w:anchor="__RefHeading___Toc5416643_2870459653">
            <w:r>
              <w:rPr>
                <w:webHidden/>
                <w:rStyle w:val="IndexLink"/>
                <w:rtl w:val="true"/>
              </w:rPr>
              <w:t>تقسیم الطلاق إلی البدعيّ والسنّي</w:t>
            </w:r>
            <w:r>
              <w:rPr>
                <w:rStyle w:val="IndexLink"/>
                <w:rtl w:val="true"/>
              </w:rPr>
              <w:tab/>
            </w:r>
            <w:r>
              <w:rPr>
                <w:rStyle w:val="IndexLink"/>
              </w:rPr>
              <w:t>245</w:t>
            </w:r>
          </w:hyperlink>
        </w:p>
        <w:p>
          <w:pPr>
            <w:pStyle w:val="Contents3"/>
            <w:tabs>
              <w:tab w:val="clear" w:pos="8459"/>
              <w:tab w:val="right" w:pos="9026" w:leader="dot"/>
            </w:tabs>
            <w:rPr/>
          </w:pPr>
          <w:hyperlink w:anchor="__RefHeading___Toc5416645_2870459653">
            <w:r>
              <w:rPr>
                <w:webHidden/>
                <w:rStyle w:val="IndexLink"/>
                <w:rtl w:val="true"/>
              </w:rPr>
              <w:t>معنیً آخر للطلاق السنّي بالنظر إلی النصوص والفتاوی</w:t>
            </w:r>
            <w:r>
              <w:rPr>
                <w:rStyle w:val="IndexLink"/>
                <w:rtl w:val="true"/>
              </w:rPr>
              <w:tab/>
            </w:r>
            <w:r>
              <w:rPr>
                <w:rStyle w:val="IndexLink"/>
              </w:rPr>
              <w:t>246</w:t>
            </w:r>
          </w:hyperlink>
        </w:p>
        <w:p>
          <w:pPr>
            <w:pStyle w:val="Contents3"/>
            <w:tabs>
              <w:tab w:val="clear" w:pos="8459"/>
              <w:tab w:val="right" w:pos="9026" w:leader="dot"/>
            </w:tabs>
            <w:rPr/>
          </w:pPr>
          <w:hyperlink w:anchor="__RefHeading___Toc5416647_2870459653">
            <w:r>
              <w:rPr>
                <w:webHidden/>
                <w:rStyle w:val="IndexLink"/>
                <w:rtl w:val="true"/>
              </w:rPr>
              <w:t>الطلاق قبل الدخول</w:t>
            </w:r>
            <w:r>
              <w:rPr>
                <w:rStyle w:val="IndexLink"/>
                <w:rtl w:val="true"/>
              </w:rPr>
              <w:tab/>
            </w:r>
            <w:r>
              <w:rPr>
                <w:rStyle w:val="IndexLink"/>
              </w:rPr>
              <w:t>247</w:t>
            </w:r>
          </w:hyperlink>
        </w:p>
        <w:p>
          <w:pPr>
            <w:pStyle w:val="Contents3"/>
            <w:tabs>
              <w:tab w:val="clear" w:pos="8459"/>
              <w:tab w:val="right" w:pos="9026" w:leader="dot"/>
            </w:tabs>
            <w:rPr/>
          </w:pPr>
          <w:hyperlink w:anchor="__RefHeading___Toc5416649_2870459653">
            <w:r>
              <w:rPr>
                <w:webHidden/>
                <w:rStyle w:val="IndexLink"/>
                <w:rtl w:val="true"/>
              </w:rPr>
              <w:t>طلاق الصغیرة</w:t>
            </w:r>
            <w:r>
              <w:rPr>
                <w:rStyle w:val="IndexLink"/>
                <w:rtl w:val="true"/>
              </w:rPr>
              <w:tab/>
            </w:r>
            <w:r>
              <w:rPr>
                <w:rStyle w:val="IndexLink"/>
              </w:rPr>
              <w:t>250</w:t>
            </w:r>
          </w:hyperlink>
        </w:p>
        <w:p>
          <w:pPr>
            <w:pStyle w:val="Contents3"/>
            <w:tabs>
              <w:tab w:val="clear" w:pos="8459"/>
              <w:tab w:val="right" w:pos="9026" w:leader="dot"/>
            </w:tabs>
            <w:rPr/>
          </w:pPr>
          <w:hyperlink w:anchor="__RefHeading___Toc5416651_2870459653">
            <w:r>
              <w:rPr>
                <w:webHidden/>
                <w:rStyle w:val="IndexLink"/>
                <w:rtl w:val="true"/>
              </w:rPr>
              <w:t>طلاق الیائسة</w:t>
            </w:r>
            <w:r>
              <w:rPr>
                <w:rStyle w:val="IndexLink"/>
                <w:rtl w:val="true"/>
              </w:rPr>
              <w:tab/>
            </w:r>
            <w:r>
              <w:rPr>
                <w:rStyle w:val="IndexLink"/>
              </w:rPr>
              <w:t>252</w:t>
            </w:r>
          </w:hyperlink>
        </w:p>
        <w:p>
          <w:pPr>
            <w:pStyle w:val="Contents3"/>
            <w:tabs>
              <w:tab w:val="clear" w:pos="8459"/>
              <w:tab w:val="right" w:pos="9026" w:leader="dot"/>
            </w:tabs>
            <w:rPr/>
          </w:pPr>
          <w:hyperlink w:anchor="__RefHeading___Toc5416653_2870459653">
            <w:r>
              <w:rPr>
                <w:webHidden/>
                <w:rStyle w:val="IndexLink"/>
                <w:rtl w:val="true"/>
              </w:rPr>
              <w:t>طلاق الخلع والمباراة</w:t>
            </w:r>
            <w:r>
              <w:rPr>
                <w:rStyle w:val="IndexLink"/>
                <w:rtl w:val="true"/>
              </w:rPr>
              <w:tab/>
            </w:r>
            <w:r>
              <w:rPr>
                <w:rStyle w:val="IndexLink"/>
              </w:rPr>
              <w:t>256</w:t>
            </w:r>
          </w:hyperlink>
        </w:p>
        <w:p>
          <w:pPr>
            <w:pStyle w:val="Contents3"/>
            <w:tabs>
              <w:tab w:val="clear" w:pos="8459"/>
              <w:tab w:val="right" w:pos="9026" w:leader="dot"/>
            </w:tabs>
            <w:rPr/>
          </w:pPr>
          <w:hyperlink w:anchor="__RefHeading___Toc5416655_2870459653">
            <w:r>
              <w:rPr>
                <w:webHidden/>
                <w:rStyle w:val="IndexLink"/>
                <w:rtl w:val="true"/>
              </w:rPr>
              <w:t>قولان في مسألة استيفاء العدّة، هل هو هادم لتحريم الثلاثة أم لا؟</w:t>
            </w:r>
            <w:r>
              <w:rPr>
                <w:rStyle w:val="IndexLink"/>
                <w:rtl w:val="true"/>
              </w:rPr>
              <w:tab/>
            </w:r>
            <w:r>
              <w:rPr>
                <w:rStyle w:val="IndexLink"/>
              </w:rPr>
              <w:t>258</w:t>
            </w:r>
          </w:hyperlink>
        </w:p>
        <w:p>
          <w:pPr>
            <w:pStyle w:val="Contents4"/>
            <w:tabs>
              <w:tab w:val="clear" w:pos="8176"/>
              <w:tab w:val="right" w:pos="9026" w:leader="dot"/>
            </w:tabs>
            <w:rPr/>
          </w:pPr>
          <w:hyperlink w:anchor="__RefHeading___Toc5416657_2870459653">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5416659_2870459653">
            <w:r>
              <w:rPr>
                <w:webHidden/>
                <w:rStyle w:val="IndexLink"/>
                <w:rtl w:val="true"/>
              </w:rPr>
              <w:t>القائلون بالقول الأوّل</w:t>
            </w:r>
            <w:r>
              <w:rPr>
                <w:rStyle w:val="IndexLink"/>
                <w:rtl w:val="true"/>
              </w:rPr>
              <w:tab/>
            </w:r>
            <w:r>
              <w:rPr>
                <w:rStyle w:val="IndexLink"/>
              </w:rPr>
              <w:t>259</w:t>
            </w:r>
          </w:hyperlink>
        </w:p>
        <w:p>
          <w:pPr>
            <w:pStyle w:val="Contents4"/>
            <w:tabs>
              <w:tab w:val="clear" w:pos="8176"/>
              <w:tab w:val="right" w:pos="9026" w:leader="dot"/>
            </w:tabs>
            <w:rPr/>
          </w:pPr>
          <w:hyperlink w:anchor="__RefHeading___Toc5416661_2870459653">
            <w:r>
              <w:rPr>
                <w:webHidden/>
                <w:rStyle w:val="IndexLink"/>
                <w:rtl w:val="true"/>
              </w:rPr>
              <w:t>القائلون بالقول الثاني والاستدلال عليه</w:t>
            </w:r>
            <w:r>
              <w:rPr>
                <w:rStyle w:val="IndexLink"/>
                <w:rtl w:val="true"/>
              </w:rPr>
              <w:tab/>
            </w:r>
            <w:r>
              <w:rPr>
                <w:rStyle w:val="IndexLink"/>
              </w:rPr>
              <w:t>260</w:t>
            </w:r>
          </w:hyperlink>
        </w:p>
        <w:p>
          <w:pPr>
            <w:pStyle w:val="Contents4"/>
            <w:tabs>
              <w:tab w:val="clear" w:pos="8176"/>
              <w:tab w:val="right" w:pos="9026" w:leader="dot"/>
            </w:tabs>
            <w:rPr/>
          </w:pPr>
          <w:hyperlink w:anchor="__RefHeading___Toc5416663_2870459653">
            <w:r>
              <w:rPr>
                <w:webHidden/>
                <w:rStyle w:val="IndexLink"/>
                <w:rtl w:val="true"/>
              </w:rPr>
              <w:t>الردّ على الاستدلال بالكتاب والإجماع</w:t>
            </w:r>
            <w:r>
              <w:rPr>
                <w:rStyle w:val="IndexLink"/>
                <w:rtl w:val="true"/>
              </w:rPr>
              <w:tab/>
            </w:r>
            <w:r>
              <w:rPr>
                <w:rStyle w:val="IndexLink"/>
              </w:rPr>
              <w:t>261</w:t>
            </w:r>
          </w:hyperlink>
        </w:p>
        <w:p>
          <w:pPr>
            <w:pStyle w:val="Contents3"/>
            <w:tabs>
              <w:tab w:val="clear" w:pos="8459"/>
              <w:tab w:val="right" w:pos="9026" w:leader="dot"/>
            </w:tabs>
            <w:rPr/>
          </w:pPr>
          <w:hyperlink w:anchor="__RefHeading___Toc5416665_2870459653">
            <w:r>
              <w:rPr>
                <w:webHidden/>
                <w:rStyle w:val="IndexLink"/>
                <w:rtl w:val="true"/>
              </w:rPr>
              <w:t>الشروط في المحلّل</w:t>
            </w:r>
            <w:r>
              <w:rPr>
                <w:rStyle w:val="IndexLink"/>
                <w:rtl w:val="true"/>
              </w:rPr>
              <w:tab/>
            </w:r>
            <w:r>
              <w:rPr>
                <w:rStyle w:val="IndexLink"/>
              </w:rPr>
              <w:t>302</w:t>
            </w:r>
          </w:hyperlink>
        </w:p>
        <w:p>
          <w:pPr>
            <w:pStyle w:val="Contents2"/>
            <w:tabs>
              <w:tab w:val="clear" w:pos="8743"/>
              <w:tab w:val="right" w:pos="9026" w:leader="dot"/>
            </w:tabs>
            <w:rPr/>
          </w:pPr>
          <w:hyperlink w:anchor="__RefHeading___Toc5416667_2870459653">
            <w:r>
              <w:rPr>
                <w:webHidden/>
                <w:rStyle w:val="IndexLink"/>
                <w:rtl w:val="true"/>
              </w:rPr>
              <w:t>القول في العِدَد</w:t>
            </w:r>
            <w:r>
              <w:rPr>
                <w:rStyle w:val="IndexLink"/>
                <w:rtl w:val="true"/>
              </w:rPr>
              <w:tab/>
            </w:r>
            <w:r>
              <w:rPr>
                <w:rStyle w:val="IndexLink"/>
              </w:rPr>
              <w:t>321</w:t>
            </w:r>
          </w:hyperlink>
        </w:p>
        <w:p>
          <w:pPr>
            <w:pStyle w:val="Contents3"/>
            <w:tabs>
              <w:tab w:val="clear" w:pos="8459"/>
              <w:tab w:val="right" w:pos="9026" w:leader="dot"/>
            </w:tabs>
            <w:rPr/>
          </w:pPr>
          <w:hyperlink w:anchor="__RefHeading___Toc5416669_2870459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5416671_2870459653">
            <w:r>
              <w:rPr>
                <w:webHidden/>
                <w:rStyle w:val="IndexLink"/>
                <w:rtl w:val="true"/>
              </w:rPr>
              <w:t>تعريف العدّة</w:t>
            </w:r>
            <w:r>
              <w:rPr>
                <w:rStyle w:val="IndexLink"/>
                <w:rtl w:val="true"/>
              </w:rPr>
              <w:tab/>
            </w:r>
            <w:r>
              <w:rPr>
                <w:rStyle w:val="IndexLink"/>
              </w:rPr>
              <w:t>321</w:t>
            </w:r>
          </w:hyperlink>
        </w:p>
        <w:p>
          <w:pPr>
            <w:pStyle w:val="Contents3"/>
            <w:tabs>
              <w:tab w:val="clear" w:pos="8459"/>
              <w:tab w:val="right" w:pos="9026" w:leader="dot"/>
            </w:tabs>
            <w:rPr/>
          </w:pPr>
          <w:hyperlink w:anchor="__RefHeading___Toc5416673_2870459653">
            <w:r>
              <w:rPr>
                <w:webHidden/>
                <w:rStyle w:val="IndexLink"/>
                <w:rtl w:val="true"/>
              </w:rPr>
              <w:t>الدليل على أصل العدّة</w:t>
            </w:r>
            <w:r>
              <w:rPr>
                <w:rStyle w:val="IndexLink"/>
                <w:rtl w:val="true"/>
              </w:rPr>
              <w:tab/>
            </w:r>
            <w:r>
              <w:rPr>
                <w:rStyle w:val="IndexLink"/>
              </w:rPr>
              <w:t>322</w:t>
            </w:r>
          </w:hyperlink>
        </w:p>
        <w:p>
          <w:pPr>
            <w:pStyle w:val="Contents2"/>
            <w:tabs>
              <w:tab w:val="clear" w:pos="8743"/>
              <w:tab w:val="right" w:pos="9026" w:leader="dot"/>
            </w:tabs>
            <w:rPr/>
          </w:pPr>
          <w:hyperlink w:anchor="__RefHeading___Toc5416675_2870459653">
            <w:r>
              <w:rPr>
                <w:webHidden/>
                <w:rStyle w:val="IndexLink"/>
                <w:rtl w:val="true"/>
              </w:rPr>
              <w:t>فصل</w:t>
            </w:r>
            <w:r>
              <w:rPr>
                <w:rStyle w:val="IndexLink"/>
                <w:rtl w:val="true"/>
              </w:rPr>
              <w:t xml:space="preserve">: </w:t>
            </w:r>
            <w:r>
              <w:rPr>
                <w:rStyle w:val="IndexLink"/>
                <w:rtl w:val="true"/>
              </w:rPr>
              <w:t>في عدّة الفراق طلاقاً كان أو غيره</w:t>
            </w:r>
            <w:r>
              <w:rPr>
                <w:rStyle w:val="IndexLink"/>
                <w:rtl w:val="true"/>
              </w:rPr>
              <w:tab/>
            </w:r>
            <w:r>
              <w:rPr>
                <w:rStyle w:val="IndexLink"/>
              </w:rPr>
              <w:t>325</w:t>
            </w:r>
          </w:hyperlink>
        </w:p>
        <w:p>
          <w:pPr>
            <w:pStyle w:val="Contents3"/>
            <w:tabs>
              <w:tab w:val="clear" w:pos="8459"/>
              <w:tab w:val="right" w:pos="9026" w:leader="dot"/>
            </w:tabs>
            <w:rPr/>
          </w:pPr>
          <w:hyperlink w:anchor="__RefHeading___Toc5416677_2870459653">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5416679_2870459653">
            <w:r>
              <w:rPr>
                <w:webHidden/>
                <w:rStyle w:val="IndexLink"/>
                <w:rtl w:val="true"/>
              </w:rPr>
              <w:t>عدم العدّة لغير المدخول بها</w:t>
            </w:r>
            <w:r>
              <w:rPr>
                <w:rStyle w:val="IndexLink"/>
                <w:rtl w:val="true"/>
              </w:rPr>
              <w:tab/>
            </w:r>
            <w:r>
              <w:rPr>
                <w:rStyle w:val="IndexLink"/>
              </w:rPr>
              <w:t>325</w:t>
            </w:r>
          </w:hyperlink>
        </w:p>
        <w:p>
          <w:pPr>
            <w:pStyle w:val="Contents3"/>
            <w:tabs>
              <w:tab w:val="clear" w:pos="8459"/>
              <w:tab w:val="right" w:pos="9026" w:leader="dot"/>
            </w:tabs>
            <w:rPr/>
          </w:pPr>
          <w:hyperlink w:anchor="__RefHeading___Toc5416681_2870459653">
            <w:r>
              <w:rPr>
                <w:webHidden/>
                <w:rStyle w:val="IndexLink"/>
                <w:rtl w:val="true"/>
              </w:rPr>
              <w:t>عدّة الصغيرة واليائسة</w:t>
            </w:r>
            <w:r>
              <w:rPr>
                <w:rStyle w:val="IndexLink"/>
                <w:rtl w:val="true"/>
              </w:rPr>
              <w:tab/>
            </w:r>
            <w:r>
              <w:rPr>
                <w:rStyle w:val="IndexLink"/>
              </w:rPr>
              <w:t>326</w:t>
            </w:r>
          </w:hyperlink>
        </w:p>
        <w:p>
          <w:pPr>
            <w:pStyle w:val="Contents3"/>
            <w:tabs>
              <w:tab w:val="clear" w:pos="8459"/>
              <w:tab w:val="right" w:pos="9026" w:leader="dot"/>
            </w:tabs>
            <w:rPr/>
          </w:pPr>
          <w:hyperlink w:anchor="__RefHeading___Toc5416683_2870459653">
            <w:r>
              <w:rPr>
                <w:webHidden/>
                <w:rStyle w:val="IndexLink"/>
                <w:rtl w:val="true"/>
              </w:rPr>
              <w:t>تعارض روايات عدّة الصغيرة واليائسة</w:t>
            </w:r>
            <w:r>
              <w:rPr>
                <w:rStyle w:val="IndexLink"/>
                <w:rtl w:val="true"/>
              </w:rPr>
              <w:tab/>
            </w:r>
            <w:r>
              <w:rPr>
                <w:rStyle w:val="IndexLink"/>
              </w:rPr>
              <w:t>333</w:t>
            </w:r>
          </w:hyperlink>
        </w:p>
        <w:p>
          <w:pPr>
            <w:pStyle w:val="Contents3"/>
            <w:tabs>
              <w:tab w:val="clear" w:pos="8459"/>
              <w:tab w:val="right" w:pos="9026" w:leader="dot"/>
            </w:tabs>
            <w:rPr/>
          </w:pPr>
          <w:hyperlink w:anchor="__RefHeading___Toc5416685_2870459653">
            <w:r>
              <w:rPr>
                <w:webHidden/>
                <w:rStyle w:val="IndexLink"/>
                <w:rtl w:val="true"/>
              </w:rPr>
              <w:t>المراد من الدخول لثبوت العدّة</w:t>
            </w:r>
            <w:r>
              <w:rPr>
                <w:rStyle w:val="IndexLink"/>
                <w:rtl w:val="true"/>
              </w:rPr>
              <w:tab/>
            </w:r>
            <w:r>
              <w:rPr>
                <w:rStyle w:val="IndexLink"/>
              </w:rPr>
              <w:t>335</w:t>
            </w:r>
          </w:hyperlink>
        </w:p>
        <w:p>
          <w:pPr>
            <w:pStyle w:val="Contents3"/>
            <w:tabs>
              <w:tab w:val="clear" w:pos="8459"/>
              <w:tab w:val="right" w:pos="9026" w:leader="dot"/>
            </w:tabs>
            <w:rPr/>
          </w:pPr>
          <w:hyperlink w:anchor="__RefHeading___Toc5416687_2870459653">
            <w:r>
              <w:rPr>
                <w:webHidden/>
                <w:rStyle w:val="IndexLink"/>
                <w:rtl w:val="true"/>
              </w:rPr>
              <w:t>حكم الخصيّ والمقطوع في إيجاب العدّة وعدمه</w:t>
            </w:r>
            <w:r>
              <w:rPr>
                <w:rStyle w:val="IndexLink"/>
                <w:rtl w:val="true"/>
              </w:rPr>
              <w:tab/>
            </w:r>
            <w:r>
              <w:rPr>
                <w:rStyle w:val="IndexLink"/>
              </w:rPr>
              <w:t>342</w:t>
            </w:r>
          </w:hyperlink>
        </w:p>
        <w:p>
          <w:pPr>
            <w:pStyle w:val="Contents3"/>
            <w:tabs>
              <w:tab w:val="clear" w:pos="8459"/>
              <w:tab w:val="right" w:pos="9026" w:leader="dot"/>
            </w:tabs>
            <w:rPr/>
          </w:pPr>
          <w:hyperlink w:anchor="__RefHeading___Toc5416689_2870459653">
            <w:r>
              <w:rPr>
                <w:webHidden/>
                <w:rStyle w:val="IndexLink"/>
                <w:rtl w:val="true"/>
              </w:rPr>
              <w:t>عدم الفرق بين الكبير والصغير في العدّة على المدخول بها</w:t>
            </w:r>
            <w:r>
              <w:rPr>
                <w:rStyle w:val="IndexLink"/>
                <w:rtl w:val="true"/>
              </w:rPr>
              <w:tab/>
            </w:r>
            <w:r>
              <w:rPr>
                <w:rStyle w:val="IndexLink"/>
              </w:rPr>
              <w:t>350</w:t>
            </w:r>
          </w:hyperlink>
        </w:p>
        <w:p>
          <w:pPr>
            <w:pStyle w:val="Contents4"/>
            <w:tabs>
              <w:tab w:val="clear" w:pos="8176"/>
              <w:tab w:val="right" w:pos="9026" w:leader="dot"/>
            </w:tabs>
            <w:rPr/>
          </w:pPr>
          <w:hyperlink w:anchor="__RefHeading___Toc5416691_2870459653">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5416693_2870459653">
            <w:r>
              <w:rPr>
                <w:webHidden/>
                <w:rStyle w:val="IndexLink"/>
                <w:rtl w:val="true"/>
              </w:rPr>
              <w:t>فرعٌ</w:t>
            </w:r>
            <w:r>
              <w:rPr>
                <w:rStyle w:val="IndexLink"/>
                <w:rtl w:val="true"/>
              </w:rPr>
              <w:t xml:space="preserve">: </w:t>
            </w:r>
            <w:r>
              <w:rPr>
                <w:rStyle w:val="IndexLink"/>
                <w:rtl w:val="true"/>
              </w:rPr>
              <w:t>حكم العدّة في الزنا</w:t>
            </w:r>
            <w:r>
              <w:rPr>
                <w:rStyle w:val="IndexLink"/>
                <w:rtl w:val="true"/>
              </w:rPr>
              <w:tab/>
            </w:r>
            <w:r>
              <w:rPr>
                <w:rStyle w:val="IndexLink"/>
              </w:rPr>
              <w:t>351</w:t>
            </w:r>
          </w:hyperlink>
        </w:p>
        <w:p>
          <w:pPr>
            <w:pStyle w:val="Contents3"/>
            <w:tabs>
              <w:tab w:val="clear" w:pos="8459"/>
              <w:tab w:val="right" w:pos="9026" w:leader="dot"/>
            </w:tabs>
            <w:rPr/>
          </w:pPr>
          <w:hyperlink w:anchor="__RefHeading___Toc5416695_2870459653">
            <w:r>
              <w:rPr>
                <w:webHidden/>
                <w:rStyle w:val="IndexLink"/>
                <w:rtl w:val="true"/>
              </w:rPr>
              <w:t>فيما لو يئست بين العدّة</w:t>
            </w:r>
            <w:r>
              <w:rPr>
                <w:rStyle w:val="IndexLink"/>
                <w:rtl w:val="true"/>
              </w:rPr>
              <w:tab/>
            </w:r>
            <w:r>
              <w:rPr>
                <w:rStyle w:val="IndexLink"/>
              </w:rPr>
              <w:t>355</w:t>
            </w:r>
          </w:hyperlink>
        </w:p>
        <w:p>
          <w:pPr>
            <w:pStyle w:val="Contents3"/>
            <w:tabs>
              <w:tab w:val="clear" w:pos="8459"/>
              <w:tab w:val="right" w:pos="9026" w:leader="dot"/>
            </w:tabs>
            <w:rPr/>
          </w:pPr>
          <w:hyperlink w:anchor="__RefHeading___Toc5416697_2870459653">
            <w:r>
              <w:rPr>
                <w:webHidden/>
                <w:rStyle w:val="IndexLink"/>
                <w:rtl w:val="true"/>
              </w:rPr>
              <w:t>عدّة الحامل</w:t>
            </w:r>
            <w:r>
              <w:rPr>
                <w:rStyle w:val="IndexLink"/>
                <w:rtl w:val="true"/>
              </w:rPr>
              <w:tab/>
            </w:r>
            <w:r>
              <w:rPr>
                <w:rStyle w:val="IndexLink"/>
              </w:rPr>
              <w:t>356</w:t>
            </w:r>
          </w:hyperlink>
        </w:p>
        <w:p>
          <w:pPr>
            <w:pStyle w:val="Contents3"/>
            <w:tabs>
              <w:tab w:val="clear" w:pos="8459"/>
              <w:tab w:val="right" w:pos="9026" w:leader="dot"/>
            </w:tabs>
            <w:rPr/>
          </w:pPr>
          <w:hyperlink w:anchor="__RefHeading___Toc5416699_2870459653">
            <w:r>
              <w:rPr>
                <w:webHidden/>
                <w:rStyle w:val="IndexLink"/>
                <w:rtl w:val="true"/>
              </w:rPr>
              <w:t>عدّة المطلّقة الحامل بالزنا</w:t>
            </w:r>
            <w:r>
              <w:rPr>
                <w:rStyle w:val="IndexLink"/>
                <w:rtl w:val="true"/>
              </w:rPr>
              <w:tab/>
            </w:r>
            <w:r>
              <w:rPr>
                <w:rStyle w:val="IndexLink"/>
              </w:rPr>
              <w:t>364</w:t>
            </w:r>
          </w:hyperlink>
        </w:p>
        <w:p>
          <w:pPr>
            <w:pStyle w:val="Contents3"/>
            <w:tabs>
              <w:tab w:val="clear" w:pos="8459"/>
              <w:tab w:val="right" w:pos="9026" w:leader="dot"/>
            </w:tabs>
            <w:rPr/>
          </w:pPr>
          <w:hyperlink w:anchor="__RefHeading___Toc5416701_2870459653">
            <w:r>
              <w:rPr>
                <w:webHidden/>
                <w:rStyle w:val="IndexLink"/>
                <w:rtl w:val="true"/>
              </w:rPr>
              <w:t>عدّة الحامل بالاثنين</w:t>
            </w:r>
            <w:r>
              <w:rPr>
                <w:rStyle w:val="IndexLink"/>
                <w:rtl w:val="true"/>
              </w:rPr>
              <w:tab/>
            </w:r>
            <w:r>
              <w:rPr>
                <w:rStyle w:val="IndexLink"/>
              </w:rPr>
              <w:t>365</w:t>
            </w:r>
          </w:hyperlink>
        </w:p>
        <w:p>
          <w:pPr>
            <w:pStyle w:val="Contents3"/>
            <w:tabs>
              <w:tab w:val="clear" w:pos="8459"/>
              <w:tab w:val="right" w:pos="9026" w:leader="dot"/>
            </w:tabs>
            <w:rPr/>
          </w:pPr>
          <w:hyperlink w:anchor="__RefHeading___Toc5416703_2870459653">
            <w:r>
              <w:rPr>
                <w:webHidden/>
                <w:rStyle w:val="IndexLink"/>
                <w:rtl w:val="true"/>
              </w:rPr>
              <w:t>عدّة المطلّقة الموطوءة بالشبهة</w:t>
            </w:r>
            <w:r>
              <w:rPr>
                <w:rStyle w:val="IndexLink"/>
                <w:rtl w:val="true"/>
              </w:rPr>
              <w:tab/>
            </w:r>
            <w:r>
              <w:rPr>
                <w:rStyle w:val="IndexLink"/>
              </w:rPr>
              <w:t>366</w:t>
            </w:r>
          </w:hyperlink>
        </w:p>
        <w:p>
          <w:pPr>
            <w:pStyle w:val="Contents3"/>
            <w:tabs>
              <w:tab w:val="clear" w:pos="8459"/>
              <w:tab w:val="right" w:pos="9026" w:leader="dot"/>
            </w:tabs>
            <w:rPr/>
          </w:pPr>
          <w:hyperlink w:anchor="__RefHeading___Toc5416705_2870459653">
            <w:r>
              <w:rPr>
                <w:webHidden/>
                <w:rStyle w:val="IndexLink"/>
                <w:rtl w:val="true"/>
              </w:rPr>
              <w:t>في ادّعاء الوضع أو الحمل</w:t>
            </w:r>
            <w:r>
              <w:rPr>
                <w:rStyle w:val="IndexLink"/>
                <w:rtl w:val="true"/>
              </w:rPr>
              <w:tab/>
            </w:r>
            <w:r>
              <w:rPr>
                <w:rStyle w:val="IndexLink"/>
              </w:rPr>
              <w:t>370</w:t>
            </w:r>
          </w:hyperlink>
        </w:p>
        <w:p>
          <w:pPr>
            <w:pStyle w:val="Contents3"/>
            <w:tabs>
              <w:tab w:val="clear" w:pos="8459"/>
              <w:tab w:val="right" w:pos="9026" w:leader="dot"/>
            </w:tabs>
            <w:rPr/>
          </w:pPr>
          <w:hyperlink w:anchor="__RefHeading___Toc5416707_2870459653">
            <w:r>
              <w:rPr>
                <w:webHidden/>
                <w:rStyle w:val="IndexLink"/>
                <w:rtl w:val="true"/>
              </w:rPr>
              <w:t>أصناف الحائل وأحكامها</w:t>
            </w:r>
            <w:r>
              <w:rPr>
                <w:rStyle w:val="IndexLink"/>
                <w:rtl w:val="true"/>
              </w:rPr>
              <w:tab/>
            </w:r>
            <w:r>
              <w:rPr>
                <w:rStyle w:val="IndexLink"/>
              </w:rPr>
              <w:t>371</w:t>
            </w:r>
          </w:hyperlink>
        </w:p>
        <w:p>
          <w:pPr>
            <w:pStyle w:val="Contents3"/>
            <w:tabs>
              <w:tab w:val="clear" w:pos="8459"/>
              <w:tab w:val="right" w:pos="9026" w:leader="dot"/>
            </w:tabs>
            <w:rPr/>
          </w:pPr>
          <w:hyperlink w:anchor="__RefHeading___Toc5416709_2870459653">
            <w:r>
              <w:rPr>
                <w:webHidden/>
                <w:rStyle w:val="IndexLink"/>
                <w:rtl w:val="true"/>
              </w:rPr>
              <w:t>معنی القرء لفظاً</w:t>
            </w:r>
            <w:r>
              <w:rPr>
                <w:rStyle w:val="IndexLink"/>
                <w:rtl w:val="true"/>
              </w:rPr>
              <w:tab/>
            </w:r>
            <w:r>
              <w:rPr>
                <w:rStyle w:val="IndexLink"/>
              </w:rPr>
              <w:t>372</w:t>
            </w:r>
          </w:hyperlink>
        </w:p>
        <w:p>
          <w:pPr>
            <w:pStyle w:val="Contents3"/>
            <w:tabs>
              <w:tab w:val="clear" w:pos="8459"/>
              <w:tab w:val="right" w:pos="9026" w:leader="dot"/>
            </w:tabs>
            <w:rPr/>
          </w:pPr>
          <w:hyperlink w:anchor="__RefHeading___Toc5416711_2870459653">
            <w:r>
              <w:rPr>
                <w:webHidden/>
                <w:rStyle w:val="IndexLink"/>
                <w:rtl w:val="true"/>
              </w:rPr>
              <w:t>المراد من استقامة الحيض</w:t>
            </w:r>
            <w:r>
              <w:rPr>
                <w:rStyle w:val="IndexLink"/>
                <w:rtl w:val="true"/>
              </w:rPr>
              <w:tab/>
            </w:r>
            <w:r>
              <w:rPr>
                <w:rStyle w:val="IndexLink"/>
              </w:rPr>
              <w:t>374</w:t>
            </w:r>
          </w:hyperlink>
        </w:p>
        <w:p>
          <w:pPr>
            <w:pStyle w:val="Contents3"/>
            <w:tabs>
              <w:tab w:val="clear" w:pos="8459"/>
              <w:tab w:val="right" w:pos="9026" w:leader="dot"/>
            </w:tabs>
            <w:rPr/>
          </w:pPr>
          <w:hyperlink w:anchor="__RefHeading___Toc5416713_2870459653">
            <w:r>
              <w:rPr>
                <w:webHidden/>
                <w:rStyle w:val="IndexLink"/>
                <w:rtl w:val="true"/>
              </w:rPr>
              <w:t>عدم الفرق بين كون الحيض طبيعيّاً وغيره</w:t>
            </w:r>
            <w:r>
              <w:rPr>
                <w:rStyle w:val="IndexLink"/>
                <w:rtl w:val="true"/>
              </w:rPr>
              <w:tab/>
            </w:r>
            <w:r>
              <w:rPr>
                <w:rStyle w:val="IndexLink"/>
              </w:rPr>
              <w:t>375</w:t>
            </w:r>
          </w:hyperlink>
        </w:p>
        <w:p>
          <w:pPr>
            <w:pStyle w:val="Contents3"/>
            <w:tabs>
              <w:tab w:val="clear" w:pos="8459"/>
              <w:tab w:val="right" w:pos="9026" w:leader="dot"/>
            </w:tabs>
            <w:rPr/>
          </w:pPr>
          <w:hyperlink w:anchor="__RefHeading___Toc5416715_2870459653">
            <w:r>
              <w:rPr>
                <w:webHidden/>
                <w:rStyle w:val="IndexLink"/>
                <w:rtl w:val="true"/>
              </w:rPr>
              <w:t>أقسام العدد في الكتاب الكريم</w:t>
            </w:r>
            <w:r>
              <w:rPr>
                <w:rStyle w:val="IndexLink"/>
                <w:rtl w:val="true"/>
              </w:rPr>
              <w:tab/>
            </w:r>
            <w:r>
              <w:rPr>
                <w:rStyle w:val="IndexLink"/>
              </w:rPr>
              <w:t>375</w:t>
            </w:r>
          </w:hyperlink>
        </w:p>
        <w:p>
          <w:pPr>
            <w:pStyle w:val="Contents3"/>
            <w:tabs>
              <w:tab w:val="clear" w:pos="8459"/>
              <w:tab w:val="right" w:pos="9026" w:leader="dot"/>
            </w:tabs>
            <w:rPr/>
          </w:pPr>
          <w:hyperlink w:anchor="__RefHeading___Toc5416717_2870459653">
            <w:r>
              <w:rPr>
                <w:webHidden/>
                <w:rStyle w:val="IndexLink"/>
                <w:rtl w:val="true"/>
              </w:rPr>
              <w:t>اختصاص الاعتداد بالثلاثة بالحرّة</w:t>
            </w:r>
            <w:r>
              <w:rPr>
                <w:rStyle w:val="IndexLink"/>
                <w:rtl w:val="true"/>
              </w:rPr>
              <w:tab/>
            </w:r>
            <w:r>
              <w:rPr>
                <w:rStyle w:val="IndexLink"/>
              </w:rPr>
              <w:t>377</w:t>
            </w:r>
          </w:hyperlink>
        </w:p>
        <w:p>
          <w:pPr>
            <w:pStyle w:val="Contents3"/>
            <w:tabs>
              <w:tab w:val="clear" w:pos="8459"/>
              <w:tab w:val="right" w:pos="9026" w:leader="dot"/>
            </w:tabs>
            <w:rPr/>
          </w:pPr>
          <w:hyperlink w:anchor="__RefHeading___Toc5416719_2870459653">
            <w:r>
              <w:rPr>
                <w:webHidden/>
                <w:rStyle w:val="IndexLink"/>
                <w:rtl w:val="true"/>
              </w:rPr>
              <w:t>عدم الفرق في العدّة بين المطلّقة والمفسوخة والموطوءة بالشبهة</w:t>
            </w:r>
            <w:r>
              <w:rPr>
                <w:rStyle w:val="IndexLink"/>
                <w:rtl w:val="true"/>
              </w:rPr>
              <w:tab/>
            </w:r>
            <w:r>
              <w:rPr>
                <w:rStyle w:val="IndexLink"/>
              </w:rPr>
              <w:t>378</w:t>
            </w:r>
          </w:hyperlink>
        </w:p>
        <w:p>
          <w:pPr>
            <w:pStyle w:val="Contents3"/>
            <w:tabs>
              <w:tab w:val="clear" w:pos="8459"/>
              <w:tab w:val="right" w:pos="9026" w:leader="dot"/>
            </w:tabs>
            <w:rPr/>
          </w:pPr>
          <w:hyperlink w:anchor="__RefHeading___Toc5416721_2870459653">
            <w:r>
              <w:rPr>
                <w:webHidden/>
                <w:rStyle w:val="IndexLink"/>
                <w:rtl w:val="true"/>
              </w:rPr>
              <w:t>عدم الفرق في العدة بين الحيض والنفاس</w:t>
            </w:r>
            <w:r>
              <w:rPr>
                <w:rStyle w:val="IndexLink"/>
                <w:rtl w:val="true"/>
              </w:rPr>
              <w:tab/>
            </w:r>
            <w:r>
              <w:rPr>
                <w:rStyle w:val="IndexLink"/>
              </w:rPr>
              <w:t>379</w:t>
            </w:r>
          </w:hyperlink>
        </w:p>
        <w:p>
          <w:pPr>
            <w:pStyle w:val="Contents3"/>
            <w:tabs>
              <w:tab w:val="clear" w:pos="8459"/>
              <w:tab w:val="right" w:pos="9026" w:leader="dot"/>
            </w:tabs>
            <w:rPr/>
          </w:pPr>
          <w:hyperlink w:anchor="__RefHeading___Toc5416723_2870459653">
            <w:r>
              <w:rPr>
                <w:webHidden/>
                <w:rStyle w:val="IndexLink"/>
                <w:rtl w:val="true"/>
              </w:rPr>
              <w:t>في وجوب تماميّة مدّة الطهر في كلّ القروء</w:t>
            </w:r>
            <w:r>
              <w:rPr>
                <w:rStyle w:val="IndexLink"/>
                <w:rtl w:val="true"/>
              </w:rPr>
              <w:tab/>
            </w:r>
            <w:r>
              <w:rPr>
                <w:rStyle w:val="IndexLink"/>
              </w:rPr>
              <w:t>380</w:t>
            </w:r>
          </w:hyperlink>
        </w:p>
        <w:p>
          <w:pPr>
            <w:pStyle w:val="Contents3"/>
            <w:tabs>
              <w:tab w:val="clear" w:pos="8459"/>
              <w:tab w:val="right" w:pos="9026" w:leader="dot"/>
            </w:tabs>
            <w:rPr/>
          </w:pPr>
          <w:hyperlink w:anchor="__RefHeading___Toc5416725_2870459653">
            <w:r>
              <w:rPr>
                <w:webHidden/>
                <w:rStyle w:val="IndexLink"/>
                <w:rtl w:val="true"/>
              </w:rPr>
              <w:t>حكم مستقيمة الحيض</w:t>
            </w:r>
            <w:r>
              <w:rPr>
                <w:rStyle w:val="IndexLink"/>
                <w:rtl w:val="true"/>
              </w:rPr>
              <w:tab/>
            </w:r>
            <w:r>
              <w:rPr>
                <w:rStyle w:val="IndexLink"/>
              </w:rPr>
              <w:t>382</w:t>
            </w:r>
          </w:hyperlink>
        </w:p>
        <w:p>
          <w:pPr>
            <w:pStyle w:val="Contents3"/>
            <w:tabs>
              <w:tab w:val="clear" w:pos="8459"/>
              <w:tab w:val="right" w:pos="9026" w:leader="dot"/>
            </w:tabs>
            <w:rPr/>
          </w:pPr>
          <w:hyperlink w:anchor="__RefHeading___Toc5416727_2870459653">
            <w:r>
              <w:rPr>
                <w:webHidden/>
                <w:rStyle w:val="IndexLink"/>
                <w:rtl w:val="true"/>
              </w:rPr>
              <w:t>حكم من لا تحيض وهي في سنّ من تحيض</w:t>
            </w:r>
            <w:r>
              <w:rPr>
                <w:rStyle w:val="IndexLink"/>
                <w:rtl w:val="true"/>
              </w:rPr>
              <w:tab/>
            </w:r>
            <w:r>
              <w:rPr>
                <w:rStyle w:val="IndexLink"/>
              </w:rPr>
              <w:t>383</w:t>
            </w:r>
          </w:hyperlink>
        </w:p>
        <w:p>
          <w:pPr>
            <w:pStyle w:val="Contents3"/>
            <w:tabs>
              <w:tab w:val="clear" w:pos="8459"/>
              <w:tab w:val="right" w:pos="9026" w:leader="dot"/>
            </w:tabs>
            <w:rPr/>
          </w:pPr>
          <w:hyperlink w:anchor="__RefHeading___Toc5416729_2870459653">
            <w:r>
              <w:rPr>
                <w:webHidden/>
                <w:rStyle w:val="IndexLink"/>
                <w:rtl w:val="true"/>
              </w:rPr>
              <w:t>حكم من كان الطهر الفاصل بين حيضتين منها ثلاثة أشهر أو أزيد</w:t>
            </w:r>
            <w:r>
              <w:rPr>
                <w:rStyle w:val="IndexLink"/>
                <w:rtl w:val="true"/>
              </w:rPr>
              <w:tab/>
            </w:r>
            <w:r>
              <w:rPr>
                <w:rStyle w:val="IndexLink"/>
              </w:rPr>
              <w:t>384</w:t>
            </w:r>
          </w:hyperlink>
        </w:p>
        <w:p>
          <w:pPr>
            <w:pStyle w:val="Contents3"/>
            <w:tabs>
              <w:tab w:val="clear" w:pos="8459"/>
              <w:tab w:val="right" w:pos="9026" w:leader="dot"/>
            </w:tabs>
            <w:rPr/>
          </w:pPr>
          <w:hyperlink w:anchor="__RefHeading___Toc5416731_2870459653">
            <w:r>
              <w:rPr>
                <w:webHidden/>
                <w:rStyle w:val="IndexLink"/>
                <w:rtl w:val="true"/>
              </w:rPr>
              <w:t>المراد بالقروء</w:t>
            </w:r>
            <w:r>
              <w:rPr>
                <w:rStyle w:val="IndexLink"/>
                <w:rtl w:val="true"/>
              </w:rPr>
              <w:tab/>
            </w:r>
            <w:r>
              <w:rPr>
                <w:rStyle w:val="IndexLink"/>
              </w:rPr>
              <w:t>389</w:t>
            </w:r>
          </w:hyperlink>
        </w:p>
        <w:p>
          <w:pPr>
            <w:pStyle w:val="Contents3"/>
            <w:tabs>
              <w:tab w:val="clear" w:pos="8459"/>
              <w:tab w:val="right" w:pos="9026" w:leader="dot"/>
            </w:tabs>
            <w:rPr/>
          </w:pPr>
          <w:hyperlink w:anchor="__RefHeading___Toc5416733_2870459653">
            <w:r>
              <w:rPr>
                <w:webHidden/>
                <w:rStyle w:val="IndexLink"/>
                <w:rtl w:val="true"/>
              </w:rPr>
              <w:t>في كفاية مسمّى الطهر الأوّل</w:t>
            </w:r>
            <w:r>
              <w:rPr>
                <w:rStyle w:val="IndexLink"/>
                <w:rtl w:val="true"/>
              </w:rPr>
              <w:tab/>
            </w:r>
            <w:r>
              <w:rPr>
                <w:rStyle w:val="IndexLink"/>
              </w:rPr>
              <w:t>394</w:t>
            </w:r>
          </w:hyperlink>
        </w:p>
        <w:p>
          <w:pPr>
            <w:pStyle w:val="Contents3"/>
            <w:tabs>
              <w:tab w:val="clear" w:pos="8459"/>
              <w:tab w:val="right" w:pos="9026" w:leader="dot"/>
            </w:tabs>
            <w:rPr/>
          </w:pPr>
          <w:hyperlink w:anchor="__RefHeading___Toc5416735_2870459653">
            <w:r>
              <w:rPr>
                <w:webHidden/>
                <w:rStyle w:val="IndexLink"/>
                <w:rtl w:val="true"/>
              </w:rPr>
              <w:t>عدّة المتعة في الحامل والحائل</w:t>
            </w:r>
            <w:r>
              <w:rPr>
                <w:rStyle w:val="IndexLink"/>
                <w:rtl w:val="true"/>
              </w:rPr>
              <w:tab/>
            </w:r>
            <w:r>
              <w:rPr>
                <w:rStyle w:val="IndexLink"/>
              </w:rPr>
              <w:t>397</w:t>
            </w:r>
          </w:hyperlink>
        </w:p>
        <w:p>
          <w:pPr>
            <w:pStyle w:val="Contents3"/>
            <w:tabs>
              <w:tab w:val="clear" w:pos="8459"/>
              <w:tab w:val="right" w:pos="9026" w:leader="dot"/>
            </w:tabs>
            <w:rPr/>
          </w:pPr>
          <w:hyperlink w:anchor="__RefHeading___Toc5416737_2870459653">
            <w:r>
              <w:rPr>
                <w:webHidden/>
                <w:rStyle w:val="IndexLink"/>
                <w:rtl w:val="true"/>
              </w:rPr>
              <w:t>عدّة المتمتّع بها إن كانت في سنّ من تحيض ولا تحيض</w:t>
            </w:r>
            <w:r>
              <w:rPr>
                <w:rStyle w:val="IndexLink"/>
                <w:rtl w:val="true"/>
              </w:rPr>
              <w:tab/>
            </w:r>
            <w:r>
              <w:rPr>
                <w:rStyle w:val="IndexLink"/>
              </w:rPr>
              <w:t>406</w:t>
            </w:r>
          </w:hyperlink>
        </w:p>
        <w:p>
          <w:pPr>
            <w:pStyle w:val="Contents3"/>
            <w:tabs>
              <w:tab w:val="clear" w:pos="8459"/>
              <w:tab w:val="right" w:pos="9026" w:leader="dot"/>
            </w:tabs>
            <w:rPr/>
          </w:pPr>
          <w:hyperlink w:anchor="__RefHeading___Toc5416739_2870459653">
            <w:r>
              <w:rPr>
                <w:webHidden/>
                <w:rStyle w:val="IndexLink"/>
                <w:rtl w:val="true"/>
              </w:rPr>
              <w:t>المدار في الشهور هو الهلالي</w:t>
            </w:r>
            <w:r>
              <w:rPr>
                <w:rStyle w:val="IndexLink"/>
                <w:rtl w:val="true"/>
              </w:rPr>
              <w:tab/>
            </w:r>
            <w:r>
              <w:rPr>
                <w:rStyle w:val="IndexLink"/>
              </w:rPr>
              <w:t>407</w:t>
            </w:r>
          </w:hyperlink>
        </w:p>
        <w:p>
          <w:pPr>
            <w:pStyle w:val="Contents3"/>
            <w:tabs>
              <w:tab w:val="clear" w:pos="8459"/>
              <w:tab w:val="right" w:pos="9026" w:leader="dot"/>
            </w:tabs>
            <w:rPr/>
          </w:pPr>
          <w:hyperlink w:anchor="__RefHeading___Toc5416741_2870459653">
            <w:r>
              <w:rPr>
                <w:webHidden/>
                <w:rStyle w:val="IndexLink"/>
                <w:rtl w:val="true"/>
              </w:rPr>
              <w:t>الاختلاف في انقضاء العدّة وعدمه</w:t>
            </w:r>
            <w:r>
              <w:rPr>
                <w:rStyle w:val="IndexLink"/>
                <w:rtl w:val="true"/>
              </w:rPr>
              <w:tab/>
            </w:r>
            <w:r>
              <w:rPr>
                <w:rStyle w:val="IndexLink"/>
              </w:rPr>
              <w:t>408</w:t>
            </w:r>
          </w:hyperlink>
        </w:p>
        <w:p>
          <w:pPr>
            <w:pStyle w:val="Contents2"/>
            <w:tabs>
              <w:tab w:val="clear" w:pos="8743"/>
              <w:tab w:val="right" w:pos="9026" w:leader="dot"/>
            </w:tabs>
            <w:rPr/>
          </w:pPr>
          <w:hyperlink w:anchor="__RefHeading___Toc5416743_2870459653">
            <w:r>
              <w:rPr>
                <w:webHidden/>
                <w:rStyle w:val="IndexLink"/>
                <w:rtl w:val="true"/>
              </w:rPr>
              <w:t>القول في عدّة الوفاة</w:t>
            </w:r>
            <w:r>
              <w:rPr>
                <w:rStyle w:val="IndexLink"/>
                <w:rtl w:val="true"/>
              </w:rPr>
              <w:tab/>
            </w:r>
            <w:r>
              <w:rPr>
                <w:rStyle w:val="IndexLink"/>
              </w:rPr>
              <w:t>411</w:t>
            </w:r>
          </w:hyperlink>
        </w:p>
        <w:p>
          <w:pPr>
            <w:pStyle w:val="Contents3"/>
            <w:tabs>
              <w:tab w:val="clear" w:pos="8459"/>
              <w:tab w:val="right" w:pos="9026" w:leader="dot"/>
            </w:tabs>
            <w:rPr/>
          </w:pPr>
          <w:hyperlink w:anchor="__RefHeading___Toc5416745_2870459653">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5416747_2870459653">
            <w:r>
              <w:rPr>
                <w:webHidden/>
                <w:rStyle w:val="IndexLink"/>
                <w:rtl w:val="true"/>
              </w:rPr>
              <w:t>عدّة المتوفّى عنها زوجها إذا كانت حائلاً</w:t>
            </w:r>
            <w:r>
              <w:rPr>
                <w:rStyle w:val="IndexLink"/>
                <w:rtl w:val="true"/>
              </w:rPr>
              <w:tab/>
            </w:r>
            <w:r>
              <w:rPr>
                <w:rStyle w:val="IndexLink"/>
              </w:rPr>
              <w:t>411</w:t>
            </w:r>
          </w:hyperlink>
        </w:p>
        <w:p>
          <w:pPr>
            <w:pStyle w:val="Contents3"/>
            <w:tabs>
              <w:tab w:val="clear" w:pos="8459"/>
              <w:tab w:val="right" w:pos="9026" w:leader="dot"/>
            </w:tabs>
            <w:rPr/>
          </w:pPr>
          <w:hyperlink w:anchor="__RefHeading___Toc5416749_2870459653">
            <w:r>
              <w:rPr>
                <w:webHidden/>
                <w:rStyle w:val="IndexLink"/>
                <w:rtl w:val="true"/>
              </w:rPr>
              <w:t>عدّة المتوفّى عنها زوجها إذا كانت حاملاً</w:t>
            </w:r>
            <w:r>
              <w:rPr>
                <w:rStyle w:val="IndexLink"/>
                <w:rtl w:val="true"/>
              </w:rPr>
              <w:tab/>
            </w:r>
            <w:r>
              <w:rPr>
                <w:rStyle w:val="IndexLink"/>
              </w:rPr>
              <w:t>416</w:t>
            </w:r>
          </w:hyperlink>
        </w:p>
        <w:p>
          <w:pPr>
            <w:pStyle w:val="Contents3"/>
            <w:tabs>
              <w:tab w:val="clear" w:pos="8459"/>
              <w:tab w:val="right" w:pos="9026" w:leader="dot"/>
            </w:tabs>
            <w:rPr/>
          </w:pPr>
          <w:hyperlink w:anchor="__RefHeading___Toc5416751_2870459653">
            <w:r>
              <w:rPr>
                <w:webHidden/>
                <w:rStyle w:val="IndexLink"/>
                <w:rtl w:val="true"/>
              </w:rPr>
              <w:t>عدّة المطلّقة الرجعيّة إذا مات زوجها في العدّة</w:t>
            </w:r>
            <w:r>
              <w:rPr>
                <w:rStyle w:val="IndexLink"/>
                <w:rtl w:val="true"/>
              </w:rPr>
              <w:tab/>
            </w:r>
            <w:r>
              <w:rPr>
                <w:rStyle w:val="IndexLink"/>
              </w:rPr>
              <w:t>417</w:t>
            </w:r>
          </w:hyperlink>
        </w:p>
        <w:p>
          <w:pPr>
            <w:pStyle w:val="Contents3"/>
            <w:tabs>
              <w:tab w:val="clear" w:pos="8459"/>
              <w:tab w:val="right" w:pos="9026" w:leader="dot"/>
            </w:tabs>
            <w:rPr/>
          </w:pPr>
          <w:hyperlink w:anchor="__RefHeading___Toc5416753_2870459653">
            <w:r>
              <w:rPr>
                <w:webHidden/>
                <w:rStyle w:val="IndexLink"/>
                <w:rtl w:val="true"/>
              </w:rPr>
              <w:t>عدّة المسترابة بالحمل</w:t>
            </w:r>
            <w:r>
              <w:rPr>
                <w:rStyle w:val="IndexLink"/>
                <w:rtl w:val="true"/>
              </w:rPr>
              <w:tab/>
            </w:r>
            <w:r>
              <w:rPr>
                <w:rStyle w:val="IndexLink"/>
              </w:rPr>
              <w:t>420</w:t>
            </w:r>
          </w:hyperlink>
        </w:p>
        <w:p>
          <w:pPr>
            <w:pStyle w:val="Contents3"/>
            <w:tabs>
              <w:tab w:val="clear" w:pos="8459"/>
              <w:tab w:val="right" w:pos="9026" w:leader="dot"/>
            </w:tabs>
            <w:rPr/>
          </w:pPr>
          <w:hyperlink w:anchor="__RefHeading___Toc5416755_2870459653">
            <w:r>
              <w:rPr>
                <w:webHidden/>
                <w:rStyle w:val="IndexLink"/>
                <w:rtl w:val="true"/>
              </w:rPr>
              <w:t>وجوب الحداد ومعناه</w:t>
            </w:r>
            <w:r>
              <w:rPr>
                <w:rStyle w:val="IndexLink"/>
                <w:rtl w:val="true"/>
              </w:rPr>
              <w:tab/>
            </w:r>
            <w:r>
              <w:rPr>
                <w:rStyle w:val="IndexLink"/>
              </w:rPr>
              <w:t>429</w:t>
            </w:r>
          </w:hyperlink>
        </w:p>
        <w:p>
          <w:pPr>
            <w:pStyle w:val="Contents3"/>
            <w:tabs>
              <w:tab w:val="clear" w:pos="8459"/>
              <w:tab w:val="right" w:pos="9026" w:leader="dot"/>
            </w:tabs>
            <w:rPr/>
          </w:pPr>
          <w:hyperlink w:anchor="__RefHeading___Toc5416757_2870459653">
            <w:r>
              <w:rPr>
                <w:webHidden/>
                <w:rStyle w:val="IndexLink"/>
                <w:rtl w:val="true"/>
              </w:rPr>
              <w:t>عدم شرطيّة الحداد في صحّة العدّة</w:t>
            </w:r>
            <w:r>
              <w:rPr>
                <w:rStyle w:val="IndexLink"/>
                <w:rtl w:val="true"/>
              </w:rPr>
              <w:tab/>
            </w:r>
            <w:r>
              <w:rPr>
                <w:rStyle w:val="IndexLink"/>
              </w:rPr>
              <w:t>431</w:t>
            </w:r>
          </w:hyperlink>
        </w:p>
        <w:p>
          <w:pPr>
            <w:pStyle w:val="Contents3"/>
            <w:tabs>
              <w:tab w:val="clear" w:pos="8459"/>
              <w:tab w:val="right" w:pos="9026" w:leader="dot"/>
            </w:tabs>
            <w:rPr/>
          </w:pPr>
          <w:hyperlink w:anchor="__RefHeading___Toc5416759_2870459653">
            <w:r>
              <w:rPr>
                <w:webHidden/>
                <w:rStyle w:val="IndexLink"/>
                <w:rtl w:val="true"/>
              </w:rPr>
              <w:t>عدم الفرق في الحداد بين المسلمة والذميّة والدائمة والمنقطعة</w:t>
            </w:r>
            <w:r>
              <w:rPr>
                <w:rStyle w:val="IndexLink"/>
                <w:rtl w:val="true"/>
              </w:rPr>
              <w:tab/>
            </w:r>
            <w:r>
              <w:rPr>
                <w:rStyle w:val="IndexLink"/>
              </w:rPr>
              <w:t>431</w:t>
            </w:r>
          </w:hyperlink>
        </w:p>
        <w:p>
          <w:pPr>
            <w:pStyle w:val="Contents3"/>
            <w:tabs>
              <w:tab w:val="clear" w:pos="8459"/>
              <w:tab w:val="right" w:pos="9026" w:leader="dot"/>
            </w:tabs>
            <w:rPr/>
          </w:pPr>
          <w:hyperlink w:anchor="__RefHeading___Toc5416761_2870459653">
            <w:r>
              <w:rPr>
                <w:webHidden/>
                <w:rStyle w:val="IndexLink"/>
                <w:rtl w:val="true"/>
              </w:rPr>
              <w:t>في وجوب الحداد على الصغيرة والمجنونة وعدمه</w:t>
            </w:r>
            <w:r>
              <w:rPr>
                <w:rStyle w:val="IndexLink"/>
                <w:rtl w:val="true"/>
              </w:rPr>
              <w:tab/>
            </w:r>
            <w:r>
              <w:rPr>
                <w:rStyle w:val="IndexLink"/>
              </w:rPr>
              <w:t>432</w:t>
            </w:r>
          </w:hyperlink>
        </w:p>
        <w:p>
          <w:pPr>
            <w:pStyle w:val="Contents3"/>
            <w:tabs>
              <w:tab w:val="clear" w:pos="8459"/>
              <w:tab w:val="right" w:pos="9026" w:leader="dot"/>
            </w:tabs>
            <w:rPr/>
          </w:pPr>
          <w:hyperlink w:anchor="__RefHeading___Toc5416763_2870459653">
            <w:r>
              <w:rPr>
                <w:webHidden/>
                <w:rStyle w:val="IndexLink"/>
                <w:rtl w:val="true"/>
              </w:rPr>
              <w:t>حكم خروج المعتدّة بعدّة الوفاة من بيتها</w:t>
            </w:r>
            <w:r>
              <w:rPr>
                <w:rStyle w:val="IndexLink"/>
                <w:rtl w:val="true"/>
              </w:rPr>
              <w:tab/>
            </w:r>
            <w:r>
              <w:rPr>
                <w:rStyle w:val="IndexLink"/>
              </w:rPr>
              <w:t>433</w:t>
            </w:r>
          </w:hyperlink>
        </w:p>
        <w:p>
          <w:pPr>
            <w:pStyle w:val="Contents3"/>
            <w:tabs>
              <w:tab w:val="clear" w:pos="8459"/>
              <w:tab w:val="right" w:pos="9026" w:leader="dot"/>
            </w:tabs>
            <w:rPr/>
          </w:pPr>
          <w:hyperlink w:anchor="__RefHeading___Toc5416765_2870459653">
            <w:r>
              <w:rPr>
                <w:webHidden/>
                <w:rStyle w:val="IndexLink"/>
                <w:rtl w:val="true"/>
              </w:rPr>
              <w:t>مسألة</w:t>
            </w:r>
            <w:r>
              <w:rPr>
                <w:rStyle w:val="IndexLink"/>
                <w:rtl w:val="true"/>
              </w:rPr>
              <w:t xml:space="preserve">: </w:t>
            </w:r>
            <w:r>
              <w:rPr>
                <w:rStyle w:val="IndexLink"/>
                <w:rtl w:val="true"/>
              </w:rPr>
              <w:t>في حداد الأمة</w:t>
            </w:r>
            <w:r>
              <w:rPr>
                <w:rStyle w:val="IndexLink"/>
                <w:rtl w:val="true"/>
              </w:rPr>
              <w:tab/>
            </w:r>
            <w:r>
              <w:rPr>
                <w:rStyle w:val="IndexLink"/>
              </w:rPr>
              <w:t>439</w:t>
            </w:r>
          </w:hyperlink>
        </w:p>
        <w:p>
          <w:pPr>
            <w:pStyle w:val="Contents3"/>
            <w:tabs>
              <w:tab w:val="clear" w:pos="8459"/>
              <w:tab w:val="right" w:pos="9026" w:leader="dot"/>
            </w:tabs>
            <w:rPr/>
          </w:pPr>
          <w:hyperlink w:anchor="__RefHeading___Toc5416767_2870459653">
            <w:r>
              <w:rPr>
                <w:webHidden/>
                <w:rStyle w:val="IndexLink"/>
                <w:rtl w:val="true"/>
              </w:rPr>
              <w:t>فرع</w:t>
            </w:r>
            <w:r>
              <w:rPr>
                <w:rStyle w:val="IndexLink"/>
                <w:rtl w:val="true"/>
              </w:rPr>
              <w:t xml:space="preserve">: </w:t>
            </w:r>
            <w:r>
              <w:rPr>
                <w:rStyle w:val="IndexLink"/>
                <w:rtl w:val="true"/>
              </w:rPr>
              <w:t>في عدم عدّة الوفاة في الوط‌ء بالشبهة</w:t>
            </w:r>
            <w:r>
              <w:rPr>
                <w:rStyle w:val="IndexLink"/>
                <w:rtl w:val="true"/>
              </w:rPr>
              <w:tab/>
            </w:r>
            <w:r>
              <w:rPr>
                <w:rStyle w:val="IndexLink"/>
              </w:rPr>
              <w:t>441</w:t>
            </w:r>
          </w:hyperlink>
        </w:p>
        <w:p>
          <w:pPr>
            <w:pStyle w:val="Contents3"/>
            <w:tabs>
              <w:tab w:val="clear" w:pos="8459"/>
              <w:tab w:val="right" w:pos="9026" w:leader="dot"/>
            </w:tabs>
            <w:rPr/>
          </w:pPr>
          <w:hyperlink w:anchor="__RefHeading___Toc5416769_2870459653">
            <w:r>
              <w:rPr>
                <w:webHidden/>
                <w:rStyle w:val="IndexLink"/>
                <w:rtl w:val="true"/>
              </w:rPr>
              <w:t>مبدأ عدّة الطلاق والوفاة</w:t>
            </w:r>
            <w:r>
              <w:rPr>
                <w:rStyle w:val="IndexLink"/>
                <w:rtl w:val="true"/>
              </w:rPr>
              <w:tab/>
            </w:r>
            <w:r>
              <w:rPr>
                <w:rStyle w:val="IndexLink"/>
              </w:rPr>
              <w:t>442</w:t>
            </w:r>
          </w:hyperlink>
        </w:p>
        <w:p>
          <w:pPr>
            <w:pStyle w:val="Contents3"/>
            <w:tabs>
              <w:tab w:val="clear" w:pos="8459"/>
              <w:tab w:val="right" w:pos="9026" w:leader="dot"/>
            </w:tabs>
            <w:rPr/>
          </w:pPr>
          <w:hyperlink w:anchor="__RefHeading___Toc5416771_2870459653">
            <w:r>
              <w:rPr>
                <w:webHidden/>
                <w:rStyle w:val="IndexLink"/>
                <w:rtl w:val="true"/>
              </w:rPr>
              <w:t>عدم اشتراط الحجّة الشرعيّة في الإخبار بالموت للاعتداد</w:t>
            </w:r>
            <w:r>
              <w:rPr>
                <w:rStyle w:val="IndexLink"/>
                <w:rtl w:val="true"/>
              </w:rPr>
              <w:tab/>
            </w:r>
            <w:r>
              <w:rPr>
                <w:rStyle w:val="IndexLink"/>
              </w:rPr>
              <w:t>449</w:t>
            </w:r>
          </w:hyperlink>
        </w:p>
        <w:p>
          <w:pPr>
            <w:pStyle w:val="Contents3"/>
            <w:tabs>
              <w:tab w:val="clear" w:pos="8459"/>
              <w:tab w:val="right" w:pos="9026" w:leader="dot"/>
            </w:tabs>
            <w:rPr/>
          </w:pPr>
          <w:hyperlink w:anchor="__RefHeading___Toc5416773_2870459653">
            <w:r>
              <w:rPr>
                <w:webHidden/>
                <w:rStyle w:val="IndexLink"/>
                <w:rtl w:val="true"/>
              </w:rPr>
              <w:t>حكم المفقود زوجها</w:t>
            </w:r>
            <w:r>
              <w:rPr>
                <w:rStyle w:val="IndexLink"/>
                <w:rtl w:val="true"/>
              </w:rPr>
              <w:tab/>
            </w:r>
            <w:r>
              <w:rPr>
                <w:rStyle w:val="IndexLink"/>
              </w:rPr>
              <w:t>451</w:t>
            </w:r>
          </w:hyperlink>
        </w:p>
        <w:p>
          <w:pPr>
            <w:pStyle w:val="Contents3"/>
            <w:tabs>
              <w:tab w:val="clear" w:pos="8459"/>
              <w:tab w:val="right" w:pos="9026" w:leader="dot"/>
            </w:tabs>
            <w:rPr/>
          </w:pPr>
          <w:hyperlink w:anchor="__RefHeading___Toc5416775_2870459653">
            <w:r>
              <w:rPr>
                <w:webHidden/>
                <w:rStyle w:val="IndexLink"/>
                <w:rtl w:val="true"/>
              </w:rPr>
              <w:t>وجوب العدّة على الموطوءة شبهة</w:t>
            </w:r>
            <w:r>
              <w:rPr>
                <w:rStyle w:val="IndexLink"/>
                <w:rtl w:val="true"/>
              </w:rPr>
              <w:tab/>
            </w:r>
            <w:r>
              <w:rPr>
                <w:rStyle w:val="IndexLink"/>
              </w:rPr>
              <w:t>491</w:t>
            </w:r>
          </w:hyperlink>
        </w:p>
        <w:p>
          <w:pPr>
            <w:pStyle w:val="Contents3"/>
            <w:tabs>
              <w:tab w:val="clear" w:pos="8459"/>
              <w:tab w:val="right" w:pos="9026" w:leader="dot"/>
            </w:tabs>
            <w:rPr/>
          </w:pPr>
          <w:hyperlink w:anchor="__RefHeading___Toc5416777_2870459653">
            <w:r>
              <w:rPr>
                <w:webHidden/>
                <w:rStyle w:val="IndexLink"/>
                <w:rtl w:val="true"/>
              </w:rPr>
              <w:t>جواز التزوّج بالموطوءة شبهة للواطي إن كانت خليّة</w:t>
            </w:r>
            <w:r>
              <w:rPr>
                <w:rStyle w:val="IndexLink"/>
                <w:rtl w:val="true"/>
              </w:rPr>
              <w:tab/>
            </w:r>
            <w:r>
              <w:rPr>
                <w:rStyle w:val="IndexLink"/>
              </w:rPr>
              <w:t>492</w:t>
            </w:r>
          </w:hyperlink>
        </w:p>
        <w:p>
          <w:pPr>
            <w:pStyle w:val="Contents3"/>
            <w:tabs>
              <w:tab w:val="clear" w:pos="8459"/>
              <w:tab w:val="right" w:pos="9026" w:leader="dot"/>
            </w:tabs>
            <w:rPr/>
          </w:pPr>
          <w:hyperlink w:anchor="__RefHeading___Toc5416779_2870459653">
            <w:r>
              <w:rPr>
                <w:webHidden/>
                <w:rStyle w:val="IndexLink"/>
                <w:rtl w:val="true"/>
              </w:rPr>
              <w:t>حكم الوطى‌ء شبهة في عدّة الطلاق أو الوفاة</w:t>
            </w:r>
            <w:r>
              <w:rPr>
                <w:rStyle w:val="IndexLink"/>
                <w:rtl w:val="true"/>
              </w:rPr>
              <w:tab/>
            </w:r>
            <w:r>
              <w:rPr>
                <w:rStyle w:val="IndexLink"/>
              </w:rPr>
              <w:t>493</w:t>
            </w:r>
          </w:hyperlink>
        </w:p>
        <w:p>
          <w:pPr>
            <w:pStyle w:val="Contents3"/>
            <w:tabs>
              <w:tab w:val="clear" w:pos="8459"/>
              <w:tab w:val="right" w:pos="9026" w:leader="dot"/>
            </w:tabs>
            <w:rPr/>
          </w:pPr>
          <w:hyperlink w:anchor="__RefHeading___Toc5416781_2870459653">
            <w:r>
              <w:rPr>
                <w:webHidden/>
                <w:rStyle w:val="IndexLink"/>
                <w:rtl w:val="true"/>
              </w:rPr>
              <w:t>في عدّة الحامل بالتلقيح</w:t>
            </w:r>
            <w:r>
              <w:rPr>
                <w:rStyle w:val="IndexLink"/>
                <w:rtl w:val="true"/>
              </w:rPr>
              <w:tab/>
            </w:r>
            <w:r>
              <w:rPr>
                <w:rStyle w:val="IndexLink"/>
              </w:rPr>
              <w:t>504</w:t>
            </w:r>
          </w:hyperlink>
        </w:p>
        <w:p>
          <w:pPr>
            <w:pStyle w:val="Contents3"/>
            <w:tabs>
              <w:tab w:val="clear" w:pos="8459"/>
              <w:tab w:val="right" w:pos="9026" w:leader="dot"/>
            </w:tabs>
            <w:rPr/>
          </w:pPr>
          <w:hyperlink w:anchor="__RefHeading___Toc5416783_2870459653">
            <w:r>
              <w:rPr>
                <w:webHidden/>
                <w:rStyle w:val="IndexLink"/>
                <w:rtl w:val="true"/>
              </w:rPr>
              <w:t>في الطلاق بعد الرجوع وقبل الدخول</w:t>
            </w:r>
            <w:r>
              <w:rPr>
                <w:rStyle w:val="IndexLink"/>
                <w:rtl w:val="true"/>
              </w:rPr>
              <w:tab/>
            </w:r>
            <w:r>
              <w:rPr>
                <w:rStyle w:val="IndexLink"/>
              </w:rPr>
              <w:t>512</w:t>
            </w:r>
          </w:hyperlink>
        </w:p>
        <w:p>
          <w:pPr>
            <w:pStyle w:val="Contents3"/>
            <w:tabs>
              <w:tab w:val="clear" w:pos="8459"/>
              <w:tab w:val="right" w:pos="9026" w:leader="dot"/>
            </w:tabs>
            <w:rPr/>
          </w:pPr>
          <w:hyperlink w:anchor="__RefHeading___Toc5416785_2870459653">
            <w:r>
              <w:rPr>
                <w:webHidden/>
                <w:rStyle w:val="IndexLink"/>
                <w:rtl w:val="true"/>
              </w:rPr>
              <w:t>فساد توهّم نكاح جماعة في يوم واحد امرأة شابّة بالاحتيال</w:t>
            </w:r>
            <w:r>
              <w:rPr>
                <w:rStyle w:val="IndexLink"/>
                <w:rtl w:val="true"/>
              </w:rPr>
              <w:tab/>
            </w:r>
            <w:r>
              <w:rPr>
                <w:rStyle w:val="IndexLink"/>
              </w:rPr>
              <w:t>513</w:t>
            </w:r>
          </w:hyperlink>
        </w:p>
        <w:p>
          <w:pPr>
            <w:pStyle w:val="Contents3"/>
            <w:tabs>
              <w:tab w:val="clear" w:pos="8459"/>
              <w:tab w:val="right" w:pos="9026" w:leader="dot"/>
            </w:tabs>
            <w:rPr/>
          </w:pPr>
          <w:hyperlink w:anchor="__RefHeading___Toc5416787_2870459653">
            <w:r>
              <w:rPr>
                <w:webHidden/>
                <w:rStyle w:val="IndexLink"/>
                <w:rtl w:val="true"/>
              </w:rPr>
              <w:t>المطلّقة الرجعيّة بحكم الزوجة بخلاف البائن</w:t>
            </w:r>
            <w:r>
              <w:rPr>
                <w:rStyle w:val="IndexLink"/>
                <w:rtl w:val="true"/>
              </w:rPr>
              <w:tab/>
            </w:r>
            <w:r>
              <w:rPr>
                <w:rStyle w:val="IndexLink"/>
              </w:rPr>
              <w:t>517</w:t>
            </w:r>
          </w:hyperlink>
        </w:p>
        <w:p>
          <w:pPr>
            <w:pStyle w:val="Contents3"/>
            <w:tabs>
              <w:tab w:val="clear" w:pos="8459"/>
              <w:tab w:val="right" w:pos="9026" w:leader="dot"/>
            </w:tabs>
            <w:rPr/>
          </w:pPr>
          <w:hyperlink w:anchor="__RefHeading___Toc5416789_2870459653">
            <w:r>
              <w:rPr>
                <w:webHidden/>
                <w:rStyle w:val="IndexLink"/>
                <w:rtl w:val="true"/>
              </w:rPr>
              <w:t>تذكرة</w:t>
            </w:r>
            <w:r>
              <w:rPr>
                <w:rStyle w:val="IndexLink"/>
                <w:rtl w:val="true"/>
              </w:rPr>
              <w:t xml:space="preserve">: </w:t>
            </w:r>
            <w:r>
              <w:rPr>
                <w:rStyle w:val="IndexLink"/>
                <w:rtl w:val="true"/>
              </w:rPr>
              <w:t>في کراهة طلاق المریض وحرمته</w:t>
            </w:r>
            <w:r>
              <w:rPr>
                <w:rStyle w:val="IndexLink"/>
                <w:rtl w:val="true"/>
              </w:rPr>
              <w:tab/>
            </w:r>
            <w:r>
              <w:rPr>
                <w:rStyle w:val="IndexLink"/>
              </w:rPr>
              <w:t>519</w:t>
            </w:r>
          </w:hyperlink>
        </w:p>
        <w:p>
          <w:pPr>
            <w:pStyle w:val="Contents3"/>
            <w:tabs>
              <w:tab w:val="clear" w:pos="8459"/>
              <w:tab w:val="right" w:pos="9026" w:leader="dot"/>
            </w:tabs>
            <w:rPr/>
          </w:pPr>
          <w:hyperlink w:anchor="__RefHeading___Toc5416791_2870459653">
            <w:r>
              <w:rPr>
                <w:webHidden/>
                <w:rStyle w:val="IndexLink"/>
                <w:rtl w:val="true"/>
              </w:rPr>
              <w:t>مقامات في أصل المسألة</w:t>
            </w:r>
            <w:r>
              <w:rPr>
                <w:rStyle w:val="IndexLink"/>
                <w:rtl w:val="true"/>
              </w:rPr>
              <w:t>:</w:t>
              <w:tab/>
            </w:r>
            <w:r>
              <w:rPr>
                <w:rStyle w:val="IndexLink"/>
              </w:rPr>
              <w:t>524</w:t>
            </w:r>
          </w:hyperlink>
        </w:p>
        <w:p>
          <w:pPr>
            <w:pStyle w:val="Contents4"/>
            <w:tabs>
              <w:tab w:val="clear" w:pos="8176"/>
              <w:tab w:val="right" w:pos="9026" w:leader="dot"/>
            </w:tabs>
            <w:rPr/>
          </w:pPr>
          <w:hyperlink w:anchor="__RefHeading___Toc5416793_2870459653">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5416795_2870459653">
            <w:r>
              <w:rPr>
                <w:webHidden/>
                <w:rStyle w:val="IndexLink"/>
                <w:rtl w:val="true"/>
              </w:rPr>
              <w:t>المقام الأوّل</w:t>
            </w:r>
            <w:r>
              <w:rPr>
                <w:rStyle w:val="IndexLink"/>
                <w:rtl w:val="true"/>
              </w:rPr>
              <w:t xml:space="preserve">: </w:t>
            </w:r>
            <w:r>
              <w:rPr>
                <w:rStyle w:val="IndexLink"/>
                <w:rtl w:val="true"/>
              </w:rPr>
              <w:t>في ثبوت التوارث في الرجعيّة وعدمه في البائن</w:t>
            </w:r>
            <w:r>
              <w:rPr>
                <w:rStyle w:val="IndexLink"/>
                <w:rtl w:val="true"/>
              </w:rPr>
              <w:tab/>
            </w:r>
            <w:r>
              <w:rPr>
                <w:rStyle w:val="IndexLink"/>
              </w:rPr>
              <w:t>524</w:t>
            </w:r>
          </w:hyperlink>
        </w:p>
        <w:p>
          <w:pPr>
            <w:pStyle w:val="Contents4"/>
            <w:tabs>
              <w:tab w:val="clear" w:pos="8176"/>
              <w:tab w:val="right" w:pos="9026" w:leader="dot"/>
            </w:tabs>
            <w:rPr/>
          </w:pPr>
          <w:hyperlink w:anchor="__RefHeading___Toc5416797_2870459653">
            <w:r>
              <w:rPr>
                <w:webHidden/>
                <w:rStyle w:val="IndexLink"/>
                <w:rtl w:val="true"/>
              </w:rPr>
              <w:t>المقام الثاني</w:t>
            </w:r>
            <w:r>
              <w:rPr>
                <w:rStyle w:val="IndexLink"/>
                <w:rtl w:val="true"/>
              </w:rPr>
              <w:t xml:space="preserve">: </w:t>
            </w:r>
            <w:r>
              <w:rPr>
                <w:rStyle w:val="IndexLink"/>
                <w:rtl w:val="true"/>
              </w:rPr>
              <w:t>إرث الزوج في البائن وبعد العدّة الرجعيّة وعدمه</w:t>
            </w:r>
            <w:r>
              <w:rPr>
                <w:rStyle w:val="IndexLink"/>
                <w:rtl w:val="true"/>
              </w:rPr>
              <w:tab/>
            </w:r>
            <w:r>
              <w:rPr>
                <w:rStyle w:val="IndexLink"/>
              </w:rPr>
              <w:t>530</w:t>
            </w:r>
          </w:hyperlink>
        </w:p>
        <w:p>
          <w:pPr>
            <w:pStyle w:val="Contents4"/>
            <w:tabs>
              <w:tab w:val="clear" w:pos="8176"/>
              <w:tab w:val="right" w:pos="9026" w:leader="dot"/>
            </w:tabs>
            <w:rPr/>
          </w:pPr>
          <w:hyperlink w:anchor="__RefHeading___Toc5416799_2870459653">
            <w:r>
              <w:rPr>
                <w:webHidden/>
                <w:rStyle w:val="IndexLink"/>
                <w:rtl w:val="true"/>
              </w:rPr>
              <w:t>المقام الثالث</w:t>
            </w:r>
            <w:r>
              <w:rPr>
                <w:rStyle w:val="IndexLink"/>
                <w:rtl w:val="true"/>
              </w:rPr>
              <w:t xml:space="preserve">: </w:t>
            </w:r>
            <w:r>
              <w:rPr>
                <w:rStyle w:val="IndexLink"/>
                <w:rtl w:val="true"/>
              </w:rPr>
              <w:t>إرث المطلّقة في حال المرض إلى سنة</w:t>
            </w:r>
            <w:r>
              <w:rPr>
                <w:rStyle w:val="IndexLink"/>
                <w:rtl w:val="true"/>
              </w:rPr>
              <w:tab/>
            </w:r>
            <w:r>
              <w:rPr>
                <w:rStyle w:val="IndexLink"/>
              </w:rPr>
              <w:t>531</w:t>
            </w:r>
          </w:hyperlink>
        </w:p>
        <w:p>
          <w:pPr>
            <w:pStyle w:val="Contents5"/>
            <w:tabs>
              <w:tab w:val="clear" w:pos="7892"/>
              <w:tab w:val="right" w:pos="9026" w:leader="dot"/>
            </w:tabs>
            <w:rPr/>
          </w:pPr>
          <w:hyperlink w:anchor="__RefHeading___Toc5416801_2870459653">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5416803_2870459653">
            <w:r>
              <w:rPr>
                <w:webHidden/>
                <w:rStyle w:val="IndexLink"/>
                <w:rtl w:val="true"/>
              </w:rPr>
              <w:t>فرع</w:t>
            </w:r>
            <w:r>
              <w:rPr>
                <w:rStyle w:val="IndexLink"/>
                <w:rtl w:val="true"/>
              </w:rPr>
              <w:t xml:space="preserve">: </w:t>
            </w:r>
            <w:r>
              <w:rPr>
                <w:rStyle w:val="IndexLink"/>
                <w:rtl w:val="true"/>
              </w:rPr>
              <w:t>فيما لو طلّق المريض الكتابيّة أو الأمة</w:t>
            </w:r>
            <w:r>
              <w:rPr>
                <w:rStyle w:val="IndexLink"/>
                <w:rtl w:val="true"/>
              </w:rPr>
              <w:tab/>
            </w:r>
            <w:r>
              <w:rPr>
                <w:rStyle w:val="IndexLink"/>
              </w:rPr>
              <w:t>536</w:t>
            </w:r>
          </w:hyperlink>
        </w:p>
        <w:p>
          <w:pPr>
            <w:pStyle w:val="Contents5"/>
            <w:tabs>
              <w:tab w:val="clear" w:pos="7892"/>
              <w:tab w:val="right" w:pos="9026" w:leader="dot"/>
            </w:tabs>
            <w:rPr/>
          </w:pPr>
          <w:hyperlink w:anchor="__RefHeading___Toc5416805_2870459653">
            <w:r>
              <w:rPr>
                <w:webHidden/>
                <w:rStyle w:val="IndexLink"/>
                <w:rtl w:val="true"/>
              </w:rPr>
              <w:t>فرع</w:t>
            </w:r>
            <w:r>
              <w:rPr>
                <w:rStyle w:val="IndexLink"/>
                <w:rtl w:val="true"/>
              </w:rPr>
              <w:t xml:space="preserve">: </w:t>
            </w:r>
            <w:r>
              <w:rPr>
                <w:rStyle w:val="IndexLink"/>
                <w:rtl w:val="true"/>
              </w:rPr>
              <w:t>في وقوع الطلاق في حال المرض وعدمه</w:t>
            </w:r>
            <w:r>
              <w:rPr>
                <w:rStyle w:val="IndexLink"/>
                <w:rtl w:val="true"/>
              </w:rPr>
              <w:tab/>
            </w:r>
            <w:r>
              <w:rPr>
                <w:rStyle w:val="IndexLink"/>
              </w:rPr>
              <w:t>538</w:t>
            </w:r>
          </w:hyperlink>
        </w:p>
        <w:p>
          <w:pPr>
            <w:pStyle w:val="Contents5"/>
            <w:tabs>
              <w:tab w:val="clear" w:pos="7892"/>
              <w:tab w:val="right" w:pos="9026" w:leader="dot"/>
            </w:tabs>
            <w:rPr/>
          </w:pPr>
          <w:hyperlink w:anchor="__RefHeading___Toc5416807_2870459653">
            <w:r>
              <w:rPr>
                <w:webHidden/>
                <w:rStyle w:val="IndexLink"/>
                <w:rtl w:val="true"/>
              </w:rPr>
              <w:t>فرع</w:t>
            </w:r>
            <w:r>
              <w:rPr>
                <w:rStyle w:val="IndexLink"/>
                <w:rtl w:val="true"/>
              </w:rPr>
              <w:t xml:space="preserve">: </w:t>
            </w:r>
            <w:r>
              <w:rPr>
                <w:rStyle w:val="IndexLink"/>
                <w:rtl w:val="true"/>
              </w:rPr>
              <w:t>في إمكان إرث أكثر من زوجات أربع من المريض</w:t>
            </w:r>
            <w:r>
              <w:rPr>
                <w:rStyle w:val="IndexLink"/>
                <w:rtl w:val="true"/>
              </w:rPr>
              <w:tab/>
            </w:r>
            <w:r>
              <w:rPr>
                <w:rStyle w:val="IndexLink"/>
              </w:rPr>
              <w:t>538</w:t>
            </w:r>
          </w:hyperlink>
        </w:p>
        <w:p>
          <w:pPr>
            <w:pStyle w:val="Contents5"/>
            <w:tabs>
              <w:tab w:val="clear" w:pos="7892"/>
              <w:tab w:val="right" w:pos="9026" w:leader="dot"/>
            </w:tabs>
            <w:rPr/>
          </w:pPr>
          <w:hyperlink w:anchor="__RefHeading___Toc5416809_2870459653">
            <w:r>
              <w:rPr>
                <w:webHidden/>
                <w:rStyle w:val="IndexLink"/>
                <w:rtl w:val="true"/>
              </w:rPr>
              <w:t>فرع</w:t>
            </w:r>
            <w:r>
              <w:rPr>
                <w:rStyle w:val="IndexLink"/>
                <w:rtl w:val="true"/>
              </w:rPr>
              <w:t xml:space="preserve">: </w:t>
            </w:r>
            <w:r>
              <w:rPr>
                <w:rStyle w:val="IndexLink"/>
                <w:rtl w:val="true"/>
              </w:rPr>
              <w:t>فيما لو مات المريض بعلّة أُخرى</w:t>
            </w:r>
            <w:r>
              <w:rPr>
                <w:rStyle w:val="IndexLink"/>
                <w:rtl w:val="true"/>
              </w:rPr>
              <w:tab/>
            </w:r>
            <w:r>
              <w:rPr>
                <w:rStyle w:val="IndexLink"/>
              </w:rPr>
              <w:t>538</w:t>
            </w:r>
          </w:hyperlink>
        </w:p>
        <w:p>
          <w:pPr>
            <w:pStyle w:val="Contents5"/>
            <w:tabs>
              <w:tab w:val="clear" w:pos="7892"/>
              <w:tab w:val="right" w:pos="9026" w:leader="dot"/>
            </w:tabs>
            <w:rPr/>
          </w:pPr>
          <w:hyperlink w:anchor="__RefHeading___Toc5416811_2870459653">
            <w:r>
              <w:rPr>
                <w:webHidden/>
                <w:rStyle w:val="IndexLink"/>
                <w:rtl w:val="true"/>
              </w:rPr>
              <w:t>فرع</w:t>
            </w:r>
            <w:r>
              <w:rPr>
                <w:rStyle w:val="IndexLink"/>
                <w:rtl w:val="true"/>
              </w:rPr>
              <w:t xml:space="preserve">: </w:t>
            </w:r>
            <w:r>
              <w:rPr>
                <w:rStyle w:val="IndexLink"/>
                <w:rtl w:val="true"/>
              </w:rPr>
              <w:t>في عدم لحوق سائر أسباب الفراق</w:t>
            </w:r>
            <w:r>
              <w:rPr>
                <w:rStyle w:val="IndexLink"/>
                <w:rtl w:val="true"/>
              </w:rPr>
              <w:tab/>
            </w:r>
            <w:r>
              <w:rPr>
                <w:rStyle w:val="IndexLink"/>
              </w:rPr>
              <w:t>539</w:t>
            </w:r>
          </w:hyperlink>
        </w:p>
        <w:p>
          <w:pPr>
            <w:pStyle w:val="Contents5"/>
            <w:tabs>
              <w:tab w:val="clear" w:pos="7892"/>
              <w:tab w:val="right" w:pos="9026" w:leader="dot"/>
            </w:tabs>
            <w:rPr/>
          </w:pPr>
          <w:hyperlink w:anchor="__RefHeading___Toc5416813_2870459653">
            <w:r>
              <w:rPr>
                <w:webHidden/>
                <w:rStyle w:val="IndexLink"/>
                <w:rtl w:val="true"/>
              </w:rPr>
              <w:t>فرع</w:t>
            </w:r>
            <w:r>
              <w:rPr>
                <w:rStyle w:val="IndexLink"/>
                <w:rtl w:val="true"/>
              </w:rPr>
              <w:t xml:space="preserve">: </w:t>
            </w:r>
            <w:r>
              <w:rPr>
                <w:rStyle w:val="IndexLink"/>
                <w:rtl w:val="true"/>
              </w:rPr>
              <w:t>فيما لو طلّقها ثمّ لاعنها أو حصل الارتداد أو تجدّد التحريم المؤبّد</w:t>
            </w:r>
            <w:r>
              <w:rPr>
                <w:rStyle w:val="IndexLink"/>
                <w:rtl w:val="true"/>
              </w:rPr>
              <w:tab/>
            </w:r>
            <w:r>
              <w:rPr>
                <w:rStyle w:val="IndexLink"/>
              </w:rPr>
              <w:t>539</w:t>
            </w:r>
          </w:hyperlink>
        </w:p>
        <w:p>
          <w:pPr>
            <w:pStyle w:val="Contents5"/>
            <w:tabs>
              <w:tab w:val="clear" w:pos="7892"/>
              <w:tab w:val="right" w:pos="9026" w:leader="dot"/>
            </w:tabs>
            <w:rPr/>
          </w:pPr>
          <w:hyperlink w:anchor="__RefHeading___Toc5416815_2870459653">
            <w:r>
              <w:rPr>
                <w:webHidden/>
                <w:rStyle w:val="IndexLink"/>
                <w:rtl w:val="true"/>
              </w:rPr>
              <w:t>فرع</w:t>
            </w:r>
            <w:r>
              <w:rPr>
                <w:rStyle w:val="IndexLink"/>
                <w:rtl w:val="true"/>
              </w:rPr>
              <w:t xml:space="preserve">: </w:t>
            </w:r>
            <w:r>
              <w:rPr>
                <w:rStyle w:val="IndexLink"/>
                <w:rtl w:val="true"/>
              </w:rPr>
              <w:t>في اعتبار المرض السابق على حال النزع وعدمه</w:t>
            </w:r>
            <w:r>
              <w:rPr>
                <w:rStyle w:val="IndexLink"/>
                <w:rtl w:val="true"/>
              </w:rPr>
              <w:tab/>
            </w:r>
            <w:r>
              <w:rPr>
                <w:rStyle w:val="IndexLink"/>
              </w:rPr>
              <w:t>540</w:t>
            </w:r>
          </w:hyperlink>
        </w:p>
        <w:p>
          <w:pPr>
            <w:pStyle w:val="Contents3"/>
            <w:tabs>
              <w:tab w:val="clear" w:pos="8459"/>
              <w:tab w:val="right" w:pos="9026" w:leader="dot"/>
            </w:tabs>
            <w:rPr/>
          </w:pPr>
          <w:hyperlink w:anchor="__RefHeading___Toc5416817_2870459653">
            <w:r>
              <w:rPr>
                <w:webHidden/>
                <w:rStyle w:val="IndexLink"/>
                <w:rtl w:val="true"/>
              </w:rPr>
              <w:t>حكم سكنى الرجعيّة وإخراجها من البيت</w:t>
            </w:r>
            <w:r>
              <w:rPr>
                <w:rStyle w:val="IndexLink"/>
                <w:rtl w:val="true"/>
              </w:rPr>
              <w:tab/>
            </w:r>
            <w:r>
              <w:rPr>
                <w:rStyle w:val="IndexLink"/>
              </w:rPr>
              <w:t>541</w:t>
            </w:r>
          </w:hyperlink>
        </w:p>
        <w:p>
          <w:pPr>
            <w:pStyle w:val="Contents3"/>
            <w:tabs>
              <w:tab w:val="clear" w:pos="8459"/>
              <w:tab w:val="right" w:pos="9026" w:leader="dot"/>
            </w:tabs>
            <w:rPr/>
          </w:pPr>
          <w:hyperlink w:anchor="__RefHeading___Toc5416819_2870459653">
            <w:r>
              <w:rPr>
                <w:webHidden/>
                <w:rStyle w:val="IndexLink"/>
                <w:rtl w:val="true"/>
              </w:rPr>
              <w:t>المراد من الخروج والإخراج المحرّم</w:t>
            </w:r>
            <w:r>
              <w:rPr>
                <w:rStyle w:val="IndexLink"/>
                <w:rtl w:val="true"/>
              </w:rPr>
              <w:tab/>
            </w:r>
            <w:r>
              <w:rPr>
                <w:rStyle w:val="IndexLink"/>
              </w:rPr>
              <w:t>552</w:t>
            </w:r>
          </w:hyperlink>
        </w:p>
        <w:p>
          <w:pPr>
            <w:pStyle w:val="Contents2"/>
            <w:tabs>
              <w:tab w:val="clear" w:pos="8743"/>
              <w:tab w:val="right" w:pos="9026" w:leader="dot"/>
            </w:tabs>
            <w:rPr/>
          </w:pPr>
          <w:hyperlink w:anchor="__RefHeading___Toc5416821_2870459653">
            <w:r>
              <w:rPr>
                <w:webHidden/>
                <w:rStyle w:val="IndexLink"/>
                <w:rtl w:val="true"/>
              </w:rPr>
              <w:t>القول في الرجعة</w:t>
            </w:r>
            <w:r>
              <w:rPr>
                <w:rStyle w:val="IndexLink"/>
                <w:rtl w:val="true"/>
              </w:rPr>
              <w:tab/>
            </w:r>
            <w:r>
              <w:rPr>
                <w:rStyle w:val="IndexLink"/>
              </w:rPr>
              <w:t>557</w:t>
            </w:r>
          </w:hyperlink>
        </w:p>
        <w:p>
          <w:pPr>
            <w:pStyle w:val="Contents3"/>
            <w:tabs>
              <w:tab w:val="clear" w:pos="8459"/>
              <w:tab w:val="right" w:pos="9026" w:leader="dot"/>
            </w:tabs>
            <w:rPr/>
          </w:pPr>
          <w:hyperlink w:anchor="__RefHeading___Toc5416823_2870459653">
            <w:r>
              <w:rPr>
                <w:webHidden/>
                <w:rStyle w:val="IndexLink"/>
                <w:rtl w:val="true"/>
              </w:rPr>
              <w:t>اشارة</w:t>
            </w:r>
            <w:r>
              <w:rPr>
                <w:rStyle w:val="IndexLink"/>
                <w:rtl w:val="true"/>
              </w:rPr>
              <w:tab/>
            </w:r>
            <w:r>
              <w:rPr>
                <w:rStyle w:val="IndexLink"/>
              </w:rPr>
              <w:t>557</w:t>
            </w:r>
          </w:hyperlink>
        </w:p>
        <w:p>
          <w:pPr>
            <w:pStyle w:val="Contents3"/>
            <w:tabs>
              <w:tab w:val="clear" w:pos="8459"/>
              <w:tab w:val="right" w:pos="9026" w:leader="dot"/>
            </w:tabs>
            <w:rPr/>
          </w:pPr>
          <w:hyperlink w:anchor="__RefHeading___Toc5416825_2870459653">
            <w:r>
              <w:rPr>
                <w:webHidden/>
                <w:rStyle w:val="IndexLink"/>
                <w:rtl w:val="true"/>
              </w:rPr>
              <w:t>المراد بالرجعة وثبوتها بالكتاب والسنّة</w:t>
            </w:r>
            <w:r>
              <w:rPr>
                <w:rStyle w:val="IndexLink"/>
                <w:rtl w:val="true"/>
              </w:rPr>
              <w:tab/>
            </w:r>
            <w:r>
              <w:rPr>
                <w:rStyle w:val="IndexLink"/>
              </w:rPr>
              <w:t>557</w:t>
            </w:r>
          </w:hyperlink>
        </w:p>
        <w:p>
          <w:pPr>
            <w:pStyle w:val="Contents3"/>
            <w:tabs>
              <w:tab w:val="clear" w:pos="8459"/>
              <w:tab w:val="right" w:pos="9026" w:leader="dot"/>
            </w:tabs>
            <w:rPr/>
          </w:pPr>
          <w:hyperlink w:anchor="__RefHeading___Toc5416827_2870459653">
            <w:r>
              <w:rPr>
                <w:webHidden/>
                <w:rStyle w:val="IndexLink"/>
                <w:rtl w:val="true"/>
              </w:rPr>
              <w:t>في أسباب الرجوع</w:t>
            </w:r>
            <w:r>
              <w:rPr>
                <w:rStyle w:val="IndexLink"/>
                <w:rtl w:val="true"/>
              </w:rPr>
              <w:tab/>
            </w:r>
            <w:r>
              <w:rPr>
                <w:rStyle w:val="IndexLink"/>
              </w:rPr>
              <w:t>559</w:t>
            </w:r>
          </w:hyperlink>
        </w:p>
        <w:p>
          <w:pPr>
            <w:pStyle w:val="Contents3"/>
            <w:tabs>
              <w:tab w:val="clear" w:pos="8459"/>
              <w:tab w:val="right" w:pos="9026" w:leader="dot"/>
            </w:tabs>
            <w:rPr/>
          </w:pPr>
          <w:hyperlink w:anchor="__RefHeading___Toc5416829_2870459653">
            <w:r>
              <w:rPr>
                <w:webHidden/>
                <w:rStyle w:val="IndexLink"/>
                <w:rtl w:val="true"/>
              </w:rPr>
              <w:t>هل الرجعة إيقاع أم لا؟</w:t>
            </w:r>
            <w:r>
              <w:rPr>
                <w:rStyle w:val="IndexLink"/>
                <w:rtl w:val="true"/>
              </w:rPr>
              <w:tab/>
            </w:r>
            <w:r>
              <w:rPr>
                <w:rStyle w:val="IndexLink"/>
              </w:rPr>
              <w:t>560</w:t>
            </w:r>
          </w:hyperlink>
        </w:p>
        <w:p>
          <w:pPr>
            <w:pStyle w:val="Contents3"/>
            <w:tabs>
              <w:tab w:val="clear" w:pos="8459"/>
              <w:tab w:val="right" w:pos="9026" w:leader="dot"/>
            </w:tabs>
            <w:rPr/>
          </w:pPr>
          <w:hyperlink w:anchor="__RefHeading___Toc5416831_2870459653">
            <w:r>
              <w:rPr>
                <w:webHidden/>
                <w:rStyle w:val="IndexLink"/>
                <w:rtl w:val="true"/>
              </w:rPr>
              <w:t>عدم اشتراط الإشهاد في الرجعة</w:t>
            </w:r>
            <w:r>
              <w:rPr>
                <w:rStyle w:val="IndexLink"/>
                <w:rtl w:val="true"/>
              </w:rPr>
              <w:tab/>
            </w:r>
            <w:r>
              <w:rPr>
                <w:rStyle w:val="IndexLink"/>
              </w:rPr>
              <w:t>564</w:t>
            </w:r>
          </w:hyperlink>
        </w:p>
        <w:p>
          <w:pPr>
            <w:pStyle w:val="Contents3"/>
            <w:tabs>
              <w:tab w:val="clear" w:pos="8459"/>
              <w:tab w:val="right" w:pos="9026" w:leader="dot"/>
            </w:tabs>
            <w:rPr/>
          </w:pPr>
          <w:hyperlink w:anchor="__RefHeading___Toc5416833_2870459653">
            <w:r>
              <w:rPr>
                <w:webHidden/>
                <w:rStyle w:val="IndexLink"/>
                <w:rtl w:val="true"/>
              </w:rPr>
              <w:t>عدم اشتراط اطّلاع الزوجة على الرجعة</w:t>
            </w:r>
            <w:r>
              <w:rPr>
                <w:rStyle w:val="IndexLink"/>
                <w:rtl w:val="true"/>
              </w:rPr>
              <w:tab/>
            </w:r>
            <w:r>
              <w:rPr>
                <w:rStyle w:val="IndexLink"/>
              </w:rPr>
              <w:t>565</w:t>
            </w:r>
          </w:hyperlink>
        </w:p>
        <w:p>
          <w:pPr>
            <w:pStyle w:val="Contents3"/>
            <w:tabs>
              <w:tab w:val="clear" w:pos="8459"/>
              <w:tab w:val="right" w:pos="9026" w:leader="dot"/>
            </w:tabs>
            <w:rPr/>
          </w:pPr>
          <w:hyperlink w:anchor="__RefHeading___Toc5416835_2870459653">
            <w:r>
              <w:rPr>
                <w:webHidden/>
                <w:rStyle w:val="IndexLink"/>
                <w:rtl w:val="true"/>
              </w:rPr>
              <w:t>في الاتّفاق على الرجوع وانقضاء العدّة والاختلاف في التقدّم</w:t>
            </w:r>
            <w:r>
              <w:rPr>
                <w:rStyle w:val="IndexLink"/>
                <w:rtl w:val="true"/>
              </w:rPr>
              <w:tab/>
            </w:r>
            <w:r>
              <w:rPr>
                <w:rStyle w:val="IndexLink"/>
              </w:rPr>
              <w:t>571</w:t>
            </w:r>
          </w:hyperlink>
        </w:p>
        <w:p>
          <w:pPr>
            <w:pStyle w:val="Contents3"/>
            <w:tabs>
              <w:tab w:val="clear" w:pos="8459"/>
              <w:tab w:val="right" w:pos="9026" w:leader="dot"/>
            </w:tabs>
            <w:rPr/>
          </w:pPr>
          <w:hyperlink w:anchor="__RefHeading___Toc5416837_2870459653">
            <w:r>
              <w:rPr>
                <w:webHidden/>
                <w:rStyle w:val="IndexLink"/>
                <w:rtl w:val="true"/>
              </w:rPr>
              <w:t>الرجوع حكم أو حقّ؟</w:t>
            </w:r>
            <w:r>
              <w:rPr>
                <w:rStyle w:val="IndexLink"/>
                <w:rtl w:val="true"/>
              </w:rPr>
              <w:tab/>
            </w:r>
            <w:r>
              <w:rPr>
                <w:rStyle w:val="IndexLink"/>
              </w:rPr>
              <w:t>572</w:t>
            </w:r>
          </w:hyperlink>
        </w:p>
        <w:p>
          <w:pPr>
            <w:pStyle w:val="Contents2"/>
            <w:tabs>
              <w:tab w:val="clear" w:pos="8743"/>
              <w:tab w:val="right" w:pos="9026" w:leader="dot"/>
            </w:tabs>
            <w:rPr/>
          </w:pPr>
          <w:hyperlink w:anchor="__RefHeading___Toc5416839_2870459653">
            <w:r>
              <w:rPr>
                <w:webHidden/>
                <w:rStyle w:val="IndexLink"/>
                <w:rtl w:val="true"/>
              </w:rPr>
              <w:t>كتاب الخلع والمباراة</w:t>
            </w:r>
            <w:r>
              <w:rPr>
                <w:rStyle w:val="IndexLink"/>
                <w:rtl w:val="true"/>
              </w:rPr>
              <w:tab/>
            </w:r>
            <w:r>
              <w:rPr>
                <w:rStyle w:val="IndexLink"/>
              </w:rPr>
              <w:t>575</w:t>
            </w:r>
          </w:hyperlink>
        </w:p>
        <w:p>
          <w:pPr>
            <w:pStyle w:val="Contents3"/>
            <w:tabs>
              <w:tab w:val="clear" w:pos="8459"/>
              <w:tab w:val="right" w:pos="9026" w:leader="dot"/>
            </w:tabs>
            <w:rPr/>
          </w:pPr>
          <w:hyperlink w:anchor="__RefHeading___Toc5416841_2870459653">
            <w:r>
              <w:rPr>
                <w:webHidden/>
                <w:rStyle w:val="IndexLink"/>
                <w:rtl w:val="true"/>
              </w:rPr>
              <w:t>اشارة</w:t>
            </w:r>
            <w:r>
              <w:rPr>
                <w:rStyle w:val="IndexLink"/>
                <w:rtl w:val="true"/>
              </w:rPr>
              <w:tab/>
            </w:r>
            <w:r>
              <w:rPr>
                <w:rStyle w:val="IndexLink"/>
              </w:rPr>
              <w:t>575</w:t>
            </w:r>
          </w:hyperlink>
        </w:p>
        <w:p>
          <w:pPr>
            <w:pStyle w:val="Contents3"/>
            <w:tabs>
              <w:tab w:val="clear" w:pos="8459"/>
              <w:tab w:val="right" w:pos="9026" w:leader="dot"/>
            </w:tabs>
            <w:rPr/>
          </w:pPr>
          <w:hyperlink w:anchor="__RefHeading___Toc5416843_2870459653">
            <w:r>
              <w:rPr>
                <w:webHidden/>
                <w:rStyle w:val="IndexLink"/>
                <w:rtl w:val="true"/>
              </w:rPr>
              <w:t>تعريف الخلع والمباراة لغةً وشرعاً ومشروعيّتهما</w:t>
            </w:r>
            <w:r>
              <w:rPr>
                <w:rStyle w:val="IndexLink"/>
                <w:rtl w:val="true"/>
              </w:rPr>
              <w:tab/>
            </w:r>
            <w:r>
              <w:rPr>
                <w:rStyle w:val="IndexLink"/>
              </w:rPr>
              <w:t>575</w:t>
            </w:r>
          </w:hyperlink>
        </w:p>
        <w:p>
          <w:pPr>
            <w:pStyle w:val="Contents3"/>
            <w:tabs>
              <w:tab w:val="clear" w:pos="8459"/>
              <w:tab w:val="right" w:pos="9026" w:leader="dot"/>
            </w:tabs>
            <w:rPr/>
          </w:pPr>
          <w:hyperlink w:anchor="__RefHeading___Toc5416845_2870459653">
            <w:r>
              <w:rPr>
                <w:webHidden/>
                <w:rStyle w:val="IndexLink"/>
                <w:rtl w:val="true"/>
              </w:rPr>
              <w:t>صيغة الخلع</w:t>
            </w:r>
            <w:r>
              <w:rPr>
                <w:rStyle w:val="IndexLink"/>
                <w:rtl w:val="true"/>
              </w:rPr>
              <w:tab/>
            </w:r>
            <w:r>
              <w:rPr>
                <w:rStyle w:val="IndexLink"/>
              </w:rPr>
              <w:t>577</w:t>
            </w:r>
          </w:hyperlink>
        </w:p>
        <w:p>
          <w:pPr>
            <w:pStyle w:val="Contents3"/>
            <w:tabs>
              <w:tab w:val="clear" w:pos="8459"/>
              <w:tab w:val="right" w:pos="9026" w:leader="dot"/>
            </w:tabs>
            <w:rPr/>
          </w:pPr>
          <w:hyperlink w:anchor="__RefHeading___Toc5416847_2870459653">
            <w:r>
              <w:rPr>
                <w:webHidden/>
                <w:rStyle w:val="IndexLink"/>
                <w:rtl w:val="true"/>
              </w:rPr>
              <w:t>الخلع نوع من الطلاق أم لا؟</w:t>
            </w:r>
            <w:r>
              <w:rPr>
                <w:rStyle w:val="IndexLink"/>
                <w:rtl w:val="true"/>
              </w:rPr>
              <w:tab/>
            </w:r>
            <w:r>
              <w:rPr>
                <w:rStyle w:val="IndexLink"/>
              </w:rPr>
              <w:t>578</w:t>
            </w:r>
          </w:hyperlink>
        </w:p>
        <w:p>
          <w:pPr>
            <w:pStyle w:val="Contents3"/>
            <w:tabs>
              <w:tab w:val="clear" w:pos="8459"/>
              <w:tab w:val="right" w:pos="9026" w:leader="dot"/>
            </w:tabs>
            <w:rPr/>
          </w:pPr>
          <w:hyperlink w:anchor="__RefHeading___Toc5416849_2870459653">
            <w:r>
              <w:rPr>
                <w:webHidden/>
                <w:rStyle w:val="IndexLink"/>
                <w:rtl w:val="true"/>
              </w:rPr>
              <w:t>هل يجب اتّباع صيغة الخلع بلفظ الطلاق؟</w:t>
            </w:r>
            <w:r>
              <w:rPr>
                <w:rStyle w:val="IndexLink"/>
                <w:rtl w:val="true"/>
              </w:rPr>
              <w:tab/>
            </w:r>
            <w:r>
              <w:rPr>
                <w:rStyle w:val="IndexLink"/>
              </w:rPr>
              <w:t>582</w:t>
            </w:r>
          </w:hyperlink>
        </w:p>
        <w:p>
          <w:pPr>
            <w:pStyle w:val="Contents3"/>
            <w:tabs>
              <w:tab w:val="clear" w:pos="8459"/>
              <w:tab w:val="right" w:pos="9026" w:leader="dot"/>
            </w:tabs>
            <w:rPr/>
          </w:pPr>
          <w:hyperlink w:anchor="__RefHeading___Toc5416851_2870459653">
            <w:r>
              <w:rPr>
                <w:webHidden/>
                <w:rStyle w:val="IndexLink"/>
                <w:rtl w:val="true"/>
              </w:rPr>
              <w:t>الخلع من الإيقاعات لكن يشبه العقود</w:t>
            </w:r>
            <w:r>
              <w:rPr>
                <w:rStyle w:val="IndexLink"/>
                <w:rtl w:val="true"/>
              </w:rPr>
              <w:tab/>
            </w:r>
            <w:r>
              <w:rPr>
                <w:rStyle w:val="IndexLink"/>
              </w:rPr>
              <w:t>590</w:t>
            </w:r>
          </w:hyperlink>
        </w:p>
        <w:p>
          <w:pPr>
            <w:pStyle w:val="Contents3"/>
            <w:tabs>
              <w:tab w:val="clear" w:pos="8459"/>
              <w:tab w:val="right" w:pos="9026" w:leader="dot"/>
            </w:tabs>
            <w:rPr/>
          </w:pPr>
          <w:hyperlink w:anchor="__RefHeading___Toc5416853_2870459653">
            <w:r>
              <w:rPr>
                <w:webHidden/>
                <w:rStyle w:val="IndexLink"/>
                <w:rtl w:val="true"/>
              </w:rPr>
              <w:t>اشتراط عدم الفصل بين إنشاء البذل والطلاق</w:t>
            </w:r>
            <w:r>
              <w:rPr>
                <w:rStyle w:val="IndexLink"/>
                <w:rtl w:val="true"/>
              </w:rPr>
              <w:tab/>
            </w:r>
            <w:r>
              <w:rPr>
                <w:rStyle w:val="IndexLink"/>
              </w:rPr>
              <w:t>590</w:t>
            </w:r>
          </w:hyperlink>
        </w:p>
        <w:p>
          <w:pPr>
            <w:pStyle w:val="Contents3"/>
            <w:tabs>
              <w:tab w:val="clear" w:pos="8459"/>
              <w:tab w:val="right" w:pos="9026" w:leader="dot"/>
            </w:tabs>
            <w:rPr/>
          </w:pPr>
          <w:hyperlink w:anchor="__RefHeading___Toc5416855_2870459653">
            <w:r>
              <w:rPr>
                <w:webHidden/>
                <w:rStyle w:val="IndexLink"/>
                <w:rtl w:val="true"/>
              </w:rPr>
              <w:t>جواز التوكيل في الخلع للبذل والطلاق</w:t>
            </w:r>
            <w:r>
              <w:rPr>
                <w:rStyle w:val="IndexLink"/>
                <w:rtl w:val="true"/>
              </w:rPr>
              <w:tab/>
            </w:r>
            <w:r>
              <w:rPr>
                <w:rStyle w:val="IndexLink"/>
              </w:rPr>
              <w:t>591</w:t>
            </w:r>
          </w:hyperlink>
        </w:p>
        <w:p>
          <w:pPr>
            <w:pStyle w:val="Contents3"/>
            <w:tabs>
              <w:tab w:val="clear" w:pos="8459"/>
              <w:tab w:val="right" w:pos="9026" w:leader="dot"/>
            </w:tabs>
            <w:rPr/>
          </w:pPr>
          <w:hyperlink w:anchor="__RefHeading___Toc5416857_2870459653">
            <w:r>
              <w:rPr>
                <w:webHidden/>
                <w:rStyle w:val="IndexLink"/>
                <w:rtl w:val="true"/>
              </w:rPr>
              <w:t>في كيفيّة إيقاع الخلع</w:t>
            </w:r>
            <w:r>
              <w:rPr>
                <w:rStyle w:val="IndexLink"/>
                <w:rtl w:val="true"/>
              </w:rPr>
              <w:tab/>
            </w:r>
            <w:r>
              <w:rPr>
                <w:rStyle w:val="IndexLink"/>
              </w:rPr>
              <w:t>592</w:t>
            </w:r>
          </w:hyperlink>
        </w:p>
        <w:p>
          <w:pPr>
            <w:pStyle w:val="Contents3"/>
            <w:tabs>
              <w:tab w:val="clear" w:pos="8459"/>
              <w:tab w:val="right" w:pos="9026" w:leader="dot"/>
            </w:tabs>
            <w:rPr/>
          </w:pPr>
          <w:hyperlink w:anchor="__RefHeading___Toc5416859_2870459653">
            <w:r>
              <w:rPr>
                <w:webHidden/>
                <w:rStyle w:val="IndexLink"/>
                <w:rtl w:val="true"/>
              </w:rPr>
              <w:t>في طلب الطلاق أو الخلع بعوض</w:t>
            </w:r>
            <w:r>
              <w:rPr>
                <w:rStyle w:val="IndexLink"/>
                <w:rtl w:val="true"/>
              </w:rPr>
              <w:tab/>
            </w:r>
            <w:r>
              <w:rPr>
                <w:rStyle w:val="IndexLink"/>
              </w:rPr>
              <w:t>593</w:t>
            </w:r>
          </w:hyperlink>
        </w:p>
        <w:p>
          <w:pPr>
            <w:pStyle w:val="Contents4"/>
            <w:tabs>
              <w:tab w:val="clear" w:pos="8176"/>
              <w:tab w:val="right" w:pos="9026" w:leader="dot"/>
            </w:tabs>
            <w:rPr/>
          </w:pPr>
          <w:hyperlink w:anchor="__RefHeading___Toc5416861_2870459653">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5416863_2870459653">
            <w:r>
              <w:rPr>
                <w:webHidden/>
                <w:rStyle w:val="IndexLink"/>
                <w:rtl w:val="true"/>
              </w:rPr>
              <w:t>فرعان</w:t>
            </w:r>
            <w:r>
              <w:rPr>
                <w:rStyle w:val="IndexLink"/>
                <w:rtl w:val="true"/>
              </w:rPr>
              <w:t>:</w:t>
              <w:tab/>
            </w:r>
            <w:r>
              <w:rPr>
                <w:rStyle w:val="IndexLink"/>
              </w:rPr>
              <w:t>593</w:t>
            </w:r>
          </w:hyperlink>
        </w:p>
        <w:p>
          <w:pPr>
            <w:pStyle w:val="Contents3"/>
            <w:tabs>
              <w:tab w:val="clear" w:pos="8459"/>
              <w:tab w:val="right" w:pos="9026" w:leader="dot"/>
            </w:tabs>
            <w:rPr/>
          </w:pPr>
          <w:hyperlink w:anchor="__RefHeading___Toc5416865_2870459653">
            <w:r>
              <w:rPr>
                <w:webHidden/>
                <w:rStyle w:val="IndexLink"/>
                <w:rtl w:val="true"/>
              </w:rPr>
              <w:t>بذل الفداء عوضاً عن الطلاق بكلّ متموّل</w:t>
            </w:r>
            <w:r>
              <w:rPr>
                <w:rStyle w:val="IndexLink"/>
                <w:rtl w:val="true"/>
              </w:rPr>
              <w:tab/>
            </w:r>
            <w:r>
              <w:rPr>
                <w:rStyle w:val="IndexLink"/>
              </w:rPr>
              <w:t>595</w:t>
            </w:r>
          </w:hyperlink>
        </w:p>
        <w:p>
          <w:pPr>
            <w:pStyle w:val="Contents3"/>
            <w:tabs>
              <w:tab w:val="clear" w:pos="8459"/>
              <w:tab w:val="right" w:pos="9026" w:leader="dot"/>
            </w:tabs>
            <w:rPr/>
          </w:pPr>
          <w:hyperlink w:anchor="__RefHeading___Toc5416867_2870459653">
            <w:r>
              <w:rPr>
                <w:webHidden/>
                <w:rStyle w:val="IndexLink"/>
                <w:rtl w:val="true"/>
              </w:rPr>
              <w:t>هل يصحّ تضمين غيرها بالبذل؟</w:t>
            </w:r>
            <w:r>
              <w:rPr>
                <w:rStyle w:val="IndexLink"/>
                <w:rtl w:val="true"/>
              </w:rPr>
              <w:tab/>
            </w:r>
            <w:r>
              <w:rPr>
                <w:rStyle w:val="IndexLink"/>
              </w:rPr>
              <w:t>597</w:t>
            </w:r>
          </w:hyperlink>
        </w:p>
        <w:p>
          <w:pPr>
            <w:pStyle w:val="Contents3"/>
            <w:tabs>
              <w:tab w:val="clear" w:pos="8459"/>
              <w:tab w:val="right" w:pos="9026" w:leader="dot"/>
            </w:tabs>
            <w:rPr/>
          </w:pPr>
          <w:hyperlink w:anchor="__RefHeading___Toc5416869_2870459653">
            <w:r>
              <w:rPr>
                <w:webHidden/>
                <w:rStyle w:val="IndexLink"/>
                <w:rtl w:val="true"/>
              </w:rPr>
              <w:t>حكم الخلع أو الطلاق على مال الغير</w:t>
            </w:r>
            <w:r>
              <w:rPr>
                <w:rStyle w:val="IndexLink"/>
                <w:rtl w:val="true"/>
              </w:rPr>
              <w:tab/>
            </w:r>
            <w:r>
              <w:rPr>
                <w:rStyle w:val="IndexLink"/>
              </w:rPr>
              <w:t>598</w:t>
            </w:r>
          </w:hyperlink>
        </w:p>
        <w:p>
          <w:pPr>
            <w:pStyle w:val="Contents3"/>
            <w:tabs>
              <w:tab w:val="clear" w:pos="8459"/>
              <w:tab w:val="right" w:pos="9026" w:leader="dot"/>
            </w:tabs>
            <w:rPr/>
          </w:pPr>
          <w:hyperlink w:anchor="__RefHeading___Toc5416871_2870459653">
            <w:r>
              <w:rPr>
                <w:webHidden/>
                <w:rStyle w:val="IndexLink"/>
                <w:rtl w:val="true"/>
              </w:rPr>
              <w:t>حكم بذل مال الغير أو ما لا يملكه المسلم مع العلم به</w:t>
            </w:r>
            <w:r>
              <w:rPr>
                <w:rStyle w:val="IndexLink"/>
                <w:rtl w:val="true"/>
              </w:rPr>
              <w:tab/>
            </w:r>
            <w:r>
              <w:rPr>
                <w:rStyle w:val="IndexLink"/>
              </w:rPr>
              <w:t>599</w:t>
            </w:r>
          </w:hyperlink>
        </w:p>
        <w:p>
          <w:pPr>
            <w:pStyle w:val="Contents3"/>
            <w:tabs>
              <w:tab w:val="clear" w:pos="8459"/>
              <w:tab w:val="right" w:pos="9026" w:leader="dot"/>
            </w:tabs>
            <w:rPr/>
          </w:pPr>
          <w:hyperlink w:anchor="__RefHeading___Toc5416873_2870459653">
            <w:r>
              <w:rPr>
                <w:webHidden/>
                <w:rStyle w:val="IndexLink"/>
                <w:rtl w:val="true"/>
              </w:rPr>
              <w:t>حكم بذل مال الغير مع الجهل بالحال</w:t>
            </w:r>
            <w:r>
              <w:rPr>
                <w:rStyle w:val="IndexLink"/>
                <w:rtl w:val="true"/>
              </w:rPr>
              <w:tab/>
            </w:r>
            <w:r>
              <w:rPr>
                <w:rStyle w:val="IndexLink"/>
              </w:rPr>
              <w:t>601</w:t>
            </w:r>
          </w:hyperlink>
        </w:p>
        <w:p>
          <w:pPr>
            <w:pStyle w:val="Contents3"/>
            <w:tabs>
              <w:tab w:val="clear" w:pos="8459"/>
              <w:tab w:val="right" w:pos="9026" w:leader="dot"/>
            </w:tabs>
            <w:rPr/>
          </w:pPr>
          <w:hyperlink w:anchor="__RefHeading___Toc5416875_2870459653">
            <w:r>
              <w:rPr>
                <w:webHidden/>
                <w:rStyle w:val="IndexLink"/>
                <w:rtl w:val="true"/>
              </w:rPr>
              <w:t>شرطيّة شدّة كراهة الزوجة وعدمها</w:t>
            </w:r>
            <w:r>
              <w:rPr>
                <w:rStyle w:val="IndexLink"/>
                <w:rtl w:val="true"/>
              </w:rPr>
              <w:tab/>
            </w:r>
            <w:r>
              <w:rPr>
                <w:rStyle w:val="IndexLink"/>
              </w:rPr>
              <w:t>602</w:t>
            </w:r>
          </w:hyperlink>
        </w:p>
        <w:p>
          <w:pPr>
            <w:pStyle w:val="Contents3"/>
            <w:tabs>
              <w:tab w:val="clear" w:pos="8459"/>
              <w:tab w:val="right" w:pos="9026" w:leader="dot"/>
            </w:tabs>
            <w:rPr/>
          </w:pPr>
          <w:hyperlink w:anchor="__RefHeading___Toc5416877_2870459653">
            <w:r>
              <w:rPr>
                <w:webHidden/>
                <w:rStyle w:val="IndexLink"/>
                <w:rtl w:val="true"/>
              </w:rPr>
              <w:t>عدم الفرق في الكراهة بين الذاتيّة وغيرها</w:t>
            </w:r>
            <w:r>
              <w:rPr>
                <w:rStyle w:val="IndexLink"/>
                <w:rtl w:val="true"/>
              </w:rPr>
              <w:tab/>
            </w:r>
            <w:r>
              <w:rPr>
                <w:rStyle w:val="IndexLink"/>
              </w:rPr>
              <w:t>605</w:t>
            </w:r>
          </w:hyperlink>
        </w:p>
        <w:p>
          <w:pPr>
            <w:pStyle w:val="Contents3"/>
            <w:tabs>
              <w:tab w:val="clear" w:pos="8459"/>
              <w:tab w:val="right" w:pos="9026" w:leader="dot"/>
            </w:tabs>
            <w:rPr/>
          </w:pPr>
          <w:hyperlink w:anchor="__RefHeading___Toc5416879_2870459653">
            <w:r>
              <w:rPr>
                <w:webHidden/>
                <w:rStyle w:val="IndexLink"/>
                <w:rtl w:val="true"/>
              </w:rPr>
              <w:t>عدم تحقّق الخلع لوكانت الكراهة ناشئة من إيذاء الزوج</w:t>
            </w:r>
            <w:r>
              <w:rPr>
                <w:rStyle w:val="IndexLink"/>
                <w:rtl w:val="true"/>
              </w:rPr>
              <w:tab/>
            </w:r>
            <w:r>
              <w:rPr>
                <w:rStyle w:val="IndexLink"/>
              </w:rPr>
              <w:t>608</w:t>
            </w:r>
          </w:hyperlink>
        </w:p>
        <w:p>
          <w:pPr>
            <w:pStyle w:val="Contents3"/>
            <w:tabs>
              <w:tab w:val="clear" w:pos="8459"/>
              <w:tab w:val="right" w:pos="9026" w:leader="dot"/>
            </w:tabs>
            <w:rPr/>
          </w:pPr>
          <w:hyperlink w:anchor="__RefHeading___Toc5416881_2870459653">
            <w:r>
              <w:rPr>
                <w:webHidden/>
                <w:rStyle w:val="IndexLink"/>
                <w:rtl w:val="true"/>
              </w:rPr>
              <w:t>عدم صحّة الخلع مع عدم الكراهة</w:t>
            </w:r>
            <w:r>
              <w:rPr>
                <w:rStyle w:val="IndexLink"/>
                <w:rtl w:val="true"/>
              </w:rPr>
              <w:tab/>
            </w:r>
            <w:r>
              <w:rPr>
                <w:rStyle w:val="IndexLink"/>
              </w:rPr>
              <w:t>609</w:t>
            </w:r>
          </w:hyperlink>
        </w:p>
        <w:p>
          <w:pPr>
            <w:pStyle w:val="Contents3"/>
            <w:tabs>
              <w:tab w:val="clear" w:pos="8459"/>
              <w:tab w:val="right" w:pos="9026" w:leader="dot"/>
            </w:tabs>
            <w:rPr/>
          </w:pPr>
          <w:hyperlink w:anchor="__RefHeading___Toc5416883_2870459653">
            <w:r>
              <w:rPr>
                <w:webHidden/>
                <w:rStyle w:val="IndexLink"/>
                <w:rtl w:val="true"/>
              </w:rPr>
              <w:t>طلاق الخلع بائن لا رجوع فيه ما لم ترجع الزوجة</w:t>
            </w:r>
            <w:r>
              <w:rPr>
                <w:rStyle w:val="IndexLink"/>
                <w:rtl w:val="true"/>
              </w:rPr>
              <w:tab/>
            </w:r>
            <w:r>
              <w:rPr>
                <w:rStyle w:val="IndexLink"/>
              </w:rPr>
              <w:t>610</w:t>
            </w:r>
          </w:hyperlink>
        </w:p>
        <w:p>
          <w:pPr>
            <w:pStyle w:val="Contents3"/>
            <w:tabs>
              <w:tab w:val="clear" w:pos="8459"/>
              <w:tab w:val="right" w:pos="9026" w:leader="dot"/>
            </w:tabs>
            <w:rPr/>
          </w:pPr>
          <w:hyperlink w:anchor="__RefHeading___Toc5416885_2870459653">
            <w:r>
              <w:rPr>
                <w:webHidden/>
                <w:rStyle w:val="IndexLink"/>
                <w:rtl w:val="true"/>
              </w:rPr>
              <w:t>في اشتراط جواز رجوعها بإمكان رجوعه</w:t>
            </w:r>
            <w:r>
              <w:rPr>
                <w:rStyle w:val="IndexLink"/>
                <w:rtl w:val="true"/>
              </w:rPr>
              <w:tab/>
            </w:r>
            <w:r>
              <w:rPr>
                <w:rStyle w:val="IndexLink"/>
              </w:rPr>
              <w:t>611</w:t>
            </w:r>
          </w:hyperlink>
        </w:p>
        <w:p>
          <w:pPr>
            <w:pStyle w:val="Contents4"/>
            <w:tabs>
              <w:tab w:val="clear" w:pos="8176"/>
              <w:tab w:val="right" w:pos="9026" w:leader="dot"/>
            </w:tabs>
            <w:rPr/>
          </w:pPr>
          <w:hyperlink w:anchor="__RefHeading___Toc5416887_2870459653">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5416889_2870459653">
            <w:r>
              <w:rPr>
                <w:webHidden/>
                <w:rStyle w:val="IndexLink"/>
                <w:rtl w:val="true"/>
              </w:rPr>
              <w:t>فرعٌ</w:t>
            </w:r>
            <w:r>
              <w:rPr>
                <w:rStyle w:val="IndexLink"/>
                <w:rtl w:val="true"/>
              </w:rPr>
              <w:t xml:space="preserve">: </w:t>
            </w:r>
            <w:r>
              <w:rPr>
                <w:rStyle w:val="IndexLink"/>
                <w:rtl w:val="true"/>
              </w:rPr>
              <w:t>أنّ المختلعة بعد الرجوع في البذل هي رجعيّة في جميع الآثار أم لا؟</w:t>
            </w:r>
            <w:r>
              <w:rPr>
                <w:rStyle w:val="IndexLink"/>
                <w:rtl w:val="true"/>
              </w:rPr>
              <w:tab/>
            </w:r>
            <w:r>
              <w:rPr>
                <w:rStyle w:val="IndexLink"/>
              </w:rPr>
              <w:t>614</w:t>
            </w:r>
          </w:hyperlink>
        </w:p>
        <w:p>
          <w:pPr>
            <w:pStyle w:val="Contents4"/>
            <w:tabs>
              <w:tab w:val="clear" w:pos="8176"/>
              <w:tab w:val="right" w:pos="9026" w:leader="dot"/>
            </w:tabs>
            <w:rPr/>
          </w:pPr>
          <w:hyperlink w:anchor="__RefHeading___Toc5416891_2870459653">
            <w:r>
              <w:rPr>
                <w:webHidden/>
                <w:rStyle w:val="IndexLink"/>
                <w:rtl w:val="true"/>
              </w:rPr>
              <w:t>فرعٌ</w:t>
            </w:r>
            <w:r>
              <w:rPr>
                <w:rStyle w:val="IndexLink"/>
                <w:rtl w:val="true"/>
              </w:rPr>
              <w:t xml:space="preserve">: </w:t>
            </w:r>
            <w:r>
              <w:rPr>
                <w:rStyle w:val="IndexLink"/>
                <w:rtl w:val="true"/>
              </w:rPr>
              <w:t>في حكم الخلع لوقالت إنّها تأتي بالأجنبي إلى الفراش</w:t>
            </w:r>
            <w:r>
              <w:rPr>
                <w:rStyle w:val="IndexLink"/>
                <w:rtl w:val="true"/>
              </w:rPr>
              <w:tab/>
            </w:r>
            <w:r>
              <w:rPr>
                <w:rStyle w:val="IndexLink"/>
              </w:rPr>
              <w:t>616</w:t>
            </w:r>
          </w:hyperlink>
        </w:p>
        <w:p>
          <w:pPr>
            <w:pStyle w:val="Contents4"/>
            <w:tabs>
              <w:tab w:val="clear" w:pos="8176"/>
              <w:tab w:val="right" w:pos="9026" w:leader="dot"/>
            </w:tabs>
            <w:rPr/>
          </w:pPr>
          <w:hyperlink w:anchor="__RefHeading___Toc5416893_2870459653">
            <w:r>
              <w:rPr>
                <w:webHidden/>
                <w:rStyle w:val="IndexLink"/>
                <w:rtl w:val="true"/>
              </w:rPr>
              <w:t>فرعٌ</w:t>
            </w:r>
            <w:r>
              <w:rPr>
                <w:rStyle w:val="IndexLink"/>
                <w:rtl w:val="true"/>
              </w:rPr>
              <w:t xml:space="preserve">: </w:t>
            </w:r>
            <w:r>
              <w:rPr>
                <w:rStyle w:val="IndexLink"/>
                <w:rtl w:val="true"/>
              </w:rPr>
              <w:t>في جواز الرجوع في بعض البذل وعدمه</w:t>
            </w:r>
            <w:r>
              <w:rPr>
                <w:rStyle w:val="IndexLink"/>
                <w:rtl w:val="true"/>
              </w:rPr>
              <w:tab/>
            </w:r>
            <w:r>
              <w:rPr>
                <w:rStyle w:val="IndexLink"/>
              </w:rPr>
              <w:t>617</w:t>
            </w:r>
          </w:hyperlink>
        </w:p>
        <w:p>
          <w:pPr>
            <w:pStyle w:val="Contents3"/>
            <w:tabs>
              <w:tab w:val="clear" w:pos="8459"/>
              <w:tab w:val="right" w:pos="9026" w:leader="dot"/>
            </w:tabs>
            <w:rPr/>
          </w:pPr>
          <w:hyperlink w:anchor="__RefHeading___Toc5416895_2870459653">
            <w:r>
              <w:rPr>
                <w:webHidden/>
                <w:rStyle w:val="IndexLink"/>
                <w:rtl w:val="true"/>
              </w:rPr>
              <w:t>شروط المباراة والفرق بينها وبين الخلع</w:t>
            </w:r>
            <w:r>
              <w:rPr>
                <w:rStyle w:val="IndexLink"/>
                <w:rtl w:val="true"/>
              </w:rPr>
              <w:tab/>
            </w:r>
            <w:r>
              <w:rPr>
                <w:rStyle w:val="IndexLink"/>
              </w:rPr>
              <w:t>621</w:t>
            </w:r>
          </w:hyperlink>
        </w:p>
        <w:p>
          <w:pPr>
            <w:pStyle w:val="Contents4"/>
            <w:tabs>
              <w:tab w:val="clear" w:pos="8176"/>
              <w:tab w:val="right" w:pos="9026" w:leader="dot"/>
            </w:tabs>
            <w:rPr/>
          </w:pPr>
          <w:hyperlink w:anchor="__RefHeading___Toc5416897_2870459653">
            <w:r>
              <w:rPr>
                <w:webHidden/>
                <w:rStyle w:val="IndexLink"/>
                <w:rtl w:val="true"/>
              </w:rPr>
              <w:t>اشارة</w:t>
            </w:r>
            <w:r>
              <w:rPr>
                <w:rStyle w:val="IndexLink"/>
                <w:rtl w:val="true"/>
              </w:rPr>
              <w:tab/>
            </w:r>
            <w:r>
              <w:rPr>
                <w:rStyle w:val="IndexLink"/>
              </w:rPr>
              <w:t>621</w:t>
            </w:r>
          </w:hyperlink>
        </w:p>
        <w:p>
          <w:pPr>
            <w:pStyle w:val="Contents4"/>
            <w:tabs>
              <w:tab w:val="clear" w:pos="8176"/>
              <w:tab w:val="right" w:pos="9026" w:leader="dot"/>
            </w:tabs>
            <w:rPr/>
          </w:pPr>
          <w:hyperlink w:anchor="__RefHeading___Toc5416899_2870459653">
            <w:r>
              <w:rPr>
                <w:webHidden/>
                <w:rStyle w:val="IndexLink"/>
                <w:rtl w:val="true"/>
              </w:rPr>
              <w:t>الأمر الأوّل</w:t>
            </w:r>
            <w:r>
              <w:rPr>
                <w:rStyle w:val="IndexLink"/>
                <w:rtl w:val="true"/>
              </w:rPr>
              <w:t xml:space="preserve">: </w:t>
            </w:r>
            <w:r>
              <w:rPr>
                <w:rStyle w:val="IndexLink"/>
                <w:rtl w:val="true"/>
              </w:rPr>
              <w:t>صيغة الخلع</w:t>
            </w:r>
            <w:r>
              <w:rPr>
                <w:rStyle w:val="IndexLink"/>
                <w:rtl w:val="true"/>
              </w:rPr>
              <w:tab/>
            </w:r>
            <w:r>
              <w:rPr>
                <w:rStyle w:val="IndexLink"/>
              </w:rPr>
              <w:t>621</w:t>
            </w:r>
          </w:hyperlink>
        </w:p>
        <w:p>
          <w:pPr>
            <w:pStyle w:val="Contents4"/>
            <w:tabs>
              <w:tab w:val="clear" w:pos="8176"/>
              <w:tab w:val="right" w:pos="9026" w:leader="dot"/>
            </w:tabs>
            <w:rPr/>
          </w:pPr>
          <w:hyperlink w:anchor="__RefHeading___Toc5416901_2870459653">
            <w:r>
              <w:rPr>
                <w:webHidden/>
                <w:rStyle w:val="IndexLink"/>
                <w:rtl w:val="true"/>
              </w:rPr>
              <w:t>الأمر الثاني</w:t>
            </w:r>
            <w:r>
              <w:rPr>
                <w:rStyle w:val="IndexLink"/>
                <w:rtl w:val="true"/>
              </w:rPr>
              <w:t xml:space="preserve">: </w:t>
            </w:r>
            <w:r>
              <w:rPr>
                <w:rStyle w:val="IndexLink"/>
                <w:rtl w:val="true"/>
              </w:rPr>
              <w:t>هل تجوز المباراة ببذل المهر؟</w:t>
            </w:r>
            <w:r>
              <w:rPr>
                <w:rStyle w:val="IndexLink"/>
                <w:rtl w:val="true"/>
              </w:rPr>
              <w:tab/>
            </w:r>
            <w:r>
              <w:rPr>
                <w:rStyle w:val="IndexLink"/>
              </w:rPr>
              <w:t>625</w:t>
            </w:r>
          </w:hyperlink>
        </w:p>
        <w:p>
          <w:pPr>
            <w:pStyle w:val="Contents3"/>
            <w:tabs>
              <w:tab w:val="clear" w:pos="8459"/>
              <w:tab w:val="right" w:pos="9026" w:leader="dot"/>
            </w:tabs>
            <w:rPr/>
          </w:pPr>
          <w:hyperlink w:anchor="__RefHeading___Toc5416903_2870459653">
            <w:r>
              <w:rPr>
                <w:webHidden/>
                <w:rStyle w:val="IndexLink"/>
                <w:rtl w:val="true"/>
              </w:rPr>
              <w:t>الطلاق بالعوض مع التيام الأخلاق</w:t>
            </w:r>
            <w:r>
              <w:rPr>
                <w:rStyle w:val="IndexLink"/>
                <w:rtl w:val="true"/>
              </w:rPr>
              <w:tab/>
            </w:r>
            <w:r>
              <w:rPr>
                <w:rStyle w:val="IndexLink"/>
              </w:rPr>
              <w:t>627</w:t>
            </w:r>
          </w:hyperlink>
        </w:p>
        <w:p>
          <w:pPr>
            <w:pStyle w:val="Contents3"/>
            <w:tabs>
              <w:tab w:val="clear" w:pos="8459"/>
              <w:tab w:val="right" w:pos="9026" w:leader="dot"/>
            </w:tabs>
            <w:rPr/>
          </w:pPr>
          <w:hyperlink w:anchor="__RefHeading___Toc5416905_2870459653">
            <w:r>
              <w:rPr>
                <w:webHidden/>
                <w:rStyle w:val="IndexLink"/>
                <w:rtl w:val="true"/>
              </w:rPr>
              <w:t>جواز نكاح المختلعة والمبارئة للزوج بعقد جديد</w:t>
            </w:r>
            <w:r>
              <w:rPr>
                <w:rStyle w:val="IndexLink"/>
                <w:rtl w:val="true"/>
              </w:rPr>
              <w:tab/>
            </w:r>
            <w:r>
              <w:rPr>
                <w:rStyle w:val="IndexLink"/>
              </w:rPr>
              <w:t>636</w:t>
            </w:r>
          </w:hyperlink>
        </w:p>
        <w:p>
          <w:pPr>
            <w:pStyle w:val="Contents3"/>
            <w:tabs>
              <w:tab w:val="clear" w:pos="8459"/>
              <w:tab w:val="right" w:pos="9026" w:leader="dot"/>
            </w:tabs>
            <w:rPr/>
          </w:pPr>
          <w:hyperlink w:anchor="__RefHeading___Toc5416907_2870459653">
            <w:r>
              <w:rPr>
                <w:webHidden/>
                <w:rStyle w:val="IndexLink"/>
                <w:rtl w:val="true"/>
              </w:rPr>
              <w:t>جواز عضل الزوجة وعدمه إذا أتت بفاحشة</w:t>
            </w:r>
            <w:r>
              <w:rPr>
                <w:rStyle w:val="IndexLink"/>
                <w:rtl w:val="true"/>
              </w:rPr>
              <w:tab/>
            </w:r>
            <w:r>
              <w:rPr>
                <w:rStyle w:val="IndexLink"/>
              </w:rPr>
              <w:t>636</w:t>
            </w:r>
          </w:hyperlink>
        </w:p>
        <w:p>
          <w:pPr>
            <w:pStyle w:val="Contents2"/>
            <w:tabs>
              <w:tab w:val="clear" w:pos="8743"/>
              <w:tab w:val="right" w:pos="9026" w:leader="dot"/>
            </w:tabs>
            <w:rPr/>
          </w:pPr>
          <w:hyperlink w:anchor="__RefHeading___Toc5416909_2870459653">
            <w:r>
              <w:rPr>
                <w:webHidden/>
                <w:rStyle w:val="IndexLink"/>
                <w:rtl w:val="true"/>
              </w:rPr>
              <w:t>کتاب الظهار</w:t>
            </w:r>
            <w:r>
              <w:rPr>
                <w:rStyle w:val="IndexLink"/>
                <w:rtl w:val="true"/>
              </w:rPr>
              <w:tab/>
            </w:r>
            <w:r>
              <w:rPr>
                <w:rStyle w:val="IndexLink"/>
              </w:rPr>
              <w:t>643</w:t>
            </w:r>
          </w:hyperlink>
        </w:p>
        <w:p>
          <w:pPr>
            <w:pStyle w:val="Contents3"/>
            <w:tabs>
              <w:tab w:val="clear" w:pos="8459"/>
              <w:tab w:val="right" w:pos="9026" w:leader="dot"/>
            </w:tabs>
            <w:rPr/>
          </w:pPr>
          <w:hyperlink w:anchor="__RefHeading___Toc5416911_2870459653">
            <w:r>
              <w:rPr>
                <w:webHidden/>
                <w:rStyle w:val="IndexLink"/>
                <w:rtl w:val="true"/>
              </w:rPr>
              <w:t>اشارة</w:t>
            </w:r>
            <w:r>
              <w:rPr>
                <w:rStyle w:val="IndexLink"/>
                <w:rtl w:val="true"/>
              </w:rPr>
              <w:tab/>
            </w:r>
            <w:r>
              <w:rPr>
                <w:rStyle w:val="IndexLink"/>
              </w:rPr>
              <w:t>643</w:t>
            </w:r>
          </w:hyperlink>
        </w:p>
        <w:p>
          <w:pPr>
            <w:pStyle w:val="Contents3"/>
            <w:tabs>
              <w:tab w:val="clear" w:pos="8459"/>
              <w:tab w:val="right" w:pos="9026" w:leader="dot"/>
            </w:tabs>
            <w:rPr/>
          </w:pPr>
          <w:hyperlink w:anchor="__RefHeading___Toc5416913_2870459653">
            <w:r>
              <w:rPr>
                <w:webHidden/>
                <w:rStyle w:val="IndexLink"/>
                <w:rtl w:val="true"/>
              </w:rPr>
              <w:t>تعريف الظهار</w:t>
            </w:r>
            <w:r>
              <w:rPr>
                <w:rStyle w:val="IndexLink"/>
                <w:rtl w:val="true"/>
              </w:rPr>
              <w:tab/>
            </w:r>
            <w:r>
              <w:rPr>
                <w:rStyle w:val="IndexLink"/>
              </w:rPr>
              <w:t>643</w:t>
            </w:r>
          </w:hyperlink>
        </w:p>
        <w:p>
          <w:pPr>
            <w:pStyle w:val="Contents3"/>
            <w:tabs>
              <w:tab w:val="clear" w:pos="8459"/>
              <w:tab w:val="right" w:pos="9026" w:leader="dot"/>
            </w:tabs>
            <w:rPr/>
          </w:pPr>
          <w:hyperlink w:anchor="__RefHeading___Toc5416915_2870459653">
            <w:r>
              <w:rPr>
                <w:webHidden/>
                <w:rStyle w:val="IndexLink"/>
                <w:rtl w:val="true"/>
              </w:rPr>
              <w:t>صيغة الظهار</w:t>
            </w:r>
            <w:r>
              <w:rPr>
                <w:rStyle w:val="IndexLink"/>
                <w:rtl w:val="true"/>
              </w:rPr>
              <w:tab/>
            </w:r>
            <w:r>
              <w:rPr>
                <w:rStyle w:val="IndexLink"/>
              </w:rPr>
              <w:t>646</w:t>
            </w:r>
          </w:hyperlink>
        </w:p>
        <w:p>
          <w:pPr>
            <w:pStyle w:val="Contents3"/>
            <w:tabs>
              <w:tab w:val="clear" w:pos="8459"/>
              <w:tab w:val="right" w:pos="9026" w:leader="dot"/>
            </w:tabs>
            <w:rPr/>
          </w:pPr>
          <w:hyperlink w:anchor="__RefHeading___Toc5416917_2870459653">
            <w:r>
              <w:rPr>
                <w:webHidden/>
                <w:rStyle w:val="IndexLink"/>
                <w:rtl w:val="true"/>
              </w:rPr>
              <w:t>حكم التشبيه بسائر أعضاء الأُمّ غير الظهر</w:t>
            </w:r>
            <w:r>
              <w:rPr>
                <w:rStyle w:val="IndexLink"/>
                <w:rtl w:val="true"/>
              </w:rPr>
              <w:tab/>
            </w:r>
            <w:r>
              <w:rPr>
                <w:rStyle w:val="IndexLink"/>
              </w:rPr>
              <w:t>647</w:t>
            </w:r>
          </w:hyperlink>
        </w:p>
        <w:p>
          <w:pPr>
            <w:pStyle w:val="Contents3"/>
            <w:tabs>
              <w:tab w:val="clear" w:pos="8459"/>
              <w:tab w:val="right" w:pos="9026" w:leader="dot"/>
            </w:tabs>
            <w:rPr/>
          </w:pPr>
          <w:hyperlink w:anchor="__RefHeading___Toc5416919_2870459653">
            <w:r>
              <w:rPr>
                <w:webHidden/>
                <w:rStyle w:val="IndexLink"/>
                <w:rtl w:val="true"/>
              </w:rPr>
              <w:t>التشبيه بغير الأُمّ من المحارم النسبيّة</w:t>
            </w:r>
            <w:r>
              <w:rPr>
                <w:rStyle w:val="IndexLink"/>
                <w:rtl w:val="true"/>
              </w:rPr>
              <w:tab/>
            </w:r>
            <w:r>
              <w:rPr>
                <w:rStyle w:val="IndexLink"/>
              </w:rPr>
              <w:t>649</w:t>
            </w:r>
          </w:hyperlink>
        </w:p>
        <w:p>
          <w:pPr>
            <w:pStyle w:val="Contents3"/>
            <w:tabs>
              <w:tab w:val="clear" w:pos="8459"/>
              <w:tab w:val="right" w:pos="9026" w:leader="dot"/>
            </w:tabs>
            <w:rPr/>
          </w:pPr>
          <w:hyperlink w:anchor="__RefHeading___Toc5416921_2870459653">
            <w:r>
              <w:rPr>
                <w:webHidden/>
                <w:rStyle w:val="IndexLink"/>
                <w:rtl w:val="true"/>
              </w:rPr>
              <w:t>شرطيّة وقوع الظهار بسماع عدلين</w:t>
            </w:r>
            <w:r>
              <w:rPr>
                <w:rStyle w:val="IndexLink"/>
                <w:rtl w:val="true"/>
              </w:rPr>
              <w:tab/>
            </w:r>
            <w:r>
              <w:rPr>
                <w:rStyle w:val="IndexLink"/>
              </w:rPr>
              <w:t>652</w:t>
            </w:r>
          </w:hyperlink>
        </w:p>
        <w:p>
          <w:pPr>
            <w:pStyle w:val="Contents3"/>
            <w:tabs>
              <w:tab w:val="clear" w:pos="8459"/>
              <w:tab w:val="right" w:pos="9026" w:leader="dot"/>
            </w:tabs>
            <w:rPr/>
          </w:pPr>
          <w:hyperlink w:anchor="__RefHeading___Toc5416923_2870459653">
            <w:r>
              <w:rPr>
                <w:webHidden/>
                <w:rStyle w:val="IndexLink"/>
                <w:rtl w:val="true"/>
              </w:rPr>
              <w:t>شروط المظاهر</w:t>
            </w:r>
            <w:r>
              <w:rPr>
                <w:rStyle w:val="IndexLink"/>
                <w:rtl w:val="true"/>
              </w:rPr>
              <w:tab/>
            </w:r>
            <w:r>
              <w:rPr>
                <w:rStyle w:val="IndexLink"/>
              </w:rPr>
              <w:t>653</w:t>
            </w:r>
          </w:hyperlink>
        </w:p>
        <w:p>
          <w:pPr>
            <w:pStyle w:val="Contents3"/>
            <w:tabs>
              <w:tab w:val="clear" w:pos="8459"/>
              <w:tab w:val="right" w:pos="9026" w:leader="dot"/>
            </w:tabs>
            <w:rPr/>
          </w:pPr>
          <w:hyperlink w:anchor="__RefHeading___Toc5416925_2870459653">
            <w:r>
              <w:rPr>
                <w:webHidden/>
                <w:rStyle w:val="IndexLink"/>
                <w:rtl w:val="true"/>
              </w:rPr>
              <w:t>شروط المظاهرة</w:t>
            </w:r>
            <w:r>
              <w:rPr>
                <w:rStyle w:val="IndexLink"/>
                <w:rtl w:val="true"/>
              </w:rPr>
              <w:tab/>
            </w:r>
            <w:r>
              <w:rPr>
                <w:rStyle w:val="IndexLink"/>
              </w:rPr>
              <w:t>654</w:t>
            </w:r>
          </w:hyperlink>
        </w:p>
        <w:p>
          <w:pPr>
            <w:pStyle w:val="Contents3"/>
            <w:tabs>
              <w:tab w:val="clear" w:pos="8459"/>
              <w:tab w:val="right" w:pos="9026" w:leader="dot"/>
            </w:tabs>
            <w:rPr/>
          </w:pPr>
          <w:hyperlink w:anchor="__RefHeading___Toc5416927_2870459653">
            <w:r>
              <w:rPr>
                <w:webHidden/>
                <w:rStyle w:val="IndexLink"/>
                <w:rtl w:val="true"/>
              </w:rPr>
              <w:t>اعتبار دوام الزوجيّة وعدمه</w:t>
            </w:r>
            <w:r>
              <w:rPr>
                <w:rStyle w:val="IndexLink"/>
                <w:rtl w:val="true"/>
              </w:rPr>
              <w:tab/>
            </w:r>
            <w:r>
              <w:rPr>
                <w:rStyle w:val="IndexLink"/>
              </w:rPr>
              <w:t>657</w:t>
            </w:r>
          </w:hyperlink>
        </w:p>
        <w:p>
          <w:pPr>
            <w:pStyle w:val="Contents3"/>
            <w:tabs>
              <w:tab w:val="clear" w:pos="8459"/>
              <w:tab w:val="right" w:pos="9026" w:leader="dot"/>
            </w:tabs>
            <w:rPr/>
          </w:pPr>
          <w:hyperlink w:anchor="__RefHeading___Toc5416929_2870459653">
            <w:r>
              <w:rPr>
                <w:webHidden/>
                <w:rStyle w:val="IndexLink"/>
                <w:rtl w:val="true"/>
              </w:rPr>
              <w:t>التعليق في الظهار</w:t>
            </w:r>
            <w:r>
              <w:rPr>
                <w:rStyle w:val="IndexLink"/>
                <w:rtl w:val="true"/>
              </w:rPr>
              <w:tab/>
            </w:r>
            <w:r>
              <w:rPr>
                <w:rStyle w:val="IndexLink"/>
              </w:rPr>
              <w:t>658</w:t>
            </w:r>
          </w:hyperlink>
        </w:p>
        <w:p>
          <w:pPr>
            <w:pStyle w:val="Contents4"/>
            <w:tabs>
              <w:tab w:val="clear" w:pos="8176"/>
              <w:tab w:val="right" w:pos="9026" w:leader="dot"/>
            </w:tabs>
            <w:rPr/>
          </w:pPr>
          <w:hyperlink w:anchor="__RefHeading___Toc5416931_2870459653">
            <w:r>
              <w:rPr>
                <w:webHidden/>
                <w:rStyle w:val="IndexLink"/>
                <w:rtl w:val="true"/>
              </w:rPr>
              <w:t>اشارة</w:t>
            </w:r>
            <w:r>
              <w:rPr>
                <w:rStyle w:val="IndexLink"/>
                <w:rtl w:val="true"/>
              </w:rPr>
              <w:tab/>
            </w:r>
            <w:r>
              <w:rPr>
                <w:rStyle w:val="IndexLink"/>
              </w:rPr>
              <w:t>658</w:t>
            </w:r>
          </w:hyperlink>
        </w:p>
        <w:p>
          <w:pPr>
            <w:pStyle w:val="Contents4"/>
            <w:tabs>
              <w:tab w:val="clear" w:pos="8176"/>
              <w:tab w:val="right" w:pos="9026" w:leader="dot"/>
            </w:tabs>
            <w:rPr/>
          </w:pPr>
          <w:hyperlink w:anchor="__RefHeading___Toc5416933_2870459653">
            <w:r>
              <w:rPr>
                <w:webHidden/>
                <w:rStyle w:val="IndexLink"/>
                <w:rtl w:val="true"/>
              </w:rPr>
              <w:t>فروعٌ</w:t>
            </w:r>
            <w:r>
              <w:rPr>
                <w:rStyle w:val="IndexLink"/>
                <w:rtl w:val="true"/>
              </w:rPr>
              <w:t xml:space="preserve">: </w:t>
            </w:r>
            <w:r>
              <w:rPr>
                <w:rStyle w:val="IndexLink"/>
                <w:rtl w:val="true"/>
              </w:rPr>
              <w:t>في أحكام التعليق في الظهار</w:t>
            </w:r>
            <w:r>
              <w:rPr>
                <w:rStyle w:val="IndexLink"/>
                <w:rtl w:val="true"/>
              </w:rPr>
              <w:tab/>
            </w:r>
            <w:r>
              <w:rPr>
                <w:rStyle w:val="IndexLink"/>
              </w:rPr>
              <w:t>663</w:t>
            </w:r>
          </w:hyperlink>
        </w:p>
        <w:p>
          <w:pPr>
            <w:pStyle w:val="Contents3"/>
            <w:tabs>
              <w:tab w:val="clear" w:pos="8459"/>
              <w:tab w:val="right" w:pos="9026" w:leader="dot"/>
            </w:tabs>
            <w:rPr/>
          </w:pPr>
          <w:hyperlink w:anchor="__RefHeading___Toc5416935_2870459653">
            <w:r>
              <w:rPr>
                <w:webHidden/>
                <w:rStyle w:val="IndexLink"/>
                <w:rtl w:val="true"/>
              </w:rPr>
              <w:t>أحكام الظهار</w:t>
            </w:r>
            <w:r>
              <w:rPr>
                <w:rStyle w:val="IndexLink"/>
                <w:rtl w:val="true"/>
              </w:rPr>
              <w:tab/>
            </w:r>
            <w:r>
              <w:rPr>
                <w:rStyle w:val="IndexLink"/>
              </w:rPr>
              <w:t>665</w:t>
            </w:r>
          </w:hyperlink>
        </w:p>
        <w:p>
          <w:pPr>
            <w:pStyle w:val="Contents3"/>
            <w:tabs>
              <w:tab w:val="clear" w:pos="8459"/>
              <w:tab w:val="right" w:pos="9026" w:leader="dot"/>
            </w:tabs>
            <w:rPr/>
          </w:pPr>
          <w:hyperlink w:anchor="__RefHeading___Toc5416937_2870459653">
            <w:r>
              <w:rPr>
                <w:webHidden/>
                <w:rStyle w:val="IndexLink"/>
                <w:rtl w:val="true"/>
              </w:rPr>
              <w:t>كفّارة الظهار</w:t>
            </w:r>
            <w:r>
              <w:rPr>
                <w:rStyle w:val="IndexLink"/>
                <w:rtl w:val="true"/>
              </w:rPr>
              <w:tab/>
            </w:r>
            <w:r>
              <w:rPr>
                <w:rStyle w:val="IndexLink"/>
              </w:rPr>
              <w:t>667</w:t>
            </w:r>
          </w:hyperlink>
        </w:p>
        <w:p>
          <w:pPr>
            <w:pStyle w:val="Contents3"/>
            <w:tabs>
              <w:tab w:val="clear" w:pos="8459"/>
              <w:tab w:val="right" w:pos="9026" w:leader="dot"/>
            </w:tabs>
            <w:rPr/>
          </w:pPr>
          <w:hyperlink w:anchor="__RefHeading___Toc5416939_2870459653">
            <w:r>
              <w:rPr>
                <w:webHidden/>
                <w:rStyle w:val="IndexLink"/>
                <w:rtl w:val="true"/>
              </w:rPr>
              <w:t>رفع أمر المظاهرة إلى الحاكم إن لم تصبر</w:t>
            </w:r>
            <w:r>
              <w:rPr>
                <w:rStyle w:val="IndexLink"/>
                <w:rtl w:val="true"/>
              </w:rPr>
              <w:tab/>
            </w:r>
            <w:r>
              <w:rPr>
                <w:rStyle w:val="IndexLink"/>
              </w:rPr>
              <w:t>668</w:t>
            </w:r>
          </w:hyperlink>
        </w:p>
        <w:p>
          <w:pPr>
            <w:pStyle w:val="Contents2"/>
            <w:tabs>
              <w:tab w:val="clear" w:pos="8743"/>
              <w:tab w:val="right" w:pos="9026" w:leader="dot"/>
            </w:tabs>
            <w:rPr/>
          </w:pPr>
          <w:hyperlink w:anchor="__RefHeading___Toc5416941_2870459653">
            <w:r>
              <w:rPr>
                <w:webHidden/>
                <w:rStyle w:val="IndexLink"/>
                <w:rtl w:val="true"/>
              </w:rPr>
              <w:t>کتاب الإيلاء</w:t>
            </w:r>
            <w:r>
              <w:rPr>
                <w:rStyle w:val="IndexLink"/>
                <w:rtl w:val="true"/>
              </w:rPr>
              <w:tab/>
            </w:r>
            <w:r>
              <w:rPr>
                <w:rStyle w:val="IndexLink"/>
              </w:rPr>
              <w:t>673</w:t>
            </w:r>
          </w:hyperlink>
        </w:p>
        <w:p>
          <w:pPr>
            <w:pStyle w:val="Contents2"/>
            <w:tabs>
              <w:tab w:val="clear" w:pos="8743"/>
              <w:tab w:val="right" w:pos="9026" w:leader="dot"/>
            </w:tabs>
            <w:rPr/>
          </w:pPr>
          <w:hyperlink w:anchor="__RefHeading___Toc5416943_2870459653">
            <w:r>
              <w:rPr>
                <w:webHidden/>
                <w:rStyle w:val="IndexLink"/>
                <w:rtl w:val="true"/>
              </w:rPr>
              <w:t>کتاب اللعان</w:t>
            </w:r>
            <w:r>
              <w:rPr>
                <w:rStyle w:val="IndexLink"/>
                <w:rtl w:val="true"/>
              </w:rPr>
              <w:tab/>
            </w:r>
            <w:r>
              <w:rPr>
                <w:rStyle w:val="IndexLink"/>
              </w:rPr>
              <w:t>677</w:t>
            </w:r>
          </w:hyperlink>
        </w:p>
        <w:p>
          <w:pPr>
            <w:pStyle w:val="Contents3"/>
            <w:tabs>
              <w:tab w:val="clear" w:pos="8459"/>
              <w:tab w:val="right" w:pos="9026" w:leader="dot"/>
            </w:tabs>
            <w:rPr/>
          </w:pPr>
          <w:hyperlink w:anchor="__RefHeading___Toc5416945_2870459653">
            <w:r>
              <w:rPr>
                <w:webHidden/>
                <w:rStyle w:val="IndexLink"/>
                <w:rtl w:val="true"/>
              </w:rPr>
              <w:t>اشارة</w:t>
            </w:r>
            <w:r>
              <w:rPr>
                <w:rStyle w:val="IndexLink"/>
                <w:rtl w:val="true"/>
              </w:rPr>
              <w:tab/>
            </w:r>
            <w:r>
              <w:rPr>
                <w:rStyle w:val="IndexLink"/>
              </w:rPr>
              <w:t>677</w:t>
            </w:r>
          </w:hyperlink>
        </w:p>
        <w:p>
          <w:pPr>
            <w:pStyle w:val="Contents3"/>
            <w:tabs>
              <w:tab w:val="clear" w:pos="8459"/>
              <w:tab w:val="right" w:pos="9026" w:leader="dot"/>
            </w:tabs>
            <w:rPr/>
          </w:pPr>
          <w:hyperlink w:anchor="__RefHeading___Toc5416947_2870459653">
            <w:r>
              <w:rPr>
                <w:webHidden/>
                <w:rStyle w:val="IndexLink"/>
                <w:rtl w:val="true"/>
              </w:rPr>
              <w:t>تعريف اللعان ومشروعيّته</w:t>
            </w:r>
            <w:r>
              <w:rPr>
                <w:rStyle w:val="IndexLink"/>
                <w:rtl w:val="true"/>
              </w:rPr>
              <w:tab/>
            </w:r>
            <w:r>
              <w:rPr>
                <w:rStyle w:val="IndexLink"/>
              </w:rPr>
              <w:t>677</w:t>
            </w:r>
          </w:hyperlink>
        </w:p>
        <w:p>
          <w:pPr>
            <w:pStyle w:val="Contents3"/>
            <w:tabs>
              <w:tab w:val="clear" w:pos="8459"/>
              <w:tab w:val="right" w:pos="9026" w:leader="dot"/>
            </w:tabs>
            <w:rPr/>
          </w:pPr>
          <w:hyperlink w:anchor="__RefHeading___Toc5416949_2870459653">
            <w:r>
              <w:rPr>
                <w:webHidden/>
                <w:rStyle w:val="IndexLink"/>
                <w:rtl w:val="true"/>
              </w:rPr>
              <w:t>مشروعيّة اللعان في موردين</w:t>
            </w:r>
            <w:r>
              <w:rPr>
                <w:rStyle w:val="IndexLink"/>
                <w:rtl w:val="true"/>
              </w:rPr>
              <w:t xml:space="preserve">: </w:t>
            </w:r>
            <w:r>
              <w:rPr>
                <w:rStyle w:val="IndexLink"/>
                <w:rtl w:val="true"/>
              </w:rPr>
              <w:t>رمي الزوجة بالزنا ونفي الولد</w:t>
            </w:r>
            <w:r>
              <w:rPr>
                <w:rStyle w:val="IndexLink"/>
                <w:rtl w:val="true"/>
              </w:rPr>
              <w:tab/>
            </w:r>
            <w:r>
              <w:rPr>
                <w:rStyle w:val="IndexLink"/>
              </w:rPr>
              <w:t>679</w:t>
            </w:r>
          </w:hyperlink>
        </w:p>
        <w:p>
          <w:pPr>
            <w:pStyle w:val="Contents3"/>
            <w:tabs>
              <w:tab w:val="clear" w:pos="8459"/>
              <w:tab w:val="right" w:pos="9026" w:leader="dot"/>
            </w:tabs>
            <w:rPr/>
          </w:pPr>
          <w:hyperlink w:anchor="__RefHeading___Toc5416951_2870459653">
            <w:r>
              <w:rPr>
                <w:webHidden/>
                <w:rStyle w:val="IndexLink"/>
                <w:rtl w:val="true"/>
              </w:rPr>
              <w:t>جواز قذف الزوجة بالزنا عند اليقين لا غيره</w:t>
            </w:r>
            <w:r>
              <w:rPr>
                <w:rStyle w:val="IndexLink"/>
                <w:rtl w:val="true"/>
              </w:rPr>
              <w:tab/>
            </w:r>
            <w:r>
              <w:rPr>
                <w:rStyle w:val="IndexLink"/>
              </w:rPr>
              <w:t>680</w:t>
            </w:r>
          </w:hyperlink>
        </w:p>
        <w:p>
          <w:pPr>
            <w:pStyle w:val="Contents3"/>
            <w:tabs>
              <w:tab w:val="clear" w:pos="8459"/>
              <w:tab w:val="right" w:pos="9026" w:leader="dot"/>
            </w:tabs>
            <w:rPr/>
          </w:pPr>
          <w:hyperlink w:anchor="__RefHeading___Toc5416953_2870459653">
            <w:r>
              <w:rPr>
                <w:webHidden/>
                <w:rStyle w:val="IndexLink"/>
                <w:rtl w:val="true"/>
              </w:rPr>
              <w:t>اشتراط اللعان بالقذف بادّعاء المشاهدة</w:t>
            </w:r>
            <w:r>
              <w:rPr>
                <w:rStyle w:val="IndexLink"/>
                <w:rtl w:val="true"/>
              </w:rPr>
              <w:tab/>
            </w:r>
            <w:r>
              <w:rPr>
                <w:rStyle w:val="IndexLink"/>
              </w:rPr>
              <w:t>682</w:t>
            </w:r>
          </w:hyperlink>
        </w:p>
        <w:p>
          <w:pPr>
            <w:pStyle w:val="Contents3"/>
            <w:tabs>
              <w:tab w:val="clear" w:pos="8459"/>
              <w:tab w:val="right" w:pos="9026" w:leader="dot"/>
            </w:tabs>
            <w:rPr/>
          </w:pPr>
          <w:hyperlink w:anchor="__RefHeading___Toc5416955_2870459653">
            <w:r>
              <w:rPr>
                <w:webHidden/>
                <w:rStyle w:val="IndexLink"/>
                <w:rtl w:val="true"/>
              </w:rPr>
              <w:t>اشتراط فقد البيّنة في ثبوت اللعان</w:t>
            </w:r>
            <w:r>
              <w:rPr>
                <w:rStyle w:val="IndexLink"/>
                <w:rtl w:val="true"/>
              </w:rPr>
              <w:tab/>
            </w:r>
            <w:r>
              <w:rPr>
                <w:rStyle w:val="IndexLink"/>
              </w:rPr>
              <w:t>686</w:t>
            </w:r>
          </w:hyperlink>
        </w:p>
        <w:p>
          <w:pPr>
            <w:pStyle w:val="Contents3"/>
            <w:tabs>
              <w:tab w:val="clear" w:pos="8459"/>
              <w:tab w:val="right" w:pos="9026" w:leader="dot"/>
            </w:tabs>
            <w:rPr/>
          </w:pPr>
          <w:hyperlink w:anchor="__RefHeading___Toc5416957_2870459653">
            <w:r>
              <w:rPr>
                <w:webHidden/>
                <w:rStyle w:val="IndexLink"/>
                <w:rtl w:val="true"/>
              </w:rPr>
              <w:t>شرطيّة الزوجيّة والدوام في ثبوت اللعان</w:t>
            </w:r>
            <w:r>
              <w:rPr>
                <w:rStyle w:val="IndexLink"/>
                <w:rtl w:val="true"/>
              </w:rPr>
              <w:tab/>
            </w:r>
            <w:r>
              <w:rPr>
                <w:rStyle w:val="IndexLink"/>
              </w:rPr>
              <w:t>687</w:t>
            </w:r>
          </w:hyperlink>
        </w:p>
        <w:p>
          <w:pPr>
            <w:pStyle w:val="Contents3"/>
            <w:tabs>
              <w:tab w:val="clear" w:pos="8459"/>
              <w:tab w:val="right" w:pos="9026" w:leader="dot"/>
            </w:tabs>
            <w:rPr/>
          </w:pPr>
          <w:hyperlink w:anchor="__RefHeading___Toc5416959_2870459653">
            <w:r>
              <w:rPr>
                <w:webHidden/>
                <w:rStyle w:val="IndexLink"/>
                <w:rtl w:val="true"/>
              </w:rPr>
              <w:t>شرطيّة الدخول في ثبوت اللعان</w:t>
            </w:r>
            <w:r>
              <w:rPr>
                <w:rStyle w:val="IndexLink"/>
                <w:rtl w:val="true"/>
              </w:rPr>
              <w:tab/>
            </w:r>
            <w:r>
              <w:rPr>
                <w:rStyle w:val="IndexLink"/>
              </w:rPr>
              <w:t>688</w:t>
            </w:r>
          </w:hyperlink>
        </w:p>
        <w:p>
          <w:pPr>
            <w:pStyle w:val="Contents3"/>
            <w:tabs>
              <w:tab w:val="clear" w:pos="8459"/>
              <w:tab w:val="right" w:pos="9026" w:leader="dot"/>
            </w:tabs>
            <w:rPr/>
          </w:pPr>
          <w:hyperlink w:anchor="__RefHeading___Toc5416961_2870459653">
            <w:r>
              <w:rPr>
                <w:webHidden/>
                <w:rStyle w:val="IndexLink"/>
                <w:rtl w:val="true"/>
              </w:rPr>
              <w:t>اشتراط ثبوت اللعان بأن تكون غير مشهورة بالزنا</w:t>
            </w:r>
            <w:r>
              <w:rPr>
                <w:rStyle w:val="IndexLink"/>
                <w:rtl w:val="true"/>
              </w:rPr>
              <w:tab/>
            </w:r>
            <w:r>
              <w:rPr>
                <w:rStyle w:val="IndexLink"/>
              </w:rPr>
              <w:t>689</w:t>
            </w:r>
          </w:hyperlink>
        </w:p>
        <w:p>
          <w:pPr>
            <w:pStyle w:val="Contents3"/>
            <w:tabs>
              <w:tab w:val="clear" w:pos="8459"/>
              <w:tab w:val="right" w:pos="9026" w:leader="dot"/>
            </w:tabs>
            <w:rPr/>
          </w:pPr>
          <w:hyperlink w:anchor="__RefHeading___Toc5416963_2870459653">
            <w:r>
              <w:rPr>
                <w:webHidden/>
                <w:rStyle w:val="IndexLink"/>
                <w:rtl w:val="true"/>
              </w:rPr>
              <w:t>شرطيّة السلامة عن الصمم والخرس</w:t>
            </w:r>
            <w:r>
              <w:rPr>
                <w:rStyle w:val="IndexLink"/>
                <w:rtl w:val="true"/>
              </w:rPr>
              <w:tab/>
            </w:r>
            <w:r>
              <w:rPr>
                <w:rStyle w:val="IndexLink"/>
              </w:rPr>
              <w:t>689</w:t>
            </w:r>
          </w:hyperlink>
        </w:p>
        <w:p>
          <w:pPr>
            <w:pStyle w:val="Contents3"/>
            <w:tabs>
              <w:tab w:val="clear" w:pos="8459"/>
              <w:tab w:val="right" w:pos="9026" w:leader="dot"/>
            </w:tabs>
            <w:rPr/>
          </w:pPr>
          <w:hyperlink w:anchor="__RefHeading___Toc5416965_2870459653">
            <w:r>
              <w:rPr>
                <w:webHidden/>
                <w:rStyle w:val="IndexLink"/>
                <w:rtl w:val="true"/>
              </w:rPr>
              <w:t>حرمة نفي الولد مع إمكان اللحوق</w:t>
            </w:r>
            <w:r>
              <w:rPr>
                <w:rStyle w:val="IndexLink"/>
                <w:rtl w:val="true"/>
              </w:rPr>
              <w:tab/>
            </w:r>
            <w:r>
              <w:rPr>
                <w:rStyle w:val="IndexLink"/>
              </w:rPr>
              <w:t>690</w:t>
            </w:r>
          </w:hyperlink>
        </w:p>
        <w:p>
          <w:pPr>
            <w:pStyle w:val="Contents3"/>
            <w:tabs>
              <w:tab w:val="clear" w:pos="8459"/>
              <w:tab w:val="right" w:pos="9026" w:leader="dot"/>
            </w:tabs>
            <w:rPr/>
          </w:pPr>
          <w:hyperlink w:anchor="__RefHeading___Toc5416967_2870459653">
            <w:r>
              <w:rPr>
                <w:webHidden/>
                <w:rStyle w:val="IndexLink"/>
                <w:rtl w:val="true"/>
              </w:rPr>
              <w:t>وجوب نفي الولد مع العلم بعدم التكوّن منه</w:t>
            </w:r>
            <w:r>
              <w:rPr>
                <w:rStyle w:val="IndexLink"/>
                <w:rtl w:val="true"/>
              </w:rPr>
              <w:tab/>
            </w:r>
            <w:r>
              <w:rPr>
                <w:rStyle w:val="IndexLink"/>
              </w:rPr>
              <w:t>690</w:t>
            </w:r>
          </w:hyperlink>
        </w:p>
        <w:p>
          <w:pPr>
            <w:pStyle w:val="Contents3"/>
            <w:tabs>
              <w:tab w:val="clear" w:pos="8459"/>
              <w:tab w:val="right" w:pos="9026" w:leader="dot"/>
            </w:tabs>
            <w:rPr/>
          </w:pPr>
          <w:hyperlink w:anchor="__RefHeading___Toc5416969_2870459653">
            <w:r>
              <w:rPr>
                <w:webHidden/>
                <w:rStyle w:val="IndexLink"/>
                <w:rtl w:val="true"/>
              </w:rPr>
              <w:t>عدم سماع النفي إن علم بدخوله أو أقرّ بذلك</w:t>
            </w:r>
            <w:r>
              <w:rPr>
                <w:rStyle w:val="IndexLink"/>
                <w:rtl w:val="true"/>
              </w:rPr>
              <w:tab/>
            </w:r>
            <w:r>
              <w:rPr>
                <w:rStyle w:val="IndexLink"/>
              </w:rPr>
              <w:t>692</w:t>
            </w:r>
          </w:hyperlink>
        </w:p>
        <w:p>
          <w:pPr>
            <w:pStyle w:val="Contents3"/>
            <w:tabs>
              <w:tab w:val="clear" w:pos="8459"/>
              <w:tab w:val="right" w:pos="9026" w:leader="dot"/>
            </w:tabs>
            <w:rPr/>
          </w:pPr>
          <w:hyperlink w:anchor="__RefHeading___Toc5416971_2870459653">
            <w:r>
              <w:rPr>
                <w:webHidden/>
                <w:rStyle w:val="IndexLink"/>
                <w:rtl w:val="true"/>
              </w:rPr>
              <w:t>انتفاء الولد بنفيه في المتمتّع بها</w:t>
            </w:r>
            <w:r>
              <w:rPr>
                <w:rStyle w:val="IndexLink"/>
                <w:rtl w:val="true"/>
              </w:rPr>
              <w:tab/>
            </w:r>
            <w:r>
              <w:rPr>
                <w:rStyle w:val="IndexLink"/>
              </w:rPr>
              <w:t>692</w:t>
            </w:r>
          </w:hyperlink>
        </w:p>
        <w:p>
          <w:pPr>
            <w:pStyle w:val="Contents3"/>
            <w:tabs>
              <w:tab w:val="clear" w:pos="8459"/>
              <w:tab w:val="right" w:pos="9026" w:leader="dot"/>
            </w:tabs>
            <w:rPr/>
          </w:pPr>
          <w:hyperlink w:anchor="__RefHeading___Toc5416973_2870459653">
            <w:r>
              <w:rPr>
                <w:webHidden/>
                <w:rStyle w:val="IndexLink"/>
                <w:rtl w:val="true"/>
              </w:rPr>
              <w:t>عدم الفرق بين الحمل والمنفصل في مشروعيّة اللعان</w:t>
            </w:r>
            <w:r>
              <w:rPr>
                <w:rStyle w:val="IndexLink"/>
                <w:rtl w:val="true"/>
              </w:rPr>
              <w:tab/>
            </w:r>
            <w:r>
              <w:rPr>
                <w:rStyle w:val="IndexLink"/>
              </w:rPr>
              <w:t>693</w:t>
            </w:r>
          </w:hyperlink>
        </w:p>
        <w:p>
          <w:pPr>
            <w:pStyle w:val="Contents3"/>
            <w:tabs>
              <w:tab w:val="clear" w:pos="8459"/>
              <w:tab w:val="right" w:pos="9026" w:leader="dot"/>
            </w:tabs>
            <w:rPr/>
          </w:pPr>
          <w:hyperlink w:anchor="__RefHeading___Toc5416975_2870459653">
            <w:r>
              <w:rPr>
                <w:webHidden/>
                <w:rStyle w:val="IndexLink"/>
                <w:rtl w:val="true"/>
              </w:rPr>
              <w:t>عدم التلازم بين نفي الولد وكونه من الزنا</w:t>
            </w:r>
            <w:r>
              <w:rPr>
                <w:rStyle w:val="IndexLink"/>
                <w:rtl w:val="true"/>
              </w:rPr>
              <w:tab/>
            </w:r>
            <w:r>
              <w:rPr>
                <w:rStyle w:val="IndexLink"/>
              </w:rPr>
              <w:t>693</w:t>
            </w:r>
          </w:hyperlink>
        </w:p>
        <w:p>
          <w:pPr>
            <w:pStyle w:val="Contents3"/>
            <w:tabs>
              <w:tab w:val="clear" w:pos="8459"/>
              <w:tab w:val="right" w:pos="9026" w:leader="dot"/>
            </w:tabs>
            <w:rPr/>
          </w:pPr>
          <w:hyperlink w:anchor="__RefHeading___Toc5416977_2870459653">
            <w:r>
              <w:rPr>
                <w:webHidden/>
                <w:rStyle w:val="IndexLink"/>
                <w:rtl w:val="true"/>
              </w:rPr>
              <w:t>لو أقرّ بالولد صريحاً أو كناية لا يسمع إنكاره</w:t>
            </w:r>
            <w:r>
              <w:rPr>
                <w:rStyle w:val="IndexLink"/>
                <w:rtl w:val="true"/>
              </w:rPr>
              <w:tab/>
            </w:r>
            <w:r>
              <w:rPr>
                <w:rStyle w:val="IndexLink"/>
              </w:rPr>
              <w:t>694</w:t>
            </w:r>
          </w:hyperlink>
        </w:p>
        <w:p>
          <w:pPr>
            <w:pStyle w:val="Contents3"/>
            <w:tabs>
              <w:tab w:val="clear" w:pos="8459"/>
              <w:tab w:val="right" w:pos="9026" w:leader="dot"/>
            </w:tabs>
            <w:rPr/>
          </w:pPr>
          <w:hyperlink w:anchor="__RefHeading___Toc5416979_2870459653">
            <w:r>
              <w:rPr>
                <w:webHidden/>
                <w:rStyle w:val="IndexLink"/>
                <w:rtl w:val="true"/>
              </w:rPr>
              <w:t>عدم وقوع اللعان إلّا عند الحاكم الشرعي</w:t>
            </w:r>
            <w:r>
              <w:rPr>
                <w:rStyle w:val="IndexLink"/>
                <w:rtl w:val="true"/>
              </w:rPr>
              <w:tab/>
            </w:r>
            <w:r>
              <w:rPr>
                <w:rStyle w:val="IndexLink"/>
              </w:rPr>
              <w:t>694</w:t>
            </w:r>
          </w:hyperlink>
        </w:p>
        <w:p>
          <w:pPr>
            <w:pStyle w:val="Contents3"/>
            <w:tabs>
              <w:tab w:val="clear" w:pos="8459"/>
              <w:tab w:val="right" w:pos="9026" w:leader="dot"/>
            </w:tabs>
            <w:rPr/>
          </w:pPr>
          <w:hyperlink w:anchor="__RefHeading___Toc5416981_2870459653">
            <w:r>
              <w:rPr>
                <w:webHidden/>
                <w:rStyle w:val="IndexLink"/>
                <w:rtl w:val="true"/>
              </w:rPr>
              <w:t>صورة اللعان</w:t>
            </w:r>
            <w:r>
              <w:rPr>
                <w:rStyle w:val="IndexLink"/>
                <w:rtl w:val="true"/>
              </w:rPr>
              <w:tab/>
            </w:r>
            <w:r>
              <w:rPr>
                <w:rStyle w:val="IndexLink"/>
              </w:rPr>
              <w:t>698</w:t>
            </w:r>
          </w:hyperlink>
        </w:p>
        <w:p>
          <w:pPr>
            <w:pStyle w:val="Contents3"/>
            <w:tabs>
              <w:tab w:val="clear" w:pos="8459"/>
              <w:tab w:val="right" w:pos="9026" w:leader="dot"/>
            </w:tabs>
            <w:rPr/>
          </w:pPr>
          <w:hyperlink w:anchor="__RefHeading___Toc5416983_2870459653">
            <w:r>
              <w:rPr>
                <w:webHidden/>
                <w:rStyle w:val="IndexLink"/>
                <w:rtl w:val="true"/>
              </w:rPr>
              <w:t>وجوب كون الصيغة بالعربيّة مع القدرة</w:t>
            </w:r>
            <w:r>
              <w:rPr>
                <w:rStyle w:val="IndexLink"/>
                <w:rtl w:val="true"/>
              </w:rPr>
              <w:tab/>
            </w:r>
            <w:r>
              <w:rPr>
                <w:rStyle w:val="IndexLink"/>
              </w:rPr>
              <w:t>698</w:t>
            </w:r>
          </w:hyperlink>
        </w:p>
        <w:p>
          <w:pPr>
            <w:pStyle w:val="Contents3"/>
            <w:tabs>
              <w:tab w:val="clear" w:pos="8459"/>
              <w:tab w:val="right" w:pos="9026" w:leader="dot"/>
            </w:tabs>
            <w:rPr/>
          </w:pPr>
          <w:hyperlink w:anchor="__RefHeading___Toc5416985_2870459653">
            <w:r>
              <w:rPr>
                <w:webHidden/>
                <w:rStyle w:val="IndexLink"/>
                <w:rtl w:val="true"/>
              </w:rPr>
              <w:t>وجوب القيام عند التلفّظ بالألفاظ</w:t>
            </w:r>
            <w:r>
              <w:rPr>
                <w:rStyle w:val="IndexLink"/>
                <w:rtl w:val="true"/>
              </w:rPr>
              <w:tab/>
            </w:r>
            <w:r>
              <w:rPr>
                <w:rStyle w:val="IndexLink"/>
              </w:rPr>
              <w:t>701</w:t>
            </w:r>
          </w:hyperlink>
        </w:p>
        <w:p>
          <w:pPr>
            <w:pStyle w:val="Contents3"/>
            <w:tabs>
              <w:tab w:val="clear" w:pos="8459"/>
              <w:tab w:val="right" w:pos="9026" w:leader="dot"/>
            </w:tabs>
            <w:rPr/>
          </w:pPr>
          <w:hyperlink w:anchor="__RefHeading___Toc5416987_2870459653">
            <w:r>
              <w:rPr>
                <w:webHidden/>
                <w:rStyle w:val="IndexLink"/>
                <w:rtl w:val="true"/>
              </w:rPr>
              <w:t>وجوب تقديم لعان الرجل على لعان المرأة</w:t>
            </w:r>
            <w:r>
              <w:rPr>
                <w:rStyle w:val="IndexLink"/>
                <w:rtl w:val="true"/>
              </w:rPr>
              <w:tab/>
            </w:r>
            <w:r>
              <w:rPr>
                <w:rStyle w:val="IndexLink"/>
              </w:rPr>
              <w:t>704</w:t>
            </w:r>
          </w:hyperlink>
        </w:p>
        <w:p>
          <w:pPr>
            <w:pStyle w:val="Contents3"/>
            <w:tabs>
              <w:tab w:val="clear" w:pos="8459"/>
              <w:tab w:val="right" w:pos="9026" w:leader="dot"/>
            </w:tabs>
            <w:rPr/>
          </w:pPr>
          <w:hyperlink w:anchor="__RefHeading___Toc5416989_2870459653">
            <w:r>
              <w:rPr>
                <w:webHidden/>
                <w:rStyle w:val="IndexLink"/>
                <w:rtl w:val="true"/>
              </w:rPr>
              <w:t>شرطيّة الموالاة بين الأحلاف الخمسة</w:t>
            </w:r>
            <w:r>
              <w:rPr>
                <w:rStyle w:val="IndexLink"/>
                <w:rtl w:val="true"/>
              </w:rPr>
              <w:tab/>
            </w:r>
            <w:r>
              <w:rPr>
                <w:rStyle w:val="IndexLink"/>
              </w:rPr>
              <w:t>704</w:t>
            </w:r>
          </w:hyperlink>
        </w:p>
        <w:p>
          <w:pPr>
            <w:pStyle w:val="Contents3"/>
            <w:tabs>
              <w:tab w:val="clear" w:pos="8459"/>
              <w:tab w:val="right" w:pos="9026" w:leader="dot"/>
            </w:tabs>
            <w:rPr/>
          </w:pPr>
          <w:hyperlink w:anchor="__RefHeading___Toc5416991_2870459653">
            <w:r>
              <w:rPr>
                <w:webHidden/>
                <w:rStyle w:val="IndexLink"/>
                <w:rtl w:val="true"/>
              </w:rPr>
              <w:t>كلام كاشف اللثام في الشروط الواجبة والمندوبة</w:t>
            </w:r>
            <w:r>
              <w:rPr>
                <w:rStyle w:val="IndexLink"/>
                <w:rtl w:val="true"/>
              </w:rPr>
              <w:tab/>
            </w:r>
            <w:r>
              <w:rPr>
                <w:rStyle w:val="IndexLink"/>
              </w:rPr>
              <w:t>704</w:t>
            </w:r>
          </w:hyperlink>
        </w:p>
        <w:p>
          <w:pPr>
            <w:pStyle w:val="Contents3"/>
            <w:tabs>
              <w:tab w:val="clear" w:pos="8459"/>
              <w:tab w:val="right" w:pos="9026" w:leader="dot"/>
            </w:tabs>
            <w:rPr/>
          </w:pPr>
          <w:hyperlink w:anchor="__RefHeading___Toc5416993_2870459653">
            <w:r>
              <w:rPr>
                <w:webHidden/>
                <w:rStyle w:val="IndexLink"/>
                <w:rtl w:val="true"/>
              </w:rPr>
              <w:t>ترتّب الأحكام الأربعة بعد وقوع اللعان</w:t>
            </w:r>
            <w:r>
              <w:rPr>
                <w:rStyle w:val="IndexLink"/>
                <w:rtl w:val="true"/>
              </w:rPr>
              <w:tab/>
            </w:r>
            <w:r>
              <w:rPr>
                <w:rStyle w:val="IndexLink"/>
              </w:rPr>
              <w:t>716</w:t>
            </w:r>
          </w:hyperlink>
        </w:p>
        <w:p>
          <w:pPr>
            <w:pStyle w:val="Contents3"/>
            <w:tabs>
              <w:tab w:val="clear" w:pos="8459"/>
              <w:tab w:val="right" w:pos="9026" w:leader="dot"/>
            </w:tabs>
            <w:rPr/>
          </w:pPr>
          <w:hyperlink w:anchor="__RefHeading___Toc5416995_2870459653">
            <w:r>
              <w:rPr>
                <w:webHidden/>
                <w:rStyle w:val="IndexLink"/>
                <w:rtl w:val="true"/>
              </w:rPr>
              <w:t>تكذیب الرجل نفسه بعد اللعان</w:t>
            </w:r>
            <w:r>
              <w:rPr>
                <w:rStyle w:val="IndexLink"/>
                <w:rtl w:val="true"/>
              </w:rPr>
              <w:tab/>
            </w:r>
            <w:r>
              <w:rPr>
                <w:rStyle w:val="IndexLink"/>
              </w:rPr>
              <w:t>719</w:t>
            </w:r>
          </w:hyperlink>
        </w:p>
        <w:p>
          <w:pPr>
            <w:pStyle w:val="Contents4"/>
            <w:tabs>
              <w:tab w:val="clear" w:pos="8176"/>
              <w:tab w:val="right" w:pos="9026" w:leader="dot"/>
            </w:tabs>
            <w:rPr/>
          </w:pPr>
          <w:hyperlink w:anchor="__RefHeading___Toc5416997_2870459653">
            <w:r>
              <w:rPr>
                <w:webHidden/>
                <w:rStyle w:val="IndexLink"/>
                <w:rtl w:val="true"/>
              </w:rPr>
              <w:t>اشارة</w:t>
            </w:r>
            <w:r>
              <w:rPr>
                <w:rStyle w:val="IndexLink"/>
                <w:rtl w:val="true"/>
              </w:rPr>
              <w:tab/>
            </w:r>
            <w:r>
              <w:rPr>
                <w:rStyle w:val="IndexLink"/>
              </w:rPr>
              <w:t>719</w:t>
            </w:r>
          </w:hyperlink>
        </w:p>
        <w:p>
          <w:pPr>
            <w:pStyle w:val="Contents4"/>
            <w:tabs>
              <w:tab w:val="clear" w:pos="8176"/>
              <w:tab w:val="right" w:pos="9026" w:leader="dot"/>
            </w:tabs>
            <w:rPr/>
          </w:pPr>
          <w:hyperlink w:anchor="__RefHeading___Toc5416999_2870459653">
            <w:r>
              <w:rPr>
                <w:webHidden/>
                <w:rStyle w:val="IndexLink"/>
                <w:rtl w:val="true"/>
              </w:rPr>
              <w:t>فرعٌ</w:t>
            </w:r>
            <w:r>
              <w:rPr>
                <w:rStyle w:val="IndexLink"/>
                <w:rtl w:val="true"/>
              </w:rPr>
              <w:t xml:space="preserve">: </w:t>
            </w:r>
            <w:r>
              <w:rPr>
                <w:rStyle w:val="IndexLink"/>
                <w:rtl w:val="true"/>
              </w:rPr>
              <w:t>في زوال تمام الآثار لو كذّب نفسه وعدمه</w:t>
            </w:r>
            <w:r>
              <w:rPr>
                <w:rStyle w:val="IndexLink"/>
                <w:rtl w:val="true"/>
              </w:rPr>
              <w:tab/>
            </w:r>
            <w:r>
              <w:rPr>
                <w:rStyle w:val="IndexLink"/>
              </w:rPr>
              <w:t>719</w:t>
            </w:r>
          </w:hyperlink>
        </w:p>
        <w:p>
          <w:pPr>
            <w:pStyle w:val="Contents2"/>
            <w:tabs>
              <w:tab w:val="clear" w:pos="8743"/>
              <w:tab w:val="right" w:pos="9026" w:leader="dot"/>
            </w:tabs>
            <w:rPr/>
          </w:pPr>
          <w:hyperlink w:anchor="__RefHeading___Toc5417001_2870459653">
            <w:r>
              <w:rPr>
                <w:webHidden/>
                <w:rStyle w:val="IndexLink"/>
                <w:rtl w:val="true"/>
              </w:rPr>
              <w:t>وجوب طلاق الخُلع على الرجل</w:t>
            </w:r>
            <w:r>
              <w:rPr>
                <w:rStyle w:val="IndexLink"/>
                <w:rtl w:val="true"/>
              </w:rPr>
              <w:tab/>
            </w:r>
            <w:r>
              <w:rPr>
                <w:rStyle w:val="IndexLink"/>
              </w:rPr>
              <w:t>723</w:t>
            </w:r>
          </w:hyperlink>
        </w:p>
        <w:p>
          <w:pPr>
            <w:pStyle w:val="Contents3"/>
            <w:tabs>
              <w:tab w:val="clear" w:pos="8459"/>
              <w:tab w:val="right" w:pos="9026" w:leader="dot"/>
            </w:tabs>
            <w:rPr/>
          </w:pPr>
          <w:hyperlink w:anchor="__RefHeading___Toc5417003_2870459653">
            <w:r>
              <w:rPr>
                <w:webHidden/>
                <w:rStyle w:val="IndexLink"/>
                <w:rtl w:val="true"/>
              </w:rPr>
              <w:t>اشارة</w:t>
            </w:r>
            <w:r>
              <w:rPr>
                <w:rStyle w:val="IndexLink"/>
                <w:rtl w:val="true"/>
              </w:rPr>
              <w:tab/>
            </w:r>
            <w:r>
              <w:rPr>
                <w:rStyle w:val="IndexLink"/>
              </w:rPr>
              <w:t>723</w:t>
            </w:r>
          </w:hyperlink>
        </w:p>
        <w:p>
          <w:pPr>
            <w:pStyle w:val="Contents3"/>
            <w:tabs>
              <w:tab w:val="clear" w:pos="8459"/>
              <w:tab w:val="right" w:pos="9026" w:leader="dot"/>
            </w:tabs>
            <w:rPr/>
          </w:pPr>
          <w:hyperlink w:anchor="__RefHeading___Toc5417005_2870459653">
            <w:r>
              <w:rPr>
                <w:webHidden/>
                <w:rStyle w:val="IndexLink"/>
                <w:rtl w:val="true"/>
              </w:rPr>
              <w:t>مدخل</w:t>
            </w:r>
            <w:r>
              <w:rPr>
                <w:rStyle w:val="IndexLink"/>
                <w:rtl w:val="true"/>
              </w:rPr>
              <w:tab/>
            </w:r>
            <w:r>
              <w:rPr>
                <w:rStyle w:val="IndexLink"/>
              </w:rPr>
              <w:t>725</w:t>
            </w:r>
          </w:hyperlink>
        </w:p>
        <w:p>
          <w:pPr>
            <w:pStyle w:val="Contents3"/>
            <w:tabs>
              <w:tab w:val="clear" w:pos="8459"/>
              <w:tab w:val="right" w:pos="9026" w:leader="dot"/>
            </w:tabs>
            <w:rPr/>
          </w:pPr>
          <w:hyperlink w:anchor="__RefHeading___Toc5417007_2870459653">
            <w:r>
              <w:rPr>
                <w:webHidden/>
                <w:rStyle w:val="IndexLink"/>
                <w:rtl w:val="true"/>
              </w:rPr>
              <w:t>المقدّمة</w:t>
            </w:r>
            <w:r>
              <w:rPr>
                <w:rStyle w:val="IndexLink"/>
                <w:rtl w:val="true"/>
              </w:rPr>
              <w:tab/>
            </w:r>
            <w:r>
              <w:rPr>
                <w:rStyle w:val="IndexLink"/>
              </w:rPr>
              <w:t>729</w:t>
            </w:r>
          </w:hyperlink>
        </w:p>
        <w:p>
          <w:pPr>
            <w:pStyle w:val="Contents2"/>
            <w:tabs>
              <w:tab w:val="clear" w:pos="8743"/>
              <w:tab w:val="right" w:pos="9026" w:leader="dot"/>
            </w:tabs>
            <w:rPr/>
          </w:pPr>
          <w:hyperlink w:anchor="__RefHeading___Toc5417009_2870459653">
            <w:r>
              <w:rPr>
                <w:webHidden/>
                <w:rStyle w:val="IndexLink"/>
                <w:rtl w:val="true"/>
              </w:rPr>
              <w:t>تقسيمات الطلاق</w:t>
            </w:r>
            <w:r>
              <w:rPr>
                <w:rStyle w:val="IndexLink"/>
                <w:rtl w:val="true"/>
              </w:rPr>
              <w:tab/>
            </w:r>
            <w:r>
              <w:rPr>
                <w:rStyle w:val="IndexLink"/>
              </w:rPr>
              <w:t>733</w:t>
            </w:r>
          </w:hyperlink>
        </w:p>
        <w:p>
          <w:pPr>
            <w:pStyle w:val="Contents3"/>
            <w:tabs>
              <w:tab w:val="clear" w:pos="8459"/>
              <w:tab w:val="right" w:pos="9026" w:leader="dot"/>
            </w:tabs>
            <w:rPr/>
          </w:pPr>
          <w:hyperlink w:anchor="__RefHeading___Toc5417011_2870459653">
            <w:r>
              <w:rPr>
                <w:webHidden/>
                <w:rStyle w:val="IndexLink"/>
                <w:rtl w:val="true"/>
              </w:rPr>
              <w:t>اشارة</w:t>
            </w:r>
            <w:r>
              <w:rPr>
                <w:rStyle w:val="IndexLink"/>
                <w:rtl w:val="true"/>
              </w:rPr>
              <w:tab/>
            </w:r>
            <w:r>
              <w:rPr>
                <w:rStyle w:val="IndexLink"/>
              </w:rPr>
              <w:t>733</w:t>
            </w:r>
          </w:hyperlink>
        </w:p>
        <w:p>
          <w:pPr>
            <w:pStyle w:val="Contents3"/>
            <w:tabs>
              <w:tab w:val="clear" w:pos="8459"/>
              <w:tab w:val="right" w:pos="9026" w:leader="dot"/>
            </w:tabs>
            <w:rPr/>
          </w:pPr>
          <w:hyperlink w:anchor="__RefHeading___Toc5417013_2870459653">
            <w:r>
              <w:rPr>
                <w:webHidden/>
                <w:rStyle w:val="IndexLink"/>
              </w:rPr>
              <w:t>1</w:t>
            </w:r>
            <w:r>
              <w:rPr>
                <w:rStyle w:val="IndexLink"/>
                <w:rtl w:val="true"/>
              </w:rPr>
              <w:t xml:space="preserve">. </w:t>
            </w:r>
            <w:r>
              <w:rPr>
                <w:rStyle w:val="IndexLink"/>
                <w:rtl w:val="true"/>
              </w:rPr>
              <w:t>الطلاق الرجعي</w:t>
            </w:r>
            <w:r>
              <w:rPr>
                <w:rStyle w:val="IndexLink"/>
                <w:rtl w:val="true"/>
              </w:rPr>
              <w:tab/>
            </w:r>
            <w:r>
              <w:rPr>
                <w:rStyle w:val="IndexLink"/>
              </w:rPr>
              <w:t>734</w:t>
            </w:r>
          </w:hyperlink>
        </w:p>
        <w:p>
          <w:pPr>
            <w:pStyle w:val="Contents3"/>
            <w:tabs>
              <w:tab w:val="clear" w:pos="8459"/>
              <w:tab w:val="right" w:pos="9026" w:leader="dot"/>
            </w:tabs>
            <w:rPr/>
          </w:pPr>
          <w:hyperlink w:anchor="__RefHeading___Toc5417015_2870459653">
            <w:r>
              <w:rPr>
                <w:webHidden/>
                <w:rStyle w:val="IndexLink"/>
              </w:rPr>
              <w:t>2</w:t>
            </w:r>
            <w:r>
              <w:rPr>
                <w:rStyle w:val="IndexLink"/>
                <w:rtl w:val="true"/>
              </w:rPr>
              <w:t xml:space="preserve">. </w:t>
            </w:r>
            <w:r>
              <w:rPr>
                <w:rStyle w:val="IndexLink"/>
                <w:rtl w:val="true"/>
              </w:rPr>
              <w:t>الطلاق البائن</w:t>
            </w:r>
            <w:r>
              <w:rPr>
                <w:rStyle w:val="IndexLink"/>
                <w:rtl w:val="true"/>
              </w:rPr>
              <w:tab/>
            </w:r>
            <w:r>
              <w:rPr>
                <w:rStyle w:val="IndexLink"/>
              </w:rPr>
              <w:t>735</w:t>
            </w:r>
          </w:hyperlink>
        </w:p>
        <w:p>
          <w:pPr>
            <w:pStyle w:val="Contents4"/>
            <w:tabs>
              <w:tab w:val="clear" w:pos="8176"/>
              <w:tab w:val="right" w:pos="9026" w:leader="dot"/>
            </w:tabs>
            <w:rPr/>
          </w:pPr>
          <w:hyperlink w:anchor="__RefHeading___Toc5417017_2870459653">
            <w:r>
              <w:rPr>
                <w:webHidden/>
                <w:rStyle w:val="IndexLink"/>
                <w:rtl w:val="true"/>
              </w:rPr>
              <w:t>اشارة</w:t>
            </w:r>
            <w:r>
              <w:rPr>
                <w:rStyle w:val="IndexLink"/>
                <w:rtl w:val="true"/>
              </w:rPr>
              <w:tab/>
            </w:r>
            <w:r>
              <w:rPr>
                <w:rStyle w:val="IndexLink"/>
              </w:rPr>
              <w:t>735</w:t>
            </w:r>
          </w:hyperlink>
        </w:p>
        <w:p>
          <w:pPr>
            <w:pStyle w:val="Contents4"/>
            <w:tabs>
              <w:tab w:val="clear" w:pos="8176"/>
              <w:tab w:val="right" w:pos="9026" w:leader="dot"/>
            </w:tabs>
            <w:rPr/>
          </w:pPr>
          <w:hyperlink w:anchor="__RefHeading___Toc5417019_2870459653">
            <w:r>
              <w:rPr>
                <w:webHidden/>
                <w:rStyle w:val="IndexLink"/>
                <w:rtl w:val="true"/>
              </w:rPr>
              <w:t>أقسام الطلاق البائن</w:t>
            </w:r>
            <w:r>
              <w:rPr>
                <w:rStyle w:val="IndexLink"/>
                <w:rtl w:val="true"/>
              </w:rPr>
              <w:tab/>
            </w:r>
            <w:r>
              <w:rPr>
                <w:rStyle w:val="IndexLink"/>
              </w:rPr>
              <w:t>735</w:t>
            </w:r>
          </w:hyperlink>
        </w:p>
        <w:p>
          <w:pPr>
            <w:pStyle w:val="Contents4"/>
            <w:tabs>
              <w:tab w:val="clear" w:pos="8176"/>
              <w:tab w:val="right" w:pos="9026" w:leader="dot"/>
            </w:tabs>
            <w:rPr/>
          </w:pPr>
          <w:hyperlink w:anchor="__RefHeading___Toc5417021_2870459653">
            <w:r>
              <w:rPr>
                <w:webHidden/>
                <w:rStyle w:val="IndexLink"/>
                <w:rtl w:val="true"/>
              </w:rPr>
              <w:t>طلاق الخُلع</w:t>
            </w:r>
            <w:r>
              <w:rPr>
                <w:rStyle w:val="IndexLink"/>
                <w:rtl w:val="true"/>
              </w:rPr>
              <w:tab/>
            </w:r>
            <w:r>
              <w:rPr>
                <w:rStyle w:val="IndexLink"/>
              </w:rPr>
              <w:t>735</w:t>
            </w:r>
          </w:hyperlink>
        </w:p>
        <w:p>
          <w:pPr>
            <w:pStyle w:val="Contents4"/>
            <w:tabs>
              <w:tab w:val="clear" w:pos="8176"/>
              <w:tab w:val="right" w:pos="9026" w:leader="dot"/>
            </w:tabs>
            <w:rPr/>
          </w:pPr>
          <w:hyperlink w:anchor="__RefHeading___Toc5417023_2870459653">
            <w:r>
              <w:rPr>
                <w:webHidden/>
                <w:rStyle w:val="IndexLink"/>
                <w:rtl w:val="true"/>
              </w:rPr>
              <w:t>المعنى اللغوي للخلع</w:t>
            </w:r>
            <w:r>
              <w:rPr>
                <w:rStyle w:val="IndexLink"/>
                <w:rtl w:val="true"/>
              </w:rPr>
              <w:tab/>
            </w:r>
            <w:r>
              <w:rPr>
                <w:rStyle w:val="IndexLink"/>
              </w:rPr>
              <w:t>736</w:t>
            </w:r>
          </w:hyperlink>
        </w:p>
        <w:p>
          <w:pPr>
            <w:pStyle w:val="Contents4"/>
            <w:tabs>
              <w:tab w:val="clear" w:pos="8176"/>
              <w:tab w:val="right" w:pos="9026" w:leader="dot"/>
            </w:tabs>
            <w:rPr/>
          </w:pPr>
          <w:hyperlink w:anchor="__RefHeading___Toc5417025_2870459653">
            <w:r>
              <w:rPr>
                <w:webHidden/>
                <w:rStyle w:val="IndexLink"/>
                <w:rtl w:val="true"/>
              </w:rPr>
              <w:t>المعنى المصطلح للخلع</w:t>
            </w:r>
            <w:r>
              <w:rPr>
                <w:rStyle w:val="IndexLink"/>
                <w:rtl w:val="true"/>
              </w:rPr>
              <w:tab/>
            </w:r>
            <w:r>
              <w:rPr>
                <w:rStyle w:val="IndexLink"/>
              </w:rPr>
              <w:t>736</w:t>
            </w:r>
          </w:hyperlink>
        </w:p>
        <w:p>
          <w:pPr>
            <w:pStyle w:val="Contents4"/>
            <w:tabs>
              <w:tab w:val="clear" w:pos="8176"/>
              <w:tab w:val="right" w:pos="9026" w:leader="dot"/>
            </w:tabs>
            <w:rPr/>
          </w:pPr>
          <w:hyperlink w:anchor="__RefHeading___Toc5417027_2870459653">
            <w:r>
              <w:rPr>
                <w:webHidden/>
                <w:rStyle w:val="IndexLink"/>
                <w:rtl w:val="true"/>
              </w:rPr>
              <w:t>بيان كيفيّة كراهة المرأة للزوج</w:t>
            </w:r>
            <w:r>
              <w:rPr>
                <w:rStyle w:val="IndexLink"/>
                <w:rtl w:val="true"/>
              </w:rPr>
              <w:tab/>
            </w:r>
            <w:r>
              <w:rPr>
                <w:rStyle w:val="IndexLink"/>
              </w:rPr>
              <w:t>737</w:t>
            </w:r>
          </w:hyperlink>
        </w:p>
        <w:p>
          <w:pPr>
            <w:pStyle w:val="Contents3"/>
            <w:tabs>
              <w:tab w:val="clear" w:pos="8459"/>
              <w:tab w:val="right" w:pos="9026" w:leader="dot"/>
            </w:tabs>
            <w:rPr/>
          </w:pPr>
          <w:hyperlink w:anchor="__RefHeading___Toc5417029_2870459653">
            <w:r>
              <w:rPr>
                <w:webHidden/>
                <w:rStyle w:val="IndexLink"/>
                <w:rtl w:val="true"/>
              </w:rPr>
              <w:t>أدلّة إثبات طلاق الخُلع</w:t>
            </w:r>
            <w:r>
              <w:rPr>
                <w:rStyle w:val="IndexLink"/>
                <w:rtl w:val="true"/>
              </w:rPr>
              <w:tab/>
            </w:r>
            <w:r>
              <w:rPr>
                <w:rStyle w:val="IndexLink"/>
              </w:rPr>
              <w:t>737</w:t>
            </w:r>
          </w:hyperlink>
        </w:p>
        <w:p>
          <w:pPr>
            <w:pStyle w:val="Contents4"/>
            <w:tabs>
              <w:tab w:val="clear" w:pos="8176"/>
              <w:tab w:val="right" w:pos="9026" w:leader="dot"/>
            </w:tabs>
            <w:rPr/>
          </w:pPr>
          <w:hyperlink w:anchor="__RefHeading___Toc5417031_2870459653">
            <w:r>
              <w:rPr>
                <w:webHidden/>
                <w:rStyle w:val="IndexLink"/>
                <w:rtl w:val="true"/>
              </w:rPr>
              <w:t>اشارة</w:t>
            </w:r>
            <w:r>
              <w:rPr>
                <w:rStyle w:val="IndexLink"/>
                <w:rtl w:val="true"/>
              </w:rPr>
              <w:tab/>
            </w:r>
            <w:r>
              <w:rPr>
                <w:rStyle w:val="IndexLink"/>
              </w:rPr>
              <w:t>737</w:t>
            </w:r>
          </w:hyperlink>
        </w:p>
        <w:p>
          <w:pPr>
            <w:pStyle w:val="Contents4"/>
            <w:tabs>
              <w:tab w:val="clear" w:pos="8176"/>
              <w:tab w:val="right" w:pos="9026" w:leader="dot"/>
            </w:tabs>
            <w:rPr/>
          </w:pPr>
          <w:hyperlink w:anchor="__RefHeading___Toc5417033_2870459653">
            <w:r>
              <w:rPr>
                <w:webHidden/>
                <w:rStyle w:val="IndexLink"/>
              </w:rPr>
              <w:t>1</w:t>
            </w:r>
            <w:r>
              <w:rPr>
                <w:rStyle w:val="IndexLink"/>
                <w:rtl w:val="true"/>
              </w:rPr>
              <w:t xml:space="preserve">. </w:t>
            </w:r>
            <w:r>
              <w:rPr>
                <w:rStyle w:val="IndexLink"/>
                <w:rtl w:val="true"/>
              </w:rPr>
              <w:t>الكتاب</w:t>
            </w:r>
            <w:r>
              <w:rPr>
                <w:rStyle w:val="IndexLink"/>
                <w:rtl w:val="true"/>
              </w:rPr>
              <w:tab/>
            </w:r>
            <w:r>
              <w:rPr>
                <w:rStyle w:val="IndexLink"/>
              </w:rPr>
              <w:t>738</w:t>
            </w:r>
          </w:hyperlink>
        </w:p>
        <w:p>
          <w:pPr>
            <w:pStyle w:val="Contents4"/>
            <w:tabs>
              <w:tab w:val="clear" w:pos="8176"/>
              <w:tab w:val="right" w:pos="9026" w:leader="dot"/>
            </w:tabs>
            <w:rPr/>
          </w:pPr>
          <w:hyperlink w:anchor="__RefHeading___Toc5417035_2870459653">
            <w:r>
              <w:rPr>
                <w:webHidden/>
                <w:rStyle w:val="IndexLink"/>
              </w:rPr>
              <w:t>2</w:t>
            </w:r>
            <w:r>
              <w:rPr>
                <w:rStyle w:val="IndexLink"/>
                <w:rtl w:val="true"/>
              </w:rPr>
              <w:t xml:space="preserve">. </w:t>
            </w:r>
            <w:r>
              <w:rPr>
                <w:rStyle w:val="IndexLink"/>
                <w:rtl w:val="true"/>
              </w:rPr>
              <w:t>السنّة</w:t>
            </w:r>
            <w:r>
              <w:rPr>
                <w:rStyle w:val="IndexLink"/>
                <w:rtl w:val="true"/>
              </w:rPr>
              <w:tab/>
            </w:r>
            <w:r>
              <w:rPr>
                <w:rStyle w:val="IndexLink"/>
              </w:rPr>
              <w:t>738</w:t>
            </w:r>
          </w:hyperlink>
        </w:p>
        <w:p>
          <w:pPr>
            <w:pStyle w:val="Contents3"/>
            <w:tabs>
              <w:tab w:val="clear" w:pos="8459"/>
              <w:tab w:val="right" w:pos="9026" w:leader="dot"/>
            </w:tabs>
            <w:rPr/>
          </w:pPr>
          <w:hyperlink w:anchor="__RefHeading___Toc5417037_2870459653">
            <w:r>
              <w:rPr>
                <w:webHidden/>
                <w:rStyle w:val="IndexLink"/>
                <w:rtl w:val="true"/>
              </w:rPr>
              <w:t>موضوع البحث ومركز النزاع والخلاف</w:t>
            </w:r>
            <w:r>
              <w:rPr>
                <w:rStyle w:val="IndexLink"/>
                <w:rtl w:val="true"/>
              </w:rPr>
              <w:tab/>
            </w:r>
            <w:r>
              <w:rPr>
                <w:rStyle w:val="IndexLink"/>
              </w:rPr>
              <w:t>739</w:t>
            </w:r>
          </w:hyperlink>
        </w:p>
        <w:p>
          <w:pPr>
            <w:pStyle w:val="Contents3"/>
            <w:tabs>
              <w:tab w:val="clear" w:pos="8459"/>
              <w:tab w:val="right" w:pos="9026" w:leader="dot"/>
            </w:tabs>
            <w:rPr/>
          </w:pPr>
          <w:hyperlink w:anchor="__RefHeading___Toc5417039_2870459653">
            <w:r>
              <w:rPr>
                <w:webHidden/>
                <w:rStyle w:val="IndexLink"/>
                <w:rtl w:val="true"/>
              </w:rPr>
              <w:t>الأحكام الأربعة لطلاق الخلع</w:t>
            </w:r>
            <w:r>
              <w:rPr>
                <w:rStyle w:val="IndexLink"/>
                <w:rtl w:val="true"/>
              </w:rPr>
              <w:tab/>
            </w:r>
            <w:r>
              <w:rPr>
                <w:rStyle w:val="IndexLink"/>
              </w:rPr>
              <w:t>739</w:t>
            </w:r>
          </w:hyperlink>
        </w:p>
        <w:p>
          <w:pPr>
            <w:pStyle w:val="Contents4"/>
            <w:tabs>
              <w:tab w:val="clear" w:pos="8176"/>
              <w:tab w:val="right" w:pos="9026" w:leader="dot"/>
            </w:tabs>
            <w:rPr/>
          </w:pPr>
          <w:hyperlink w:anchor="__RefHeading___Toc5417041_2870459653">
            <w:r>
              <w:rPr>
                <w:webHidden/>
                <w:rStyle w:val="IndexLink"/>
              </w:rPr>
              <w:t>1</w:t>
            </w:r>
            <w:r>
              <w:rPr>
                <w:rStyle w:val="IndexLink"/>
                <w:rtl w:val="true"/>
              </w:rPr>
              <w:t xml:space="preserve">. </w:t>
            </w:r>
            <w:r>
              <w:rPr>
                <w:rStyle w:val="IndexLink"/>
                <w:rtl w:val="true"/>
              </w:rPr>
              <w:t>الخلع المحرّم</w:t>
            </w:r>
            <w:r>
              <w:rPr>
                <w:rStyle w:val="IndexLink"/>
                <w:rtl w:val="true"/>
              </w:rPr>
              <w:tab/>
            </w:r>
            <w:r>
              <w:rPr>
                <w:rStyle w:val="IndexLink"/>
              </w:rPr>
              <w:t>739</w:t>
            </w:r>
          </w:hyperlink>
        </w:p>
        <w:p>
          <w:pPr>
            <w:pStyle w:val="Contents4"/>
            <w:tabs>
              <w:tab w:val="clear" w:pos="8176"/>
              <w:tab w:val="right" w:pos="9026" w:leader="dot"/>
            </w:tabs>
            <w:rPr/>
          </w:pPr>
          <w:hyperlink w:anchor="__RefHeading___Toc5417043_2870459653">
            <w:r>
              <w:rPr>
                <w:webHidden/>
                <w:rStyle w:val="IndexLink"/>
              </w:rPr>
              <w:t>2</w:t>
            </w:r>
            <w:r>
              <w:rPr>
                <w:rStyle w:val="IndexLink"/>
                <w:rtl w:val="true"/>
              </w:rPr>
              <w:t xml:space="preserve">. </w:t>
            </w:r>
            <w:r>
              <w:rPr>
                <w:rStyle w:val="IndexLink"/>
                <w:rtl w:val="true"/>
              </w:rPr>
              <w:t>الطلاق الخلعي المباح</w:t>
            </w:r>
            <w:r>
              <w:rPr>
                <w:rStyle w:val="IndexLink"/>
                <w:rtl w:val="true"/>
              </w:rPr>
              <w:tab/>
            </w:r>
            <w:r>
              <w:rPr>
                <w:rStyle w:val="IndexLink"/>
              </w:rPr>
              <w:t>740</w:t>
            </w:r>
          </w:hyperlink>
        </w:p>
        <w:p>
          <w:pPr>
            <w:pStyle w:val="Contents4"/>
            <w:tabs>
              <w:tab w:val="clear" w:pos="8176"/>
              <w:tab w:val="right" w:pos="9026" w:leader="dot"/>
            </w:tabs>
            <w:rPr/>
          </w:pPr>
          <w:hyperlink w:anchor="__RefHeading___Toc5417045_2870459653">
            <w:r>
              <w:rPr>
                <w:webHidden/>
                <w:rStyle w:val="IndexLink"/>
              </w:rPr>
              <w:t>3</w:t>
            </w:r>
            <w:r>
              <w:rPr>
                <w:rStyle w:val="IndexLink"/>
                <w:rtl w:val="true"/>
              </w:rPr>
              <w:t xml:space="preserve">. </w:t>
            </w:r>
            <w:r>
              <w:rPr>
                <w:rStyle w:val="IndexLink"/>
                <w:rtl w:val="true"/>
              </w:rPr>
              <w:t>الطلاق الخلعي المستحبّ</w:t>
            </w:r>
            <w:r>
              <w:rPr>
                <w:rStyle w:val="IndexLink"/>
                <w:rtl w:val="true"/>
              </w:rPr>
              <w:tab/>
            </w:r>
            <w:r>
              <w:rPr>
                <w:rStyle w:val="IndexLink"/>
              </w:rPr>
              <w:t>740</w:t>
            </w:r>
          </w:hyperlink>
        </w:p>
        <w:p>
          <w:pPr>
            <w:pStyle w:val="Contents4"/>
            <w:tabs>
              <w:tab w:val="clear" w:pos="8176"/>
              <w:tab w:val="right" w:pos="9026" w:leader="dot"/>
            </w:tabs>
            <w:rPr/>
          </w:pPr>
          <w:hyperlink w:anchor="__RefHeading___Toc5417047_2870459653">
            <w:r>
              <w:rPr>
                <w:webHidden/>
                <w:rStyle w:val="IndexLink"/>
              </w:rPr>
              <w:t>4</w:t>
            </w:r>
            <w:r>
              <w:rPr>
                <w:rStyle w:val="IndexLink"/>
                <w:rtl w:val="true"/>
              </w:rPr>
              <w:t xml:space="preserve">. </w:t>
            </w:r>
            <w:r>
              <w:rPr>
                <w:rStyle w:val="IndexLink"/>
                <w:rtl w:val="true"/>
              </w:rPr>
              <w:t>الطلاق الخلعي الواجب</w:t>
            </w:r>
            <w:r>
              <w:rPr>
                <w:rStyle w:val="IndexLink"/>
                <w:rtl w:val="true"/>
              </w:rPr>
              <w:tab/>
            </w:r>
            <w:r>
              <w:rPr>
                <w:rStyle w:val="IndexLink"/>
              </w:rPr>
              <w:t>741</w:t>
            </w:r>
          </w:hyperlink>
        </w:p>
        <w:p>
          <w:pPr>
            <w:pStyle w:val="Contents4"/>
            <w:tabs>
              <w:tab w:val="clear" w:pos="8176"/>
              <w:tab w:val="right" w:pos="9026" w:leader="dot"/>
            </w:tabs>
            <w:rPr/>
          </w:pPr>
          <w:hyperlink w:anchor="__RefHeading___Toc5417049_2870459653">
            <w:r>
              <w:rPr>
                <w:webHidden/>
                <w:rStyle w:val="IndexLink"/>
                <w:rtl w:val="true"/>
              </w:rPr>
              <w:t>الأقوال في المسألة</w:t>
            </w:r>
            <w:r>
              <w:rPr>
                <w:rStyle w:val="IndexLink"/>
                <w:rtl w:val="true"/>
              </w:rPr>
              <w:tab/>
            </w:r>
            <w:r>
              <w:rPr>
                <w:rStyle w:val="IndexLink"/>
              </w:rPr>
              <w:t>742</w:t>
            </w:r>
          </w:hyperlink>
        </w:p>
        <w:p>
          <w:pPr>
            <w:pStyle w:val="Contents4"/>
            <w:tabs>
              <w:tab w:val="clear" w:pos="8176"/>
              <w:tab w:val="right" w:pos="9026" w:leader="dot"/>
            </w:tabs>
            <w:rPr/>
          </w:pPr>
          <w:hyperlink w:anchor="__RefHeading___Toc5417051_2870459653">
            <w:r>
              <w:rPr>
                <w:webHidden/>
                <w:rStyle w:val="IndexLink"/>
                <w:rtl w:val="true"/>
              </w:rPr>
              <w:t>أدلة القائلين بعدم وجوب طلاق الخلع</w:t>
            </w:r>
            <w:r>
              <w:rPr>
                <w:rStyle w:val="IndexLink"/>
                <w:rtl w:val="true"/>
              </w:rPr>
              <w:tab/>
            </w:r>
            <w:r>
              <w:rPr>
                <w:rStyle w:val="IndexLink"/>
              </w:rPr>
              <w:t>743</w:t>
            </w:r>
          </w:hyperlink>
        </w:p>
        <w:p>
          <w:pPr>
            <w:pStyle w:val="Contents5"/>
            <w:tabs>
              <w:tab w:val="clear" w:pos="7892"/>
              <w:tab w:val="right" w:pos="9026" w:leader="dot"/>
            </w:tabs>
            <w:rPr/>
          </w:pPr>
          <w:hyperlink w:anchor="__RefHeading___Toc5417053_2870459653">
            <w:r>
              <w:rPr>
                <w:webHidden/>
                <w:rStyle w:val="IndexLink"/>
                <w:rtl w:val="true"/>
              </w:rPr>
              <w:t>اشارة</w:t>
            </w:r>
            <w:r>
              <w:rPr>
                <w:rStyle w:val="IndexLink"/>
                <w:rtl w:val="true"/>
              </w:rPr>
              <w:tab/>
            </w:r>
            <w:r>
              <w:rPr>
                <w:rStyle w:val="IndexLink"/>
              </w:rPr>
              <w:t>743</w:t>
            </w:r>
          </w:hyperlink>
        </w:p>
        <w:p>
          <w:pPr>
            <w:pStyle w:val="Contents5"/>
            <w:tabs>
              <w:tab w:val="clear" w:pos="7892"/>
              <w:tab w:val="right" w:pos="9026" w:leader="dot"/>
            </w:tabs>
            <w:rPr/>
          </w:pPr>
          <w:hyperlink w:anchor="__RefHeading___Toc5417055_2870459653">
            <w:r>
              <w:rPr>
                <w:webHidden/>
                <w:rStyle w:val="IndexLink"/>
                <w:rtl w:val="true"/>
              </w:rPr>
              <w:t>الإشكال على الاستدلال الأوّل</w:t>
            </w:r>
            <w:r>
              <w:rPr>
                <w:rStyle w:val="IndexLink"/>
                <w:rtl w:val="true"/>
              </w:rPr>
              <w:tab/>
            </w:r>
            <w:r>
              <w:rPr>
                <w:rStyle w:val="IndexLink"/>
              </w:rPr>
              <w:t>744</w:t>
            </w:r>
          </w:hyperlink>
        </w:p>
        <w:p>
          <w:pPr>
            <w:pStyle w:val="Contents5"/>
            <w:tabs>
              <w:tab w:val="clear" w:pos="7892"/>
              <w:tab w:val="right" w:pos="9026" w:leader="dot"/>
            </w:tabs>
            <w:rPr/>
          </w:pPr>
          <w:hyperlink w:anchor="__RefHeading___Toc5417057_2870459653">
            <w:r>
              <w:rPr>
                <w:webHidden/>
                <w:rStyle w:val="IndexLink"/>
                <w:rtl w:val="true"/>
              </w:rPr>
              <w:t>الإشكال على الاستدلال الثاني</w:t>
            </w:r>
            <w:r>
              <w:rPr>
                <w:rStyle w:val="IndexLink"/>
                <w:rtl w:val="true"/>
              </w:rPr>
              <w:tab/>
            </w:r>
            <w:r>
              <w:rPr>
                <w:rStyle w:val="IndexLink"/>
              </w:rPr>
              <w:t>744</w:t>
            </w:r>
          </w:hyperlink>
        </w:p>
        <w:p>
          <w:pPr>
            <w:pStyle w:val="Contents3"/>
            <w:tabs>
              <w:tab w:val="clear" w:pos="8459"/>
              <w:tab w:val="right" w:pos="9026" w:leader="dot"/>
            </w:tabs>
            <w:rPr/>
          </w:pPr>
          <w:hyperlink w:anchor="__RefHeading___Toc5417059_2870459653">
            <w:r>
              <w:rPr>
                <w:webHidden/>
                <w:rStyle w:val="IndexLink"/>
                <w:rtl w:val="true"/>
              </w:rPr>
              <w:t>أدلّة القائلين بوجوب طلاق الخُلع</w:t>
            </w:r>
            <w:r>
              <w:rPr>
                <w:rStyle w:val="IndexLink"/>
                <w:rtl w:val="true"/>
              </w:rPr>
              <w:tab/>
            </w:r>
            <w:r>
              <w:rPr>
                <w:rStyle w:val="IndexLink"/>
              </w:rPr>
              <w:t>746</w:t>
            </w:r>
          </w:hyperlink>
        </w:p>
        <w:p>
          <w:pPr>
            <w:pStyle w:val="Contents4"/>
            <w:tabs>
              <w:tab w:val="clear" w:pos="8176"/>
              <w:tab w:val="right" w:pos="9026" w:leader="dot"/>
            </w:tabs>
            <w:rPr/>
          </w:pPr>
          <w:hyperlink w:anchor="__RefHeading___Toc5417061_2870459653">
            <w:r>
              <w:rPr>
                <w:webHidden/>
                <w:rStyle w:val="IndexLink"/>
                <w:rtl w:val="true"/>
              </w:rPr>
              <w:t>اشارة</w:t>
            </w:r>
            <w:r>
              <w:rPr>
                <w:rStyle w:val="IndexLink"/>
                <w:rtl w:val="true"/>
              </w:rPr>
              <w:tab/>
            </w:r>
            <w:r>
              <w:rPr>
                <w:rStyle w:val="IndexLink"/>
              </w:rPr>
              <w:t>746</w:t>
            </w:r>
          </w:hyperlink>
        </w:p>
        <w:p>
          <w:pPr>
            <w:pStyle w:val="Contents4"/>
            <w:tabs>
              <w:tab w:val="clear" w:pos="8176"/>
              <w:tab w:val="right" w:pos="9026" w:leader="dot"/>
            </w:tabs>
            <w:rPr/>
          </w:pPr>
          <w:hyperlink w:anchor="__RefHeading___Toc5417063_2870459653">
            <w:r>
              <w:rPr>
                <w:webHidden/>
                <w:rStyle w:val="IndexLink"/>
              </w:rPr>
              <w:t>1</w:t>
            </w:r>
            <w:r>
              <w:rPr>
                <w:rStyle w:val="IndexLink"/>
                <w:rtl w:val="true"/>
              </w:rPr>
              <w:t xml:space="preserve">. </w:t>
            </w:r>
            <w:r>
              <w:rPr>
                <w:rStyle w:val="IndexLink"/>
                <w:rtl w:val="true"/>
              </w:rPr>
              <w:t>وجوب النهي عن المنكر</w:t>
            </w:r>
            <w:r>
              <w:rPr>
                <w:rStyle w:val="IndexLink"/>
                <w:rtl w:val="true"/>
              </w:rPr>
              <w:tab/>
            </w:r>
            <w:r>
              <w:rPr>
                <w:rStyle w:val="IndexLink"/>
              </w:rPr>
              <w:t>747</w:t>
            </w:r>
          </w:hyperlink>
        </w:p>
        <w:p>
          <w:pPr>
            <w:pStyle w:val="Contents5"/>
            <w:tabs>
              <w:tab w:val="clear" w:pos="7892"/>
              <w:tab w:val="right" w:pos="9026" w:leader="dot"/>
            </w:tabs>
            <w:rPr/>
          </w:pPr>
          <w:hyperlink w:anchor="__RefHeading___Toc5417065_2870459653">
            <w:r>
              <w:rPr>
                <w:webHidden/>
                <w:rStyle w:val="IndexLink"/>
                <w:rtl w:val="true"/>
              </w:rPr>
              <w:t>اشارة</w:t>
            </w:r>
            <w:r>
              <w:rPr>
                <w:rStyle w:val="IndexLink"/>
                <w:rtl w:val="true"/>
              </w:rPr>
              <w:tab/>
            </w:r>
            <w:r>
              <w:rPr>
                <w:rStyle w:val="IndexLink"/>
              </w:rPr>
              <w:t>747</w:t>
            </w:r>
          </w:hyperlink>
        </w:p>
        <w:p>
          <w:pPr>
            <w:pStyle w:val="Contents5"/>
            <w:tabs>
              <w:tab w:val="clear" w:pos="7892"/>
              <w:tab w:val="right" w:pos="9026" w:leader="dot"/>
            </w:tabs>
            <w:rPr/>
          </w:pPr>
          <w:hyperlink w:anchor="__RefHeading___Toc5417067_2870459653">
            <w:r>
              <w:rPr>
                <w:webHidden/>
                <w:rStyle w:val="IndexLink"/>
                <w:rtl w:val="true"/>
              </w:rPr>
              <w:t>الإشكالات الواردة على هذا الاستدلال</w:t>
            </w:r>
            <w:r>
              <w:rPr>
                <w:rStyle w:val="IndexLink"/>
                <w:rtl w:val="true"/>
              </w:rPr>
              <w:tab/>
            </w:r>
            <w:r>
              <w:rPr>
                <w:rStyle w:val="IndexLink"/>
              </w:rPr>
              <w:t>747</w:t>
            </w:r>
          </w:hyperlink>
        </w:p>
        <w:p>
          <w:pPr>
            <w:pStyle w:val="Contents5"/>
            <w:tabs>
              <w:tab w:val="clear" w:pos="7892"/>
              <w:tab w:val="right" w:pos="9026" w:leader="dot"/>
            </w:tabs>
            <w:rPr/>
          </w:pPr>
          <w:hyperlink w:anchor="__RefHeading___Toc5417069_2870459653">
            <w:r>
              <w:rPr>
                <w:webHidden/>
                <w:rStyle w:val="IndexLink"/>
                <w:rtl w:val="true"/>
              </w:rPr>
              <w:t>الإشكال الأوّل وردّه</w:t>
            </w:r>
            <w:r>
              <w:rPr>
                <w:rStyle w:val="IndexLink"/>
                <w:rtl w:val="true"/>
              </w:rPr>
              <w:tab/>
            </w:r>
            <w:r>
              <w:rPr>
                <w:rStyle w:val="IndexLink"/>
              </w:rPr>
              <w:t>747</w:t>
            </w:r>
          </w:hyperlink>
        </w:p>
        <w:p>
          <w:pPr>
            <w:pStyle w:val="Contents5"/>
            <w:tabs>
              <w:tab w:val="clear" w:pos="7892"/>
              <w:tab w:val="right" w:pos="9026" w:leader="dot"/>
            </w:tabs>
            <w:rPr/>
          </w:pPr>
          <w:hyperlink w:anchor="__RefHeading___Toc5417071_2870459653">
            <w:r>
              <w:rPr>
                <w:webHidden/>
                <w:rStyle w:val="IndexLink"/>
                <w:rtl w:val="true"/>
              </w:rPr>
              <w:t>الإشكال الثاني وجوابه</w:t>
            </w:r>
            <w:r>
              <w:rPr>
                <w:rStyle w:val="IndexLink"/>
                <w:rtl w:val="true"/>
              </w:rPr>
              <w:tab/>
            </w:r>
            <w:r>
              <w:rPr>
                <w:rStyle w:val="IndexLink"/>
              </w:rPr>
              <w:t>748</w:t>
            </w:r>
          </w:hyperlink>
        </w:p>
        <w:p>
          <w:pPr>
            <w:pStyle w:val="Contents6"/>
            <w:tabs>
              <w:tab w:val="clear" w:pos="7609"/>
              <w:tab w:val="right" w:pos="9026" w:leader="dot"/>
            </w:tabs>
            <w:rPr/>
          </w:pPr>
          <w:hyperlink w:anchor="__RefHeading___Toc5417073_2870459653">
            <w:r>
              <w:rPr>
                <w:webHidden/>
                <w:rStyle w:val="IndexLink"/>
                <w:rtl w:val="true"/>
              </w:rPr>
              <w:t>اشارة</w:t>
            </w:r>
            <w:r>
              <w:rPr>
                <w:rStyle w:val="IndexLink"/>
                <w:rtl w:val="true"/>
              </w:rPr>
              <w:tab/>
            </w:r>
            <w:r>
              <w:rPr>
                <w:rStyle w:val="IndexLink"/>
              </w:rPr>
              <w:t>748</w:t>
            </w:r>
          </w:hyperlink>
        </w:p>
        <w:p>
          <w:pPr>
            <w:pStyle w:val="Contents5"/>
            <w:tabs>
              <w:tab w:val="clear" w:pos="7892"/>
              <w:tab w:val="right" w:pos="9026" w:leader="dot"/>
            </w:tabs>
            <w:rPr/>
          </w:pPr>
          <w:hyperlink w:anchor="__RefHeading___Toc5417075_2870459653">
            <w:r>
              <w:rPr>
                <w:webHidden/>
                <w:rStyle w:val="IndexLink"/>
                <w:rtl w:val="true"/>
              </w:rPr>
              <w:t>الإشكال الثالث والجواب عنه</w:t>
            </w:r>
            <w:r>
              <w:rPr>
                <w:rStyle w:val="IndexLink"/>
                <w:rtl w:val="true"/>
              </w:rPr>
              <w:tab/>
            </w:r>
            <w:r>
              <w:rPr>
                <w:rStyle w:val="IndexLink"/>
              </w:rPr>
              <w:t>749</w:t>
            </w:r>
          </w:hyperlink>
        </w:p>
        <w:p>
          <w:pPr>
            <w:pStyle w:val="Contents4"/>
            <w:tabs>
              <w:tab w:val="clear" w:pos="8176"/>
              <w:tab w:val="right" w:pos="9026" w:leader="dot"/>
            </w:tabs>
            <w:rPr/>
          </w:pPr>
          <w:hyperlink w:anchor="__RefHeading___Toc5417077_2870459653">
            <w:r>
              <w:rPr>
                <w:webHidden/>
                <w:rStyle w:val="IndexLink"/>
              </w:rPr>
              <w:t>2</w:t>
            </w:r>
            <w:r>
              <w:rPr>
                <w:rStyle w:val="IndexLink"/>
                <w:rtl w:val="true"/>
              </w:rPr>
              <w:t xml:space="preserve">. </w:t>
            </w:r>
            <w:r>
              <w:rPr>
                <w:rStyle w:val="IndexLink"/>
                <w:rtl w:val="true"/>
              </w:rPr>
              <w:t>الارتكاز والاعتبار العقلائي في العقود</w:t>
            </w:r>
            <w:r>
              <w:rPr>
                <w:rStyle w:val="IndexLink"/>
                <w:rtl w:val="true"/>
              </w:rPr>
              <w:tab/>
            </w:r>
            <w:r>
              <w:rPr>
                <w:rStyle w:val="IndexLink"/>
              </w:rPr>
              <w:t>751</w:t>
            </w:r>
          </w:hyperlink>
        </w:p>
        <w:p>
          <w:pPr>
            <w:pStyle w:val="Contents4"/>
            <w:tabs>
              <w:tab w:val="clear" w:pos="8176"/>
              <w:tab w:val="right" w:pos="9026" w:leader="dot"/>
            </w:tabs>
            <w:rPr/>
          </w:pPr>
          <w:hyperlink w:anchor="__RefHeading___Toc5417079_2870459653">
            <w:r>
              <w:rPr>
                <w:webHidden/>
                <w:rStyle w:val="IndexLink"/>
              </w:rPr>
              <w:t>3</w:t>
            </w:r>
            <w:r>
              <w:rPr>
                <w:rStyle w:val="IndexLink"/>
                <w:rtl w:val="true"/>
              </w:rPr>
              <w:t xml:space="preserve">. </w:t>
            </w:r>
            <w:r>
              <w:rPr>
                <w:rStyle w:val="IndexLink"/>
                <w:rtl w:val="true"/>
              </w:rPr>
              <w:t>حكم العقل</w:t>
            </w:r>
            <w:r>
              <w:rPr>
                <w:rStyle w:val="IndexLink"/>
                <w:rtl w:val="true"/>
              </w:rPr>
              <w:tab/>
            </w:r>
            <w:r>
              <w:rPr>
                <w:rStyle w:val="IndexLink"/>
              </w:rPr>
              <w:t>753</w:t>
            </w:r>
          </w:hyperlink>
        </w:p>
        <w:p>
          <w:pPr>
            <w:pStyle w:val="Contents3"/>
            <w:tabs>
              <w:tab w:val="clear" w:pos="8459"/>
              <w:tab w:val="right" w:pos="9026" w:leader="dot"/>
            </w:tabs>
            <w:rPr/>
          </w:pPr>
          <w:hyperlink w:anchor="__RefHeading___Toc5417081_2870459653">
            <w:r>
              <w:rPr>
                <w:webHidden/>
                <w:rStyle w:val="IndexLink"/>
                <w:rtl w:val="true"/>
              </w:rPr>
              <w:t>إشكالات على مبدأ القول بوجوب الخُلع</w:t>
            </w:r>
            <w:r>
              <w:rPr>
                <w:rStyle w:val="IndexLink"/>
                <w:rtl w:val="true"/>
              </w:rPr>
              <w:tab/>
            </w:r>
            <w:r>
              <w:rPr>
                <w:rStyle w:val="IndexLink"/>
              </w:rPr>
              <w:t>754</w:t>
            </w:r>
          </w:hyperlink>
        </w:p>
        <w:p>
          <w:pPr>
            <w:pStyle w:val="Contents4"/>
            <w:tabs>
              <w:tab w:val="clear" w:pos="8176"/>
              <w:tab w:val="right" w:pos="9026" w:leader="dot"/>
            </w:tabs>
            <w:rPr/>
          </w:pPr>
          <w:hyperlink w:anchor="__RefHeading___Toc5417083_2870459653">
            <w:r>
              <w:rPr>
                <w:webHidden/>
                <w:rStyle w:val="IndexLink"/>
                <w:rtl w:val="true"/>
              </w:rPr>
              <w:t>اشارة</w:t>
            </w:r>
            <w:r>
              <w:rPr>
                <w:rStyle w:val="IndexLink"/>
                <w:rtl w:val="true"/>
              </w:rPr>
              <w:tab/>
            </w:r>
            <w:r>
              <w:rPr>
                <w:rStyle w:val="IndexLink"/>
              </w:rPr>
              <w:t>754</w:t>
            </w:r>
          </w:hyperlink>
        </w:p>
        <w:p>
          <w:pPr>
            <w:pStyle w:val="Contents4"/>
            <w:tabs>
              <w:tab w:val="clear" w:pos="8176"/>
              <w:tab w:val="right" w:pos="9026" w:leader="dot"/>
            </w:tabs>
            <w:rPr/>
          </w:pPr>
          <w:hyperlink w:anchor="__RefHeading___Toc5417085_2870459653">
            <w:r>
              <w:rPr>
                <w:webHidden/>
                <w:rStyle w:val="IndexLink"/>
                <w:rtl w:val="true"/>
              </w:rPr>
              <w:t>الإشكال الأوّل</w:t>
            </w:r>
            <w:r>
              <w:rPr>
                <w:rStyle w:val="IndexLink"/>
                <w:rtl w:val="true"/>
              </w:rPr>
              <w:tab/>
            </w:r>
            <w:r>
              <w:rPr>
                <w:rStyle w:val="IndexLink"/>
              </w:rPr>
              <w:t>754</w:t>
            </w:r>
          </w:hyperlink>
        </w:p>
        <w:p>
          <w:pPr>
            <w:pStyle w:val="Contents5"/>
            <w:tabs>
              <w:tab w:val="clear" w:pos="7892"/>
              <w:tab w:val="right" w:pos="9026" w:leader="dot"/>
            </w:tabs>
            <w:rPr/>
          </w:pPr>
          <w:hyperlink w:anchor="__RefHeading___Toc5417087_2870459653">
            <w:r>
              <w:rPr>
                <w:webHidden/>
                <w:rStyle w:val="IndexLink"/>
                <w:rtl w:val="true"/>
              </w:rPr>
              <w:t>اشارة</w:t>
            </w:r>
            <w:r>
              <w:rPr>
                <w:rStyle w:val="IndexLink"/>
                <w:rtl w:val="true"/>
              </w:rPr>
              <w:tab/>
            </w:r>
            <w:r>
              <w:rPr>
                <w:rStyle w:val="IndexLink"/>
              </w:rPr>
              <w:t>754</w:t>
            </w:r>
          </w:hyperlink>
        </w:p>
        <w:p>
          <w:pPr>
            <w:pStyle w:val="Contents5"/>
            <w:tabs>
              <w:tab w:val="clear" w:pos="7892"/>
              <w:tab w:val="right" w:pos="9026" w:leader="dot"/>
            </w:tabs>
            <w:rPr/>
          </w:pPr>
          <w:hyperlink w:anchor="__RefHeading___Toc5417089_2870459653">
            <w:r>
              <w:rPr>
                <w:webHidden/>
                <w:rStyle w:val="IndexLink"/>
                <w:rtl w:val="true"/>
              </w:rPr>
              <w:t>دراسة في الحديث النبوي</w:t>
            </w:r>
            <w:r>
              <w:rPr>
                <w:rStyle w:val="IndexLink"/>
                <w:rtl w:val="true"/>
              </w:rPr>
              <w:t>:«</w:t>
            </w:r>
            <w:r>
              <w:rPr>
                <w:rStyle w:val="IndexLink"/>
                <w:rtl w:val="true"/>
              </w:rPr>
              <w:t>الطلاق بيد من أخذ بالساق</w:t>
            </w:r>
            <w:r>
              <w:rPr>
                <w:rStyle w:val="IndexLink"/>
                <w:rtl w:val="true"/>
              </w:rPr>
              <w:t>»</w:t>
              <w:tab/>
            </w:r>
            <w:r>
              <w:rPr>
                <w:rStyle w:val="IndexLink"/>
              </w:rPr>
              <w:t>755</w:t>
            </w:r>
          </w:hyperlink>
        </w:p>
        <w:p>
          <w:pPr>
            <w:pStyle w:val="Contents4"/>
            <w:tabs>
              <w:tab w:val="clear" w:pos="8176"/>
              <w:tab w:val="right" w:pos="9026" w:leader="dot"/>
            </w:tabs>
            <w:rPr/>
          </w:pPr>
          <w:hyperlink w:anchor="__RefHeading___Toc5417091_2870459653">
            <w:r>
              <w:rPr>
                <w:webHidden/>
                <w:rStyle w:val="IndexLink"/>
                <w:rtl w:val="true"/>
              </w:rPr>
              <w:t>الإشكال الثاني</w:t>
            </w:r>
            <w:r>
              <w:rPr>
                <w:rStyle w:val="IndexLink"/>
                <w:rtl w:val="true"/>
              </w:rPr>
              <w:tab/>
            </w:r>
            <w:r>
              <w:rPr>
                <w:rStyle w:val="IndexLink"/>
              </w:rPr>
              <w:t>758</w:t>
            </w:r>
          </w:hyperlink>
        </w:p>
        <w:p>
          <w:pPr>
            <w:pStyle w:val="Contents5"/>
            <w:tabs>
              <w:tab w:val="clear" w:pos="7892"/>
              <w:tab w:val="right" w:pos="9026" w:leader="dot"/>
            </w:tabs>
            <w:rPr/>
          </w:pPr>
          <w:hyperlink w:anchor="__RefHeading___Toc5417093_2870459653">
            <w:r>
              <w:rPr>
                <w:webHidden/>
                <w:rStyle w:val="IndexLink"/>
                <w:rtl w:val="true"/>
              </w:rPr>
              <w:t>اشارة</w:t>
            </w:r>
            <w:r>
              <w:rPr>
                <w:rStyle w:val="IndexLink"/>
                <w:rtl w:val="true"/>
              </w:rPr>
              <w:tab/>
            </w:r>
            <w:r>
              <w:rPr>
                <w:rStyle w:val="IndexLink"/>
              </w:rPr>
              <w:t>758</w:t>
            </w:r>
          </w:hyperlink>
        </w:p>
        <w:p>
          <w:pPr>
            <w:pStyle w:val="Contents5"/>
            <w:tabs>
              <w:tab w:val="clear" w:pos="7892"/>
              <w:tab w:val="right" w:pos="9026" w:leader="dot"/>
            </w:tabs>
            <w:rPr/>
          </w:pPr>
          <w:hyperlink w:anchor="__RefHeading___Toc5417095_2870459653">
            <w:r>
              <w:rPr>
                <w:webHidden/>
                <w:rStyle w:val="IndexLink"/>
                <w:rtl w:val="true"/>
              </w:rPr>
              <w:t>جواب الإشكال</w:t>
            </w:r>
            <w:r>
              <w:rPr>
                <w:rStyle w:val="IndexLink"/>
                <w:rtl w:val="true"/>
              </w:rPr>
              <w:tab/>
            </w:r>
            <w:r>
              <w:rPr>
                <w:rStyle w:val="IndexLink"/>
              </w:rPr>
              <w:t>759</w:t>
            </w:r>
          </w:hyperlink>
        </w:p>
        <w:p>
          <w:pPr>
            <w:pStyle w:val="Contents4"/>
            <w:tabs>
              <w:tab w:val="clear" w:pos="8176"/>
              <w:tab w:val="right" w:pos="9026" w:leader="dot"/>
            </w:tabs>
            <w:rPr/>
          </w:pPr>
          <w:hyperlink w:anchor="__RefHeading___Toc5417097_2870459653">
            <w:r>
              <w:rPr>
                <w:webHidden/>
                <w:rStyle w:val="IndexLink"/>
                <w:rtl w:val="true"/>
              </w:rPr>
              <w:t>الإشكال الثالث</w:t>
            </w:r>
            <w:r>
              <w:rPr>
                <w:rStyle w:val="IndexLink"/>
                <w:rtl w:val="true"/>
              </w:rPr>
              <w:tab/>
            </w:r>
            <w:r>
              <w:rPr>
                <w:rStyle w:val="IndexLink"/>
              </w:rPr>
              <w:t>761</w:t>
            </w:r>
          </w:hyperlink>
        </w:p>
        <w:p>
          <w:pPr>
            <w:pStyle w:val="Contents5"/>
            <w:tabs>
              <w:tab w:val="clear" w:pos="7892"/>
              <w:tab w:val="right" w:pos="9026" w:leader="dot"/>
            </w:tabs>
            <w:rPr/>
          </w:pPr>
          <w:hyperlink w:anchor="__RefHeading___Toc5417099_2870459653">
            <w:r>
              <w:rPr>
                <w:webHidden/>
                <w:rStyle w:val="IndexLink"/>
                <w:rtl w:val="true"/>
              </w:rPr>
              <w:t>اشارة</w:t>
            </w:r>
            <w:r>
              <w:rPr>
                <w:rStyle w:val="IndexLink"/>
                <w:rtl w:val="true"/>
              </w:rPr>
              <w:tab/>
            </w:r>
            <w:r>
              <w:rPr>
                <w:rStyle w:val="IndexLink"/>
              </w:rPr>
              <w:t>761</w:t>
            </w:r>
          </w:hyperlink>
        </w:p>
        <w:p>
          <w:pPr>
            <w:pStyle w:val="Contents5"/>
            <w:tabs>
              <w:tab w:val="clear" w:pos="7892"/>
              <w:tab w:val="right" w:pos="9026" w:leader="dot"/>
            </w:tabs>
            <w:rPr/>
          </w:pPr>
          <w:hyperlink w:anchor="__RefHeading___Toc5417101_2870459653">
            <w:r>
              <w:rPr>
                <w:webHidden/>
                <w:rStyle w:val="IndexLink"/>
                <w:rtl w:val="true"/>
              </w:rPr>
              <w:t>دراسة الروايات وتحليلها</w:t>
            </w:r>
            <w:r>
              <w:rPr>
                <w:rStyle w:val="IndexLink"/>
                <w:rtl w:val="true"/>
              </w:rPr>
              <w:tab/>
            </w:r>
            <w:r>
              <w:rPr>
                <w:rStyle w:val="IndexLink"/>
              </w:rPr>
              <w:t>764</w:t>
            </w:r>
          </w:hyperlink>
        </w:p>
        <w:p>
          <w:pPr>
            <w:pStyle w:val="Contents3"/>
            <w:tabs>
              <w:tab w:val="clear" w:pos="8459"/>
              <w:tab w:val="right" w:pos="9026" w:leader="dot"/>
            </w:tabs>
            <w:rPr/>
          </w:pPr>
          <w:hyperlink w:anchor="__RefHeading___Toc5417103_2870459653">
            <w:r>
              <w:rPr>
                <w:webHidden/>
                <w:rStyle w:val="IndexLink"/>
                <w:rtl w:val="true"/>
              </w:rPr>
              <w:t>أدلّة القائلين بجواز أخذ الزائد على المهر</w:t>
            </w:r>
            <w:r>
              <w:rPr>
                <w:rStyle w:val="IndexLink"/>
                <w:rtl w:val="true"/>
              </w:rPr>
              <w:tab/>
            </w:r>
            <w:r>
              <w:rPr>
                <w:rStyle w:val="IndexLink"/>
              </w:rPr>
              <w:t>772</w:t>
            </w:r>
          </w:hyperlink>
        </w:p>
        <w:p>
          <w:pPr>
            <w:pStyle w:val="Contents3"/>
            <w:tabs>
              <w:tab w:val="clear" w:pos="8459"/>
              <w:tab w:val="right" w:pos="9026" w:leader="dot"/>
            </w:tabs>
            <w:rPr/>
          </w:pPr>
          <w:hyperlink w:anchor="__RefHeading___Toc5417105_2870459653">
            <w:r>
              <w:rPr>
                <w:webHidden/>
                <w:rStyle w:val="IndexLink"/>
                <w:rtl w:val="true"/>
              </w:rPr>
              <w:t>الاستنتاج والاستخلاص</w:t>
            </w:r>
            <w:r>
              <w:rPr>
                <w:rStyle w:val="IndexLink"/>
                <w:rtl w:val="true"/>
              </w:rPr>
              <w:tab/>
            </w:r>
            <w:r>
              <w:rPr>
                <w:rStyle w:val="IndexLink"/>
              </w:rPr>
              <w:t>773</w:t>
            </w:r>
          </w:hyperlink>
        </w:p>
        <w:p>
          <w:pPr>
            <w:pStyle w:val="Contents2"/>
            <w:tabs>
              <w:tab w:val="clear" w:pos="8743"/>
              <w:tab w:val="right" w:pos="9026" w:leader="dot"/>
            </w:tabs>
            <w:rPr/>
          </w:pPr>
          <w:hyperlink w:anchor="__RefHeading___Toc5417107_2870459653">
            <w:r>
              <w:rPr>
                <w:webHidden/>
                <w:rStyle w:val="IndexLink"/>
                <w:rtl w:val="true"/>
              </w:rPr>
              <w:t>مصادر التحقيق</w:t>
            </w:r>
            <w:r>
              <w:rPr>
                <w:rStyle w:val="IndexLink"/>
                <w:rtl w:val="true"/>
              </w:rPr>
              <w:tab/>
            </w:r>
            <w:r>
              <w:rPr>
                <w:rStyle w:val="IndexLink"/>
              </w:rPr>
              <w:t>775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75_99235"/>
      <w:bookmarkStart w:id="1" w:name="pg9375_99235"/>
      <w:bookmarkEnd w:id="1"/>
    </w:p>
    <w:p>
      <w:pPr>
        <w:pStyle w:val="Heading2"/>
        <w:numPr>
          <w:ilvl w:val="1"/>
          <w:numId w:val="1"/>
        </w:numPr>
        <w:rPr/>
      </w:pPr>
      <w:bookmarkStart w:id="2" w:name="pg9375_99235"/>
      <w:bookmarkStart w:id="3" w:name="__RefHeading___Toc5416417_2870459653"/>
      <w:bookmarkStart w:id="4" w:name="_Toc1"/>
      <w:bookmarkEnd w:id="2"/>
      <w:bookmarkEnd w:id="3"/>
      <w:r>
        <w:rPr>
          <w:rtl w:val="true"/>
        </w:rPr>
        <w:t>هویة الكتاب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Saanei, Yusuf</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فقه‌الثقلین کتاب‌الطلاق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والخلع والمباراة؛ الظهار ؛ الایلاء واللعان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لابحاث یوسف الصانعی؛ المقرر سیدضیاء المرتضوی؛ تحقیق موسسه فقه‌الثقلین‌الثقافیة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9786229473412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برگزیده و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فقه‌الثقلین فی شرح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فقه‌الثقلین فی شرح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Divorce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مرتضوی، سیدضیاء،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فقه الثقلین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8866873</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16419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هو الفتاح العلیم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فقه‌الثقلین‌الثقافیة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فقه‌الثقلین</w:t>
      </w:r>
    </w:p>
    <w:p>
      <w:pPr>
        <w:pStyle w:val="BookText"/>
        <w:rPr/>
      </w:pPr>
      <w:r>
        <w:rPr>
          <w:rFonts w:ascii="IRNazanin" w:hAnsi="IRNazanin" w:eastAsia="IRNazanin"/>
          <w:color w:val="111111"/>
          <w:sz w:val="28"/>
          <w:sz w:val="28"/>
          <w:szCs w:val="28"/>
          <w:rtl w:val="true"/>
          <w:lang w:bidi="fa-IR"/>
        </w:rPr>
        <w:t>کتاب‌الطلاق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والخلع والمباراة؛ الظهار ؛ الایلاء واللعان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لابحاث</w:t>
      </w:r>
    </w:p>
    <w:p>
      <w:pPr>
        <w:pStyle w:val="BookText"/>
        <w:rPr/>
      </w:pPr>
      <w:r>
        <w:rPr>
          <w:rFonts w:ascii="IRNazanin" w:hAnsi="IRNazanin" w:eastAsia="IRNazanin"/>
          <w:color w:val="111111"/>
          <w:sz w:val="28"/>
          <w:sz w:val="28"/>
          <w:szCs w:val="28"/>
          <w:rtl w:val="true"/>
          <w:lang w:bidi="fa-IR"/>
        </w:rPr>
        <w:t xml:space="preserve">آية الله العظمی الشيخ یوسف الصانعی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تحریرالوسیله</w:t>
      </w:r>
    </w:p>
    <w:p>
      <w:pPr>
        <w:pStyle w:val="BookText"/>
        <w:rPr/>
      </w:pPr>
      <w:r>
        <w:rPr>
          <w:rFonts w:ascii="IRNazanin" w:hAnsi="IRNazanin" w:eastAsia="IRNazanin"/>
          <w:color w:val="111111"/>
          <w:sz w:val="28"/>
          <w:sz w:val="28"/>
          <w:szCs w:val="28"/>
          <w:rtl w:val="true"/>
          <w:lang w:bidi="fa-IR"/>
        </w:rPr>
        <w:t>المقرر</w:t>
      </w:r>
    </w:p>
    <w:p>
      <w:pPr>
        <w:pStyle w:val="BookText"/>
        <w:rPr/>
      </w:pPr>
      <w:r>
        <w:rPr>
          <w:rFonts w:ascii="IRNazanin" w:hAnsi="IRNazanin" w:eastAsia="IRNazanin"/>
          <w:color w:val="111111"/>
          <w:sz w:val="28"/>
          <w:sz w:val="28"/>
          <w:szCs w:val="28"/>
          <w:rtl w:val="true"/>
          <w:lang w:bidi="fa-IR"/>
        </w:rPr>
        <w:t>سیدضیاء المرتضوی</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فقه الثقلین الثقافیة </w:t>
      </w:r>
      <w:bookmarkStart w:id="7" w:name="pg9375_99239"/>
    </w:p>
    <w:p>
      <w:pPr>
        <w:pStyle w:val="Heading2"/>
        <w:numPr>
          <w:ilvl w:val="1"/>
          <w:numId w:val="1"/>
        </w:numPr>
        <w:rPr/>
      </w:pPr>
      <w:bookmarkStart w:id="8" w:name="__RefHeading___Toc5416421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القول 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القول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الإشهاد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القول في أقسام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القول في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القول في 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القول في عدّة وطء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القول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کتاب الخلع والمباراة </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کتاب الظهار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کتاب الإیلاء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کتاب 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طلاق الخلع علی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75_99241"/>
      <w:bookmarkStart w:id="11" w:name="pg9375_99241"/>
      <w:bookmarkEnd w:id="11"/>
    </w:p>
    <w:p>
      <w:pPr>
        <w:pStyle w:val="Heading2"/>
        <w:numPr>
          <w:ilvl w:val="1"/>
          <w:numId w:val="1"/>
        </w:numPr>
        <w:rPr/>
      </w:pPr>
      <w:bookmarkStart w:id="12" w:name="pg9375_99241"/>
      <w:bookmarkStart w:id="13" w:name="__RefHeading___Toc5416423_2870459653"/>
      <w:bookmarkStart w:id="14" w:name="_Toc4"/>
      <w:bookmarkEnd w:id="12"/>
      <w:bookmarkEnd w:id="13"/>
      <w:r>
        <w:rPr>
          <w:rtl w:val="true"/>
        </w:rPr>
        <w:t>مقدّمة الناشر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نعمائه ، وله الشكر على حسن بلائه ، وصلّى الله على محمّد خاتم أنبيائه ، وآله الطاهرين حججه وأصفيائه وسلّم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بحمد الله ومنّه وحسن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التوفيق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سلسلة كتب القيّمة الفقهيّة لسماحة المرجع الديني والأُستاذ المفكّر المدقّق آية الله العظمى الشيخ يوسف الصانعي؛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الحقيقة، هذا أثر ثمين لتنقيح وتهذيب لما ألقاه في مجلس الدرس على أساس كتاب الطلاق والخلع والمباراة والظهار والإیلاء واللعان من تحرير الوسيلة لسيّده الأُستاذ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مبانيها، والنقض والإبرام في أدلّتها وكشف معضلاتها وتفسير مغمضاتها وتبيين اصطلاحاتها، في طیلة سنتین في جمّ غفير من الأفاضل وعدّة من الأعلام؛ منهم الفاضل المحقّق آية الله السیّد ضیاء المرتضوي سلمه الله تعالى الذي قرّر هذه المباحث بأحسن أُسلوب جدير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والجدير بالذكر أنّه قد طبع هذا الأثر مرّة في حیات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بهمّة مؤسّسة تنظیم ونشر آثار الإمام الخمیني، إلّا أنّه بعد الطبعة الأُولی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رأیه في مسألتین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من أقسام البائن،وهو الطلاق الثالث إذا وقع منه </w:t>
      </w:r>
    </w:p>
    <w:p>
      <w:pPr>
        <w:pStyle w:val="BookText"/>
        <w:rPr/>
      </w:pPr>
      <w:r>
        <w:rPr>
          <w:rFonts w:ascii="IRNazanin" w:hAnsi="IRNazanin" w:eastAsia="IRNazanin"/>
          <w:color w:val="111111"/>
          <w:sz w:val="28"/>
          <w:sz w:val="28"/>
          <w:szCs w:val="28"/>
          <w:rtl w:val="true"/>
          <w:lang w:bidi="fa-IR"/>
        </w:rPr>
        <w:t xml:space="preserve">الرجوعان؛ المسألة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من أنّ استیفاء العدد هادم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الخلع والمباراة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المناسب أن نحیي هذا التراث الفخم من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تصدّت مؤسّسة فقه الثقلین بهذه الطبعة الحديثة بعد مقابلته مع الطبعة الأُولی وملاحظة تحقيقه السابق واستخراج منابعه وتنظيم فهرس فنّي له، ونشره بهذه الصورة الأنيقة، مع تصحیح هاتین المسألتین وتصرّف جزئي في مسائل مترتّبة بهما بعد أخذ الإجازة من سماحة مقرّره سلّمه الله تعالی، وکذا إلحاق کراسة في وجوب طلاق الخلع علی الرجل طبقاً لنظریاته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أفاده في مجلس درسه بتقریر سماحة ولده الفاضل المکرم الشیخ فخرالدین الصانعي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ونخصّ بالذكر ونتوجّه بالشكر الخالص إلى الأخ الفاضل حجّة الإسلام والمسلمین الشيخ فخرالدين الصانعي لإشرافه وإعادة نظره في جميع مراحل العمل منذ بداياته حتّى انتهائه والملاحظة بجميع جوانبه، نسأل الله تعالى له مزيد التوفيق والسداد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يسعنا أخيراً إلّا وأن نتقدّم بجزيل شكرنا للإخوة في لجنة التحقيق في موسّستنا الموسوم بفقه الثقلین وکذا من ساعدونا في إخراج هذا الكتاب، سائلين الله لهم ولنا مزيد التوفيق في خدمة تراث العترة الطاهرة صلوات الله وسلامه عليهم أجمعين إنّه خير ناصر ومعين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نلتمس العذر من القارئ الكريم فيما يجده من عيوب أو يصادفه من هفوة قلم أو سهوٍ في عملنا هذا، فالعفو عند كرام الناس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التوفيق وهو حسبنا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فقه الثقلین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bookmarkStart w:id="15" w:name="pg9375_99243"/>
    </w:p>
    <w:p>
      <w:pPr>
        <w:pStyle w:val="Heading2"/>
        <w:numPr>
          <w:ilvl w:val="1"/>
          <w:numId w:val="1"/>
        </w:numPr>
        <w:rPr/>
      </w:pPr>
      <w:bookmarkStart w:id="16" w:name="__RefHeading___Toc5416425_2870459653"/>
      <w:bookmarkStart w:id="17" w:name="_Toc5"/>
      <w:bookmarkEnd w:id="1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p>
    <w:p>
      <w:pPr>
        <w:pStyle w:val="BookText"/>
        <w:rPr/>
      </w:pPr>
      <w:r>
        <w:rPr>
          <w:rFonts w:ascii="Amiri" w:hAnsi="Amiri" w:eastAsia="Amiri" w:cs="Amiri"/>
          <w:color w:val="111111"/>
          <w:sz w:val="28"/>
          <w:sz w:val="28"/>
          <w:szCs w:val="28"/>
          <w:rtl w:val="true"/>
          <w:lang w:bidi="ar-SA"/>
        </w:rPr>
        <w:t>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فممّا منَّ الله تعالى على هذا الحقير والعبد الذي لا يملك شيئاً ولا يقدر عليه، حضور جمّ من الأفاضل وعدّة من الأعلام، أيّدهم الله تعالى في مجلس الدرس، منهم العالم العلم التقيّ صاحب الفكر الثاقب والنظر الصائب والعارف بالزمان ولسانه، السيّد ضياء المرتضوي وفّقه الله تعالى لمرضاته وكثّر الله أمثاله، ولقد جدّ واجتهد في تنقيح مباحث الطلاق من بحث الفقير على ترتيب تحريرالوسيلة لسيّدنا الأُستاذ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نحو شرح له، بحسن سليقته وتوضيحه بجودة قريحته، فصار بحمدالله ومنّته صحيفة كافلة لمهمّات المسائل وتبيينها، فأسأل الله تعالى توفيقه وتأييده لبذل الجهد في طريق الحقّ وسبيل الهدى واستقامته على الصراط المستقيم وهو صراط الثقلين والمودّة لأهل‌البيت والمتابعة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الصانعي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375_99245"/>
      <w:bookmarkStart w:id="19" w:name="pg9375_99245"/>
      <w:bookmarkEnd w:id="19"/>
    </w:p>
    <w:p>
      <w:pPr>
        <w:pStyle w:val="Heading2"/>
        <w:numPr>
          <w:ilvl w:val="1"/>
          <w:numId w:val="1"/>
        </w:numPr>
        <w:rPr/>
      </w:pPr>
      <w:bookmarkStart w:id="20" w:name="pg9375_99245"/>
      <w:bookmarkStart w:id="21" w:name="__RefHeading___Toc5416427_2870459653"/>
      <w:bookmarkStart w:id="22" w:name="_Toc6"/>
      <w:bookmarkEnd w:id="20"/>
      <w:bookmarkEnd w:id="21"/>
      <w:r>
        <w:rPr>
          <w:rtl w:val="true"/>
        </w:rPr>
        <w:t>مقدّمة المقرّر</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آلائه وعظمته، فأحمدك اللّهمّ على عظيم إحسانك ونيّر برهانك ونواحي فضلك وامتنانك، حمداً يفتح لنا أبواب معرفتك ويدخلنا في سراديق أسرار كتابك، حمداً يهدينا إلى الاعتصام بحبلك ويرشدنا إلى معرفة شريعتك وأحكامك والتمسّك بسنّة نبيّك وآله خيرة خلقك، وصلّ اللّهمّ على محمّد وآله، مظاهر جمالك وجلالك وخزائن أسرار كتابك الذي تجلّى فيه الأحديّة بجميع أسمائك حتّى المستأثر منها الذي لا يعلمه غيرك، واللعن على ظالميهم أصل الشجرة الخبيثة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فهذا ما أفاضه الأُستاذ البارع، آية الله العظمى الشيخ يوسف الصانعي، من كتاب الطلاق وما يلحقه من المباحث في الخلع والمباراة والإيلاء والظهار واللعان وقد تلقّيته في مجلس الدرس ابتداءً من رابع ربيع الثاني،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على مهاجره آلاف التحيّة والثناء، وانتهاءً فيالثامن عشر من رجب المرجّب عام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 الموافق للعشرين من شهر آذر، عام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وممّا يجدر بالذكر أنّ سماحة الأُستاذ، انطلاقاً من تلمّذه عند الفقيه المجدّد والمرجع المجاهد، سماحة آية الله العظمى الإمام الخميني، قائد الثورة الإسلاميّة ومؤسّس الجمهوريّة الإسلاميّة في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وتثبيتاً لفقه الإمام وآرائه في الحوزة العلميّة قد أخذ كتاب تحريرالوسيلة مداراً لأكثر أبحاثه ومتناً لشرح آرائه وقطباً لإجالة أفكاره، فما اُقدّمه إليك هو شرح تفصيلي اجتهادي لكتاب الطلاق من تحريرالوسيلة وما يليه ويناسبه من الخلع والمباراة والظهار والإيلاء واللعان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كان في جهدي لتقرير المباحث وتنسيق المسائل ثواب فاُهديه أوّلاً إلى الفقيه النحرير والمجاهد المجدّد، محيي الشريعة المحمّديّة وصاحب الصولة الحيدريّة، العلّامة المفضال، أُستاذ الأُستاذ، آية الله العظمى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إلى روح العالم الماجد، والد الأُستاذ، حجّة الإسلام والمسلمين، الشيخ محمّد عليّ الصانعي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روح والدي المرحوم الحاج السيّد رضا المرتضوي وهو أبوالشهيد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 الله التوفيق والسداد والعفو وختام الخير، والحمد كلّه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العاصي السيّد ضياء المرتضوي </w:t>
      </w:r>
    </w:p>
    <w:p>
      <w:pPr>
        <w:pStyle w:val="BookText"/>
        <w:rPr/>
      </w:pPr>
      <w:r>
        <w:rPr>
          <w:rFonts w:ascii="IRNazanin" w:hAnsi="IRNazanin" w:eastAsia="IRNazanin"/>
          <w:color w:val="111111"/>
          <w:sz w:val="28"/>
          <w:sz w:val="28"/>
          <w:szCs w:val="28"/>
          <w:rtl w:val="true"/>
          <w:lang w:bidi="fa-IR"/>
        </w:rPr>
        <w:t>کتاب الطلاق</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ذکر أُمور</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375_99249"/>
      <w:bookmarkStart w:id="24" w:name="pg9375_99249"/>
      <w:bookmarkEnd w:id="24"/>
    </w:p>
    <w:p>
      <w:pPr>
        <w:pStyle w:val="Heading2"/>
        <w:numPr>
          <w:ilvl w:val="1"/>
          <w:numId w:val="1"/>
        </w:numPr>
        <w:rPr/>
      </w:pPr>
      <w:bookmarkStart w:id="25" w:name="pg9375_99249"/>
      <w:bookmarkStart w:id="26" w:name="__RefHeading___Toc5416429_2870459653"/>
      <w:bookmarkStart w:id="27" w:name="_Toc7"/>
      <w:bookmarkEnd w:id="25"/>
      <w:bookmarkEnd w:id="26"/>
      <w:r>
        <w:rPr>
          <w:rtl w:val="true"/>
        </w:rPr>
        <w:t>کتاب الطلاق</w:t>
      </w:r>
      <w:bookmarkEnd w:id="27"/>
    </w:p>
    <w:p>
      <w:pPr>
        <w:pStyle w:val="Heading3"/>
        <w:numPr>
          <w:ilvl w:val="2"/>
          <w:numId w:val="1"/>
        </w:numPr>
        <w:rPr/>
      </w:pPr>
      <w:bookmarkStart w:id="28" w:name="__RefHeading___Toc5416431_2870459653"/>
      <w:bookmarkStart w:id="29" w:name="_Toc8"/>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وله شروط وأقسام ولواحق وأحكام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5416433_2870459653"/>
      <w:bookmarkStart w:id="31" w:name="_Toc9"/>
      <w:bookmarkEnd w:id="30"/>
      <w:r>
        <w:rPr>
          <w:rtl w:val="true"/>
        </w:rPr>
        <w:t>(</w:t>
      </w:r>
      <w:r>
        <w:rPr/>
        <w:t>1</w:t>
      </w:r>
      <w:r>
        <w:rPr>
          <w:rtl w:val="true"/>
        </w:rPr>
        <w:t xml:space="preserve">) </w:t>
      </w:r>
      <w:r>
        <w:rPr>
          <w:rtl w:val="true"/>
        </w:rPr>
        <w:t>ينبغي ذكر أُمور قبل البحث في شروط الطلاق</w:t>
      </w:r>
      <w:r>
        <w:rPr>
          <w:rtl w:val="true"/>
        </w:rPr>
        <w:t>:</w:t>
      </w:r>
      <w:bookmarkEnd w:id="31"/>
    </w:p>
    <w:p>
      <w:pPr>
        <w:pStyle w:val="Heading3"/>
        <w:numPr>
          <w:ilvl w:val="2"/>
          <w:numId w:val="1"/>
        </w:numPr>
        <w:rPr/>
      </w:pPr>
      <w:bookmarkStart w:id="32" w:name="__RefHeading___Toc5416435_2870459653"/>
      <w:bookmarkStart w:id="33" w:name="_Toc10"/>
      <w:bookmarkEnd w:id="32"/>
      <w:r>
        <w:rPr>
          <w:rtl w:val="true"/>
        </w:rPr>
        <w:t>الأوّل</w:t>
      </w:r>
      <w:r>
        <w:rPr>
          <w:rtl w:val="true"/>
        </w:rPr>
        <w:t xml:space="preserve">: </w:t>
      </w:r>
      <w:r>
        <w:rPr>
          <w:rtl w:val="true"/>
        </w:rPr>
        <w:t>الطلاق من الأُمور التشریعیّة الإمضائیّة</w:t>
      </w:r>
      <w:bookmarkEnd w:id="33"/>
    </w:p>
    <w:p>
      <w:pPr>
        <w:pStyle w:val="BookText"/>
        <w:rPr/>
      </w:pPr>
      <w:r>
        <w:rPr>
          <w:rFonts w:ascii="Amiri" w:hAnsi="Amiri" w:eastAsia="Amiri" w:cs="Amiri"/>
          <w:color w:val="111111"/>
          <w:sz w:val="28"/>
          <w:sz w:val="28"/>
          <w:szCs w:val="28"/>
          <w:rtl w:val="true"/>
          <w:lang w:bidi="ar-SA"/>
        </w:rPr>
        <w:t>إنّ مشروعيّة الطلاق من ضروريّات الإسلام ولا كلام فيها، والحقّ أنّه من الأُمور التشريعيّة الإمضائيّة مع زيادة قيود وشروط، وكذا بالنسبة إلى الأحكام فيه، كما أشار إليه في الجواهر</w:t>
      </w:r>
      <w:r>
        <w:rPr>
          <w:rStyle w:val="FootnoteAnchor"/>
          <w:rtl w:val="true"/>
        </w:rPr>
        <w:footnoteReference w:id="2"/>
      </w:r>
      <w:r>
        <w:rPr>
          <w:rFonts w:ascii="IRNazanin" w:hAnsi="IRNazanin" w:eastAsia="IRNazanin"/>
          <w:color w:val="111111"/>
          <w:sz w:val="28"/>
          <w:sz w:val="28"/>
          <w:szCs w:val="28"/>
          <w:rtl w:val="true"/>
          <w:lang w:bidi="fa-IR"/>
        </w:rPr>
        <w:t>بأنّه ليس في العقود والإيقاعات حقيقة شرعيّة، ضرورة وجودها في هذه المعاني قبل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اعتبر في الصحيح منها أُموراً، وبهذا المعنى جعله الأصحاب معنىً شرعيّاً مقابلاً للمعنى اللغوي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عند الشكّ في شرط من الشروط، أو قيد من القيود، أو مانع من الموانع وعدم الدليل عليه، يرجع إلى ما هو المعمول عند العقلاء، فإنّ في عدم ردع الشارع من تلك الأُمور شهادة على اعتبار الرضا منه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كفاية محض عدم الردع، وإن لم يكن كاشفاً عن الرضا، كما يظهر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الكفاية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والظاهر أنّ سيرتهم على اتّباعها، من غير تقييد بإفادتها للظنّ فعلاً، ولا بعدم الظنّ كذلك على خلافها قطعاً، ضرورة أنّه لامجال عندهم للاعتذار عن مخالفتها بعدم إفادتها للظنّ بالوفاق، ولا بوجود الظنّ بالخلاف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فالأمر أوضح، بل يمكن القول بالرجوع إلى ما عندهم في تلك الأُمور، وإن كانت حادثة ولم تكن بمرأی ومنظر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مثل الرضا والإمضاء هو بناء من الأبنية العقلائيّة مع كون التغيّر والتبدّل في خصوصيّاتها من ناحية مضيّ الدهر والزمان أمراً طبيعيّاً ومعلوماً عادةً، فعدم الردع عن تلك الأُمور كاشفٌ عن الرضا، مثل ما كان بالمرأى والمنظر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العلم بالرضا مع عدم إمكان الردع؛ لعدم الوجود، كما هو المفروض؟</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كانت الشريعة متكفّلة لكلّ الأزمنة بالضرورة والبداهة، وأنّ الرسول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إلى الناس كافّة، كما صرّح به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أَرْسَلْنَاكَ إِلَّا كَافَّةً لِلنَّاسِ</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وأنّه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أكّد عليه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رَسُولُ اللهِ‌ِِ وَخَاتَمُ النَّبيّينَ</w:t>
      </w:r>
      <w:r>
        <w:rPr>
          <w:rFonts w:ascii="IRNazanin" w:hAnsi="IRNazanin" w:eastAsia="IRNazanin"/>
          <w:color w:val="111111"/>
          <w:sz w:val="28"/>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فلابدّ من تبيين الأحكام لكلّ الأزمنة بإعطاء القواعدالكلّيّة والضوابط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إرشادات وإشارات إلى هذا الأمر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موثّقة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بكتبكم، فإنّكم سوف تحتاجون إليها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وفي خبر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أُكتب، وبثّ علمك في إخوانك، فإن متّ فأورث كتبك بنيك، فإنّه يأتي على الناس زمان هرج لا يأنسون فيه إلّا بكتبهم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بل، وخبر أبي إسحاق السبيعي، عن بعض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بهذا الكلام، وحفظ عنه، وخطب به على منبر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لابدّ لك من حجج في أرضك، حجّة بعد حجّة على خلقك، يهدونهم إلى دينك ويعلّمونهم علمك، كىلا يتفرّق أتباع أوليائك، ظاهر غير مطاع، أو مكتتم يترقّب، إن غاب عن الناس شخصه في حال هدنتهم، فلم يغب عنهم قديم مبثوت علمهم، وآدابهم في قلوب المؤمنين مثبتة، فهم بها عاملون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وعلى كلّ حالٍ، عند حدوث أُمور في الطلاق في الاشتراط أو عدمه، وعدم الدليل على اعتباره يمكن الرجوع إلى ما هو المعتبر عندهم، ولا فرق في ذلك بين زمان الحضور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الدليل على الرضا منهم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متكفّلة لكلّ الأزمنة، وذلك بواسطة بيان القواعدالكلّيّة والضوابط العامّة، كما مرّ تفصيله</w:t>
      </w:r>
      <w:r>
        <w:rPr>
          <w:rFonts w:eastAsia="Amiri" w:cs="Amiri" w:ascii="Amiri" w:hAnsi="Amiri"/>
          <w:color w:val="111111"/>
          <w:sz w:val="28"/>
          <w:szCs w:val="28"/>
          <w:rtl w:val="true"/>
          <w:lang w:bidi="ar-SA"/>
        </w:rPr>
        <w:t>.</w:t>
      </w:r>
      <w:r>
        <w:rPr>
          <w:rStyle w:val="FootnoteAnchor"/>
          <w:rtl w:val="true"/>
        </w:rPr>
        <w:footnoteReference w:id="9"/>
      </w:r>
      <w:bookmarkStart w:id="34" w:name="pg9375_99252"/>
    </w:p>
    <w:p>
      <w:pPr>
        <w:pStyle w:val="BookText"/>
        <w:rPr/>
      </w:pPr>
      <w:bookmarkEnd w:id="3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5416437_2870459653"/>
      <w:bookmarkStart w:id="36" w:name="_Toc11"/>
      <w:bookmarkEnd w:id="35"/>
      <w:r>
        <w:rPr>
          <w:rtl w:val="true"/>
        </w:rPr>
        <w:t>الثاني</w:t>
      </w:r>
      <w:r>
        <w:rPr>
          <w:rtl w:val="true"/>
        </w:rPr>
        <w:t xml:space="preserve">: </w:t>
      </w:r>
      <w:r>
        <w:rPr>
          <w:rtl w:val="true"/>
        </w:rPr>
        <w:t>رجحان البحث عن الطلاق في قسم الإیقاعات</w:t>
      </w:r>
      <w:bookmarkEnd w:id="36"/>
    </w:p>
    <w:p>
      <w:pPr>
        <w:pStyle w:val="BookText"/>
        <w:rPr/>
      </w:pPr>
      <w:r>
        <w:rPr>
          <w:rFonts w:ascii="Amiri" w:hAnsi="Amiri" w:eastAsia="Amiri" w:cs="Amiri"/>
          <w:color w:val="111111"/>
          <w:sz w:val="28"/>
          <w:sz w:val="28"/>
          <w:szCs w:val="28"/>
          <w:rtl w:val="true"/>
          <w:lang w:bidi="ar-SA"/>
        </w:rPr>
        <w:t>قد ذكر مبحث الطلاق في الشرائع</w:t>
      </w:r>
      <w:r>
        <w:rPr>
          <w:rStyle w:val="FootnoteAnchor"/>
          <w:rtl w:val="true"/>
        </w:rPr>
        <w:footnoteReference w:id="10"/>
      </w:r>
      <w:r>
        <w:rPr>
          <w:rFonts w:ascii="Amiri" w:hAnsi="Amiri" w:eastAsia="Amiri" w:cs="Amiri"/>
          <w:color w:val="111111"/>
          <w:sz w:val="28"/>
          <w:sz w:val="28"/>
          <w:szCs w:val="28"/>
          <w:rtl w:val="true"/>
          <w:lang w:bidi="ar-SA"/>
        </w:rPr>
        <w:t>في الأوّل من القسم الثالث من الكتاب وهو الإيقاعات، وفيها أحد عشر كتاباً ومنها الإقرار</w:t>
      </w:r>
      <w:r>
        <w:rPr>
          <w:rStyle w:val="FootnoteAnchor"/>
          <w:rtl w:val="true"/>
        </w:rPr>
        <w:footnoteReference w:id="11"/>
      </w:r>
      <w:r>
        <w:rPr>
          <w:rFonts w:ascii="Amiri" w:hAnsi="Amiri" w:eastAsia="Amiri" w:cs="Amiri"/>
          <w:color w:val="111111"/>
          <w:sz w:val="28"/>
          <w:sz w:val="28"/>
          <w:szCs w:val="28"/>
          <w:rtl w:val="true"/>
          <w:lang w:bidi="ar-SA"/>
        </w:rPr>
        <w:t>مع أنّه إخبار، وذكره فيها من جهة المشابهة للإيقاع في الجملة، ففي الجواهر بعد بيان معناه اللغوي،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ليس من العقود والإيقاعات؛ لأنّه ليس بإنشاء، إلّا أنّه لمّا كان مشابهاً للإيقاع في الجملة، ذكره المصنّف فيها، ولذا عرّفه في الوسيلة</w:t>
      </w:r>
      <w:r>
        <w:rPr>
          <w:rStyle w:val="FootnoteAnchor"/>
          <w:rtl w:val="true"/>
        </w:rPr>
        <w:footnoteReference w:id="12"/>
      </w:r>
      <w:r>
        <w:rPr>
          <w:rFonts w:ascii="Amiri" w:hAnsi="Amiri" w:eastAsia="Amiri" w:cs="Amiri"/>
          <w:color w:val="111111"/>
          <w:sz w:val="28"/>
          <w:sz w:val="28"/>
          <w:szCs w:val="28"/>
          <w:rtl w:val="true"/>
          <w:lang w:bidi="ar-SA"/>
        </w:rPr>
        <w:t>بأنّه إخبار بحقٍّ على نفسه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ومثله بقيّة التعاريف، فكلّها مشتركة في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 والبحث عن الطلاق في قسم الإيقاعات هو الرائج في الكتب الفقهيّة قديماً وحديثاً، لكنّ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المفاتيح</w:t>
      </w:r>
      <w:r>
        <w:rPr>
          <w:rStyle w:val="FootnoteAnchor"/>
          <w:rtl w:val="true"/>
        </w:rPr>
        <w:footnoteReference w:id="14"/>
      </w:r>
      <w:r>
        <w:rPr>
          <w:rFonts w:ascii="Amiri" w:hAnsi="Amiri" w:eastAsia="Amiri" w:cs="Amiri"/>
          <w:color w:val="111111"/>
          <w:sz w:val="28"/>
          <w:sz w:val="28"/>
          <w:szCs w:val="28"/>
          <w:rtl w:val="true"/>
          <w:lang w:bidi="ar-SA"/>
        </w:rPr>
        <w:t>مشى طريقاً آخر في ترتيبه وجَعَله على فنّين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العبادات والسياسات، والثاني في المعاملات والعادات، وذَكَر الطلاق في الفنّ الثاني،</w:t>
      </w:r>
      <w:r>
        <w:rPr>
          <w:rStyle w:val="FootnoteAnchor"/>
          <w:rtl w:val="true"/>
        </w:rPr>
        <w:footnoteReference w:id="15"/>
      </w:r>
      <w:r>
        <w:rPr>
          <w:rFonts w:ascii="Amiri" w:hAnsi="Amiri" w:eastAsia="Amiri" w:cs="Amiri"/>
          <w:color w:val="111111"/>
          <w:sz w:val="28"/>
          <w:sz w:val="28"/>
          <w:szCs w:val="28"/>
          <w:rtl w:val="true"/>
          <w:lang w:bidi="ar-SA"/>
        </w:rPr>
        <w:t>إلّا أنّه متروكٌ، والرائج هو الراجح</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5416439_2870459653"/>
      <w:bookmarkStart w:id="38" w:name="_Toc12"/>
      <w:bookmarkEnd w:id="37"/>
      <w:r>
        <w:rPr>
          <w:rtl w:val="true"/>
        </w:rPr>
        <w:t>الثالث</w:t>
      </w:r>
      <w:r>
        <w:rPr>
          <w:rtl w:val="true"/>
        </w:rPr>
        <w:t xml:space="preserve">: </w:t>
      </w:r>
      <w:r>
        <w:rPr>
          <w:rtl w:val="true"/>
        </w:rPr>
        <w:t>وقوع الطلاق في الأزمان المختلفة</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مبحث الطلاق أقلّ رواية من النكاح، وكذا في اختلاف الأقوال، ويخطر </w:t>
      </w:r>
      <w:bookmarkStart w:id="39" w:name="pg9375_99253"/>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بالبال أنّ قلّة البحث في الطلاق تنشأ من قلّة الفروع؛ وذلك لقلّة ابتلاء المسلمين به في تلك الأزمنة، وأمّا في زماننا هذا، وهو سنة خمس عشرة وأربعمأة بعد الألف من الهجرة النبويّة على هاجرها وآله الصلوة والسلام، فالظاهر أنّها كثيرة بالنسبة، ولعلّ السرّ في ذلك هو شدّة تعبّدهم في تلك الأزمنة بأحكام الإسلام وما جاء به في الأخلاق الكريمة، وقلّة الأجهزة الإعلاميّة والارتباطيّة الموجبة لاطّلاع كثير من الناس على ما يجري ويحدث في المجتمعات الذي يؤدّي إلى التأثّر منها، وكذا التأثير فيها، وهذا بخلاف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فالانتحال إلى الدين والتقيّد به وإن كان متحقّقاً مرتبته العليا، لكن دور النشاطات الإعلاميّة والواسعة الحاصلة من تلك الأجهزة لا يخلو من المشاكل الجديدة والسلبيّات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فلابدّ من البحث في مسائله وفروعه وبيان ضوابطه وأُصوله مع لحاظ الزمان والمكان، فإنّهما مؤثّران في الفقه موضوعاً واستنباطاً</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5416441_2870459653"/>
      <w:bookmarkStart w:id="41" w:name="_Toc13"/>
      <w:bookmarkEnd w:id="40"/>
      <w:r>
        <w:rPr>
          <w:rtl w:val="true"/>
        </w:rPr>
        <w:t>الرابع</w:t>
      </w:r>
      <w:r>
        <w:rPr>
          <w:rtl w:val="true"/>
        </w:rPr>
        <w:t xml:space="preserve">: </w:t>
      </w:r>
      <w:r>
        <w:rPr>
          <w:rtl w:val="true"/>
        </w:rPr>
        <w:t>تعریف الطلاق</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الطلاق في اللغة</w:t>
      </w:r>
      <w:r>
        <w:rPr>
          <w:rStyle w:val="FootnoteAnchor"/>
          <w:rtl w:val="true"/>
        </w:rPr>
        <w:footnoteReference w:id="16"/>
      </w:r>
      <w:r>
        <w:rPr>
          <w:rFonts w:ascii="Amiri" w:hAnsi="Amiri" w:eastAsia="Amiri" w:cs="Amiri"/>
          <w:color w:val="111111"/>
          <w:sz w:val="28"/>
          <w:sz w:val="28"/>
          <w:szCs w:val="28"/>
          <w:rtl w:val="true"/>
          <w:lang w:bidi="ar-SA"/>
        </w:rPr>
        <w:t>بمعنى الإرسال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حلّ العقدأيضاً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العرف عبارة عن إرسال الزوجة وتركها وفراقها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حقيقة في </w:t>
      </w:r>
      <w:bookmarkStart w:id="42" w:name="pg9375_99254"/>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العرفي ويكون من باب تسمية الخاصّ باسم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المسالك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شرعاً إزالة قيد النكاح بصيغة طالق وشبهها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فليس بتمام؛ لأنّ الصيغة سبب للإزالة وهنا قد أخذ القيد في السبب، مضافاً إلى أنّه إن أُريد أخذ القيود فيه فإنّها أكثر من ذلك، مضافاً إلى أنّه أمر عرفي ولا يختصّ بالشرع، فلا معنى للتقييد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بعد وضوح حقيقة الطلاق وكون تلك التعاريف من باب شرح الاسم سهلٌ</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416443_2870459653"/>
      <w:bookmarkStart w:id="44" w:name="_Toc14"/>
      <w:bookmarkEnd w:id="43"/>
      <w:r>
        <w:rPr>
          <w:rtl w:val="true"/>
        </w:rPr>
        <w:t>الخامس</w:t>
      </w:r>
      <w:r>
        <w:rPr>
          <w:rtl w:val="true"/>
        </w:rPr>
        <w:t xml:space="preserve">: </w:t>
      </w:r>
      <w:r>
        <w:rPr>
          <w:rtl w:val="true"/>
        </w:rPr>
        <w:t>الأصل في الطلاق</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الطلاق هو الفساد؛ وذلك لاستصحاب بقاء الزوجيّة والنكاح وأحكامهما، كأصالة الفساد في العقود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أصالة الفساد فيه وفي العقود والإيقاعات ليست بمعناها الحقيقي، وهو استصحاب بقاء الفساد نفسه؛ لكونه مشكوكاً فيه من أوّل الأمر وفي الحالة السابقة، كما هو المفروض، بل هي بمعنى استصحاب ملازماته ومقارناته، فالأصل يجري في الحقيقة فيها لا في نفسه، ومثلها أصالة اللزوم</w:t>
      </w:r>
      <w:r>
        <w:rPr>
          <w:rStyle w:val="FootnoteAnchor"/>
          <w:rtl w:val="true"/>
        </w:rPr>
        <w:footnoteReference w:id="18"/>
      </w:r>
      <w:r>
        <w:rPr>
          <w:rFonts w:ascii="Amiri" w:hAnsi="Amiri" w:eastAsia="Amiri" w:cs="Amiri"/>
          <w:color w:val="111111"/>
          <w:sz w:val="28"/>
          <w:sz w:val="28"/>
          <w:szCs w:val="28"/>
          <w:rtl w:val="true"/>
          <w:lang w:bidi="ar-SA"/>
        </w:rPr>
        <w:t>في العقود عند معناها 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ينافي ما قلناه في بناء العقلاء؛ لأنّه وارد عليه، فإنّ بالرجوع إليه يرتفع الشكّ</w:t>
      </w:r>
      <w:r>
        <w:rPr>
          <w:rFonts w:eastAsia="Amiri" w:cs="Amiri" w:ascii="Amiri" w:hAnsi="Amiri"/>
          <w:color w:val="111111"/>
          <w:sz w:val="28"/>
          <w:szCs w:val="28"/>
          <w:rtl w:val="true"/>
          <w:lang w:bidi="ar-SA"/>
        </w:rPr>
        <w:t xml:space="preserve">. </w:t>
      </w:r>
      <w:bookmarkStart w:id="45" w:name="pg9375_99255"/>
    </w:p>
    <w:p>
      <w:pPr>
        <w:pStyle w:val="BookText"/>
        <w:rPr/>
      </w:pPr>
      <w:bookmarkEnd w:id="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مقتضى الأصل اللفظي هو الصحّة؛ قضاءً لإطلاق كتاب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وإن أبيت فلا أقلّ من الإطلاق المقامي، وأمّا سائر آيات الطلاق، وهي كثيرة فليس لها إطلاق؛ لأنّها في مقام بيان سائر الأحكام بعد الفراغ عن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روايات المسألة، والحصر الموجود في بعض الروايات هو إضافي ناظر إلى أقوال العامّة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416445_2870459653"/>
      <w:bookmarkStart w:id="47" w:name="_Toc15"/>
      <w:bookmarkEnd w:id="46"/>
      <w:r>
        <w:rPr>
          <w:rtl w:val="true"/>
        </w:rPr>
        <w:t>السادس</w:t>
      </w:r>
      <w:r>
        <w:rPr>
          <w:rtl w:val="true"/>
        </w:rPr>
        <w:t xml:space="preserve">: </w:t>
      </w:r>
      <w:r>
        <w:rPr>
          <w:rtl w:val="true"/>
        </w:rPr>
        <w:t>کراهة الطلاق في الأخبار</w:t>
      </w:r>
      <w:bookmarkEnd w:id="47"/>
    </w:p>
    <w:p>
      <w:pPr>
        <w:pStyle w:val="BookText"/>
        <w:rPr/>
      </w:pPr>
      <w:r>
        <w:rPr>
          <w:rFonts w:ascii="Amiri" w:hAnsi="Amiri" w:eastAsia="Amiri" w:cs="Amiri"/>
          <w:color w:val="111111"/>
          <w:sz w:val="28"/>
          <w:sz w:val="28"/>
          <w:szCs w:val="28"/>
          <w:rtl w:val="true"/>
          <w:lang w:bidi="ar-SA"/>
        </w:rPr>
        <w:t>قد تكاثرت الأخبار بكراهة الطلاق مع التلائم بين الزوجين ومن دون موجب له، وبه صرّح جملة من علمائنا الأبرار، بل الظاهر كونه إجماعيّاً حتّى من العامّة، ففي 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أبغض الحلال عندالله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لكن تخالفها أخبار</w:t>
      </w:r>
      <w:r>
        <w:rPr>
          <w:rStyle w:val="FootnoteAnchor"/>
          <w:rtl w:val="true"/>
        </w:rPr>
        <w:footnoteReference w:id="21"/>
      </w:r>
      <w:r>
        <w:rPr>
          <w:rFonts w:ascii="IRNazanin" w:hAnsi="IRNazanin" w:eastAsia="IRNazanin"/>
          <w:color w:val="111111"/>
          <w:sz w:val="28"/>
          <w:sz w:val="28"/>
          <w:szCs w:val="28"/>
          <w:rtl w:val="true"/>
          <w:lang w:bidi="fa-IR"/>
        </w:rPr>
        <w:t xml:space="preserve">تدلّ على أنّ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مطلاقاً للنساء، حتّى نقل إنّه عطب به أبوه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المنبر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يقع الإشكال في الجمع بينهما، فإنّ المكروه لا يصدر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 يريده، فضلاً عن صدوره منه، ولا يقعهو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للعطب أيضاً، ولم أجد من تعرّض لهذه المنافاة في الكتب المتداولة الفقهيّة المبسوطة وغير المبسوطة، إلّا صاحب الحدائق،</w:t>
      </w:r>
      <w:r>
        <w:rPr>
          <w:rStyle w:val="FootnoteAnchor"/>
          <w:rtl w:val="true"/>
        </w:rPr>
        <w:footnoteReference w:id="22"/>
      </w:r>
      <w:r>
        <w:rPr>
          <w:rFonts w:ascii="Amiri" w:hAnsi="Amiri" w:eastAsia="Amiri" w:cs="Amiri"/>
          <w:color w:val="111111"/>
          <w:sz w:val="28"/>
          <w:sz w:val="28"/>
          <w:szCs w:val="28"/>
          <w:rtl w:val="true"/>
          <w:lang w:bidi="ar-SA"/>
        </w:rPr>
        <w:t>فلنذكر هاتين الطائفتين من الأخبار أوّلاً، ثمّ نتكلّم فيها ثانياً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سعد بن طريف،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الرجل تزوّج فمرّ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ذوّاق من الرجال وكلّ ذوّاقة من النساء</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أبي عمير، عن غير واحد،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شيء ممّا أحلّه الله أبغض إليه من الطلاق، وأنّ الله عزّ وجلّ يبغض المطلاق الذوّاق</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أبوهاشم،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يحبّ البيت الذي فيه العرس ويبغض البيت الذي فيه الطلاق، وما من شيء أبغض إلى الله عزّوجلّ من الطلاق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طلحة بن زيد،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يبغض كلّ مطلاق وذوّاق</w:t>
      </w:r>
      <w:r>
        <w:rPr>
          <w:rFonts w:eastAsia="IRNazanin" w:cs="IRNazanin"/>
          <w:color w:val="111111"/>
          <w:sz w:val="28"/>
          <w:szCs w:val="28"/>
          <w:rtl w:val="true"/>
          <w:lang w:bidi="fa-IR"/>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وبالإسناد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أيّوب يريد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يطلّق امرأته،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طلاق أُمّ أيّوب لحوب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إثم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صفوان بن مهران،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تزوّجوا وزوِّجوا، ألا فمن حظّ امرء مسلم إنفاق قيمة أيمة، وما من شيء أحبّ إلى الله عزّ وجلّ من بيت يعمر بالنكاح، وما من شيء أبغض إلى الله عزّ وجلّ من بيت يخرب في الإسلام بالفرقة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الطلاق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إنّما وكّد في الطلاق وكرّر القول فيه من بغضه الفرقة</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الفضل الطبرسي في مكارم الإخلاق،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تزوّجوا ولا تطلّقوا فإنّ الطلاق يهتزّ منه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ولا تطلّقوا فإنّ الله لا يحبّ الذوّاقين والذوّاقات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أبي عبدالله البرقي في المحاسن، عن ابن‌محبوب،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أتى رجل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 مستشيراً، إنّ الحسن والحسين وعبدالله بن جعفر خطبوا إليّ، فقال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مؤتمن، أمّا الحسن، فإنّه مطلاق للنساء، ولكن زوّجها الحسين فإنّه خير لابنتك</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عدّة من أصحابنا، عن أحمد بن محمّد، عن محمّد بن إسماعيل بن بزيع، عن جعفر بن بشير، عن يحيي بن أبي العلاء،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خمسين امرأة،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تنكحوا الحسن فإنّه رجل مطلاق،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لننكحنّه فإنّه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فاطمة، فإن أعجبه أمسك وإن كره طلّق</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الكليني أيضاً، عن حميد بن زياد، عن الحسن بن محمّد بن سماعة، عن محمّد بن زياد بن عيسى،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الحسن فإنّه رجل مطلاق، فقام رجل من همدان،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لنزوّجنّه 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شاء أمسك وإن شاء طلّق</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واحتمل العلّامة المجلسي كون ذلك للاختبار،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استعلام حالهم ومراتب إيمانهم لاالإنكار على ولده المعصوم، المؤيّد من الحيّ القيّوم</w:t>
      </w:r>
      <w:r>
        <w:rPr>
          <w:rFonts w:eastAsia="IRNazanin" w:cs="IRNazanin"/>
          <w:color w:val="111111"/>
          <w:sz w:val="28"/>
          <w:szCs w:val="28"/>
          <w:rtl w:val="true"/>
          <w:lang w:bidi="fa-IR"/>
        </w:rPr>
        <w:t>.</w:t>
      </w:r>
      <w:r>
        <w:rPr>
          <w:rStyle w:val="FootnoteAnchor"/>
          <w:rtl w:val="true"/>
        </w:rPr>
        <w:footnoteReference w:id="3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ليس بتمام؛ لأنّه إن كان اختباراً بأمر واقعي فهذا نفس الإشكال، وإن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بأمر غير واقعي فهو كما ترى،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يتّهم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لم يرتكبه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وقال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حمل بعضهم هذه الأخبار على ما تقدّم في سابقها من سوء خلق في أولئك النساء، أو نحوه ممّا يوجب أولويّة الطلاق، ولا يخفى بعده؛ لأنّه لو كان كذلك لكان عذراً شرعيّاً، فكيف ينهى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تزويجه والحال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فالمقام محلّ إشكال، ولا يحضرني الآن الجواب عنه، وحبس القلم عن ذلك أولى بالأدب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حلّ الإشكال ودفعه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الطائفة الثانية هي مخالفة للأُصول والقواعد الشرعيّة القطعيّة، وللكتاب والسنّة القطعيّة،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للناس، وهو الحاكم بالقسط والعدل، وهو لا يرتكب الظلم ولا يفعل المبغوض أبداً، فإنّ عهد الله تعالى لا ينال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وهنها بأنّه كيف لا يردع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عن هذا الفعل القبيح، وكيف يرتكبه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حليم وحكي في حلمه ما يعجب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يوهنها أيضاً عدم نقل تلك الأخبار في الكتب الأربعة إلّا في الكافي الشريف،</w:t>
      </w:r>
      <w:r>
        <w:rPr>
          <w:rStyle w:val="FootnoteAnchor"/>
          <w:rtl w:val="true"/>
        </w:rPr>
        <w:footnoteReference w:id="36"/>
      </w:r>
      <w:r>
        <w:rPr>
          <w:rFonts w:ascii="Amiri" w:hAnsi="Amiri" w:eastAsia="Amiri" w:cs="Amiri"/>
          <w:color w:val="111111"/>
          <w:sz w:val="28"/>
          <w:sz w:val="28"/>
          <w:szCs w:val="28"/>
          <w:rtl w:val="true"/>
          <w:lang w:bidi="ar-SA"/>
        </w:rPr>
        <w:t>فلم يروها الشيخ في كتابيه التهذيبوالاستبصار ولا الصدوق في فقيهه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الظاهر كون خبري عبد‌الله بن سنان ويحيى بن أبي العلاء، هما نقل قضيّة واحدة، فتأمّل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في أسنادها، أمّا رواية عبد‌الله بن سنان الأُولى، فسند البرقي إلى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محبوب ليس بمعلوم، ويحيى بن أبي العلاء في الثانية مجهولٌ ومهملٌ،</w:t>
      </w:r>
      <w:r>
        <w:rPr>
          <w:rStyle w:val="FootnoteAnchor"/>
          <w:rtl w:val="true"/>
        </w:rPr>
        <w:footnoteReference w:id="37"/>
      </w:r>
      <w:r>
        <w:rPr>
          <w:rFonts w:ascii="Amiri" w:hAnsi="Amiri" w:eastAsia="Amiri" w:cs="Amiri"/>
          <w:color w:val="111111"/>
          <w:sz w:val="28"/>
          <w:sz w:val="28"/>
          <w:szCs w:val="28"/>
          <w:rtl w:val="true"/>
          <w:lang w:bidi="ar-SA"/>
        </w:rPr>
        <w:t>وأمّا الثالثة، وهي رواية عبد‌الله بن سنان الثانية التي عبّر عنها في الحدائق</w:t>
      </w:r>
      <w:r>
        <w:rPr>
          <w:rStyle w:val="FootnoteAnchor"/>
          <w:rtl w:val="true"/>
        </w:rPr>
        <w:footnoteReference w:id="38"/>
      </w:r>
      <w:r>
        <w:rPr>
          <w:rFonts w:ascii="Amiri" w:hAnsi="Amiri" w:eastAsia="Amiri" w:cs="Amiri"/>
          <w:color w:val="111111"/>
          <w:sz w:val="28"/>
          <w:sz w:val="28"/>
          <w:szCs w:val="28"/>
          <w:rtl w:val="true"/>
          <w:lang w:bidi="ar-SA"/>
        </w:rPr>
        <w:t>ومرآة العقول</w:t>
      </w:r>
      <w:r>
        <w:rPr>
          <w:rStyle w:val="FootnoteAnchor"/>
          <w:rtl w:val="true"/>
        </w:rPr>
        <w:footnoteReference w:id="39"/>
      </w:r>
      <w:r>
        <w:rPr>
          <w:rFonts w:ascii="Amiri" w:hAnsi="Amiri" w:eastAsia="Amiri" w:cs="Amiri"/>
          <w:color w:val="111111"/>
          <w:sz w:val="28"/>
          <w:sz w:val="28"/>
          <w:szCs w:val="28"/>
          <w:rtl w:val="true"/>
          <w:lang w:bidi="ar-SA"/>
        </w:rPr>
        <w:t>بالموثّقة،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زياد بن عيسى حاله غير مذكور في كتب الرجال</w:t>
      </w:r>
      <w:r>
        <w:rPr>
          <w:rFonts w:eastAsia="Amiri" w:cs="Amiri" w:ascii="Amiri" w:hAnsi="Amiri"/>
          <w:color w:val="111111"/>
          <w:sz w:val="28"/>
          <w:szCs w:val="28"/>
          <w:rtl w:val="true"/>
          <w:lang w:bidi="ar-SA"/>
        </w:rPr>
        <w:t xml:space="preserve">. </w:t>
      </w:r>
      <w:bookmarkStart w:id="48" w:name="pg9375_99261"/>
    </w:p>
    <w:p>
      <w:pPr>
        <w:pStyle w:val="Heading2"/>
        <w:numPr>
          <w:ilvl w:val="1"/>
          <w:numId w:val="1"/>
        </w:numPr>
        <w:rPr/>
      </w:pPr>
      <w:bookmarkStart w:id="49" w:name="__RefHeading___Toc5416447_2870459653"/>
      <w:bookmarkStart w:id="50" w:name="_Toc16"/>
      <w:bookmarkEnd w:id="48"/>
      <w:bookmarkEnd w:id="49"/>
      <w:r>
        <w:rPr>
          <w:rtl w:val="true"/>
        </w:rPr>
        <w:t>القول في شروطه</w:t>
      </w:r>
      <w:bookmarkEnd w:id="50"/>
    </w:p>
    <w:p>
      <w:pPr>
        <w:pStyle w:val="Heading3"/>
        <w:numPr>
          <w:ilvl w:val="2"/>
          <w:numId w:val="1"/>
        </w:numPr>
        <w:rPr/>
      </w:pPr>
      <w:bookmarkStart w:id="51" w:name="__RefHeading___Toc5416449_2870459653"/>
      <w:bookmarkStart w:id="52" w:name="_Toc17"/>
      <w:bookmarkEnd w:id="51"/>
      <w:r>
        <w:rPr>
          <w:rtl w:val="true"/>
        </w:rPr>
        <w:t>اشارة</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الزوج المطلِّق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الصبيّ، لا بالمباشرة ولا بالتوكيل، وإن كان مميّزاً وله عشر سنين، ولو طلّق من بلغه فلا يترك الاحتياط</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416451_2870459653"/>
      <w:bookmarkStart w:id="54" w:name="_Toc18"/>
      <w:bookmarkEnd w:id="53"/>
      <w:r>
        <w:rPr>
          <w:rtl w:val="true"/>
        </w:rPr>
        <w:t>شروط المطلِّق</w:t>
      </w:r>
      <w:bookmarkEnd w:id="54"/>
    </w:p>
    <w:p>
      <w:pPr>
        <w:pStyle w:val="Heading4"/>
        <w:numPr>
          <w:ilvl w:val="3"/>
          <w:numId w:val="1"/>
        </w:numPr>
        <w:rPr/>
      </w:pPr>
      <w:bookmarkStart w:id="55" w:name="__RefHeading___Toc5416453_2870459653"/>
      <w:bookmarkStart w:id="56" w:name="_Toc19"/>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المعتبرة في المطلِّق أربعة</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416455_2870459653"/>
      <w:bookmarkStart w:id="58" w:name="_Toc20"/>
      <w:bookmarkEnd w:id="57"/>
      <w:r>
        <w:rPr>
          <w:rtl w:val="true"/>
        </w:rPr>
        <w:t>اشتراط البلوغ في المطلِّق</w:t>
      </w:r>
      <w:bookmarkEnd w:id="5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واشتراطه في الجملة إجماعي بين المسلمين ولا إشكال ولا كلام فيه،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يأتي من الروايات وأنّه مجمعٌ عليه بين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العقلاء لا يعتنون بما يأتي به غير المميّز ولا يعتبرونه طلاقاً، كما أنّ صحّة طلاق المميزّ البالغ صحيح بإجماعهم أيضاً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الخلاف في المميّز غير البالغ؛ سواء بلغ عشراً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إن كان له عشر سنين، وهو المحكيّ عن الشيخ في النهاية</w:t>
      </w:r>
      <w:r>
        <w:rPr>
          <w:rStyle w:val="FootnoteAnchor"/>
          <w:rtl w:val="true"/>
        </w:rPr>
        <w:footnoteReference w:id="40"/>
      </w:r>
      <w:r>
        <w:rPr>
          <w:rFonts w:ascii="Amiri" w:hAnsi="Amiri" w:eastAsia="Amiri" w:cs="Amiri"/>
          <w:color w:val="111111"/>
          <w:sz w:val="28"/>
          <w:sz w:val="28"/>
          <w:szCs w:val="28"/>
          <w:rtl w:val="true"/>
          <w:lang w:bidi="ar-SA"/>
        </w:rPr>
        <w:t xml:space="preserve">وابني‌حمزة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والبرّاج،</w:t>
      </w:r>
      <w:r>
        <w:rPr>
          <w:rStyle w:val="FootnoteAnchor"/>
          <w:rtl w:val="true"/>
        </w:rPr>
        <w:footnoteReference w:id="41"/>
      </w:r>
      <w:r>
        <w:rPr>
          <w:rFonts w:ascii="Amiri" w:hAnsi="Amiri" w:eastAsia="Amiri" w:cs="Amiri"/>
          <w:color w:val="111111"/>
          <w:sz w:val="28"/>
          <w:sz w:val="28"/>
          <w:szCs w:val="28"/>
          <w:rtl w:val="true"/>
          <w:lang w:bidi="ar-SA"/>
        </w:rPr>
        <w:t>بل عن جماعة من القدماء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وصحّته مطلقاً، وهو المحكيّ عن ابن جنيد،</w:t>
      </w:r>
      <w:r>
        <w:rPr>
          <w:rStyle w:val="FootnoteAnchor"/>
          <w:rtl w:val="true"/>
        </w:rPr>
        <w:footnoteReference w:id="43"/>
      </w:r>
      <w:r>
        <w:rPr>
          <w:rFonts w:ascii="Amiri" w:hAnsi="Amiri" w:eastAsia="Amiri" w:cs="Amiri"/>
          <w:color w:val="111111"/>
          <w:sz w:val="28"/>
          <w:sz w:val="28"/>
          <w:szCs w:val="28"/>
          <w:rtl w:val="true"/>
          <w:lang w:bidi="ar-SA"/>
        </w:rPr>
        <w:t>وهو الظاهر من رسالة ابن بابويه،</w:t>
      </w:r>
      <w:r>
        <w:rPr>
          <w:rStyle w:val="FootnoteAnchor"/>
          <w:rtl w:val="true"/>
        </w:rPr>
        <w:footnoteReference w:id="44"/>
      </w:r>
      <w:r>
        <w:rPr>
          <w:rFonts w:ascii="Amiri" w:hAnsi="Amiri" w:eastAsia="Amiri" w:cs="Amiri"/>
          <w:color w:val="111111"/>
          <w:sz w:val="28"/>
          <w:sz w:val="28"/>
          <w:szCs w:val="28"/>
          <w:rtl w:val="true"/>
          <w:lang w:bidi="ar-SA"/>
        </w:rPr>
        <w:t>والصدوق في الفقيه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وعدم صحّته وإن بلغ عشراً، وهو المشهور بين المتأخرّين،</w:t>
      </w:r>
      <w:r>
        <w:rPr>
          <w:rStyle w:val="FootnoteAnchor"/>
          <w:rtl w:val="true"/>
        </w:rPr>
        <w:footnoteReference w:id="46"/>
      </w:r>
      <w:r>
        <w:rPr>
          <w:rFonts w:ascii="IRNazanin" w:hAnsi="IRNazanin" w:eastAsia="IRNazanin"/>
          <w:color w:val="111111"/>
          <w:sz w:val="28"/>
          <w:sz w:val="28"/>
          <w:szCs w:val="28"/>
          <w:rtl w:val="true"/>
          <w:lang w:bidi="fa-IR"/>
        </w:rPr>
        <w:t>وتبعهم الجواهر وجعله أقوى، فإنّه بعد نفي البُعد عن حمل مرسلة أبي عمير،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الصبيّ إذا بلغ عشر سنين</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على إرادة إمكان صحّة طلاق الصبيّ إذا بلغ عشراً عاقلاً ولو لبعض الأمزجة في بعض البلدان التي ينبت فيها الشعر أو يحصل فيها الاحتلام،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في أنّ ذلك هو الأقوى وإن وسوس فيه بعضمتأخّري المتأخّرين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مقتضى الأصل العملي، وإن كان هو الفساد، لكنّ اللفظي منه </w:t>
      </w:r>
      <w:bookmarkStart w:id="59" w:name="pg9375_99263"/>
    </w:p>
    <w:p>
      <w:pPr>
        <w:pStyle w:val="BookText"/>
        <w:rPr/>
      </w:pPr>
      <w:bookmarkEnd w:id="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عليها بأنّها مقتضى الجمع بين الأخبار، فإنّه على طوائف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طلاق الصبيّ مطلقاً، وصحّته كذلك، والتفصيل بين ما قبل العشرة وما بعده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416457_2870459653"/>
      <w:bookmarkStart w:id="61" w:name="_Toc21"/>
      <w:bookmarkEnd w:id="60"/>
      <w:r>
        <w:rPr>
          <w:rtl w:val="true"/>
        </w:rPr>
        <w:t>الأخبار الدالّة علی عدم صحّة طلاق الصبيّ</w:t>
      </w:r>
      <w:bookmarkEnd w:id="61"/>
    </w:p>
    <w:p>
      <w:pPr>
        <w:pStyle w:val="BookText"/>
        <w:rPr/>
      </w:pPr>
      <w:r>
        <w:rPr>
          <w:rFonts w:ascii="Amiri" w:hAnsi="Amiri" w:eastAsia="Amiri" w:cs="Amiri"/>
          <w:color w:val="111111"/>
          <w:sz w:val="28"/>
          <w:sz w:val="28"/>
          <w:szCs w:val="28"/>
          <w:rtl w:val="true"/>
          <w:lang w:bidi="ar-SA"/>
        </w:rPr>
        <w:t>هذه الطائفة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الصباح الكناني،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طلاق الصبيّ بشيء</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السكوني،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جائز إلّا طلاق المعتوه أو الصبيّ أو مبرسم أو مجنون أو مكرَه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الصبيّ، ولا السكران</w:t>
      </w:r>
      <w:r>
        <w:rPr>
          <w:rFonts w:eastAsia="IRNazanin" w:cs="IRNazanin"/>
          <w:color w:val="111111"/>
          <w:sz w:val="28"/>
          <w:szCs w:val="28"/>
          <w:rtl w:val="true"/>
          <w:lang w:bidi="fa-IR"/>
        </w:rPr>
        <w:t>».</w:t>
      </w:r>
      <w:r>
        <w:rPr>
          <w:rStyle w:val="FootnoteAnchor"/>
          <w:rtl w:val="true"/>
        </w:rPr>
        <w:footnoteReference w:id="5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حسين بن علوان، عن جعفر بن محمّد، عن أبيه، عنعليّ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الغلام حتّى يحتلم</w:t>
      </w:r>
      <w:r>
        <w:rPr>
          <w:rFonts w:eastAsia="IRNazanin" w:cs="IRNazanin"/>
          <w:color w:val="111111"/>
          <w:sz w:val="28"/>
          <w:szCs w:val="28"/>
          <w:rtl w:val="true"/>
          <w:lang w:bidi="fa-IR"/>
        </w:rPr>
        <w:t>».</w:t>
      </w:r>
      <w:r>
        <w:rPr>
          <w:rStyle w:val="FootnoteAnchor"/>
          <w:rtl w:val="true"/>
        </w:rPr>
        <w:footnoteReference w:id="54"/>
      </w:r>
      <w:bookmarkStart w:id="62" w:name="pg9375_99264"/>
    </w:p>
    <w:p>
      <w:pPr>
        <w:pStyle w:val="BookText"/>
        <w:rPr/>
      </w:pPr>
      <w:bookmarkEnd w:id="6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5416459_2870459653"/>
      <w:bookmarkStart w:id="64" w:name="_Toc22"/>
      <w:bookmarkEnd w:id="63"/>
      <w:r>
        <w:rPr>
          <w:rtl w:val="true"/>
        </w:rPr>
        <w:t>الأخبار الدالّة علی صحّة طلاق الصبيّ</w:t>
      </w:r>
      <w:bookmarkEnd w:id="64"/>
    </w:p>
    <w:p>
      <w:pPr>
        <w:pStyle w:val="BookText"/>
        <w:rPr/>
      </w:pPr>
      <w:r>
        <w:rPr>
          <w:rFonts w:ascii="IRNazanin" w:hAnsi="IRNazanin" w:eastAsia="IRNazanin"/>
          <w:color w:val="111111"/>
          <w:sz w:val="28"/>
          <w:sz w:val="28"/>
          <w:szCs w:val="28"/>
          <w:rtl w:val="true"/>
          <w:lang w:bidi="fa-IR"/>
        </w:rPr>
        <w:t>الطائفة الثانية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ابن بكير،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الغلام إذا كان قد عقل، ووصيّته وصدقته وإن لم يحتلم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هو المرويّ في الكافي</w:t>
      </w:r>
      <w:r>
        <w:rPr>
          <w:rStyle w:val="FootnoteAnchor"/>
          <w:rtl w:val="true"/>
        </w:rPr>
        <w:footnoteReference w:id="55"/>
      </w:r>
      <w:r>
        <w:rPr>
          <w:rFonts w:ascii="Amiri" w:hAnsi="Amiri" w:eastAsia="Amiri" w:cs="Amiri"/>
          <w:color w:val="111111"/>
          <w:sz w:val="28"/>
          <w:sz w:val="28"/>
          <w:szCs w:val="28"/>
          <w:rtl w:val="true"/>
          <w:lang w:bidi="ar-SA"/>
        </w:rPr>
        <w:t>والتهذيب،</w:t>
      </w:r>
      <w:r>
        <w:rPr>
          <w:rStyle w:val="FootnoteAnchor"/>
          <w:rtl w:val="true"/>
        </w:rPr>
        <w:footnoteReference w:id="56"/>
      </w:r>
      <w:r>
        <w:rPr>
          <w:rFonts w:ascii="Amiri" w:hAnsi="Amiri" w:eastAsia="Amiri" w:cs="Amiri"/>
          <w:color w:val="111111"/>
          <w:sz w:val="28"/>
          <w:sz w:val="28"/>
          <w:szCs w:val="28"/>
          <w:rtl w:val="true"/>
          <w:lang w:bidi="ar-SA"/>
        </w:rPr>
        <w:t xml:space="preserve">وما ذكره في الوسائل من النسخة الثانية مع حذف الواو المذكورة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سهوٌ منه وليس بصحيح، وإلّا لا تصحّ العبارة كما هو واضح، فراجع إن شئت</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وموثّق سماعة في موثّقته المضمرة،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الغلام ولم يحتلم، وصدقته؟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للسنّة، ووضع الصدقة في موضعها وحقّها فلابأس وهو جائز</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وموثّق جميل بن درّاج في موثّقته،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الغلام إذا كان قد عقل، وصدقته ووصّيته وإن لم يحتلم</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5" w:name="__RefHeading___Toc5416461_2870459653"/>
      <w:bookmarkStart w:id="66" w:name="_Toc23"/>
      <w:bookmarkEnd w:id="65"/>
      <w:r>
        <w:rPr>
          <w:rtl w:val="true"/>
        </w:rPr>
        <w:t>الخبر الدالّ علی صحّة الطلاق إن کان له عشرة سنين</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مرسلة ابن أبي عمير، عن بعض رجاله،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 الصبيّ إذا بلغ عشر سنين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وما في المسالك</w:t>
      </w:r>
      <w:r>
        <w:rPr>
          <w:rStyle w:val="FootnoteAnchor"/>
          <w:rtl w:val="true"/>
        </w:rPr>
        <w:footnoteReference w:id="61"/>
      </w:r>
      <w:r>
        <w:rPr>
          <w:rFonts w:ascii="IRNazanin" w:hAnsi="IRNazanin" w:eastAsia="IRNazanin"/>
          <w:color w:val="111111"/>
          <w:sz w:val="28"/>
          <w:sz w:val="28"/>
          <w:szCs w:val="28"/>
          <w:rtl w:val="true"/>
          <w:lang w:bidi="fa-IR"/>
        </w:rPr>
        <w:t>والوسائل</w:t>
      </w:r>
      <w:r>
        <w:rPr>
          <w:rStyle w:val="FootnoteAnchor"/>
          <w:rtl w:val="true"/>
        </w:rPr>
        <w:footnoteReference w:id="62"/>
      </w:r>
      <w:r>
        <w:rPr>
          <w:rFonts w:ascii="Amiri" w:hAnsi="Amiri" w:eastAsia="Amiri" w:cs="Amiri"/>
          <w:color w:val="111111"/>
          <w:sz w:val="28"/>
          <w:sz w:val="28"/>
          <w:szCs w:val="28"/>
          <w:rtl w:val="true"/>
          <w:lang w:bidi="ar-SA"/>
        </w:rPr>
        <w:t>تبعاً للشيخ في التهذيب</w:t>
      </w:r>
      <w:r>
        <w:rPr>
          <w:rStyle w:val="FootnoteAnchor"/>
          <w:rtl w:val="true"/>
        </w:rPr>
        <w:footnoteReference w:id="63"/>
      </w:r>
      <w:r>
        <w:rPr>
          <w:rFonts w:ascii="IRNazanin" w:hAnsi="IRNazanin" w:eastAsia="IRNazanin"/>
          <w:color w:val="111111"/>
          <w:sz w:val="28"/>
          <w:sz w:val="28"/>
          <w:szCs w:val="28"/>
          <w:rtl w:val="true"/>
          <w:lang w:bidi="fa-IR"/>
        </w:rPr>
        <w:t>من نقل متن المرسلة عن ابن بكير،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وهمٌ، كما ذكره صاحب الحدائق،</w:t>
      </w:r>
      <w:r>
        <w:rPr>
          <w:rStyle w:val="FootnoteAnchor"/>
          <w:rtl w:val="true"/>
        </w:rPr>
        <w:footnoteReference w:id="64"/>
      </w:r>
      <w:r>
        <w:rPr>
          <w:rFonts w:ascii="Amiri" w:hAnsi="Amiri" w:eastAsia="Amiri" w:cs="Amiri"/>
          <w:color w:val="111111"/>
          <w:sz w:val="28"/>
          <w:sz w:val="28"/>
          <w:szCs w:val="28"/>
          <w:rtl w:val="true"/>
          <w:lang w:bidi="ar-SA"/>
        </w:rPr>
        <w:t xml:space="preserve">وقد نبّه على ذلك قبله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المرسلة، كما نقلناها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جعل الشيخ في التهذيب هذه الرواية رواية ابن بكير، وهو غير جيّد، فإنّ رواية ابن بكير رواها الكليني متقدّمة على هذه الرواية بغير فصل، وكأنّ نظر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 سند رواية ابن بكير إلى متن رواية ابن أبي عمير، وقد وقع نحو ذلك في عدّة مواضع من التهذيب، فينبغي التنبيه له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الجمع بالتفصيل المحكيّ عن النهاية</w:t>
      </w:r>
      <w:r>
        <w:rPr>
          <w:rStyle w:val="FootnoteAnchor"/>
          <w:rtl w:val="true"/>
        </w:rPr>
        <w:footnoteReference w:id="66"/>
      </w:r>
      <w:r>
        <w:rPr>
          <w:rFonts w:ascii="Amiri" w:hAnsi="Amiri" w:eastAsia="Amiri" w:cs="Amiri"/>
          <w:color w:val="111111"/>
          <w:sz w:val="28"/>
          <w:sz w:val="28"/>
          <w:szCs w:val="28"/>
          <w:rtl w:val="true"/>
          <w:lang w:bidi="ar-SA"/>
        </w:rPr>
        <w:t>وغيرها من كلام القدماء</w:t>
      </w:r>
      <w:r>
        <w:rPr>
          <w:rStyle w:val="FootnoteAnchor"/>
          <w:rtl w:val="true"/>
        </w:rPr>
        <w:footnoteReference w:id="67"/>
      </w:r>
      <w:r>
        <w:rPr>
          <w:rFonts w:ascii="Amiri" w:hAnsi="Amiri" w:eastAsia="Amiri" w:cs="Amiri"/>
          <w:color w:val="111111"/>
          <w:sz w:val="28"/>
          <w:sz w:val="28"/>
          <w:szCs w:val="28"/>
          <w:rtl w:val="true"/>
          <w:lang w:bidi="ar-SA"/>
        </w:rPr>
        <w:t xml:space="preserve">هو مورد للنصّ، وهو مرسل ابن أبي عمير الذي بحكمالصحيح عند الأصحاب، لا سيّما الإرسال عن بعض رجاله، كما في موردنا، ولا سيّما مع عمل الشيخ في النهاية </w:t>
      </w:r>
      <w:r>
        <w:rPr>
          <w:rStyle w:val="FootnoteAnchor"/>
          <w:rtl w:val="true"/>
        </w:rPr>
        <w:footnoteReference w:id="68"/>
      </w:r>
      <w:r>
        <w:rPr>
          <w:rFonts w:ascii="Amiri" w:hAnsi="Amiri" w:eastAsia="Amiri" w:cs="Amiri"/>
          <w:color w:val="111111"/>
          <w:sz w:val="28"/>
          <w:sz w:val="28"/>
          <w:szCs w:val="28"/>
          <w:rtl w:val="true"/>
          <w:lang w:bidi="ar-SA"/>
        </w:rPr>
        <w:t>وجماعة من القدماء</w:t>
      </w:r>
      <w:r>
        <w:rPr>
          <w:rStyle w:val="FootnoteAnchor"/>
          <w:rtl w:val="true"/>
        </w:rPr>
        <w:footnoteReference w:id="69"/>
      </w:r>
      <w:r>
        <w:rPr>
          <w:rFonts w:ascii="Amiri" w:hAnsi="Amiri" w:eastAsia="Amiri" w:cs="Amiri"/>
          <w:color w:val="111111"/>
          <w:sz w:val="28"/>
          <w:sz w:val="28"/>
          <w:szCs w:val="28"/>
          <w:rtl w:val="true"/>
          <w:lang w:bidi="ar-SA"/>
        </w:rPr>
        <w:t xml:space="preserve">به، بل لعلّ مراسيله أولى بالعمل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المسانيد؛ للإجماع على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المسالك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عدم صحّته مطلقاً؛ لضعف المستند، ومخالفته للأُصول الشرعيّة وأكثر الأُمّة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بعد نقله موثّقة ابن فضّال عن ابن بكير وتضعيفها بالرجلين، فإنّهما فطحيّان على حدّ تعبيره، ونقله مرسلة أبي عمير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في معناها ابن أبي عمير في الحسن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كما ترى؛ فإنّه مبنيّ على مبناه من اعتبار العدالة الثابتة بالعدلين في حجيّة الرواية، فإنّ الحجّة عنده هو الصحيح الأعلائي، وإلّا فالموثّقة مثل تلك المرسلة حجّة، كما أنّ غير واحد من أجلَّة المحدّثين هم من الفطحيّة وأخبارهم حجّة معمولٌ بها عند الأصحاب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 الجواهر</w:t>
      </w:r>
      <w:r>
        <w:rPr>
          <w:rStyle w:val="FootnoteAnchor"/>
          <w:rtl w:val="true"/>
        </w:rPr>
        <w:footnoteReference w:id="71"/>
      </w:r>
      <w:r>
        <w:rPr>
          <w:rFonts w:ascii="Amiri" w:hAnsi="Amiri" w:eastAsia="Amiri" w:cs="Amiri"/>
          <w:color w:val="111111"/>
          <w:sz w:val="28"/>
          <w:sz w:val="28"/>
          <w:szCs w:val="28"/>
          <w:rtl w:val="true"/>
          <w:lang w:bidi="ar-SA"/>
        </w:rPr>
        <w:t xml:space="preserve">من الاستدلال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إطلاق 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المتأيّد بنصوص رفع القلم</w:t>
      </w:r>
      <w:r>
        <w:rPr>
          <w:rStyle w:val="FootnoteAnchor"/>
          <w:rtl w:val="true"/>
        </w:rPr>
        <w:footnoteReference w:id="72"/>
      </w:r>
      <w:r>
        <w:rPr>
          <w:rFonts w:ascii="Amiri" w:hAnsi="Amiri" w:eastAsia="Amiri" w:cs="Amiri"/>
          <w:color w:val="111111"/>
          <w:sz w:val="28"/>
          <w:sz w:val="28"/>
          <w:szCs w:val="28"/>
          <w:rtl w:val="true"/>
          <w:lang w:bidi="ar-SA"/>
        </w:rPr>
        <w:t>الشامل للوضعي والتكليفي وبالأُصول، وبعدم الفرق بين الطلاق وغيره من العقود التي عرفت سلب عبارة الصبيّ فيها، وبالشهرة العظيمة، وبخبرحسين بن علوان، وهو الرابع من الطائفة الأُولى،</w:t>
      </w:r>
      <w:r>
        <w:rPr>
          <w:rStyle w:val="FootnoteAnchor"/>
          <w:rtl w:val="true"/>
        </w:rPr>
        <w:footnoteReference w:id="73"/>
      </w:r>
      <w:r>
        <w:rPr>
          <w:rFonts w:ascii="Amiri" w:hAnsi="Amiri" w:eastAsia="Amiri" w:cs="Amiri"/>
          <w:color w:val="111111"/>
          <w:sz w:val="28"/>
          <w:sz w:val="28"/>
          <w:szCs w:val="28"/>
          <w:rtl w:val="true"/>
          <w:lang w:bidi="ar-SA"/>
        </w:rPr>
        <w:t xml:space="preserve">ففيه منع القوّة من جهة الإشعار الموجود في الإقران بينه وبين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السكران والمعتوه والمجنون، بأنّ الصبيّ مثلهم في عدم التمييز أو عدم الإدراك الصحيح، بل لعلّ التعبير في خبر أبي الصباح</w:t>
      </w:r>
      <w:r>
        <w:rPr>
          <w:rStyle w:val="FootnoteAnchor"/>
          <w:rtl w:val="true"/>
        </w:rPr>
        <w:footnoteReference w:id="74"/>
      </w:r>
      <w:r>
        <w:rPr>
          <w:rFonts w:ascii="Amiri" w:hAnsi="Amiri" w:eastAsia="Amiri" w:cs="Amiri"/>
          <w:color w:val="111111"/>
          <w:sz w:val="28"/>
          <w:sz w:val="28"/>
          <w:szCs w:val="28"/>
          <w:rtl w:val="true"/>
          <w:lang w:bidi="ar-SA"/>
        </w:rPr>
        <w:t>بأنّ طلاق الصبيّ ليس بشيء، فيه أيضاً إشعار بأنّ المراد هو صبيّ لا يعتنى بأقواله وأفعاله، فإنّ نفي الشيئيّة ليس عن تعبّد وادّعاء، بل هو بيان للواقع، 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بالظهور فيه؛ لأنّ الحمل على الادّعاء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التأييد بالأُمور الأربعة المذكورة في كلامه، ففيه ما لا يخفى، ضرورة أنّ شمول حديث الرفع للطلاق الذي ليست صحّته ثقلاً على الصبيّ محلّ إشكال، بل منع؛ فإنّ الحديث في مقام الامتنان وليس الصبيّ المميّز بمسلوب العبارة، ولذلك يصحّ له الوكالة في إجراء الصيغ، بل المعاملة بإذن الوليّ، والشهرة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التأيّد بخبر حسين بن علوان له وجهٌ، فإنّه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في عدم الصحّة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وأضعف من التقوية والتأييد ما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الوسوسة إلى بعض متأخّري المتأخّرين بتوهّم حمل المطلق على المقيّد من أنّه فرع المكافأة، مع أنّه غير تمام في خبر حسين بن علوان؛ وذلك لعدم الإشكال في المكافأة، حيث إنّ المرسلة كالمسندة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ذلك بأسطر بقوله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مرسل ابن أبي عمير الذي هو بحكم الصحيح عند الأصحاب</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وإن كان المراد منه ما ذكره من القوّة، فقد عرفت فيه،</w:t>
      </w:r>
      <w:r>
        <w:rPr>
          <w:rStyle w:val="FootnoteAnchor"/>
          <w:rtl w:val="true"/>
        </w:rPr>
        <w:footnoteReference w:id="77"/>
      </w: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للمرسلة؛ وذلك لعمل الشيخ</w:t>
      </w:r>
      <w:r>
        <w:rPr>
          <w:rStyle w:val="FootnoteAnchor"/>
          <w:rtl w:val="true"/>
        </w:rPr>
        <w:footnoteReference w:id="78"/>
      </w:r>
      <w:r>
        <w:rPr>
          <w:rFonts w:ascii="Amiri" w:hAnsi="Amiri" w:eastAsia="Amiri" w:cs="Amiri"/>
          <w:color w:val="111111"/>
          <w:sz w:val="28"/>
          <w:sz w:val="28"/>
          <w:szCs w:val="28"/>
          <w:rtl w:val="true"/>
          <w:lang w:bidi="ar-SA"/>
        </w:rPr>
        <w:t>وجماعة من القدماء</w:t>
      </w:r>
      <w:r>
        <w:rPr>
          <w:rStyle w:val="FootnoteAnchor"/>
          <w:rtl w:val="true"/>
        </w:rPr>
        <w:footnoteReference w:id="79"/>
      </w:r>
      <w:r>
        <w:rPr>
          <w:rFonts w:ascii="Amiri" w:hAnsi="Amiri" w:eastAsia="Amiri" w:cs="Amiri"/>
          <w:color w:val="111111"/>
          <w:sz w:val="28"/>
          <w:sz w:val="28"/>
          <w:szCs w:val="28"/>
          <w:rtl w:val="true"/>
          <w:lang w:bidi="ar-SA"/>
        </w:rPr>
        <w:t>بها، بل في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عمل بها الشيخان</w:t>
      </w:r>
      <w:r>
        <w:rPr>
          <w:rStyle w:val="FootnoteAnchor"/>
          <w:rtl w:val="true"/>
        </w:rPr>
        <w:footnoteReference w:id="80"/>
      </w:r>
      <w:r>
        <w:rPr>
          <w:rFonts w:ascii="Amiri" w:hAnsi="Amiri" w:eastAsia="Amiri" w:cs="Amiri"/>
          <w:color w:val="111111"/>
          <w:sz w:val="28"/>
          <w:sz w:val="28"/>
          <w:szCs w:val="28"/>
          <w:rtl w:val="true"/>
          <w:lang w:bidi="ar-SA"/>
        </w:rPr>
        <w:t>وجماعة من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بل المتعيّن لمثل صاحب الجواهر الفقيه الماهر المتتبّع، القول بأنّ الأوّل أقوى، وأنّ الترجيح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ذهب إليه القدماء من الأصحاب من نفوذ طلاق الصبيّ إذا كان مميّزاً بالغاً عشر سنين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ممّا ذكرنا وجه المحكيّ عن ابن الجنيد</w:t>
      </w:r>
      <w:r>
        <w:rPr>
          <w:rStyle w:val="FootnoteAnchor"/>
          <w:rtl w:val="true"/>
        </w:rPr>
        <w:footnoteReference w:id="81"/>
      </w:r>
      <w:r>
        <w:rPr>
          <w:rFonts w:ascii="Amiri" w:hAnsi="Amiri" w:eastAsia="Amiri" w:cs="Amiri"/>
          <w:color w:val="111111"/>
          <w:sz w:val="28"/>
          <w:sz w:val="28"/>
          <w:szCs w:val="28"/>
          <w:rtl w:val="true"/>
          <w:lang w:bidi="ar-SA"/>
        </w:rPr>
        <w:t>وغيره؛</w:t>
      </w:r>
      <w:r>
        <w:rPr>
          <w:rStyle w:val="FootnoteAnchor"/>
          <w:rtl w:val="true"/>
        </w:rPr>
        <w:footnoteReference w:id="82"/>
      </w:r>
      <w:r>
        <w:rPr>
          <w:rFonts w:ascii="Amiri" w:hAnsi="Amiri" w:eastAsia="Amiri" w:cs="Amiri"/>
          <w:color w:val="111111"/>
          <w:sz w:val="28"/>
          <w:sz w:val="28"/>
          <w:szCs w:val="28"/>
          <w:rtl w:val="true"/>
          <w:lang w:bidi="ar-SA"/>
        </w:rPr>
        <w:t>منصحّة طلاق المميّز مطلقاً، وهو الأخذ بإطلاق الموثّقات الثلاث،</w:t>
      </w:r>
      <w:r>
        <w:rPr>
          <w:rStyle w:val="FootnoteAnchor"/>
          <w:rtl w:val="true"/>
        </w:rPr>
        <w:footnoteReference w:id="83"/>
      </w:r>
      <w:r>
        <w:rPr>
          <w:rFonts w:ascii="Amiri" w:hAnsi="Amiri" w:eastAsia="Amiri" w:cs="Amiri"/>
          <w:color w:val="111111"/>
          <w:sz w:val="28"/>
          <w:sz w:val="28"/>
          <w:szCs w:val="28"/>
          <w:rtl w:val="true"/>
          <w:lang w:bidi="ar-SA"/>
        </w:rPr>
        <w:t>كما أنّه قد ظهر ما فيه من كونها مقيّدة بالمرسلة</w:t>
      </w:r>
      <w:r>
        <w:rPr>
          <w:rFonts w:eastAsia="Amiri" w:cs="Amiri" w:ascii="Amiri" w:hAnsi="Amiri"/>
          <w:color w:val="111111"/>
          <w:sz w:val="28"/>
          <w:szCs w:val="28"/>
          <w:rtl w:val="true"/>
          <w:lang w:bidi="ar-SA"/>
        </w:rPr>
        <w:t xml:space="preserve">. </w:t>
      </w:r>
      <w:bookmarkStart w:id="67" w:name="pg9375_99269"/>
    </w:p>
    <w:p>
      <w:pPr>
        <w:pStyle w:val="BookText"/>
        <w:rPr/>
      </w:pPr>
      <w:bookmarkEnd w:id="67"/>
      <w:r>
        <w:rPr>
          <w:rFonts w:ascii="Amiri" w:hAnsi="Amiri" w:eastAsia="Amiri" w:cs="Amiri"/>
          <w:color w:val="111111"/>
          <w:sz w:val="28"/>
          <w:sz w:val="28"/>
          <w:szCs w:val="28"/>
          <w:rtl w:val="true"/>
          <w:lang w:bidi="ar-SA"/>
        </w:rPr>
        <w:t>ولا طلاق المجنون مطبقاً أو أدواراً حال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السكران ونحوه ممّن زال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صحّة طلاق المميّز البالغ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مشروطاً بالرشد في الطلاق، كما هو المطابق للقواعد، وعليه النصوص كما عرفت</w:t>
      </w:r>
      <w:r>
        <w:rPr>
          <w:rFonts w:eastAsia="Amiri" w:cs="Amiri" w:ascii="Amiri" w:hAnsi="Amiri"/>
          <w:color w:val="111111"/>
          <w:sz w:val="28"/>
          <w:szCs w:val="28"/>
          <w:rtl w:val="true"/>
          <w:lang w:bidi="ar-SA"/>
        </w:rPr>
        <w:t>.</w:t>
      </w:r>
      <w:r>
        <w:rPr>
          <w:rStyle w:val="FootnoteAnchor"/>
          <w:rtl w:val="true"/>
        </w:rPr>
        <w:footnoteReference w:id="84"/>
      </w:r>
    </w:p>
    <w:p>
      <w:pPr>
        <w:pStyle w:val="Heading3"/>
        <w:numPr>
          <w:ilvl w:val="2"/>
          <w:numId w:val="1"/>
        </w:numPr>
        <w:rPr/>
      </w:pPr>
      <w:bookmarkStart w:id="68" w:name="__RefHeading___Toc5416463_2870459653"/>
      <w:bookmarkStart w:id="69" w:name="_Toc24"/>
      <w:bookmarkEnd w:id="68"/>
      <w:r>
        <w:rPr>
          <w:rtl w:val="true"/>
        </w:rPr>
        <w:t>اشتراط العقل في المطلِّق</w:t>
      </w:r>
      <w:bookmarkEnd w:id="69"/>
    </w:p>
    <w:p>
      <w:pPr>
        <w:pStyle w:val="Heading4"/>
        <w:numPr>
          <w:ilvl w:val="3"/>
          <w:numId w:val="1"/>
        </w:numPr>
        <w:rPr/>
      </w:pPr>
      <w:bookmarkStart w:id="70" w:name="__RefHeading___Toc5416465_2870459653"/>
      <w:bookmarkStart w:id="71" w:name="_Toc25"/>
      <w:bookmarkEnd w:id="70"/>
      <w:r>
        <w:rPr>
          <w:rtl w:val="true"/>
        </w:rPr>
        <w:t>اشارة</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 صحّة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الثاني من الشروط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إجماعاً، فلا يصحّ طلاق المجنون مطلقاً، كما في المتن؛ وذلك لعدم القصد الموجب لصدق العناوين المترتّبة عليها الآثار والأحكام، ولموثّقة السكوني،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جائز إلّا طلاق المعتوه أو الصبيّ أو مبرسم أو مجنون أو مكره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ولفحوى الأخبار المستفيضة في المعتوه والموله،</w:t>
      </w:r>
      <w:r>
        <w:rPr>
          <w:rStyle w:val="FootnoteAnchor"/>
          <w:rtl w:val="true"/>
        </w:rPr>
        <w:footnoteReference w:id="86"/>
      </w:r>
      <w:r>
        <w:rPr>
          <w:rFonts w:ascii="Amiri" w:hAnsi="Amiri" w:eastAsia="Amiri" w:cs="Amiri"/>
          <w:color w:val="111111"/>
          <w:sz w:val="28"/>
          <w:sz w:val="28"/>
          <w:szCs w:val="28"/>
          <w:rtl w:val="true"/>
          <w:lang w:bidi="ar-SA"/>
        </w:rPr>
        <w:t>ولحديث رفع القلم</w:t>
      </w:r>
      <w:r>
        <w:rPr>
          <w:rStyle w:val="FootnoteAnchor"/>
          <w:rtl w:val="true"/>
        </w:rPr>
        <w:footnoteReference w:id="87"/>
      </w:r>
      <w:r>
        <w:rPr>
          <w:rFonts w:ascii="Amiri" w:hAnsi="Amiri" w:eastAsia="Amiri" w:cs="Amiri"/>
          <w:color w:val="111111"/>
          <w:sz w:val="28"/>
          <w:sz w:val="28"/>
          <w:szCs w:val="28"/>
          <w:rtl w:val="true"/>
          <w:lang w:bidi="ar-SA"/>
        </w:rPr>
        <w:t>فيما كانالطلاق ثقلاً عليه، فتأمّل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من هذه الوجوه الأربعة هو الأوّل، وإلّا فالحكم بعدم الصحّة في </w:t>
      </w:r>
      <w:bookmarkStart w:id="72" w:name="pg9375_99270"/>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طلاق وليّ الصبيّ عنه كأبيه وجدّه، فضلاً عن الوصيّ والحاكم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 ليس من باب التعبّد، بل هو من جهة عدم تحقّق العنوان، ولعلّ عدم ورود النصّ في المسألة هو لوضوح الحكم عند العقلاء وعدم احتمال صحّة طلاق المجنون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بعض العامّة</w:t>
      </w:r>
      <w:r>
        <w:rPr>
          <w:rStyle w:val="FootnoteAnchor"/>
          <w:rtl w:val="true"/>
        </w:rPr>
        <w:footnoteReference w:id="88"/>
      </w:r>
      <w:r>
        <w:rPr>
          <w:rFonts w:ascii="Amiri" w:hAnsi="Amiri" w:eastAsia="Amiri" w:cs="Amiri"/>
          <w:color w:val="111111"/>
          <w:sz w:val="28"/>
          <w:sz w:val="28"/>
          <w:szCs w:val="28"/>
          <w:rtl w:val="true"/>
          <w:lang w:bidi="ar-SA"/>
        </w:rPr>
        <w:t>الحكم بصحّة طلاقه إذا كان متذكّراً بعده، لكنّه مع قطع النظر من حصول الاطمئنان بذلك فإنّه مشكلٌ، بل ممنوعٌ عادةً، بل هو ممّا لا يعتنى به عند العقلاء على فرض حصوله، فهو راجع إلى حصول القصد منه، كما هو واضح</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416467_2870459653"/>
      <w:bookmarkStart w:id="74" w:name="_Toc26"/>
      <w:bookmarkEnd w:id="73"/>
      <w:r>
        <w:rPr>
          <w:rtl w:val="true"/>
        </w:rPr>
        <w:t>عدم صحّة طلاق الوليّ والوصيّ والحاکم للصبيّ</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ويدلّ عليه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الفضل بن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يزوّج ابنه وهو صغير؟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طلاق الأب؟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يتزوّج الصبيّة يتوارثان؟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أبواهما اللذان زوّجاهمافنعم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يجوز طلاق الأب؟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ونحوهما ما عن عبيد بن زرارة،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له أيضاً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لمن أخذ بالساق</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وكذا بأنّ الأب لا يلتذّ من طلاق الولد والصباوة تنتهي</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ولا يخفى ما في الثاني، بل الأوّل؛ لأنّ عموم ولايته لا يرفع بالاعتبار المذكور، مضافاً إلى ضعف السند في النبويّ حتّى عند ناقليها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الإشكال في النبويّ، احتوائها على المخالف للمذهب وهو جواز طلاق المولى، مع أنّ الأخبار دالّة على عكسه وأنّ للمولى اختيار طلاق العبد والأمة المملوكين له دون غيره، فالمورد المذكور خلاف مذهبنا، وذكر خصوص القاعدة العامّة في رواية أُخرى لا يجدي؛ لأنّ الظاهر أنّ كليهما رواية واحدة، فإنّ الراوي في كليهما هو ابن عبّاس، فيحتمل التقطيع من جانبه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مضافاً إلى أنّ الحصر في الرواية ليس مطلقاً حتّى يدلّ على عدم صحّة طلاق الوليّ، بل الحصر بالنسبة إلى الزوجة وأن ليس بيدها الطلاق، كما يظهر من الأخبار الواردة من طرقنا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مرسلة ابن بكير،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نكحها رجل فأصدقته المرأة، وشرطت عليه أنّ بيدها الجماع والطلاق،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السنّة، وولّى الحقّ من ليس أهله، وقضى أنّ على الرجل الصداق، وأنّ بيده الجماع والطلاق، وتلك السنّة</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ضعف ما في الجواهر، حيث قال في مقام الاستدلال بالنبويّ بعد نقله</w:t>
      </w:r>
      <w:r>
        <w:rPr>
          <w:rFonts w:eastAsia="Amiri" w:cs="Amiri" w:ascii="Amiri" w:hAnsi="Amiri"/>
          <w:color w:val="111111"/>
          <w:sz w:val="28"/>
          <w:szCs w:val="28"/>
          <w:rtl w:val="true"/>
          <w:lang w:bidi="ar-SA"/>
        </w:rPr>
        <w:t xml:space="preserve">: </w:t>
      </w:r>
      <w:bookmarkStart w:id="75" w:name="pg9375_99272"/>
    </w:p>
    <w:p>
      <w:pPr>
        <w:pStyle w:val="BookText"/>
        <w:rPr/>
      </w:pPr>
      <w:bookmarkEnd w:id="75"/>
      <w:r>
        <w:rPr>
          <w:rFonts w:ascii="Amiri" w:hAnsi="Amiri" w:eastAsia="Amiri" w:cs="Amiri"/>
          <w:color w:val="111111"/>
          <w:sz w:val="28"/>
          <w:sz w:val="28"/>
          <w:szCs w:val="28"/>
          <w:rtl w:val="true"/>
          <w:lang w:bidi="ar-SA"/>
        </w:rPr>
        <w:t>نعم، لو بلغ فاسد العقل، أو طرأ عليه الجنون بعد البلوغ، طلّق عنه وليّه مع مراعاة الغبطة والصلاح، فإن لم يكن له أب وجدّ فالأمر إلى الحاكم، وإن كان أحدهما معه، فالأحوط أن يكون الطلاق منه مع الحاكم، وإن كان الأقوى نفوذ طلاقه بلا ضمّ الحاكم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الدالّ بمقتضى الحصر على اختصاص الطلاق بمالك البضع على وجهٍ ينافي الطلاق بالولاية، دون الوكالة التى هي في الحقيقة طلاق من المالك عرفاً، بل لو سلّم تناوله لمنع الوكالة أيضاً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والإجماع، فيبقى الطلاق بالولاية على المنع الذي لا ينافيه عموماتها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فما ذكره مبنيّ على الحصر المطلق دون النسبيّ الظاهر من النبويّ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وجود الروايات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مثل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يستشهد بهذه الأخبار</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416469_2870459653"/>
      <w:bookmarkStart w:id="77" w:name="_Toc27"/>
      <w:bookmarkEnd w:id="76"/>
      <w:r>
        <w:rPr>
          <w:rtl w:val="true"/>
        </w:rPr>
        <w:t>حکم الطلاق عن السفیه والمجنون</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الوليّ عن‌البالغ الفاسد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 عمّن طرأه الجنون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الأب والجدّ ولايةً، ومع فقدهما فهو إلى الحاكم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بلوغ فاسد العقل هل هو استمرار الجنون أو استمرارالسفاهة؟ </w:t>
      </w:r>
      <w:bookmarkStart w:id="78" w:name="pg9375_99273"/>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الأوّل يكون الثاني مسكوتاً عنه، وعلى الثاني فالعكس، فإنّ الصور ثلاثة؛ استمرار الجنون وطروّه واستمرار السفاهة، والظاهر من مثل المتن والشرائع هو الثالث، وإلّا كان الأنسب في التعبير، المقابلة بين الجنون المستمرّ والطارئ، وكان 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حكم الجنون المستمرّ محتاج إلى البيان والتعرّض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فالظاهر منهما ولاية الأب والجدّ لمن كانت سفاهته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عرفانه حدود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مستمرّة إلى البلوغ، والأخبار دالّة عليه وهي الحجّة</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416471_2870459653"/>
      <w:bookmarkStart w:id="80" w:name="_Toc28"/>
      <w:bookmarkEnd w:id="79"/>
      <w:r>
        <w:rPr>
          <w:rtl w:val="true"/>
        </w:rPr>
        <w:t>الأخبار الدالّة علی طلاق الوليّ عن السفیه</w:t>
      </w:r>
      <w:bookmarkEnd w:id="8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خالد القمّاط المنقولة عنه بأسانيدها المتعدّدة، الصحيحة والموثّقة،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يعرف رأيه مرّة وينكره أُخرى، يجوز طلاق وليّه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هو لا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حدّ الطلاق، ولا يؤمن عليه إن طلّق اليوم، أن يقول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أراه إلّا بمنزلة الإمام؛ يعني الوليّ</w:t>
      </w:r>
      <w:r>
        <w:rPr>
          <w:rFonts w:eastAsia="IRNazanin" w:cs="IRNazanin"/>
          <w:color w:val="111111"/>
          <w:sz w:val="28"/>
          <w:szCs w:val="28"/>
          <w:rtl w:val="true"/>
          <w:lang w:bidi="fa-IR"/>
        </w:rPr>
        <w:t>».</w:t>
      </w:r>
      <w:r>
        <w:rPr>
          <w:rStyle w:val="FootnoteAnchor"/>
          <w:rtl w:val="true"/>
        </w:rPr>
        <w:footnoteReference w:id="9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صحيحته الأُخرى،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 الذاهب العقل يجوز طلاق وليّه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لا يطلّق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إن طلّق هو أن يقول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أو لا يحسن أن يطلّق،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وليّه إلّا بمنزلة السلطان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المعتوه الذي لا يحسن أن يطلّق، يطلّق عنه وليّه على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ثلاثاً في مقعد،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إلى السنّة، فإذا مضت ثلاثة أشهر أو ثلاثة قروء، فقد بانت منه بواحدة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خالد،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طلاق المعتوه،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 عنه وليّه، فإنّي أراه بمنزلة الإمام عليه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ولا يخفى أنّ اتحّاد روايات أبي خالد وكونها رواية واحدة لا يخلو عن وجه، بل قوّة؛ وذلك لوحدة المرويّ عنه وقرب المضامين، بل المثليّة إن لم تكن عينيّة، ومن المستبعد سؤاله عن مسألة واحدة ثلاث مرّات، والاختلاف في المتن قلّة وكثرة، فلعلّه من التقطيع، فروايات الباب وإن كانت اثنتان، إلّا أنّ النقل من أبي خالد مستفيض ورواه المشايخ الثلاثة عنه في الكتب الأربعة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وهما يجعلانه في القوّة كالمستفيضة المشهورة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ظهور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نصوصيّتها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السفيه والمعتوه دون المجنون غير قابل للإنكار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وإلّا لم يكن لسؤال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ضرورة أنّ المجنون </w:t>
      </w:r>
      <w:bookmarkStart w:id="81" w:name="pg9375_99275"/>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ليس له الطلاق بالإجماع، بل هو من بديهيّات الإسلام والعقل، وذلك بخلاف السفيه وناقص العقل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من مقابلة المعتوه والمجنون في بعض الأخبار، ففي موثّقة السكوني،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جائز، إلّا طلاق المعتوه أو الصبيّ أو مبرسم أو مجنون أو مكره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هذا، مع تفسير المعتوه في صحيحة الحلبي وخبر أبي بصير</w:t>
      </w:r>
      <w:r>
        <w:rPr>
          <w:rStyle w:val="FootnoteAnchor"/>
          <w:rtl w:val="true"/>
        </w:rPr>
        <w:footnoteReference w:id="102"/>
      </w:r>
      <w:r>
        <w:rPr>
          <w:rFonts w:ascii="IRNazanin" w:hAnsi="IRNazanin" w:eastAsia="IRNazanin"/>
          <w:color w:val="111111"/>
          <w:sz w:val="28"/>
          <w:sz w:val="28"/>
          <w:szCs w:val="28"/>
          <w:rtl w:val="true"/>
          <w:lang w:bidi="fa-IR"/>
        </w:rPr>
        <w:t>بالأحمق الذاهب العقل وهو غير الجنون؛ ففيها بعد سؤال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المراد من المعتوه،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كذلك لغة</w:t>
      </w:r>
      <w:r>
        <w:rPr>
          <w:rFonts w:eastAsia="IRNazanin" w:cs="IRNazanin"/>
          <w:color w:val="111111"/>
          <w:sz w:val="28"/>
          <w:szCs w:val="28"/>
          <w:rtl w:val="true"/>
          <w:lang w:bidi="fa-IR"/>
        </w:rPr>
        <w:t>.</w:t>
      </w:r>
    </w:p>
    <w:p>
      <w:pPr>
        <w:pStyle w:val="Heading4"/>
        <w:numPr>
          <w:ilvl w:val="3"/>
          <w:numId w:val="1"/>
        </w:numPr>
        <w:rPr/>
      </w:pPr>
      <w:bookmarkStart w:id="82" w:name="__RefHeading___Toc5416473_2870459653"/>
      <w:bookmarkStart w:id="83" w:name="_Toc29"/>
      <w:bookmarkEnd w:id="82"/>
      <w:r>
        <w:rPr>
          <w:rtl w:val="true"/>
        </w:rPr>
        <w:t>کلام صاحب الجواهر في المراد عن المعتوه</w:t>
      </w:r>
      <w:bookmarkEnd w:id="83"/>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بالمعتوه ناقص العقل من دون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عته عتهاً من باب تعب، وعتاهاً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عقله من غير جنون أو دهش</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وعن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المدهوش من غير مسّ أو جنون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وعنالقاموس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عته فهو 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عقله أو فُقد أو دهش</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 xml:space="preserve">إلى غير ذلك من كلماتهم التي تقضي بالفرق بين العته </w:t>
      </w:r>
      <w:bookmarkStart w:id="84" w:name="pg9375_99276"/>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والجنون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هذا، وفي الجواهر بعد نفي البعد عن كون المراد منه من لا عقل كامل له، ومثله يصحّ مباشرته للطلاق، لكن بإذن الوليّ؛ لأنّه من السفيه فيه كالسفيه في المال، قال</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5416475_2870459653"/>
      <w:bookmarkStart w:id="86" w:name="_Toc30"/>
      <w:bookmarkEnd w:id="85"/>
      <w:r>
        <w:rPr>
          <w:rtl w:val="true"/>
        </w:rPr>
        <w:t>کلام صاحب الجواهر في جواز طلاق المعتوه والسفیه مع الإذن</w:t>
      </w:r>
      <w:bookmarkEnd w:id="86"/>
    </w:p>
    <w:p>
      <w:pPr>
        <w:pStyle w:val="BookText"/>
        <w:rPr/>
      </w:pPr>
      <w:r>
        <w:rPr>
          <w:rFonts w:ascii="Amiri" w:hAnsi="Amiri" w:eastAsia="Amiri" w:cs="Amiri"/>
          <w:color w:val="111111"/>
          <w:sz w:val="28"/>
          <w:sz w:val="28"/>
          <w:szCs w:val="28"/>
          <w:rtl w:val="true"/>
          <w:lang w:bidi="ar-SA"/>
        </w:rPr>
        <w:t>وعلى هذا لا يكون إشكال في النصوص المزبورة، بل ربما يكون ذلك جمعاً بين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جملة من النصوص،</w:t>
      </w:r>
      <w:r>
        <w:rPr>
          <w:rStyle w:val="FootnoteAnchor"/>
          <w:rtl w:val="true"/>
        </w:rPr>
        <w:footnoteReference w:id="107"/>
      </w:r>
      <w:r>
        <w:rPr>
          <w:rFonts w:ascii="IRNazanin" w:hAnsi="IRNazanin" w:eastAsia="IRNazanin"/>
          <w:color w:val="111111"/>
          <w:sz w:val="28"/>
          <w:sz w:val="28"/>
          <w:szCs w:val="28"/>
          <w:rtl w:val="true"/>
          <w:lang w:bidi="fa-IR"/>
        </w:rPr>
        <w:t>وبين ما دلّ على جواز طلاقه من النصوص السابقة وغيرها، كخبر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المعتوه، أ يجوز طلاقه؟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بإرادة الصحّة من ذلك مع الإذن من الوليّ؛ لعدم سلب عبارته باعتبار عدم جنونه، وإنّما أقصاه النقص الموجب للسفه في ذلك، وعدمها من تلك النصوص مع عدم الإذن، فيثبت حينئذٍ سفه في الطلاق، ولا عيب في ذلك، غير أنّي لم أجده مصرّحاً به في كلام الأصحاب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كان ظاهر بعض متأخّري المتأخّرين،</w:t>
      </w:r>
      <w:r>
        <w:rPr>
          <w:rStyle w:val="FootnoteAnchor"/>
          <w:rtl w:val="true"/>
        </w:rPr>
        <w:footnoteReference w:id="109"/>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بإرادته من مثل المتن؛ للتعبير عنه بفاسد العقل، وهو غير الجنون الذي ذكره بعد ذلك في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أنّه ذكره هنا باعتبار اتّصال فساد عقله </w:t>
      </w:r>
      <w:bookmarkStart w:id="87" w:name="pg9375_99277"/>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بحال الصبا، يدفعه؛ أنّ البحث حينئذٍ من هذه الجهة في كون الولاية حينئذٍ للأب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للحاكم، لا في طلاق الوليّ عنه وعدمه الذي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إشكال في دلالة النصوص المزبورة على صحّة طلاق الوليّ عنه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ولقد أجاد فيما أفاد من صحّة طلاق السفيه بإذن الوليّ؛ لعدم كونه مسلوب العبارة، مستنداً إلى الجمع، وسؤال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أبي خالد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لا يطلّق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مع ما فيها من الدلالة على الصحّة، فيه شهادة على اختصاص الصحّة بالإذن، ضرورة أنّ مورد السؤال هو طلاق الوليّ عنه، فطلاقه على فرض وقوعه يكون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استشكله المسالك</w:t>
      </w:r>
      <w:r>
        <w:rPr>
          <w:rStyle w:val="FootnoteAnchor"/>
          <w:rtl w:val="true"/>
        </w:rPr>
        <w:footnoteReference w:id="112"/>
      </w:r>
      <w:r>
        <w:rPr>
          <w:rFonts w:ascii="Amiri" w:hAnsi="Amiri" w:eastAsia="Amiri" w:cs="Amiri"/>
          <w:color w:val="111111"/>
          <w:sz w:val="28"/>
          <w:sz w:val="28"/>
          <w:szCs w:val="28"/>
          <w:rtl w:val="true"/>
          <w:lang w:bidi="ar-SA"/>
        </w:rPr>
        <w:t>في الاستدلال بهذه الأخبار للجنون المستمرّ إلى البلوغ، وإن كان بعضها مختصّاً به إلّا أنّ غير واحد منها يعمّ ما قصدناه وبيّناه، لكنّ الذي يسهّل الأمر ما سيأتي</w:t>
      </w:r>
      <w:r>
        <w:rPr>
          <w:rStyle w:val="FootnoteAnchor"/>
          <w:rtl w:val="true"/>
        </w:rPr>
        <w:footnoteReference w:id="113"/>
      </w:r>
      <w:r>
        <w:rPr>
          <w:rFonts w:ascii="Amiri" w:hAnsi="Amiri" w:eastAsia="Amiri" w:cs="Amiri"/>
          <w:color w:val="111111"/>
          <w:sz w:val="28"/>
          <w:sz w:val="28"/>
          <w:szCs w:val="28"/>
          <w:rtl w:val="true"/>
          <w:lang w:bidi="ar-SA"/>
        </w:rPr>
        <w:t>في محلّه من الجواب عنها وعدم التماميّة،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الأوّل في المسألة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416477_2870459653"/>
      <w:bookmarkStart w:id="89" w:name="_Toc31"/>
      <w:bookmarkEnd w:id="88"/>
      <w:r>
        <w:rPr>
          <w:rtl w:val="true"/>
        </w:rPr>
        <w:t>حکم طلاق من طرأ عليه الجنون بعد البلوغ</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وهو من طرأ عليه الجنون بعد البلوغ،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90" w:name="pg9375_99278"/>
    </w:p>
    <w:p>
      <w:pPr>
        <w:pStyle w:val="BookText"/>
        <w:rPr/>
      </w:pPr>
      <w:bookmarkEnd w:id="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طلاق الوليّ عنه، والبطلان هو المحكيّ عن ابن إدريس</w:t>
      </w:r>
      <w:r>
        <w:rPr>
          <w:rStyle w:val="FootnoteAnchor"/>
          <w:rtl w:val="true"/>
        </w:rPr>
        <w:footnoteReference w:id="115"/>
      </w:r>
      <w:r>
        <w:rPr>
          <w:rFonts w:ascii="Amiri" w:hAnsi="Amiri" w:eastAsia="Amiri" w:cs="Amiri"/>
          <w:color w:val="111111"/>
          <w:sz w:val="28"/>
          <w:sz w:val="28"/>
          <w:szCs w:val="28"/>
          <w:rtl w:val="true"/>
          <w:lang w:bidi="ar-SA"/>
        </w:rPr>
        <w:t>وقبله الشيخ في خلع الخلاف؛ محتجّاً بإجماع الفرقة وغيره،</w:t>
      </w:r>
      <w:r>
        <w:rPr>
          <w:rStyle w:val="FootnoteAnchor"/>
          <w:rtl w:val="true"/>
        </w:rPr>
        <w:footnoteReference w:id="116"/>
      </w:r>
      <w:r>
        <w:rPr>
          <w:rFonts w:ascii="Amiri" w:hAnsi="Amiri" w:eastAsia="Amiri" w:cs="Amiri"/>
          <w:color w:val="111111"/>
          <w:sz w:val="28"/>
          <w:sz w:val="28"/>
          <w:szCs w:val="28"/>
          <w:rtl w:val="true"/>
          <w:lang w:bidi="ar-SA"/>
        </w:rPr>
        <w:t>والشهيد قد استشكل أوّلاً على قول المشهور، لكن اختاره بعد ذلك،</w:t>
      </w:r>
      <w:r>
        <w:rPr>
          <w:rStyle w:val="FootnoteAnchor"/>
          <w:rtl w:val="true"/>
        </w:rPr>
        <w:footnoteReference w:id="117"/>
      </w:r>
      <w:r>
        <w:rPr>
          <w:rFonts w:ascii="Amiri" w:hAnsi="Amiri" w:eastAsia="Amiri" w:cs="Amiri"/>
          <w:color w:val="111111"/>
          <w:sz w:val="28"/>
          <w:sz w:val="28"/>
          <w:szCs w:val="28"/>
          <w:rtl w:val="true"/>
          <w:lang w:bidi="ar-SA"/>
        </w:rPr>
        <w:t>والعلّامة قد أجاب عن ابن إدريس وشدّ عليه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Heading4"/>
        <w:numPr>
          <w:ilvl w:val="3"/>
          <w:numId w:val="1"/>
        </w:numPr>
        <w:rPr/>
      </w:pPr>
      <w:bookmarkStart w:id="91" w:name="__RefHeading___Toc5416479_2870459653"/>
      <w:bookmarkStart w:id="92" w:name="_Toc32"/>
      <w:bookmarkEnd w:id="91"/>
      <w:r>
        <w:rPr>
          <w:rtl w:val="true"/>
        </w:rPr>
        <w:t>استدلال المشهور في صحّة طلاق الوليّ عن المجنون</w:t>
      </w:r>
      <w:bookmarkEnd w:id="92"/>
    </w:p>
    <w:p>
      <w:pPr>
        <w:pStyle w:val="BookText"/>
        <w:rPr/>
      </w:pPr>
      <w:r>
        <w:rPr>
          <w:rFonts w:ascii="Amiri" w:hAnsi="Amiri" w:eastAsia="Amiri" w:cs="Amiri"/>
          <w:color w:val="111111"/>
          <w:sz w:val="28"/>
          <w:sz w:val="28"/>
          <w:szCs w:val="28"/>
          <w:rtl w:val="true"/>
          <w:lang w:bidi="ar-SA"/>
        </w:rPr>
        <w:t>ويستدلّ للمشهور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نفي الضرر؛ فإنّ مع عدم نفوذ طلاق الوليّ يلزم الضرر على تقدير استغنائه عن الزوجة وكون مصلحته في مفارقتها، مع أنّ العذر غير متوقّع الزوال، وهو بخلاف الصبيّ؛ لأنّ نكاحه منوطبالمصلحة وعذره متوقّع الزوال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الولاية على المجنون، أو عمومها</w:t>
      </w:r>
      <w:r>
        <w:rPr>
          <w:rFonts w:eastAsia="Amiri" w:cs="Amiri" w:ascii="Amiri" w:hAnsi="Amiri"/>
          <w:color w:val="111111"/>
          <w:sz w:val="28"/>
          <w:szCs w:val="28"/>
          <w:rtl w:val="true"/>
          <w:lang w:bidi="ar-SA"/>
        </w:rPr>
        <w:t xml:space="preserve">. </w:t>
      </w:r>
      <w:bookmarkStart w:id="93" w:name="pg9375_99279"/>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 عن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المعتضد بالشهرة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الروايات السابقة</w:t>
      </w:r>
      <w:r>
        <w:rPr>
          <w:rStyle w:val="FootnoteAnchor"/>
          <w:rtl w:val="true"/>
        </w:rPr>
        <w:footnoteReference w:id="120"/>
      </w:r>
      <w:r>
        <w:rPr>
          <w:rFonts w:ascii="Amiri" w:hAnsi="Amiri" w:eastAsia="Amiri" w:cs="Amiri"/>
          <w:color w:val="111111"/>
          <w:sz w:val="28"/>
          <w:sz w:val="28"/>
          <w:szCs w:val="28"/>
          <w:rtl w:val="true"/>
          <w:lang w:bidi="ar-SA"/>
        </w:rPr>
        <w:t>في المعتوه وفحواها على المختار فيها، وإلّا ففي غيره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القاعدة، فهي أخصّ من المدّعى؛ لأنّها تدور مدار الضرر لا المصلحة، وعموم الأدلّة وإطلاقها غير قابل للمعارضة مع أدلّة المانعين الأخصّ منها، والإجماع مع أنّه معارض بإجماع الشيخ في الخلاف،</w:t>
      </w:r>
      <w:r>
        <w:rPr>
          <w:rStyle w:val="FootnoteAnchor"/>
          <w:rtl w:val="true"/>
        </w:rPr>
        <w:footnoteReference w:id="121"/>
      </w:r>
      <w:r>
        <w:rPr>
          <w:rFonts w:ascii="Amiri" w:hAnsi="Amiri" w:eastAsia="Amiri" w:cs="Amiri"/>
          <w:color w:val="111111"/>
          <w:sz w:val="28"/>
          <w:sz w:val="28"/>
          <w:szCs w:val="28"/>
          <w:rtl w:val="true"/>
          <w:lang w:bidi="ar-SA"/>
        </w:rPr>
        <w:t>فهو في مسألة 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المسألة هي الروايات</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416481_2870459653"/>
      <w:bookmarkStart w:id="95" w:name="_Toc33"/>
      <w:bookmarkEnd w:id="94"/>
      <w:r>
        <w:rPr>
          <w:rtl w:val="true"/>
        </w:rPr>
        <w:t>مناقشة المسالك في الاستدلال بالروایات</w:t>
      </w:r>
      <w:bookmarkEnd w:id="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المسالك المناقشة فيها بأنّ تنزيل الوليّ منزلة الإمام أو السلطان لا يدلّ على جواز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الشريف إلى عدم ثبوت عموم الولاية للمنزّل عليه وهو الإمام والسلطان؛ حيث إنّ ولايتهما بعد ولاية الأب والجدّ، لا في عرضهما؛ بأن يكون للإمام الولاية مع وجودهما، فإنّه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نظره إلى إجمال التنزيل وبأنّ متن الحديثين</w:t>
      </w:r>
      <w:r>
        <w:rPr>
          <w:rStyle w:val="FootnoteAnchor"/>
          <w:rtl w:val="true"/>
        </w:rPr>
        <w:footnoteReference w:id="122"/>
      </w:r>
      <w:r>
        <w:rPr>
          <w:rFonts w:ascii="IRNazanin" w:hAnsi="IRNazanin" w:eastAsia="IRNazanin"/>
          <w:color w:val="111111"/>
          <w:sz w:val="28"/>
          <w:sz w:val="28"/>
          <w:szCs w:val="28"/>
          <w:rtl w:val="true"/>
          <w:lang w:bidi="fa-IR"/>
        </w:rPr>
        <w:t>لا يخلو من قصور؛ لأنّ السائل وَصَف الزوج بكونه ذاهبالعقل، ثمّ يقول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هو لا يطلّق؟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الإجماع على أنّ المجنون ليس له مباشرة الطلاق ولا أهليّة التصّرف، ثمّ يعلّل </w:t>
      </w:r>
      <w:bookmarkStart w:id="96" w:name="pg9375_99280"/>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السائل عدم طلاقه بكونه ينكر الطلاق أو لا يعرف حدوده، ثمّ يجيبه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 الوليّ بمنزلة السلطان، وبأنّ هذه الأخبار ليس فيها تقييد باشتراط طلاقه بالمصلحة والغبطة للمجنون</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97" w:name="__RefHeading___Toc5416483_2870459653"/>
      <w:bookmarkStart w:id="98" w:name="_Toc34"/>
      <w:bookmarkEnd w:id="97"/>
      <w:r>
        <w:rPr>
          <w:rtl w:val="true"/>
        </w:rPr>
        <w:t>کلام صاحب الحدائق في الردّ علی مناقشات المسالك واحتجاج الشیخ</w:t>
      </w:r>
      <w:bookmarkEnd w:id="98"/>
    </w:p>
    <w:p>
      <w:pPr>
        <w:pStyle w:val="BookText"/>
        <w:rPr/>
      </w:pPr>
      <w:r>
        <w:rPr>
          <w:rFonts w:ascii="Amiri" w:hAnsi="Amiri" w:eastAsia="Amiri" w:cs="Amiri"/>
          <w:color w:val="111111"/>
          <w:sz w:val="28"/>
          <w:sz w:val="28"/>
          <w:szCs w:val="28"/>
          <w:rtl w:val="true"/>
          <w:lang w:bidi="ar-SA"/>
        </w:rPr>
        <w:t>وفي الحدائق بعد نقله مناقشات المسالك وما احتجّ به الشيخ في الخلاف، ذكر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طعن به من عدم دلالة جعل الوليّ بمنزلة السلطان على جواز طلاقه عنه فقد عرفت إفصاح الرواية الثالثة</w:t>
      </w:r>
      <w:r>
        <w:rPr>
          <w:rStyle w:val="FootnoteAnchor"/>
          <w:rtl w:val="true"/>
        </w:rPr>
        <w:footnoteReference w:id="124"/>
      </w:r>
      <w:r>
        <w:rPr>
          <w:rFonts w:ascii="Amiri" w:hAnsi="Amiri" w:eastAsia="Amiri" w:cs="Amiri"/>
          <w:color w:val="111111"/>
          <w:sz w:val="28"/>
          <w:sz w:val="28"/>
          <w:szCs w:val="28"/>
          <w:rtl w:val="true"/>
          <w:lang w:bidi="ar-SA"/>
        </w:rPr>
        <w:t>به، وبها كشف نقاب الإبهام عن الروايتين المذكورتين، كما أشرنا إليه آنفاً، وآكد من ذلك الرواية الرابعة</w:t>
      </w:r>
      <w:r>
        <w:rPr>
          <w:rStyle w:val="FootnoteAnchor"/>
          <w:rtl w:val="true"/>
        </w:rPr>
        <w:footnoteReference w:id="125"/>
      </w:r>
      <w:r>
        <w:rPr>
          <w:rFonts w:ascii="Amiri" w:hAnsi="Amiri" w:eastAsia="Amiri" w:cs="Amiri"/>
          <w:color w:val="111111"/>
          <w:sz w:val="28"/>
          <w:sz w:val="28"/>
          <w:szCs w:val="28"/>
          <w:rtl w:val="true"/>
          <w:lang w:bidi="ar-SA"/>
        </w:rPr>
        <w:t>ولكنّ العذر له واضح؛ حيث لم يطّلع عليهما، وإلّا لأوردهما، وأمّا الطعن في المتن بما ذكره فقد تقدّم الجواب عنه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ما بيّن قوّة قول المشهور وقصور القول الآخر، وأنّ شيخناالمذكور قد رجع في آخر كلامه إلى القول المشهور، وإنّما كلامه هنا نوع مناقشة أوردها في البين، مع أنّك قد عرفت أنّه لا أثر لها ولا عين، قال</w:t>
      </w:r>
      <w:r>
        <w:rPr>
          <w:rFonts w:eastAsia="Amiri" w:cs="Amiri" w:ascii="Amiri" w:hAnsi="Amiri"/>
          <w:color w:val="111111"/>
          <w:sz w:val="28"/>
          <w:szCs w:val="28"/>
          <w:rtl w:val="true"/>
          <w:lang w:bidi="ar-SA"/>
        </w:rPr>
        <w:t xml:space="preserve">: </w:t>
      </w:r>
      <w:bookmarkStart w:id="99" w:name="pg9375_99281"/>
    </w:p>
    <w:p>
      <w:pPr>
        <w:pStyle w:val="BookText"/>
        <w:rPr/>
      </w:pPr>
      <w:bookmarkEnd w:id="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ذكره من أنّه ليس في هذه الأخبار تقييد باشتراط الطلاق بالمصلحة متّجهٌ إلّا أنّه يمكن الرجوع في ذلك إلى الأدلّة العامّة الدالّة على أنّ تصرّف الوليّ منوط بالمصلحة إن ثبت ذلك</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وإنّما نقلنا كلامه بتمامه لما فيه من الجواب عن جميع المناقشات الثلاث للمسالك، ولكن جوابه عن الطعن في المتن غير تمام؛ لما مرّ</w:t>
      </w:r>
      <w:r>
        <w:rPr>
          <w:rStyle w:val="FootnoteAnchor"/>
          <w:rtl w:val="true"/>
        </w:rPr>
        <w:footnoteReference w:id="128"/>
      </w:r>
      <w:r>
        <w:rPr>
          <w:rFonts w:ascii="IRNazanin" w:hAnsi="IRNazanin" w:eastAsia="IRNazanin"/>
          <w:color w:val="111111"/>
          <w:sz w:val="28"/>
          <w:sz w:val="28"/>
          <w:szCs w:val="28"/>
          <w:rtl w:val="true"/>
          <w:lang w:bidi="fa-IR"/>
        </w:rPr>
        <w:t>من ظهور الأخبار في السفيه، ومعه يكون السؤال والجواب تماماً، فإنّ السفيه لمّا لا يكون مسلوب العبارة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يطّلق بأذنه؟ فأجاب بالمحاذير المذكورة، إلّا أنّه حمل المعتوه فيما فيه السؤال والجواب على المجنون الأدواري،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يطّلق في وقت إفاقته؟ فأجاب السائل بأنّه حال الأفاقة ليس كامل العقل، على نحو ما ذكره في الخبرين، وقد عرفت ظهورهما كغيرهما في السفيه، مع ما في جواب السائل على ما ذكره 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دفع للإشكال لا رفعه</w:t>
      </w:r>
      <w:r>
        <w:rPr>
          <w:rFonts w:eastAsia="IRNazanin" w:cs="IRNazanin"/>
          <w:color w:val="111111"/>
          <w:sz w:val="28"/>
          <w:szCs w:val="28"/>
          <w:rtl w:val="true"/>
          <w:lang w:bidi="fa-IR"/>
        </w:rPr>
        <w:t>.</w:t>
      </w:r>
    </w:p>
    <w:p>
      <w:pPr>
        <w:pStyle w:val="Heading4"/>
        <w:numPr>
          <w:ilvl w:val="3"/>
          <w:numId w:val="1"/>
        </w:numPr>
        <w:rPr/>
      </w:pPr>
      <w:bookmarkStart w:id="100" w:name="__RefHeading___Toc5416485_2870459653"/>
      <w:bookmarkStart w:id="101" w:name="_Toc35"/>
      <w:bookmarkEnd w:id="100"/>
      <w:r>
        <w:rPr>
          <w:rtl w:val="true"/>
        </w:rPr>
        <w:t>استدلال الشیخ وابن إدریس في عدم صحّة طلاق الوليّ عن المجنون</w:t>
      </w:r>
      <w:bookmarkEnd w:id="10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الشيخ في خلع الخلاف لعدم الصحّة، بالإجماع، وبأصالة بقاءالعقد وصحّته واستصحاب الزوجيّة، وبالنبويّ السابق بأنّ الطلاق لمن أخذ بالساق وهو مالك البضع</w:t>
      </w:r>
      <w:r>
        <w:rPr>
          <w:rFonts w:eastAsia="Amiri" w:cs="Amiri" w:ascii="Amiri" w:hAnsi="Amiri"/>
          <w:color w:val="111111"/>
          <w:sz w:val="28"/>
          <w:szCs w:val="28"/>
          <w:rtl w:val="true"/>
          <w:lang w:bidi="ar-SA"/>
        </w:rPr>
        <w:t>.</w:t>
      </w:r>
      <w:r>
        <w:rPr>
          <w:rStyle w:val="FootnoteAnchor"/>
          <w:rtl w:val="true"/>
        </w:rPr>
        <w:footnoteReference w:id="129"/>
      </w:r>
      <w:bookmarkStart w:id="102" w:name="pg9375_99282"/>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ابن إدريس الاحتجاج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30"/>
      </w:r>
      <w:r>
        <w:rPr>
          <w:rFonts w:ascii="Amiri" w:hAnsi="Amiri" w:eastAsia="Amiri" w:cs="Amiri"/>
          <w:color w:val="111111"/>
          <w:sz w:val="28"/>
          <w:sz w:val="28"/>
          <w:szCs w:val="28"/>
          <w:rtl w:val="true"/>
          <w:lang w:bidi="ar-SA"/>
        </w:rPr>
        <w:t>بأنّ الطلاق قد أُضيف إلى الزوج، فمن جعله لغيره فيحتاج إلى دليل، وبأنّ من شرط الطلاق مقارنة نيّة المطلِّق الذي هو الزوج له وهذا غير موجود في غيره</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103" w:name="__RefHeading___Toc5416487_2870459653"/>
      <w:bookmarkStart w:id="104" w:name="_Toc36"/>
      <w:bookmarkEnd w:id="103"/>
      <w:r>
        <w:rPr>
          <w:rtl w:val="true"/>
        </w:rPr>
        <w:t>في الردّ علی احتجاج الشیخ وابن إدریس</w:t>
      </w:r>
      <w:bookmarkEnd w:id="104"/>
    </w:p>
    <w:p>
      <w:pPr>
        <w:pStyle w:val="Heading5"/>
        <w:numPr>
          <w:ilvl w:val="4"/>
          <w:numId w:val="1"/>
        </w:numPr>
        <w:rPr/>
      </w:pPr>
      <w:bookmarkStart w:id="105" w:name="__RefHeading___Toc5416489_2870459653"/>
      <w:bookmarkStart w:id="106" w:name="_Toc37"/>
      <w:bookmarkEnd w:id="105"/>
      <w:r>
        <w:rPr>
          <w:rtl w:val="true"/>
        </w:rPr>
        <w:t>اشارة</w:t>
      </w:r>
      <w:bookmarkEnd w:id="10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وفي الكلّ ما ترى، أمّا الإجماع، فيعارضه الإجماع عن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مضافاً إلى أنّه مخالف للشهرة، وقد ذهب الشيخ نفسه في النهاية</w:t>
      </w:r>
      <w:r>
        <w:rPr>
          <w:rStyle w:val="FootnoteAnchor"/>
          <w:rtl w:val="true"/>
        </w:rPr>
        <w:footnoteReference w:id="133"/>
      </w:r>
      <w:r>
        <w:rPr>
          <w:rFonts w:ascii="Amiri" w:hAnsi="Amiri" w:eastAsia="Amiri" w:cs="Amiri"/>
          <w:color w:val="111111"/>
          <w:sz w:val="28"/>
          <w:sz w:val="28"/>
          <w:szCs w:val="28"/>
          <w:rtl w:val="true"/>
          <w:lang w:bidi="ar-SA"/>
        </w:rPr>
        <w:t>إلى خلافه وأفتى بصحّته، ولا محلّ للاستصحاب مع وجود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النبويّ،</w:t>
      </w:r>
      <w:r>
        <w:rPr>
          <w:rStyle w:val="FootnoteAnchor"/>
          <w:rtl w:val="true"/>
        </w:rPr>
        <w:footnoteReference w:id="134"/>
      </w:r>
      <w:r>
        <w:rPr>
          <w:rFonts w:ascii="Amiri" w:hAnsi="Amiri" w:eastAsia="Amiri" w:cs="Amiri"/>
          <w:color w:val="111111"/>
          <w:sz w:val="28"/>
          <w:sz w:val="28"/>
          <w:szCs w:val="28"/>
          <w:rtl w:val="true"/>
          <w:lang w:bidi="ar-SA"/>
        </w:rPr>
        <w:t>فقد مرّ</w:t>
      </w:r>
      <w:r>
        <w:rPr>
          <w:rStyle w:val="FootnoteAnchor"/>
          <w:rtl w:val="true"/>
        </w:rPr>
        <w:footnoteReference w:id="135"/>
      </w:r>
      <w:r>
        <w:rPr>
          <w:rFonts w:ascii="Amiri" w:hAnsi="Amiri" w:eastAsia="Amiri" w:cs="Amiri"/>
          <w:color w:val="111111"/>
          <w:sz w:val="28"/>
          <w:sz w:val="28"/>
          <w:szCs w:val="28"/>
          <w:rtl w:val="true"/>
          <w:lang w:bidi="ar-SA"/>
        </w:rPr>
        <w:t>ما فيه، وأمّا ما في الكتاب من إضافة الطلاق إلى الزوج، فإنّه في مقام جعل الحكم على الموضوع والجعل كذلك لا مفهوم له قطعاً، فإنّ إثبات الشيء لا ينفي ما عداه وإلّا لكان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المغرب واجبة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صلاة الصبح غير واجبة، وإنّما المفهوم على تقدير الثبوت للقيود، والعجب من ابن إدريس كيف استدلّ كذلك مع ضعفه، وأضعف من ذلك استدلاله باشتراط النيّة؛وذلك لعدم الدليل عليه أصلاً،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يصحّ طلاق الوكيل وإنّما المعتبر رضا الزوج أو </w:t>
      </w:r>
      <w:bookmarkStart w:id="107" w:name="pg9375_99283"/>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وصيّه فقط وهو حاصل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ما ذهب إليه المشهور من صحّة طلاق وليّ المجنون عنه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416491_2870459653"/>
      <w:bookmarkStart w:id="109" w:name="_Toc38"/>
      <w:bookmarkEnd w:id="108"/>
      <w:r>
        <w:rPr>
          <w:rtl w:val="true"/>
        </w:rPr>
        <w:t>فروعٌ</w:t>
      </w:r>
      <w:bookmarkEnd w:id="109"/>
    </w:p>
    <w:p>
      <w:pPr>
        <w:pStyle w:val="Heading5"/>
        <w:numPr>
          <w:ilvl w:val="4"/>
          <w:numId w:val="1"/>
        </w:numPr>
        <w:rPr/>
      </w:pPr>
      <w:bookmarkStart w:id="110" w:name="__RefHeading___Toc5416493_2870459653"/>
      <w:bookmarkStart w:id="111" w:name="_Toc39"/>
      <w:bookmarkEnd w:id="110"/>
      <w:r>
        <w:rPr>
          <w:rtl w:val="true"/>
        </w:rPr>
        <w:t>عدم الفرق في الجنون بین أن یکون عارضاً في الصغر أو بعده</w:t>
      </w:r>
      <w:bookmarkEnd w:id="111"/>
    </w:p>
    <w:p>
      <w:pPr>
        <w:pStyle w:val="BookText"/>
        <w:rPr/>
      </w:pPr>
      <w:r>
        <w:rPr>
          <w:rFonts w:ascii="Amiri" w:hAnsi="Amiri" w:eastAsia="Amiri" w:cs="Amiri"/>
          <w:color w:val="111111"/>
          <w:sz w:val="28"/>
          <w:sz w:val="28"/>
          <w:szCs w:val="28"/>
          <w:rtl w:val="true"/>
          <w:lang w:bidi="ar-SA"/>
        </w:rPr>
        <w:t>لا فرق في الجنون بين أن يكون متصدّراً بالصغر أو عرض بعد البلوغ؛ قضاءً للإطلاق وترك الاستفصال وإطلاق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مقتضى التنزيل صحّة الطلاق بعد البلوغ فقط لا قبله؛ لأنّ السلطنة قبله إنّما هي للأب والجّد لا للحاكم، مدفوعٌ بأنّ الروايات في مقام بيان أصل التنزيل لا مورد السلطنة</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5416495_2870459653"/>
      <w:bookmarkStart w:id="113" w:name="_Toc40"/>
      <w:bookmarkEnd w:id="112"/>
      <w:r>
        <w:rPr>
          <w:rtl w:val="true"/>
        </w:rPr>
        <w:t>جواز طلاق الزوجة نفسها من الزوج المجنون في صورة العسر والحرج</w:t>
      </w:r>
      <w:bookmarkEnd w:id="113"/>
    </w:p>
    <w:p>
      <w:pPr>
        <w:pStyle w:val="BookText"/>
        <w:rPr/>
      </w:pPr>
      <w:r>
        <w:rPr>
          <w:rFonts w:ascii="Amiri" w:hAnsi="Amiri" w:eastAsia="Amiri" w:cs="Amiri"/>
          <w:color w:val="111111"/>
          <w:sz w:val="28"/>
          <w:sz w:val="28"/>
          <w:szCs w:val="28"/>
          <w:rtl w:val="true"/>
          <w:lang w:bidi="ar-SA"/>
        </w:rPr>
        <w:t>إن لم يكن في طلاق المجنون مصلحة له لكن في عدمه عسر وحرج على الزوجة، بحيث لا تقدر أن تعيش معه، يجوز أن تطلّق نفسها؛ وذلك لأنّ الله يريد بكم اليسر ولا يريد بكم العسر، والنبويّ قد مرّ</w:t>
      </w:r>
      <w:r>
        <w:rPr>
          <w:rStyle w:val="FootnoteAnchor"/>
          <w:rtl w:val="true"/>
        </w:rPr>
        <w:footnoteReference w:id="136"/>
      </w:r>
      <w:r>
        <w:rPr>
          <w:rFonts w:ascii="Amiri" w:hAnsi="Amiri" w:eastAsia="Amiri" w:cs="Amiri"/>
          <w:color w:val="111111"/>
          <w:sz w:val="28"/>
          <w:sz w:val="28"/>
          <w:szCs w:val="28"/>
          <w:rtl w:val="true"/>
          <w:lang w:bidi="ar-SA"/>
        </w:rPr>
        <w:t>ما فيه سنداً ودلالةً، ولو سلّم فقاعدة اليسر تخصّصه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اللازم من هذا القول هو أنّ القاعدة ليست منحصرة فيتخصيص العامّ أو التقييد، بل تعمّ مجرى الاستصحاب والأصل، فإنّ القاعدة نافية 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حرجي ولو كان مورداً للاستصحاب، بل في الحقيقة مقدّمة عليه تقّدم الأمارة على الأصل، بل واحتماله مساوق لعدمه؛ لأنّه لو كان فلابدّ من الوصول إلينا، لأنّ المفروض أنّ الحكم المحتمل المذكور مخالفٌ لقاعدة اليسر ونفى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أخذنا بالنبويّ، كما ادّعى في الرياض</w:t>
      </w:r>
      <w:r>
        <w:rPr>
          <w:rStyle w:val="FootnoteAnchor"/>
          <w:rtl w:val="true"/>
        </w:rPr>
        <w:footnoteReference w:id="137"/>
      </w:r>
      <w:r>
        <w:rPr>
          <w:rFonts w:ascii="Amiri" w:hAnsi="Amiri" w:eastAsia="Amiri" w:cs="Amiri"/>
          <w:color w:val="111111"/>
          <w:sz w:val="28"/>
          <w:sz w:val="28"/>
          <w:szCs w:val="28"/>
          <w:rtl w:val="true"/>
          <w:lang w:bidi="ar-SA"/>
        </w:rPr>
        <w:t>باستفاضة الأخبار عليه، لكن إطلاقه مقيّد بنفي الحرج وقاعدة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روايات أُخرى توافق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بكير،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نكحها رجل، فأصدقته المرأة وشرطت عليه أنّ بيدها الجماع والطلاق،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السنّة وولّى الحقّ من ليس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على الرجل الصداق، وأنّ بيده الجماع والطلاق، وتلك السنّة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قضى في رجل تزوّج امرأة وأصدقته هي واشترطت عليه أنّ بيدها الجماع والطلاق،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خالفت السنّة، وولّيت حقّاً ليست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عليه الصداق، وبيده الجماع والطلاق، وذلك السنّة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غيرهما من الروايات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ولزوم رجوعها إلى الحاكم في مفروض المسألة الذي لا يرى الوليّ المصلحة في الطلاق، لا وجه له، فإنّه كإخبار الأجنبيّ بذلك؛ لعدم الولاية على الزوجة التي </w:t>
      </w:r>
      <w:bookmarkStart w:id="114" w:name="pg9375_99285"/>
    </w:p>
    <w:p>
      <w:pPr>
        <w:pStyle w:val="BookText"/>
        <w:rPr/>
      </w:pPr>
      <w:bookmarkEnd w:id="1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الطلاق بحكم الحرج، كما لا يخفى</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416497_2870459653"/>
      <w:bookmarkStart w:id="116" w:name="_Toc41"/>
      <w:bookmarkEnd w:id="115"/>
      <w:r>
        <w:rPr>
          <w:rtl w:val="true"/>
        </w:rPr>
        <w:t>جواز طلاق الزوجة نفسها من الزوج السفیه في صورة العسر والحرج</w:t>
      </w:r>
      <w:bookmarkEnd w:id="116"/>
    </w:p>
    <w:p>
      <w:pPr>
        <w:pStyle w:val="BookText"/>
        <w:rPr/>
      </w:pPr>
      <w:r>
        <w:rPr>
          <w:rFonts w:ascii="Amiri" w:hAnsi="Amiri" w:eastAsia="Amiri" w:cs="Amiri"/>
          <w:color w:val="111111"/>
          <w:sz w:val="28"/>
          <w:sz w:val="28"/>
          <w:szCs w:val="28"/>
          <w:rtl w:val="true"/>
          <w:lang w:bidi="ar-SA"/>
        </w:rPr>
        <w:t>إن كان الزوج سفيهاً وليس له رشدٌ، وليس في طلاقه مصلحة له ولا يرى الوليّ أنّ المصلحة في الطلاق، ولكن في دوام النكاح حرج على الزوجة، فالكلام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الحرج ماديّاً أو روحيّاً ودينيّاً، كالاعتياد بالمواد الأفيونيّة والمخدّرة في الزوج، أو سوء العمل فيه على حدٍّ يوجب الحرج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يقع الكلام في أنّ الطلاق بيد من؟</w:t>
      </w:r>
    </w:p>
    <w:p>
      <w:pPr>
        <w:pStyle w:val="BookText"/>
        <w:rPr/>
      </w:pPr>
      <w:r>
        <w:rPr>
          <w:rFonts w:ascii="Amiri" w:hAnsi="Amiri" w:eastAsia="Amiri" w:cs="Amiri"/>
          <w:color w:val="111111"/>
          <w:sz w:val="28"/>
          <w:sz w:val="28"/>
          <w:szCs w:val="28"/>
          <w:rtl w:val="true"/>
          <w:lang w:bidi="ar-SA"/>
        </w:rPr>
        <w:t>والحقّ هو جوازه من جانبها كما مرّ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ولا وجه للقول بلزوم طلاق الإمام؛ لأنّ الحاكم له الولاية على الغائب والممتنع، والزوج هنا ليس له الطلاق، فلا وجه لكونه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الرجوع إليه يفيد في إثبات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المجنون أدواريّاً ويمتنع عن الطلاق في زمان عقله، فهل يجوز لوليّه الطلاق في جنونه إذا رأى فيه المصلحة؟ الجواز ليس ببعيدٍ؛ لأنّه مع وجود المصلحة فيه وامتناعه عنه في زمان عقله ووجود المصلحة فيه في نظر الوليّ، يشمله إطلاق الأخبار ولا وجه للمنع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احتمال ظهور رواية أبي خالد القمّاط</w:t>
      </w:r>
      <w:r>
        <w:rPr>
          <w:rStyle w:val="FootnoteAnchor"/>
          <w:rtl w:val="true"/>
        </w:rPr>
        <w:footnoteReference w:id="141"/>
      </w:r>
      <w:r>
        <w:rPr>
          <w:rFonts w:ascii="Amiri" w:hAnsi="Amiri" w:eastAsia="Amiri" w:cs="Amiri"/>
          <w:color w:val="111111"/>
          <w:sz w:val="28"/>
          <w:sz w:val="28"/>
          <w:szCs w:val="28"/>
          <w:rtl w:val="true"/>
          <w:lang w:bidi="ar-SA"/>
        </w:rPr>
        <w:t>فيه، بناءً علىحملها على المجنون الأدواريّ، كما مرّ</w:t>
      </w:r>
      <w:r>
        <w:rPr>
          <w:rStyle w:val="FootnoteAnchor"/>
          <w:rtl w:val="true"/>
        </w:rPr>
        <w:footnoteReference w:id="142"/>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 xml:space="preserve">. </w:t>
      </w:r>
      <w:bookmarkStart w:id="117" w:name="pg9375_99286"/>
    </w:p>
    <w:p>
      <w:pPr>
        <w:pStyle w:val="BookText"/>
        <w:rPr/>
      </w:pPr>
      <w:bookmarkEnd w:id="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الزوج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عدم الإكراه والإجبار، فلا يصحّ طلاق غير القاصد، كالنائم والساهي والغالط والهازل الذي لا يريد وقوع الطلاق جدّاً، بل يتكلّم بلفظه هزلاً، وكذا لا يصحّ طلاق المكرَه الذي قد أُلزم على إيقاعه مع التوعيد والتهديد على تركه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416499_2870459653"/>
      <w:bookmarkStart w:id="119" w:name="_Toc42"/>
      <w:bookmarkEnd w:id="118"/>
      <w:r>
        <w:rPr>
          <w:rtl w:val="true"/>
        </w:rPr>
        <w:t>شرطیّة القصد والاختیار للمطلِّق</w:t>
      </w:r>
      <w:bookmarkEnd w:id="119"/>
    </w:p>
    <w:p>
      <w:pPr>
        <w:pStyle w:val="Heading4"/>
        <w:numPr>
          <w:ilvl w:val="3"/>
          <w:numId w:val="1"/>
        </w:numPr>
        <w:rPr/>
      </w:pPr>
      <w:bookmarkStart w:id="120" w:name="__RefHeading___Toc5416501_2870459653"/>
      <w:bookmarkStart w:id="121" w:name="_Toc43"/>
      <w:bookmarkEnd w:id="120"/>
      <w:r>
        <w:rPr>
          <w:rtl w:val="true"/>
        </w:rPr>
        <w:t>اشارة</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القصد فواضح، فمع عدمه يقع باطلاً إجماعاً</w:t>
      </w:r>
      <w:r>
        <w:rPr>
          <w:rStyle w:val="FootnoteAnchor"/>
          <w:rtl w:val="true"/>
        </w:rPr>
        <w:footnoteReference w:id="143"/>
      </w:r>
      <w:r>
        <w:rPr>
          <w:rFonts w:ascii="Amiri" w:hAnsi="Amiri" w:eastAsia="Amiri" w:cs="Amiri"/>
          <w:color w:val="111111"/>
          <w:sz w:val="28"/>
          <w:sz w:val="28"/>
          <w:szCs w:val="28"/>
          <w:rtl w:val="true"/>
          <w:lang w:bidi="ar-SA"/>
        </w:rPr>
        <w:t>وبلا شبهة، وأمّا شرطيّة الاختيار فيقع الكلام فيها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الإكراه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416503_2870459653"/>
      <w:bookmarkStart w:id="123" w:name="_Toc44"/>
      <w:bookmarkEnd w:id="122"/>
      <w:r>
        <w:rPr>
          <w:rtl w:val="true"/>
        </w:rPr>
        <w:t>حکم الإکراه</w:t>
      </w:r>
      <w:bookmarkEnd w:id="123"/>
    </w:p>
    <w:p>
      <w:pPr>
        <w:pStyle w:val="BookText"/>
        <w:rPr/>
      </w:pPr>
      <w:r>
        <w:rPr>
          <w:rFonts w:ascii="Amiri" w:hAnsi="Amiri" w:eastAsia="Amiri" w:cs="Amiri"/>
          <w:color w:val="111111"/>
          <w:sz w:val="28"/>
          <w:sz w:val="28"/>
          <w:szCs w:val="28"/>
          <w:rtl w:val="true"/>
          <w:lang w:bidi="ar-SA"/>
        </w:rPr>
        <w:t>أمّا الأوّل، فالإكراه رافع لأثر كلّ التصرّفات قولاً أو فعلاً، اعتقاداً أو تكليفاً، إيقاعاً أو عقداً، إقراراً أو إنشاءً بالإجماع من الإماميّة</w:t>
      </w:r>
      <w:r>
        <w:rPr>
          <w:rStyle w:val="FootnoteAnchor"/>
          <w:rtl w:val="true"/>
        </w:rPr>
        <w:footnoteReference w:id="144"/>
      </w:r>
      <w:r>
        <w:rPr>
          <w:rFonts w:ascii="Amiri" w:hAnsi="Amiri" w:eastAsia="Amiri" w:cs="Amiri"/>
          <w:color w:val="111111"/>
          <w:sz w:val="28"/>
          <w:sz w:val="28"/>
          <w:szCs w:val="28"/>
          <w:rtl w:val="true"/>
          <w:lang w:bidi="ar-SA"/>
        </w:rPr>
        <w:t>وأكثر العامّة</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نعم، ذهب الحنفيّة</w:t>
      </w:r>
      <w:r>
        <w:rPr>
          <w:rStyle w:val="FootnoteAnchor"/>
          <w:rtl w:val="true"/>
        </w:rPr>
        <w:footnoteReference w:id="146"/>
      </w:r>
      <w:r>
        <w:rPr>
          <w:rFonts w:ascii="Amiri" w:hAnsi="Amiri" w:eastAsia="Amiri" w:cs="Amiri"/>
          <w:color w:val="111111"/>
          <w:sz w:val="28"/>
          <w:sz w:val="28"/>
          <w:szCs w:val="28"/>
          <w:rtl w:val="true"/>
          <w:lang w:bidi="ar-SA"/>
        </w:rPr>
        <w:t>إلى نفوذه في بعض الموارد، كالطلاق والعفو وتقليل الدية والظهار والإيلاء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قلناه الكتاب والسنّة</w:t>
      </w:r>
      <w:r>
        <w:rPr>
          <w:rFonts w:eastAsia="Amiri" w:cs="Amiri" w:ascii="Amiri" w:hAnsi="Amiri"/>
          <w:color w:val="111111"/>
          <w:sz w:val="28"/>
          <w:szCs w:val="28"/>
          <w:rtl w:val="true"/>
          <w:lang w:bidi="ar-SA"/>
        </w:rPr>
        <w:t xml:space="preserve">: </w:t>
      </w:r>
      <w:bookmarkStart w:id="124" w:name="pg9375_99287"/>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5416505_2870459653"/>
      <w:bookmarkStart w:id="126" w:name="_Toc45"/>
      <w:bookmarkEnd w:id="125"/>
      <w:r>
        <w:rPr>
          <w:rtl w:val="true"/>
        </w:rPr>
        <w:t>حکم الإکراه في القرآن</w:t>
      </w:r>
      <w:bookmarkEnd w:id="126"/>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Style w:val="FootnoteAnchor"/>
          <w:rtl w:val="true"/>
        </w:rPr>
        <w:footnoteReference w:id="147"/>
      </w:r>
      <w:r>
        <w:rPr>
          <w:rFonts w:ascii="IRNazanin" w:hAnsi="IRNazanin" w:eastAsia="IRNazanin"/>
          <w:color w:val="111111"/>
          <w:sz w:val="28"/>
          <w:sz w:val="28"/>
          <w:szCs w:val="28"/>
          <w:rtl w:val="true"/>
          <w:lang w:bidi="fa-IR"/>
        </w:rPr>
        <w:t>بضميمة صحيحة عمرو بن مروان،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أُمّتي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خطؤها ونسيانها وما أُكرهوا عليه وما لم يطيقوا، وذلك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أمّا الروايات، فهي على قسمين؛ عامّة وخاصّة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5416507_2870459653"/>
      <w:bookmarkStart w:id="128" w:name="_Toc46"/>
      <w:bookmarkEnd w:id="127"/>
      <w:r>
        <w:rPr>
          <w:rtl w:val="true"/>
        </w:rPr>
        <w:t>حکم إکراه الطلاق في الروایات العامّة</w:t>
      </w:r>
      <w:bookmarkEnd w:id="128"/>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الرفع المتّفق عليه بين العامّة والخاصّة في خصوص الإكراه والنسيان والوسوسة والتفكّر في الخلق، ففي صحيحة حريز بن عبدالله،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أُمّتي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والنسيان، وما أُكرهوا عليه، وما لايعلمون، وما لا يطيقون، وما اضطرّوا عليه، والحسد، والطيرة، والتفكّر في الوسوسة في الخلوة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ينطقوا بشفة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وظاهرها عموم الآثار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صفوان، وأحمد بن محمّد بن أبي نصر جميعاً،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الرجل يستكره على اليمين، فيحلف بالطلاق والعتاق وصدقة ما يملك، أ يلزمه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ما أُكرهوا عليه، وما لم يطيقوا، وما اخطأوا</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وفيها شهادة على العموم في حديث الرفع أيضاً، كما استظهره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بعض الأخبار الصحيحة عدم اختصاص المرفوع عن الأُمّة بخصوص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الصحيحة، ثمّ أضاف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الحلف بالطلاق والعتاق والصدقة وإن كان باطلاً عندنا مع الاختيار أيضاً، إلّا أنّ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لزومها مع الإكراه على الحلف بها بحديث الوضع شاهد على عدم اختصاصه بوضع خصوص المؤاخذة، لكنّ النبويّ المحكيّ في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بثلاثة، من التسعة، فلعلّ نفي جميع الآثار مختصّ بها، فتأمّل</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عمرو بن مروان، كما مرّت آنفاً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أحمد بن محمّد النهدي،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عن أُمّتي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والنسيان، وما لا يعلمون، وما لا يطيقون، وما اضطرّواإليه، وما استكرهوا عليه، والطيرة، والوسوسة في التفكّر في الخلق، والحسد ما لم يظهر بلسان أو يد</w:t>
      </w:r>
      <w:r>
        <w:rPr>
          <w:rFonts w:eastAsia="IRNazanin" w:cs="IRNazanin"/>
          <w:color w:val="111111"/>
          <w:sz w:val="28"/>
          <w:szCs w:val="28"/>
          <w:rtl w:val="true"/>
          <w:lang w:bidi="fa-IR"/>
        </w:rPr>
        <w:t>».</w:t>
      </w:r>
      <w:r>
        <w:rPr>
          <w:rStyle w:val="FootnoteAnchor"/>
          <w:rtl w:val="true"/>
        </w:rPr>
        <w:footnoteReference w:id="153"/>
      </w:r>
      <w:bookmarkStart w:id="129" w:name="pg9375_99289"/>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5416509_2870459653"/>
      <w:bookmarkStart w:id="131" w:name="_Toc47"/>
      <w:bookmarkEnd w:id="130"/>
      <w:r>
        <w:rPr>
          <w:rtl w:val="true"/>
        </w:rPr>
        <w:t>حکم إکراه الطلاق في الروایات الخاصّة</w:t>
      </w:r>
      <w:bookmarkEnd w:id="131"/>
    </w:p>
    <w:p>
      <w:pPr>
        <w:pStyle w:val="BookText"/>
        <w:rPr/>
      </w:pPr>
      <w:r>
        <w:rPr>
          <w:rFonts w:ascii="Amiri" w:hAnsi="Amiri" w:eastAsia="Amiri" w:cs="Amiri"/>
          <w:color w:val="111111"/>
          <w:sz w:val="28"/>
          <w:sz w:val="28"/>
          <w:szCs w:val="28"/>
          <w:rtl w:val="true"/>
          <w:lang w:bidi="ar-SA"/>
        </w:rPr>
        <w:t>أمّا الخاصّة الواردة في خصوص الطلاق والعتق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المكره وعتقه؟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طلاقه بطلاق ولاعتقه بعتق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تاجر، أمرّ بالعشّار ومعي 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غيّبه ما استطعت، وضعه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حلّفني بالطلاق والعتاق،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تمرة فحفر بها من زبد كان قدّامه،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أُبالي حلفت لهم بالطلاق، والعتاق، أو أکلتها</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يحيى بن عبدالله بن الحسن،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يجوز طلاق في استكراه، ولا تجوز يمين في قطيعة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الطلاق ما أُريد به الطلاق من غير استكراه ولا اضرار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مسلماً مرّ بقوم ليسوا بسلطان فقهروه حتّىيتخوّف على نفسه أن يعتق أو يطلّق، ففعل، لم يكن عليه شيء</w:t>
      </w:r>
      <w:r>
        <w:rPr>
          <w:rFonts w:eastAsia="IRNazanin" w:cs="IRNazanin"/>
          <w:color w:val="111111"/>
          <w:sz w:val="28"/>
          <w:szCs w:val="28"/>
          <w:rtl w:val="true"/>
          <w:lang w:bidi="fa-IR"/>
        </w:rPr>
        <w:t>».</w:t>
      </w:r>
      <w:r>
        <w:rPr>
          <w:rStyle w:val="FootnoteAnchor"/>
          <w:rtl w:val="true"/>
        </w:rPr>
        <w:footnoteReference w:id="1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الخاصّة ما هو وارد في خصوص العتق، وبإلغاء الخصوصيّة منه يدلّ على عدم صحّة الطلاق مع الإكراه أيضاً، بل به يستدلّ على عدم الصحّة في مطلق العقود والإيقاعات</w:t>
      </w:r>
      <w:r>
        <w:rPr>
          <w:rFonts w:eastAsia="Amiri" w:cs="Amiri" w:ascii="Amiri" w:hAnsi="Amiri"/>
          <w:color w:val="111111"/>
          <w:sz w:val="28"/>
          <w:szCs w:val="28"/>
          <w:rtl w:val="true"/>
          <w:lang w:bidi="ar-SA"/>
        </w:rPr>
        <w:t xml:space="preserve">. </w:t>
      </w:r>
      <w:bookmarkStart w:id="132" w:name="pg9375_99290"/>
    </w:p>
    <w:p>
      <w:pPr>
        <w:pStyle w:val="BookText"/>
        <w:rPr/>
      </w:pPr>
      <w:bookmarkEnd w:id="13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5416511_2870459653"/>
      <w:bookmarkStart w:id="134" w:name="_Toc48"/>
      <w:bookmarkEnd w:id="133"/>
      <w:r>
        <w:rPr>
          <w:rtl w:val="true"/>
        </w:rPr>
        <w:t>استثناء الموردین من قاعدة حدیث الرفع</w:t>
      </w:r>
      <w:bookmarkEnd w:id="134"/>
    </w:p>
    <w:p>
      <w:pPr>
        <w:pStyle w:val="BookText"/>
        <w:rPr/>
      </w:pPr>
      <w:r>
        <w:rPr>
          <w:rFonts w:ascii="Amiri" w:hAnsi="Amiri" w:eastAsia="Amiri" w:cs="Amiri"/>
          <w:color w:val="111111"/>
          <w:sz w:val="28"/>
          <w:sz w:val="28"/>
          <w:szCs w:val="28"/>
          <w:rtl w:val="true"/>
          <w:lang w:bidi="ar-SA"/>
        </w:rPr>
        <w:t>ثمّ إنّ الرفع يشمل الأثر الوضعي والتكليفي معاً، لكن استثني من عموم القاعدة الشاملة للتكليف والوضع موردان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إلى التكليف بل الوضع وهو القتل؛ لما صحّ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 ليحقن بها الدم، فإذا بلغ الدم فليس تقيّة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الكافر والمرتدّ، حيث إنّهما يجبران على قبول الإسلام وهو إكراه عن حقّ، 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أنّه لمّا ألزما من قبل الله تعالى فيجوز إكراهما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أشار إليه الفاضل الهندي</w:t>
      </w:r>
      <w:r>
        <w:rPr>
          <w:rStyle w:val="FootnoteAnchor"/>
          <w:rtl w:val="true"/>
        </w:rPr>
        <w:footnoteReference w:id="158"/>
      </w:r>
      <w:r>
        <w:rPr>
          <w:rFonts w:ascii="Amiri" w:hAnsi="Amiri" w:eastAsia="Amiri" w:cs="Amiri"/>
          <w:color w:val="111111"/>
          <w:sz w:val="28"/>
          <w:sz w:val="28"/>
          <w:szCs w:val="28"/>
          <w:rtl w:val="true"/>
          <w:lang w:bidi="ar-SA"/>
        </w:rPr>
        <w:t>والشهيد في المسالك</w:t>
      </w:r>
      <w:r>
        <w:rPr>
          <w:rStyle w:val="FootnoteAnchor"/>
          <w:rtl w:val="true"/>
        </w:rPr>
        <w:footnoteReference w:id="159"/>
      </w:r>
      <w:r>
        <w:rPr>
          <w:rFonts w:ascii="Amiri" w:hAnsi="Amiri" w:eastAsia="Amiri" w:cs="Amiri"/>
          <w:color w:val="111111"/>
          <w:sz w:val="28"/>
          <w:sz w:val="28"/>
          <w:szCs w:val="28"/>
          <w:rtl w:val="true"/>
          <w:lang w:bidi="ar-SA"/>
        </w:rPr>
        <w:t>من أنّ دخول الكافر في المسلمين وإسلامه يوجب عظمة المسلمين وشوكتهم وينجرّ إلى إيمانه تدريجاً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إكراه الحاكم، المحتكر على البيع، أو المنفق على نفقة المنفق عليه، أو المديون على أداء الدين، وغيرها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الكلّ هو الإكراه عن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 عدم رافعيّة ذلك الإكراه هو أنّ هذاالإكراه من الشارع؛ لأنّ الإكراه الجائز وما يكون عن حقٍّ هو منحصر فيما هو واجب على المكرَه </w:t>
      </w:r>
      <w:bookmarkStart w:id="135" w:name="pg9375_99291"/>
    </w:p>
    <w:p>
      <w:pPr>
        <w:pStyle w:val="BookText"/>
        <w:rPr/>
      </w:pPr>
      <w:bookmarkEnd w:id="13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الله تعالى أكرهه، والحاكم أو غيره يقصّ ذلك الإكراه،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ولاية الحاكم على الإكراه محدودة 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الإجبار على المباح إذا كانت فيه مصلحة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إليهما مورداً آخر لم يأت في عبارات القوم وإنّما تعرّض له سيّدنا الإمام</w:t>
      </w:r>
      <w:r>
        <w:rPr>
          <w:rFonts w:eastAsia="Times New Roman" w:cs="Times New Roman" w:ascii="Times New Roman" w:hAnsi="Times New Roman"/>
          <w:color w:val="111111"/>
          <w:sz w:val="28"/>
          <w:szCs w:val="28"/>
          <w:lang w:val="en-US" w:bidi="en-US"/>
        </w:rPr>
        <w:t>O</w:t>
      </w:r>
      <w:r>
        <w:rPr>
          <w:rFonts w:ascii="Amiri" w:hAnsi="Amiri" w:eastAsia="Amiri" w:cs="Amiri"/>
          <w:color w:val="111111"/>
          <w:sz w:val="28"/>
          <w:sz w:val="28"/>
          <w:szCs w:val="28"/>
          <w:rtl w:val="true"/>
          <w:lang w:bidi="ar-SA"/>
        </w:rPr>
        <w:t>، وهو الإكراه إذا انجرّ إلى هدم الإسلام وعظمته وعظمة المسلمين، فإنّ الإكراه هنا لا يرفع الحكم والتكليف</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416513_2870459653"/>
      <w:bookmarkStart w:id="137" w:name="_Toc49"/>
      <w:bookmarkEnd w:id="136"/>
      <w:r>
        <w:rPr>
          <w:rtl w:val="true"/>
        </w:rPr>
        <w:t>کلام الإمام الخمیني</w:t>
      </w:r>
      <w:r>
        <w:rPr>
          <w:rtl w:val="true"/>
        </w:rPr>
        <w:t>(</w:t>
      </w:r>
      <w:r>
        <w:rPr>
          <w:rtl w:val="true"/>
        </w:rPr>
        <w:t>سلام الله علیه</w:t>
      </w:r>
      <w:r>
        <w:rPr>
          <w:rtl w:val="true"/>
        </w:rPr>
        <w:t xml:space="preserve">) </w:t>
      </w:r>
      <w:r>
        <w:rPr>
          <w:rtl w:val="true"/>
        </w:rPr>
        <w:t>حول موارد استثناء التقیّة</w:t>
      </w:r>
      <w:bookmarkEnd w:id="137"/>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الكلام حول موارد استثنيت من أدلّة التقيّة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بعض المحرّمات والواجبات التي في نظر الشارع والمتشرّعة في غاية الأهميّة، مثل هدم الكعبة والمشاهد المشرّفة بنحو يمحو الأثر ولا يرجى عوده، ومثل الردّ على الإسلام والقرآن والتفسير بما يفسد المذهب ويطابق الإلحاد، وغيرها من عظائم المحرّمات، فإنّ القول بحكومة نفي الحرج أو الضرر وغيرهما على أدلّتها بمجرّد تحقّق عنوان الحرج والاضطرار والإكراه والضرر والتقيّة بعيدٌ عن مذاق الشرع غايته، فهل ترى من نفسك إن عرض على مسلم تخريب بيت الله الحرام وقبر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الحبس شهراً أو شهرين، أو أخذ مأة أو مأتين منه يجوز له ذلك؛ تمسّكاً بدليلالحرج والضرر، والظاهر هو الرجوع في أمثال تلك العظائم إلى تزاحم المقتضيات من غير توجّه إلى حكومة تلك الأدلّة على أدلّتها 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وضوحه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وتفسير ما يتّقى مثل أن يکون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سوء ظاهر حكمهم وفعلهم على غير حكم الحقّ وفعله،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هذا، مع أنّ في دليل الضرر كلاماً تعرّضنا له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وذكرنا أنّه أجنبيّ عن الحكومة على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وأولى من ذلك كلّه في عدم جواز التقيّة فيه ما لو كان أصل من أصول الإسلام أو المذهب، أو ضروري من ضروريّات الدين في معرض الزوال والهدم والتغيير، كما لو أراد المنحرفون الطغاة تغيير أحكام الإرث والطلاق والصلاة والحجّ وغيرها من أصول الأحكام، فضلاً عن أُصول الدين أو المذهب، فإنّ التقيّة في مثلها غير جائزة، ضرورة أنّ تشريعها لبقاء المذهب وحفظ الأُصول وجمع شتات المسلمين لإقامة الدين وأُصوله، فإذا بلغ الأمر إلى هدمها فلا تجوز التقيّة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الموثّقة المتقدّمة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هو قريبٌ منه في المكاسب المحرّمة عند ذكر مستثنيات التقيّة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بعض المحرّمات التي في ارتكاز المتشرّعة من العظائموالمهمّات جدّاً، كمحو كتاب الله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نسخه وتأويله بما يخالف الدين أو المذهب، بحيث يوجب ضلالة الناس والردّ على الدين أو المذهب بنحو يوجب الإضلال وهدم الكعبة المعظّمة ومحو آثارها، </w:t>
      </w:r>
      <w:bookmarkStart w:id="138" w:name="pg9375_99293"/>
    </w:p>
    <w:p>
      <w:pPr>
        <w:pStyle w:val="BookText"/>
        <w:rPr/>
      </w:pPr>
      <w:bookmarkEnd w:id="1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إلى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الأدلّة منصرفة عن أمثال ذلك، سيّما بعضها، وإنّما شرّعت التقيّة لبقاء المذهب الحقّ، ولولاها لصارت تلك الأقلّية المحقّة في معرض الزوال والاضمحلال والهضم في الأكثريّة الباطلة، وتجويزها لمحو المذهب والدين خلاف غرض الشارع الأقدس، بل لعلّ بعض حقوق الناس كالأعراض الكثيرة المهمّة في ارتكاز المتشرّعة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تلك المقامات لابدّ من ملاحظة أقوى المقتضيين وأهمّ المناطين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استشهد بالموثّقة، ثمّ أضاف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يشكل تحكيم الأدلّة فيما إذا كان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الشخصيّات البارزة الدينيّة في نظر الخلق، بحيث يكون ارتكابه لبعض القبايح موجباً لهتك حرمة المذهب ووهن عقائد أهله</w:t>
      </w:r>
      <w:r>
        <w:rPr>
          <w:rFonts w:eastAsia="Amiri" w:cs="Amiri" w:ascii="Amiri" w:hAnsi="Amiri"/>
          <w:color w:val="111111"/>
          <w:sz w:val="28"/>
          <w:szCs w:val="28"/>
          <w:rtl w:val="true"/>
          <w:lang w:bidi="ar-SA"/>
        </w:rPr>
        <w:t>.</w:t>
      </w:r>
      <w:r>
        <w:rPr>
          <w:rStyle w:val="FootnoteAnchor"/>
          <w:rtl w:val="true"/>
        </w:rPr>
        <w:footnoteReference w:id="162"/>
      </w:r>
    </w:p>
    <w:p>
      <w:pPr>
        <w:pStyle w:val="Heading4"/>
        <w:numPr>
          <w:ilvl w:val="3"/>
          <w:numId w:val="1"/>
        </w:numPr>
        <w:rPr/>
      </w:pPr>
      <w:bookmarkStart w:id="139" w:name="__RefHeading___Toc5416515_2870459653"/>
      <w:bookmarkStart w:id="140" w:name="_Toc50"/>
      <w:bookmarkEnd w:id="139"/>
      <w:r>
        <w:rPr>
          <w:rtl w:val="true"/>
        </w:rPr>
        <w:t>رضا المکرَه بعد الطلاق</w:t>
      </w:r>
      <w:bookmarkEnd w:id="140"/>
    </w:p>
    <w:p>
      <w:pPr>
        <w:pStyle w:val="BookText"/>
        <w:rPr/>
      </w:pPr>
      <w:r>
        <w:rPr>
          <w:rFonts w:ascii="Amiri" w:hAnsi="Amiri" w:eastAsia="Amiri" w:cs="Amiri"/>
          <w:color w:val="111111"/>
          <w:sz w:val="28"/>
          <w:sz w:val="28"/>
          <w:szCs w:val="28"/>
          <w:rtl w:val="true"/>
          <w:lang w:bidi="ar-SA"/>
        </w:rPr>
        <w:t>ثمّ إنّه لا يفيد في صحّة طلاق المكرَه تعقّبه بالرضا؛ وذلك لأنّ الفضولي في الطلاق غير جائز إجماعاً، وبطلانه ليس إلّا لعدم مقارنته بالرضا، أو سبقه على الطلاق، وإلّا فليس فيه أمر آخر مانع عن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يُعلم اشتراط المقارنة أو السبق واللحوق غير مفيد، وهذا المناط موجود في المكره أيضاً، والبابان كأنّهما باب واحد، هذا مضافاً إلى جريانأصالة الفساد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الفقهاء هنا لتعريف الإكراه، ولعلّ السرّ فيه أنّه أوّل كتاب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الطلاق والعتق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في أخباره حكم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لا يخفى وضوحه عند العرف، وما جاء في تعاريفهم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ما عند العرف، فلنا في الطرد والنقض، الرجوع إلى العرف، وعند الشكّ في صدق مورد فالأصل هو الفساد، وذلك وإن كان مقتضى الكتاب الصحّة، إلّا أنّ التمسّك بالعامّ في الشبهة المصداقيّة ممنوعٌ،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عدم الفرق في كون الشكّ هو للجهل بالمفهوم العرفي للإكراه أو لجهلهم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الشاهد على ذلك، الماء؛ فإنّ صدقه على بعض المصاديق المشتبهة بالمضاف مشكوك ومجهول عندهم، مع أنّه من أوضح المفاهيم، وليس ذلك إلّا لما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كيف يكون جاهلاً بعمومه العرفي، وهل هو إلّا نسبة تردّد الحاكم في حكمه؟</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المعلوم عندهم المفهوم على سبيل الإجمال وهو غير كافٍ؛ للعلم بانطباقه على جميع المصاديق، وأمّا العلم التفصيلي به الموجب للعلم بحدوده وثغوره، بحيث لا يشذّ انطباقه على شيء من مصاديقه فلهم في جلّ المفاهيم غير حاصل إن لم نقل كلّها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محلّ الكلام في باب العقود والإيقاعات هو مورد يجتمع فيه جميع الشرائط إلّا الاختيار، وإلّا فالبطلان راجع إلى فقدان غيره من الشروط، ولذلك ترى أنّهم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اشتراط الاختيار مع سائر الشروط وفي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في عبائر الأصحاب من الاستدلال على بطلان عقد المكرَه بعدم القصد، أو عدم الرضا، أو عدم قصد الإنشاء، فإنّهليس في محلّه ويكون الاستدلال بأمر أجنبيّ عن مسألة الإكراه وحيثيّته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أنّه لافرق بين المكرَه والمضطرّ </w:t>
      </w:r>
      <w:bookmarkStart w:id="141" w:name="pg9375_99295"/>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الإكراه هو حمل الغير على إيجاد ما يكره إيجاده، مع التوعيد على تركه بإيقاع ما يضرّ بحاله عليه أو على من يجري مجرى نفسه، كأبيه وولده نفساً أو عرضاً أو مالاً بشرط أن يكون الحامل قادراً على إيقاع ما توعّد به، مع العلم أو الظنّ بإيقاعه على تقدير عدم امتثاله، بل أو الخوف به وإن لم يكن مظنوناً، ويلحق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أو 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أمره بإيجاد ما يكرهه مع خوف المأمور من عقوبته والإضرار عليه لو خالفه وإن لم يقع منه توعيد وتهديد، ولا يلحق به ما لو أوقع الفعل مخافة إضرار الغير عليه بتركه من دون إلزام منه عليه، فلو تزوّج بامرأة، ثمّ رأى أنّه لو بقيت على حباله لوقعت عليه وقیعة من بعض متعلّقيها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كأبيها وأخيها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فالتجأ إلى طلاقها فطلّقها يصحّ طلاقها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وجود الرضا وعدم 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يحتاج إليه في العقود والإيقاعات هو الرضا بالعقد والإيقاع لا طيب النفس، وهذا بخلاف الإباحة التي هي محتاجة إلى طيب النفس، فالتجارة عن تراضٍ كافية، لكن لا يحلّ مال امرء مسلم إلّا بطيبة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المكرَه والمضطرّ يوجد الرضا بالتصرّف بالعقد أو الإيقاع، لكن ليست مباديه مستندة إلى نفسه وباختياره وطيب نفسه، بل تكون مستندة إلى الغير، فكأنّه لم يكن الرضا موجوداً أوّلاً وقد وُجد ثانياً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416517_2870459653"/>
      <w:bookmarkStart w:id="143" w:name="_Toc51"/>
      <w:bookmarkEnd w:id="142"/>
      <w:r>
        <w:rPr>
          <w:rtl w:val="true"/>
        </w:rPr>
        <w:t>تعریف الإکراه وما حوله</w:t>
      </w:r>
      <w:bookmarkEnd w:id="14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ذكره في كفاية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المتيقّن في كلمات الأصحاب، لكن فيه جهات من البحث</w:t>
      </w:r>
      <w:r>
        <w:rPr>
          <w:rFonts w:eastAsia="Amiri" w:cs="Amiri" w:ascii="Amiri" w:hAnsi="Amiri"/>
          <w:color w:val="111111"/>
          <w:sz w:val="28"/>
          <w:szCs w:val="28"/>
          <w:rtl w:val="true"/>
          <w:lang w:bidi="ar-SA"/>
        </w:rPr>
        <w:t xml:space="preserve">: </w:t>
      </w:r>
      <w:bookmarkStart w:id="144" w:name="pg9375_99296"/>
    </w:p>
    <w:p>
      <w:pPr>
        <w:pStyle w:val="BookText"/>
        <w:rPr/>
      </w:pPr>
      <w:bookmarkEnd w:id="14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5416519_2870459653"/>
      <w:bookmarkStart w:id="146" w:name="_Toc52"/>
      <w:bookmarkEnd w:id="145"/>
      <w:r>
        <w:rPr>
          <w:rtl w:val="true"/>
        </w:rPr>
        <w:t>تحقّق الإکراه بالتوعّد وفعل المکرِه</w:t>
      </w:r>
      <w:bookmarkEnd w:id="14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يختصّ بالتوعّد، بل يشمل الفعل أيضاً عرفاً، بل هو أولى بالصدق من التوعّد كما لا يخفى، وقد صرّح بالصدق في كشف اللثام ولم أجده في غيره،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تعريفه الآتي ذكره بالتوعّد المذكور مع قيوده في عبارته المزجيّة بكلام القواعد</w:t>
      </w:r>
      <w:r>
        <w:rPr>
          <w:rStyle w:val="FootnoteAnchor"/>
          <w:rtl w:val="true"/>
        </w:rPr>
        <w:footnoteReference w:id="163"/>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فعل به أو بمن يجري مجراه ما يتضرّر به حتّى لَفِظ بالطلاق</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ثمّ إنّ الإكراه صادق مع التوعّد بالضرر الراجع إلى ما یُعدّ من مهمّات الناس في مجتمعهم ومعیشتهم، أو ما یرجع إلی حفظ أساس المذهب أو شعائر الدین ورجاله، بل التوعّد بالضرر لكلّ ما يكون حفظه واجباً على المكرَه، كما أن يتوعّده المكرِه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نفسه إن لم يطلّق زوجته، أو بصيرورته عيناً للأعداء على عسكر المسلمين وجيوشهم، إلى غيرها ممّا يكون التوعّد بأمر يجب على المكرَه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الردع عنه، فالظاهر صدق الإكراه عرفاً في جميع تلك الموارد، فإنّه إذا طلّق المكرَه زوجته خوفاً من التوعّد كان مكرَهاً على طلاق زوجته، فطلاقه وقع عن إكراه، فهو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ممّا ذكرنا ضعف ما ذهب إليه الشهيد في المسالك من عدم تحقّق الإكراه في أمثال تلك الموارد،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يحصل الإكراه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امرأتك، وإلّا قتلت نفسي أو كفرت </w:t>
      </w:r>
      <w:bookmarkStart w:id="147" w:name="pg9375_99297"/>
    </w:p>
    <w:p>
      <w:pPr>
        <w:pStyle w:val="BookText"/>
        <w:rPr/>
      </w:pPr>
      <w:bookmarkEnd w:id="1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تركت الصلاة ونحوها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منه إنّه اختار عدم الصدق جزماً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مقطوعاً به فلا أقلّ من أنّه الظاهر من العرف، بل الظاهر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بعد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بأن يقول وليّ القصاص لمن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امرأتك وإلّا اقتصصت منك؛ لأنّ ذلك حقّه، فلا يعدّ استيفاؤه ضرراً بالمأمور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ولا يخفی عليك ما في توجيهه من عدم كون القصاص ضرراً؛ لأنّه حقّه، وذلك لأنّ الحقّيّة لا تنافي الضرر، كالجهاد في سبيل الله والخمس والزكاة، فإنّها ضرر مع أنّها حقّ وأيّ حقّ </w:t>
      </w:r>
      <w:r>
        <w:rPr>
          <w:rFonts w:ascii="Amiri" w:hAnsi="Amiri" w:eastAsia="Amiri" w:cs="Amiri"/>
          <w:color w:val="111111"/>
          <w:sz w:val="28"/>
          <w:sz w:val="28"/>
          <w:szCs w:val="28"/>
          <w:rtl w:val="true"/>
          <w:lang w:bidi="ar-SA"/>
        </w:rPr>
        <w:t>وَعَسَى أَن تَكْرَهُواْ شَيْئاً وَهُوَ خَيْرٌ لَّكُمْ</w:t>
      </w:r>
      <w:r>
        <w:rPr>
          <w:rFonts w:ascii="IRNazanin" w:hAnsi="IRNazanin" w:eastAsia="IRNazanin"/>
          <w:color w:val="111111"/>
          <w:sz w:val="28"/>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وقد ذكروا الموارد أمثلة لأحكام مبنيّة على الضرر التي لا تشمله القاعدة، وكيف لا يكون القصاص ضرراً على المقتصّ منه مع أنّ العفو منه خيرٌ لكم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416521_2870459653"/>
      <w:bookmarkStart w:id="149" w:name="_Toc53"/>
      <w:bookmarkEnd w:id="148"/>
      <w:r>
        <w:rPr>
          <w:rtl w:val="true"/>
        </w:rPr>
        <w:t>في اعتبار الظنّ والعلم أو کفایة تحقّق الخوف بتوعید المکرِه</w:t>
      </w:r>
      <w:bookmarkEnd w:id="149"/>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الظنّ والعلم، أو يكفي الخوف والاحتمال احتمالاً عقلائيّاً؟ الظاهر من العرف هو الثاني، بل في الجواهر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عدم اعتبار غلبة الظنّ بالفعل، بل يكفي تحقّق الخوف، كما سمعته في المرسل، فضلاً عن العرف</w:t>
      </w:r>
      <w:r>
        <w:rPr>
          <w:rFonts w:eastAsia="Amiri" w:cs="Amiri" w:ascii="Amiri" w:hAnsi="Amiri"/>
          <w:color w:val="111111"/>
          <w:sz w:val="28"/>
          <w:szCs w:val="28"/>
          <w:rtl w:val="true"/>
          <w:lang w:bidi="ar-SA"/>
        </w:rPr>
        <w:t>.</w:t>
      </w:r>
      <w:r>
        <w:rPr>
          <w:rStyle w:val="FootnoteAnchor"/>
          <w:rtl w:val="true"/>
        </w:rPr>
        <w:footnoteReference w:id="168"/>
      </w:r>
      <w:bookmarkStart w:id="150" w:name="pg9375_99298"/>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ودونك المرسل، وهو ما رواه الكليني عن عليّ بن إبراهيم، عن أبيه، عن ابن أبي عمير، أو غيره، عن عبد‌الله بن سنان، عن أبي عبدالله</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مسلماً مرّ بقوم ليسوا بسلطان، فقهروه حتّى يتخوّف على نفسه أن يعتق أو يطلّق، ففعل، لم يكن عليه شيء</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ولا يخفی عليك ما في الاستدلال به من احتمال اختصاصه بالخوف على النفس لا الخوف المطلق ولو على المال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العرف هو المعتمد والمرسل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بالدقّة في المراد من القهر على الطلاق والعتاق؛ لعدم الجدوى فيه لذلك القوم الظاهر أنّهم من السرّاق وقطّاع الطريق، ولعلّ المراد الحلف بالطلاق والعتاق لإثبات عدم المال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له ما رواه الكليني في باب طلاق المضطرّ والمكره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تاجر، أمرّ بالعشّار ومعي 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غيّبه ما استطعت، وضعه 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حلّفني بالطلاق والعتاق،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تمرة فحفر بها من زبد كان قدّامه،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أُبالي حلفت لهم بالطلاق والعتاق، أو آكلتها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5416523_2870459653"/>
      <w:bookmarkStart w:id="152" w:name="_Toc54"/>
      <w:bookmarkEnd w:id="151"/>
      <w:r>
        <w:rPr>
          <w:rtl w:val="true"/>
        </w:rPr>
        <w:t>حکم الإکراه فیما لم یتوعّد المکرِه فعلاً</w:t>
      </w:r>
      <w:bookmarkEnd w:id="1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بشيء ولم يتوعّد فعلاً، لكن يقطع أو يخاف ضرره فيما بعد، فهو </w:t>
      </w:r>
      <w:bookmarkStart w:id="153" w:name="pg9375_99299"/>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إمّا إكراه موضوعاً، أو يلحقه في الحكم؛ قضاءً للمناط وهو الخوف، فإنّ ما هو العلّة والسبب لعدم الصحّة مع الإكراه هو الخوف من المتوعّد به وعدم الاختيار، وإلّا فلاخصوصيّة للتوعّد اللفظي بما هو لفظ، فإنّه ليس الباب باب القراءة أو العقود والإيقاعات المحتاجة إلى الألفاظ، بل إنّما يكون ذكر التوعّد في الإكراه من باب الغلبة في سببيّته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فالمفروض الإكراه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فالعرف يلغي خصوصيّة التوعّد ويرى عدم الصحّة والبطلان في الإكراه والخوف الحاصل مع عدم التوعّد أيضاً على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وجه تماميّة 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ويلحق به موضوعاً أو حكماً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وأمّا ما ذكره من الفرع الآخر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يلحق به ما لو أوقع 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فوجهه واضح؛ فإنّه لعدم الصدق موضوعاً بلا إشكال وعدم اعتناء العقلاء بالخوف كذلك أصلاً، بل يعدّون من يعتني به ويبيع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الخوف جباناً وخارجاً من المتعارف</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5416525_2870459653"/>
      <w:bookmarkStart w:id="155" w:name="_Toc55"/>
      <w:bookmarkEnd w:id="154"/>
      <w:r>
        <w:rPr>
          <w:rtl w:val="true"/>
        </w:rPr>
        <w:t>حصول الإکراه لمن خاف من التوعّد المکرِه</w:t>
      </w:r>
      <w:bookmarkEnd w:id="155"/>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الخوف بين أن يكون عادياً وحاصلاً للمكرَه وغيره بسبب قدرة المكرِه، بحيت يخاف من توعّده كلّ من توعّد به، أو خاصّاً به وكان غيره لا يخاف منه ولكن يحصل الخوف لهذا الشخص بسبب مايخصّه من الصفات النفسيّة ولكونه جباناً؛ وذلك لصدق الإكراه والإجبار فيهما عرفاً، كما هو ظاهر وواضح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خبر عبد‌الله بن سنان هو سعة باب الإكراه، ولا يعتبر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يكون التوعيد بما يضرّه،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يمين في غضب، ولا في قطيعة رحم، ولا في جَبْر، ولا في إكراه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فما فرق بين الجبر والإكراه؟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من السلطان، ويكون الإكراه من الزوجة والأُمّ والأب، وليس ذلك بشيء</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ضعف السند بعبد‌الله بن القاسم</w:t>
      </w:r>
      <w:r>
        <w:rPr>
          <w:rStyle w:val="FootnoteAnchor"/>
          <w:rtl w:val="true"/>
        </w:rPr>
        <w:footnoteReference w:id="172"/>
      </w:r>
      <w:r>
        <w:rPr>
          <w:rFonts w:ascii="Amiri" w:hAnsi="Amiri" w:eastAsia="Amiri" w:cs="Amiri"/>
          <w:color w:val="111111"/>
          <w:sz w:val="28"/>
          <w:sz w:val="28"/>
          <w:szCs w:val="28"/>
          <w:rtl w:val="true"/>
          <w:lang w:bidi="ar-SA"/>
        </w:rPr>
        <w:t xml:space="preserve">الذي هو بين ضعف وجهالة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هو المراد من هذا التفسير؟ فهو إمّا تفسير عرفي؛ أي موضوعي، أو شرعي تعبّدي؛ أي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فهو كما ترى؛ لأنّ العناوين العرفيّة ومفاهيمها الاعتباريّة غير قابلة لأخذ التعبّد فيها، فإنّ حقيقتها بحقيقتها العرفيّة، وليس للشارع بما هو شارع التدخّل فيها، كما ليس له التدخّل في التكوينيّات من حيث إنّه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جعل الحقيقة الشرعيّة، إلّا أنّها ليست بعرفيّة وتكون أمراً آخراً مبائناً لما في العرف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فهو من باب الادّعاء، وهو مجاز مخالف للظاهر، ولا يصار إليه إلّا عند الضرورة وتعذّر الحقيقة، والحقيقة هنا ممكنة؛ لأنّ توعّد مثل الزوجة والأُمّ والأب ممّن يعيشون مع المكرَه، وبينهم نحو اتّحاد وأُلفة، وإن كان ممّا لا يوجب الضرر غالباً، ويكون توعّداً بأُمور يسيرة،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يحصل لهم التوعّد بما يضرّه، فإنّ الأُوليين ضعيفتان والأخير يمنعه الشفقة، لكن من الممكن حصوله على نحو يضرّ الإنسان، كأنتتوعّد الزوجة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 له شخصيّة اجتماعيّة </w:t>
      </w:r>
      <w:r>
        <w:rPr>
          <w:rFonts w:eastAsia="Amiri" w:cs="Amiri" w:ascii="Amiri" w:hAnsi="Amiri"/>
          <w:color w:val="111111"/>
          <w:sz w:val="28"/>
          <w:szCs w:val="28"/>
          <w:rtl w:val="true"/>
          <w:lang w:bidi="ar-SA"/>
        </w:rPr>
        <w:t xml:space="preserve">- </w:t>
      </w:r>
      <w:bookmarkStart w:id="156" w:name="pg9375_99301"/>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على دفع ضرر الآمر ببعض التفصّيات ممّا ليس فيه ضرر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كالفرار والاستغاثة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الإكراه، فلو أوقع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قدر على التورية وأوقعه من دون ذلك فالظاهر وقوعه مكرهاً عليه وباطلاً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بخروجها عرياناً إن لم يفعل الأمر الفلاني، أو تتوعّده بالوقيعة فيه وكشف أسراره الذي يكون مضرّاً له، أو بغيرها من الأُمور المضرّة للمكرَه، وبعد ما كان لتوعّدهم قسمان فمقتضى أصالة الحقيقة حمل اللفظ على معناه الحقيقي وأنّ المراد من الإكراه في الخبر التوعّد بالنحو الثاني لا الأوّل، الموجب للادّعاء أو الإلحاق الحكمي، فإنّه مخالف للظاهر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المتين الذي ينبغي أن يكتب بماء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سيّدنا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رأيت في كلام غيره من الأعاظم والفحول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الإسلام وفقهه أحسن ما جزاه الله به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يتراءى في النصّ من الجمع بين الإكراه والجبر، فلعلّ المراد أنّ الإكراه يمكن صدوره من الضعيف أيضاً، وإلّا فلا يعقل كون الحكم للأعمّ والأخصّ معاً، فإنّ الجبر من السلطان من مصاديق الإكراه، وهو أخصّ منه</w:t>
      </w:r>
      <w:r>
        <w:rPr>
          <w:rFonts w:eastAsia="IRNazanin" w:cs="IRNazanin"/>
          <w:color w:val="111111"/>
          <w:sz w:val="28"/>
          <w:szCs w:val="28"/>
          <w:rtl w:val="true"/>
          <w:lang w:bidi="fa-IR"/>
        </w:rPr>
        <w:t>.</w:t>
      </w:r>
    </w:p>
    <w:p>
      <w:pPr>
        <w:pStyle w:val="Heading4"/>
        <w:numPr>
          <w:ilvl w:val="3"/>
          <w:numId w:val="1"/>
        </w:numPr>
        <w:rPr/>
      </w:pPr>
      <w:bookmarkStart w:id="157" w:name="__RefHeading___Toc5416527_2870459653"/>
      <w:bookmarkStart w:id="158" w:name="_Toc56"/>
      <w:bookmarkEnd w:id="157"/>
      <w:r>
        <w:rPr>
          <w:rtl w:val="true"/>
        </w:rPr>
        <w:t>اشتراط صدق الإکراه بالعجز عن بعض التفصّیات</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صدق الإكراه العجز عن التفصّي أم لا؟ وجوهٌ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التفصّي بغير التورية، والتفصّي بها، باعتبار العجز عن الأوّل في الصدق دون الثاني، فالإكراه صادق وإن أمكنه التورية ولم يورّ، دون غيره، فالإكراه غير صادق مع إمكان التفصّيبالفرار الذي غير مضرّ مثلاً</w:t>
      </w:r>
      <w:r>
        <w:rPr>
          <w:rFonts w:eastAsia="Amiri" w:cs="Amiri" w:ascii="Amiri" w:hAnsi="Amiri"/>
          <w:color w:val="111111"/>
          <w:sz w:val="28"/>
          <w:szCs w:val="28"/>
          <w:rtl w:val="true"/>
          <w:lang w:bidi="ar-SA"/>
        </w:rPr>
        <w:t xml:space="preserve">. </w:t>
      </w:r>
      <w:bookmarkStart w:id="159" w:name="pg9375_99302"/>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الثاني رواية عبدالله بن سنان المذكورة آنفاً في المسألة السابقة،</w:t>
      </w:r>
      <w:r>
        <w:rPr>
          <w:rStyle w:val="FootnoteAnchor"/>
          <w:rtl w:val="true"/>
        </w:rPr>
        <w:footnoteReference w:id="173"/>
      </w:r>
      <w:r>
        <w:rPr>
          <w:rFonts w:ascii="Amiri" w:hAnsi="Amiri" w:eastAsia="Amiri" w:cs="Amiri"/>
          <w:color w:val="111111"/>
          <w:sz w:val="28"/>
          <w:sz w:val="28"/>
          <w:szCs w:val="28"/>
          <w:rtl w:val="true"/>
          <w:lang w:bidi="ar-SA"/>
        </w:rPr>
        <w:t>فإنّ إمكان التفصّي بمثل الفرار أو العذر والحيلة في إكراه مثل الأُمّ والأب والزوجة بمكان من الوضوح؛ حيث إنّ إكراههم ليس من قبيل إكراه السلطان وغيره بالتوعّد بما فيه الضرر، بل يكون بمثل أُمور أخلاقيّة، وعاطفيّة، كما مرّ وجهه</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ومن المعلوم أنّ التفصّي في مثل ذلك سهل له، والرواية لم تدلّ على صدق الإكراه بالنسبة إليهم، فيعلم منها عدم اعتبار العجز عن التفصّي في الصدق، وهي وإن لم تكن شاملة للتورية لكن تثبت الأمر في عدم اعتبار العجز عنها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الجبر الراجع إلىٰ السلطان لا يمكن التفصيّ بمثل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موقوفٌ على حمل الإكراه على معناه المجازي ولا داعي له كما مرّ</w:t>
      </w:r>
      <w:r>
        <w:rPr>
          <w:rStyle w:val="FootnoteAnchor"/>
          <w:rtl w:val="true"/>
        </w:rPr>
        <w:footnoteReference w:id="175"/>
      </w:r>
      <w:r>
        <w:rPr>
          <w:rFonts w:ascii="Amiri" w:hAnsi="Amiri" w:eastAsia="Amiri" w:cs="Amiri"/>
          <w:color w:val="111111"/>
          <w:sz w:val="28"/>
          <w:sz w:val="28"/>
          <w:szCs w:val="28"/>
          <w:rtl w:val="true"/>
          <w:lang w:bidi="ar-SA"/>
        </w:rPr>
        <w:t xml:space="preserve">وإلّا فعلى الحمل على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والمطابق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ذلك، وتكون كغيرها من أخبار الإكراه وأدلّته، إلّا أنّها مبيّنة لبعض المصاديق</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5416529_2870459653"/>
      <w:bookmarkStart w:id="161" w:name="_Toc57"/>
      <w:bookmarkEnd w:id="160"/>
      <w:r>
        <w:rPr>
          <w:rtl w:val="true"/>
        </w:rPr>
        <w:t>عدم صدق الإکراه مع إمکان التفصّي بمثل الفرار أو التوریة</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 أنّه مع إمكان التفصيّ عنه بالفرار أو التورية، الإكراه حينئذٍ غير صادق عرفاً، فإنّ قوام الإكراه بكون الداعي على العمل هو الخوفمن الضرر المتوعّد به بحيث لا يكون العمل صادراً عن الاختيار من أوّل الأمر، ومع تمكّن </w:t>
      </w:r>
      <w:bookmarkStart w:id="162" w:name="pg9375_99303"/>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المكرَه من التفصّي بمثل الفرار الذي يسهل عليه، أو باختياره العِدّة والعُدّة بمثل التِلِفون فليس داعيه في الإتيان منع الضرر ورفع الخوف، بل يكون مختاراً في العمل وأنّ داعيه هو غيره من الدواعي في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التفصّي بالتورية، فمن يعرف التورية ولم يغفل عنها بمثل الاضطرار والدهشة، ويعلم أنّ الطلاق مع قصد غيره غير واقع، كأن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عن ألم الحمل أو المرض مثلاً، ومع ذلك قصد بقوله ذلك الطلاق، فعدم كون الداعي له التوعّد المذكور هو واضح غير محتاج إلى البيان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416531_2870459653"/>
      <w:bookmarkStart w:id="164" w:name="_Toc58"/>
      <w:bookmarkEnd w:id="163"/>
      <w:r>
        <w:rPr>
          <w:rtl w:val="true"/>
        </w:rPr>
        <w:t>عدم اعتبارالعجز عن التوریة في الإکراه</w:t>
      </w:r>
      <w:bookmarkEnd w:id="164"/>
    </w:p>
    <w:p>
      <w:pPr>
        <w:pStyle w:val="BookText"/>
        <w:rPr/>
      </w:pPr>
      <w:r>
        <w:rPr>
          <w:rFonts w:ascii="Amiri" w:hAnsi="Amiri" w:eastAsia="Amiri" w:cs="Amiri"/>
          <w:color w:val="111111"/>
          <w:sz w:val="28"/>
          <w:sz w:val="28"/>
          <w:szCs w:val="28"/>
          <w:rtl w:val="true"/>
          <w:lang w:bidi="ar-SA"/>
        </w:rPr>
        <w:t>والثالث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روايات الحلف كاذباً وتقيّة، مع كثرتها جدّاً، وفي قضيّة عمّار</w:t>
      </w:r>
      <w:r>
        <w:rPr>
          <w:rStyle w:val="FootnoteAnchor"/>
          <w:rtl w:val="true"/>
        </w:rPr>
        <w:footnoteReference w:id="176"/>
      </w:r>
      <w:r>
        <w:rPr>
          <w:rFonts w:ascii="IRNazanin" w:hAnsi="IRNazanin" w:eastAsia="IRNazanin"/>
          <w:color w:val="111111"/>
          <w:sz w:val="28"/>
          <w:sz w:val="28"/>
          <w:szCs w:val="28"/>
          <w:rtl w:val="true"/>
          <w:lang w:bidi="fa-IR"/>
        </w:rPr>
        <w:t>إشارة إلى التورية، فهي غير معتبرة، وإلّا كان جديراً بالذكر، ولا سيّما في قضيّة عمّار الذي كان في شدّة وإكراه شديد، ففي موثّقة، زرارة من أخبار الحلف،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بالمال على العشّار، فيطلبون منّا أن نحلف لهم، ويخلّون سبيلنا، ولا يرضون منّا إلّا بذلك،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فاحلف لهم، فهو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منالتمر والزبد</w:t>
      </w:r>
      <w:r>
        <w:rPr>
          <w:rFonts w:eastAsia="IRNazanin" w:cs="IRNazanin"/>
          <w:color w:val="111111"/>
          <w:sz w:val="28"/>
          <w:szCs w:val="28"/>
          <w:rtl w:val="true"/>
          <w:lang w:bidi="fa-IR"/>
        </w:rPr>
        <w:t>».</w:t>
      </w:r>
      <w:r>
        <w:rPr>
          <w:rStyle w:val="FootnoteAnchor"/>
          <w:rtl w:val="true"/>
        </w:rPr>
        <w:footnoteReference w:id="1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معمّر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معي بضائع للناس،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نمرّ بها على هؤلاء العشّار، فيحلفونا عليها، فنحلف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أقدر على أن أُجيز أموال المسلمين كلّها، وأحلف عليها، كلّما خاف المؤمن على نفسه فيه ضرورة فله فيه التقيّة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فإنّ السائل في مثل هذه الأخبار يطلب المخلص وطريق الفرار عن الظالم، والمعصوم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له الحلف كاذباً ولا يشير إلى التورية أصلاً، كأن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بالتورية في الإخفاء، كما ورّى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سَقِيمٌ</w:t>
      </w:r>
      <w:r>
        <w:rPr>
          <w:rStyle w:val="FootnoteAnchor"/>
          <w:rtl w:val="true"/>
        </w:rPr>
        <w:footnoteReference w:id="179"/>
      </w:r>
      <w:r>
        <w:rPr>
          <w:rFonts w:ascii="Amiri" w:hAnsi="Amiri" w:eastAsia="Amiri" w:cs="Amiri"/>
          <w:color w:val="111111"/>
          <w:sz w:val="28"/>
          <w:sz w:val="28"/>
          <w:szCs w:val="28"/>
          <w:rtl w:val="true"/>
          <w:lang w:bidi="ar-SA"/>
        </w:rPr>
        <w:t>على ما في أخبار التورية،</w:t>
      </w:r>
      <w:r>
        <w:rPr>
          <w:rStyle w:val="FootnoteAnchor"/>
          <w:rtl w:val="true"/>
        </w:rPr>
        <w:footnoteReference w:id="180"/>
      </w:r>
      <w:r>
        <w:rPr>
          <w:rFonts w:ascii="IRNazanin" w:hAnsi="IRNazanin" w:eastAsia="IRNazanin"/>
          <w:color w:val="111111"/>
          <w:sz w:val="28"/>
          <w:sz w:val="28"/>
          <w:szCs w:val="28"/>
          <w:rtl w:val="true"/>
          <w:lang w:bidi="fa-IR"/>
        </w:rPr>
        <w:t>وهل هذا إلّا لعدم اعتبار العجز عنها في الإكراه؟ وإلّا فكيف لم يذكر التورية في هذه الأخبار الكثيرة والمسألة كانت محلاً للابتلاء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قضيّة عمّار، فانظر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بالعود إن عادوا</w:t>
      </w:r>
      <w:r>
        <w:rPr>
          <w:rStyle w:val="FootnoteAnchor"/>
          <w:rtl w:val="true"/>
        </w:rPr>
        <w:footnoteReference w:id="181"/>
      </w:r>
      <w:r>
        <w:rPr>
          <w:rFonts w:ascii="IRNazanin" w:hAnsi="IRNazanin" w:eastAsia="IRNazanin"/>
          <w:color w:val="111111"/>
          <w:sz w:val="28"/>
          <w:sz w:val="28"/>
          <w:szCs w:val="28"/>
          <w:rtl w:val="true"/>
          <w:lang w:bidi="fa-IR"/>
        </w:rPr>
        <w:t>ولم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فعليك بالتورية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العجز عنها معتبراً 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يبيّنه، لا سيّما لمثل عمّار الذي كان السبّ عسراً عليه جدّاً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يروون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منبر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ستدعون إلى سبّي فسبّوني، ثمّ تدعون إلى البراءة منّي فلا تبرؤوا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ما يكذب الناس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ستدعون إلى سبّي فسبّوني، ثمّ تدعون إلى </w:t>
      </w:r>
      <w:bookmarkStart w:id="165" w:name="pg9375_99305"/>
    </w:p>
    <w:p>
      <w:pPr>
        <w:pStyle w:val="BookText"/>
        <w:rPr/>
      </w:pPr>
      <w:bookmarkEnd w:id="1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البراءة منّي وإنّي لعلى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تبرؤوا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اختار القتل دون البراءة،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ذلك عليه، وما له إلّا ما مضی عليه عمّار بن ياسر، حيث أكرهه أهل مكّة وقلبه مطمئن بالإيمان، فأنزل الله عزّ وجلّ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182"/>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فعُد، فقد أنزل الله عذرك، وأمرك أن تعود إن عادوا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الروايات المستدلّ بها في الباب عامّة وخاصّة على الجاهلين بالتورية والعاجزين منها، حمل على النادر وهو بعيد، وكذا الإجماعات والشهرات</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416533_2870459653"/>
      <w:bookmarkStart w:id="167" w:name="_Toc59"/>
      <w:bookmarkEnd w:id="166"/>
      <w:r>
        <w:rPr>
          <w:rtl w:val="true"/>
        </w:rPr>
        <w:t>الردّ علی الوجهین في عدم اعتبار العجز عن التوریة في الإکراه</w:t>
      </w:r>
      <w:bookmarkEnd w:id="167"/>
    </w:p>
    <w:p>
      <w:pPr>
        <w:pStyle w:val="BookText"/>
        <w:rPr/>
      </w:pPr>
      <w:r>
        <w:rPr>
          <w:rFonts w:ascii="IRNazanin" w:hAnsi="IRNazanin" w:eastAsia="IRNazanin"/>
          <w:color w:val="111111"/>
          <w:sz w:val="28"/>
          <w:sz w:val="28"/>
          <w:szCs w:val="28"/>
          <w:rtl w:val="true"/>
          <w:lang w:bidi="fa-IR"/>
        </w:rPr>
        <w:t>والوجهان ممنوعان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فلأنّ الناس غالباً في غفلة من التورية، فلا وجه راجح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ينبهّهم على التورية، بل لعلّ التنبيه يكون مرجوحاً؛ حيث إنّه على اعتبار العجز عن التفصّي بها فهي ساقط مع الغفلة، وهل تنبيهه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تنبيهاً على الموضوع في حقوق الله تعالى؟ وهلفرق بينه وبين الإعلام ببقاء لمعة في الظهر لم يغسله من الجنابة من دون الالتفات حتّى فرغ من غسله؟ فكما أنّه غير مطلوب ومرجوح فكذلك المقام، ففي 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أبي من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أبقيت لمعة في ظهرك لم يصبها الماء،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w:t>
      </w:r>
      <w:bookmarkStart w:id="168" w:name="pg9375_99306"/>
    </w:p>
    <w:p>
      <w:pPr>
        <w:pStyle w:val="BookText"/>
        <w:rPr/>
      </w:pPr>
      <w:bookmarkEnd w:id="1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لو سكتّ، ثمّ مسح تلك اللمعة بيده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وهذه الصحيحة دالّة على مرجوحيّة الإعلام؛ لمكان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عليك لو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دلالتها على عدم الوجوب المطابق للأصل أيضاً، وليست الصحيحة مخالفة للأُصول والقواعد الاعتقاديّة، كما زعمها بعض، وإن دفعها بكونه للتعلّم؛ وذلك لأنّها راجعة إلى أمر عادي، وهو عدم جريان الماء على لمعة من الظهر، ولا يرتبط بباب السهو والنسيان من رأس،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قضيّة عمّار، فالوجه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صادق من دون فرق فيه بين وجود التورية وعدمه، فالتورية فيها غير مفيدة وليست تفصّياً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روايات الإكراه عامّها وخاصّها، فإنّها وإن كان حمل المطلقات على النادر أمر بعيد ولا يصار إليه إلّا للضرورة والقرينة، ولكن حمل اللفظ على ظاهره المختصّ بأفراده المستلزم لعدم الشمول لغير مصاديقه فهو أمر قريب وليس بغريب، وإن كانت مصاديقه نادرة، والمدّعى هنا هو عدم صدق الإكراه في القادر على التورية، فالباب باب الظهور المتّبع كائناً ما كان، لا باب المطلّق والحمل حتّى يكون حمله على النادر غريباً وعلى الأعّم منه قريباً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5416535_2870459653"/>
      <w:bookmarkStart w:id="170" w:name="_Toc60"/>
      <w:bookmarkEnd w:id="169"/>
      <w:r>
        <w:rPr>
          <w:rtl w:val="true"/>
        </w:rPr>
        <w:t>کلام صاحب الجواهر في عدم اعتبار العجز</w:t>
      </w:r>
      <w:bookmarkEnd w:id="170"/>
    </w:p>
    <w:p>
      <w:pPr>
        <w:pStyle w:val="BookText"/>
        <w:rPr/>
      </w:pPr>
      <w:r>
        <w:rPr>
          <w:rFonts w:ascii="Amiri" w:hAnsi="Amiri" w:eastAsia="Amiri" w:cs="Amiri"/>
          <w:color w:val="111111"/>
          <w:sz w:val="28"/>
          <w:sz w:val="28"/>
          <w:szCs w:val="28"/>
          <w:rtl w:val="true"/>
          <w:lang w:bidi="ar-SA"/>
        </w:rPr>
        <w:t>وقد ظهر من جميع ما ذكرناه ضعف ما في الجواهر من عدم اعتبارهالعجز من التفصّي بغير التورية ولا بها في صدق الإكراه،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التمكين من الفرار عن بلاده، أو التوسّل </w:t>
      </w:r>
      <w:bookmarkStart w:id="171" w:name="pg9375_99307"/>
    </w:p>
    <w:p>
      <w:pPr>
        <w:pStyle w:val="BookText"/>
        <w:rPr/>
      </w:pPr>
      <w:bookmarkEnd w:id="1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بالغير، أو نحو ذلك ممّا فيه ضرر عليه أيضاً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عندنا في الحكم ببطلان طلاق المكرَه عدم التمكّن من التورية، بأن ينوي غير زوجته، أو طلاقها من الوثاق، أو يعلّقه في نفسه بشرط أو نحو ذلك، وإن كان يحسنها ولم تحصل له الدهشة عنها، فضلاً عن الجاهل بها أو المدهوش عنها؛ لصدق الإكراه، خلافاً لبعض العامّة، فأوجبها للقادر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حجّة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على المسألة، كما سيأتي</w:t>
      </w:r>
      <w:r>
        <w:rPr>
          <w:rFonts w:eastAsia="Amiri" w:cs="Amiri" w:ascii="Amiri" w:hAnsi="Amiri"/>
          <w:color w:val="111111"/>
          <w:sz w:val="28"/>
          <w:szCs w:val="28"/>
          <w:rtl w:val="true"/>
          <w:lang w:bidi="ar-SA"/>
        </w:rPr>
        <w:t>.</w:t>
      </w:r>
      <w:r>
        <w:rPr>
          <w:rStyle w:val="FootnoteAnchor"/>
          <w:rtl w:val="true"/>
        </w:rPr>
        <w:footnoteReference w:id="187"/>
      </w:r>
    </w:p>
    <w:p>
      <w:pPr>
        <w:pStyle w:val="Heading4"/>
        <w:numPr>
          <w:ilvl w:val="3"/>
          <w:numId w:val="1"/>
        </w:numPr>
        <w:rPr/>
      </w:pPr>
      <w:bookmarkStart w:id="172" w:name="__RefHeading___Toc5416537_2870459653"/>
      <w:bookmarkStart w:id="173" w:name="_Toc61"/>
      <w:bookmarkEnd w:id="172"/>
      <w:r>
        <w:rPr>
          <w:rtl w:val="true"/>
        </w:rPr>
        <w:t>کلام صاحب المسالك في عدم اعتبار التوریة</w:t>
      </w:r>
      <w:bookmarkEnd w:id="173"/>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الحكم ببطلان طلاق المكرَه التورية، وإن كان يحسنها عندنا؛ لأنّ المقتضي لعدم وقوعه هو الإكراه الموجب لعدم القصد إليه، فلا يختلف الحال بين التورية وعدمها، ولكن ينبغي التورية للقادر عليها؛ بأن ينوي بطلاق فاطمة المكره عليها غير زوجته ممّن يشاركها في الاسم، أو ينوي طلاقها من الوثاق، أو يعلّقه في نفسه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جاهلاً بها، أو أصابته دهشة عندالإكراه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 السيف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إجماعاً</w:t>
      </w:r>
      <w:r>
        <w:rPr>
          <w:rFonts w:eastAsia="Amiri" w:cs="Amiri" w:ascii="Amiri" w:hAnsi="Amiri"/>
          <w:color w:val="111111"/>
          <w:sz w:val="28"/>
          <w:szCs w:val="28"/>
          <w:rtl w:val="true"/>
          <w:lang w:bidi="ar-SA"/>
        </w:rPr>
        <w:t>.</w:t>
      </w:r>
      <w:r>
        <w:rPr>
          <w:rStyle w:val="FootnoteAnchor"/>
          <w:rtl w:val="true"/>
        </w:rPr>
        <w:footnoteReference w:id="188"/>
      </w:r>
      <w:bookmarkStart w:id="174" w:name="pg9375_99308"/>
    </w:p>
    <w:p>
      <w:pPr>
        <w:pStyle w:val="BookText"/>
        <w:rPr/>
      </w:pPr>
      <w:bookmarkEnd w:id="17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5416539_2870459653"/>
      <w:bookmarkStart w:id="176" w:name="_Toc62"/>
      <w:bookmarkEnd w:id="175"/>
      <w:r>
        <w:rPr>
          <w:rtl w:val="true"/>
        </w:rPr>
        <w:t>الردّ علی صاحب المسالك</w:t>
      </w:r>
      <w:bookmarkEnd w:id="176"/>
    </w:p>
    <w:p>
      <w:pPr>
        <w:pStyle w:val="BookText"/>
        <w:rPr/>
      </w:pPr>
      <w:r>
        <w:rPr>
          <w:rFonts w:ascii="Amiri" w:hAnsi="Amiri" w:eastAsia="Amiri" w:cs="Amiri"/>
          <w:color w:val="111111"/>
          <w:sz w:val="28"/>
          <w:sz w:val="28"/>
          <w:szCs w:val="28"/>
          <w:rtl w:val="true"/>
          <w:lang w:bidi="ar-SA"/>
        </w:rPr>
        <w:t>وقد مرّت</w:t>
      </w:r>
      <w:r>
        <w:rPr>
          <w:rStyle w:val="FootnoteAnchor"/>
          <w:rtl w:val="true"/>
        </w:rPr>
        <w:footnoteReference w:id="189"/>
      </w:r>
      <w:r>
        <w:rPr>
          <w:rFonts w:ascii="Amiri" w:hAnsi="Amiri" w:eastAsia="Amiri" w:cs="Amiri"/>
          <w:color w:val="111111"/>
          <w:sz w:val="28"/>
          <w:sz w:val="28"/>
          <w:szCs w:val="28"/>
          <w:rtl w:val="true"/>
          <w:lang w:bidi="ar-SA"/>
        </w:rPr>
        <w:t>عبارة الجواهر، والظاهر أنّه أخذها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يتحقّق الإكراه لمن يحسن التورية،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للمكرَه أيضاً قصدٌ هنا، كما مرّ</w:t>
      </w:r>
      <w:r>
        <w:rPr>
          <w:rStyle w:val="FootnoteAnchor"/>
          <w:rtl w:val="true"/>
        </w:rPr>
        <w:footnoteReference w:id="190"/>
      </w:r>
      <w:r>
        <w:rPr>
          <w:rFonts w:ascii="Amiri" w:hAnsi="Amiri" w:eastAsia="Amiri" w:cs="Amiri"/>
          <w:color w:val="111111"/>
          <w:sz w:val="28"/>
          <w:sz w:val="28"/>
          <w:szCs w:val="28"/>
          <w:rtl w:val="true"/>
          <w:lang w:bidi="ar-SA"/>
        </w:rPr>
        <w:t>وقلنا إنّ محلّ البحث ما كان البطلان مستنداً إلى عدم الاختيار لا إلى عدم القصد وغيره من الشرائط كما بيّنّاه،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الإجماع فلم يثبت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هو الشهرة فله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فالاستدلال به مع التعليل بعدم تحقّق الإكراه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ما ذكرناه آتٍ في غير الطلاق من النكاح والبيع والعتق وسائر التصرّفات ولكن جرت العادة بالبحث عنه هنا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فالظاهر منها عدم اعتبار العجز عنها مطلقاً،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صدق الإكراه مع القدرة على التورية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416541_2870459653"/>
      <w:bookmarkStart w:id="178" w:name="_Toc63"/>
      <w:bookmarkEnd w:id="177"/>
      <w:r>
        <w:rPr>
          <w:rtl w:val="true"/>
        </w:rPr>
        <w:t>تنبيهٌ</w:t>
      </w:r>
      <w:r>
        <w:rPr>
          <w:rtl w:val="true"/>
        </w:rPr>
        <w:t xml:space="preserve">: </w:t>
      </w:r>
      <w:r>
        <w:rPr>
          <w:rtl w:val="true"/>
        </w:rPr>
        <w:t>کلام الشیخ الأعظم</w:t>
      </w:r>
      <w:r>
        <w:rPr>
          <w:rtl w:val="true"/>
        </w:rPr>
        <w:t>(</w:t>
      </w:r>
      <w:r>
        <w:rPr>
          <w:rtl w:val="true"/>
        </w:rPr>
        <w:t>قدس سرُّه</w:t>
      </w:r>
      <w:r>
        <w:rPr>
          <w:rtl w:val="true"/>
        </w:rPr>
        <w:t xml:space="preserve">) </w:t>
      </w:r>
      <w:r>
        <w:rPr>
          <w:rtl w:val="true"/>
        </w:rPr>
        <w:t>في الإکراه المعتبر</w:t>
      </w:r>
      <w:bookmarkEnd w:id="178"/>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المكاسب كلام، قال فيه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فالإكراه المعتبر في تسويغ المحظورات هو الإكراه بمعنى الجبرالمذكور،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والرافع لأثر المعاملات هو الإكراه الذي ذكر فيها أنّه قد يكون من الأب والولد والمرأة، والمعيار فيه عدم طيب النفس فيها لا الضرورة والإلجاء، وإن كان هو المتبادر من لفظ الإكراه، ولذا يحمل الإكراه في حديث الرفع عليه، فيكون الفرق بينه وبين الاضطرار المعطوف عليه في ذلك الحديث اختصاص الاضطرار بالحاصل لا من فعل الغير كالجوع والعطش والمرض، لكنّ الداعي على اعتبار ما ذكرنا في المعاملات هو أنّ العبرة فيها بالقصد الحاصل عن طيب النفس، حيث استدلّوا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وعموم اعتبار الإرادة في صحّة الطلاق، وخصوص ما ورد في فساد طلاق من طلّق للمداراة مع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الرافع لأثر الحكم التكليفي أخصّ من الرافع لأثر الحكم الوضعي</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الرافع للأثر الوضعي والتكليفي في حديث الرفع وغيره، وإن كان واحداً عنواناً، والمتبادر منه هو الضرورة والإلجاء، ويكون الفرق بينه وبين الاضطرار في حديث الرفعفي أنّ الإكراه من قِبل الغير، والاضطرار من قبل النفس كالجوع والعطش، لكنّ المعتبر منه بالنسبة إلى الوضع والتكليف مختلفٌ، فإنّ الرافع للوضع هو عدم طيب النفس، وللتكليف هو الجبر من مثل السلطان القاهر</w:t>
      </w:r>
      <w:r>
        <w:rPr>
          <w:rFonts w:eastAsia="Amiri" w:cs="Amiri" w:ascii="Amiri" w:hAnsi="Amiri"/>
          <w:color w:val="111111"/>
          <w:sz w:val="28"/>
          <w:szCs w:val="28"/>
          <w:rtl w:val="true"/>
          <w:lang w:bidi="ar-SA"/>
        </w:rPr>
        <w:t xml:space="preserve">. </w:t>
      </w:r>
      <w:bookmarkStart w:id="179" w:name="pg9375_99310"/>
    </w:p>
    <w:p>
      <w:pPr>
        <w:pStyle w:val="BookText"/>
        <w:rPr/>
      </w:pPr>
      <w:bookmarkEnd w:id="17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5416543_2870459653"/>
      <w:bookmarkStart w:id="181" w:name="_Toc64"/>
      <w:bookmarkEnd w:id="180"/>
      <w:r>
        <w:rPr>
          <w:rtl w:val="true"/>
        </w:rPr>
        <w:t>وجوه استدلال الشیخ للإکراه الرافع</w:t>
      </w:r>
      <w:bookmarkEnd w:id="181"/>
    </w:p>
    <w:p>
      <w:pPr>
        <w:pStyle w:val="BookText"/>
        <w:rPr/>
      </w:pPr>
      <w:r>
        <w:rPr>
          <w:rFonts w:ascii="Amiri" w:hAnsi="Amiri" w:eastAsia="Amiri" w:cs="Amiri"/>
          <w:color w:val="111111"/>
          <w:sz w:val="28"/>
          <w:sz w:val="28"/>
          <w:szCs w:val="28"/>
          <w:rtl w:val="true"/>
          <w:lang w:bidi="ar-SA"/>
        </w:rPr>
        <w:t>واستدلّ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الماضية،</w:t>
      </w:r>
      <w:r>
        <w:rPr>
          <w:rStyle w:val="FootnoteAnchor"/>
          <w:rtl w:val="true"/>
        </w:rPr>
        <w:footnoteReference w:id="195"/>
      </w:r>
      <w:r>
        <w:rPr>
          <w:rFonts w:ascii="Amiri" w:hAnsi="Amiri" w:eastAsia="Amiri" w:cs="Amiri"/>
          <w:color w:val="111111"/>
          <w:sz w:val="28"/>
          <w:sz w:val="28"/>
          <w:szCs w:val="28"/>
          <w:rtl w:val="true"/>
          <w:lang w:bidi="ar-SA"/>
        </w:rPr>
        <w:t>وقد أشار إليها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الجبر المذكور، والرافع لأثر المعاملات هو الإكراه الذي ذكر فيها أنّه قد يكون من الأب والولد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المعاملات هو طيب النفس بأن يكون القصد حاصلاً منه، وذلك لمكان استدلالهم بآية التجارة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اعتبار الإرادة في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ما ورد في فساد طلاق من طلّق للمداراة مع عياله</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416545_2870459653"/>
      <w:bookmarkStart w:id="183" w:name="_Toc65"/>
      <w:bookmarkEnd w:id="182"/>
      <w:r>
        <w:rPr>
          <w:rtl w:val="true"/>
        </w:rPr>
        <w:t>الردّ علی وجوه الاستدلال للشیخ في الإکراه</w:t>
      </w:r>
      <w:bookmarkEnd w:id="183"/>
    </w:p>
    <w:p>
      <w:pPr>
        <w:pStyle w:val="BookText"/>
        <w:rPr/>
      </w:pPr>
      <w:r>
        <w:rPr>
          <w:rFonts w:ascii="Amiri" w:hAnsi="Amiri" w:eastAsia="Amiri" w:cs="Amiri"/>
          <w:color w:val="111111"/>
          <w:sz w:val="28"/>
          <w:sz w:val="28"/>
          <w:szCs w:val="28"/>
          <w:rtl w:val="true"/>
          <w:lang w:bidi="ar-SA"/>
        </w:rPr>
        <w:t>ولا يخفى عليك ما في هذا التفصيل؛ فإنّ المعتبر منه في رفع الوضع هو المعتبر في رفع التكليف، وهو الإلجاء والضرورة المتبادرة منه، وفي كلّ الوجوه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الصحيحة، فقد مضى الكلام فيها وأنّ الحاصل من مثل الأب والأُمّ هو الإلجاء والضرورة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فالمعتبر في المعاملات هو تحقّق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الآية</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الزائد عليه، وهو موجود في المكرَه والمضطرّ وغيرهما؛ حيث إنّ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راضٍ بالبيع، لما حصل في نفسه من الكسر والانكسار وأنّ العمل بالمكرَه عليه أولى عنده من وقوع المتوعّد عليه، ومثله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ليست مبادئ الرضا فيهما مبادئ اختياريّة، مثل النفع في البيع وأمثاله، فالفرق بينهما وبين غيرهما بالنسبة إلى المبادئ لا غيرها كما لا يخفى، ومسألة طيب النفس هي أجنبيّة عن المعاملة؛ وذلك لعدم الدليل عليه، بل العمومات والإطلاقات، وكذا بناء العقلاء على خلافه؛ فإنّ الطيب بالمعاملة هو من مبادئ الرضا بها وهو منتفٍ في غير واحد منها، كما إذا كان الضرر والنفع فيها مساويين أو كان الضرر أكثر، بل وفيما كان النفع فيه أقلّ من مأموله، والحديث مربوط بالإباحة والتكليف ولا يرتبط بالوضع جدّاً؛ لأنّ المنفي فيه حلّيّة مال المسلم إلّا بطيب نفسه، وقبل تحقّق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لطيب النفس، وبعده لا فائدة له؛ لأنّ المالك لا يملكه الآن، فالبائع بعد البيع غير مالك للمثمن حتّى يكون طيب نفسه نافعاً وعدمه مضرّاً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فإنّ الموضوع في الحديث هو المال وهو أجنبيّ عن الوضع، فإنّ الموضوع فيه المعاملة والتجارة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ما ذكرناه في مسألة الطيب والرضا هو ممّا استفدناه من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وهو اعتبار الإرادة في صحّة الطلاق،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الإرادة في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كغيرها من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بمعنى القصد الحاصل مع الإكراه وغيره، ومسألة طيب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أمر خارج عنحقيقته، كما يشهد له ما عن يحيى بن عبدالله بن الحسن،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في استكراه ولا تجوز يمين في قطيعة رحم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وإنّما الطلاق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أُريد به الطلاق من غير استكراه ولا إضرار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الحديث، فإنّ الاستكراه ذكر مضافاً إلى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الأخير، فمراده موثّقة منصور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بالعُريض،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تزوّجت امرأة، وكانت تحبّني، فتزوّجت عليها ابنة خالي، وقد كان لي من المرأة ولد، فرجعت إلى بغداد فطلّقتها واحدة، ثمّ راجعتها، ثمّ طلّقتها الثانية، ثمّ راجعتها، ثمّ خرجت من عندها أُريد سفري هذا حتّى إذا كنت بالكوفة أردت النظر إلى ابنة خالي، فقالت أُختي وخالتي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حتّى تطلّق فلانة،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إلى طلاقها من سبيل،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شأنك، ليس لك إلى طلاقها من سبيل،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كانت لي منها ابنة، وكانت ببغداد، وكانت هذه بالكوفة، وخرجت من عندها قبل ذلك بأربع، فأبوا عليّ إلّا تطليقها ثلاثاً، ولا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الله، ولا أردت إلّا أن أُداريهم عن نفسي، وقد امتلأ قلبي من ذلك، فمكث طويلاً مطرقاً، ثمّ رفع رأسه وهو متبسّم،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بينك وبين الله فليس بشيء، ولكن إن قدّموك إلى السلطان أبانها منك</w:t>
      </w:r>
      <w:r>
        <w:rPr>
          <w:rFonts w:eastAsia="IRNazanin" w:cs="IRNazanin"/>
          <w:color w:val="111111"/>
          <w:sz w:val="28"/>
          <w:szCs w:val="28"/>
          <w:rtl w:val="true"/>
          <w:lang w:bidi="fa-IR"/>
        </w:rPr>
        <w:t>».</w:t>
      </w:r>
      <w:r>
        <w:rPr>
          <w:rStyle w:val="FootnoteAnchor"/>
          <w:rtl w:val="true"/>
        </w:rPr>
        <w:footnoteReference w:id="1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الرجل هنا أيضاً مكرَهٌ؛ وذلك لحلفهم بعدم النظرإليها وأمرهم إيّاه بالطلاق والتوعّد بترك النظر الذي كان مطلوباً له، فلعلّه يكون كالتوعّد بالضرر المالي أو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 عن ذلك فلقائل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صحّة الطلاق لعدم تحقّق القصد أصلاً؛ وذلك لمكان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إن قدّموك </w:t>
      </w:r>
      <w:bookmarkStart w:id="184" w:name="pg9375_99313"/>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طلاق إحدى زوجتيه فطلّق إحداهما المعيّنة وقع مكرهاً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طلّقهما معاً، ففي وقوع طلاق إحداهما مكرهاً عليه، فيعيّن بالقرعة، أو صحّة كليهما وجهان، لا يخلو أوّلهما من رجحان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أنّ حكمه بالإبانة لمكان ظاهر الصيغة الدالّة على الإرادة، ودعوى عدمها وأنّ الطلاق كان صوريّاً غير مسموع؛ لأنّه خلاف الظاهر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5416547_2870459653"/>
      <w:bookmarkStart w:id="186" w:name="_Toc66"/>
      <w:bookmarkEnd w:id="185"/>
      <w:r>
        <w:rPr>
          <w:rtl w:val="true"/>
        </w:rPr>
        <w:t>وقوع الإکراه فیمَن أُکره علی طلاق إحدی زوجتیه</w:t>
      </w:r>
      <w:bookmarkEnd w:id="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تحقّق إحداهما لا يمكن إلّا بالمصداق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Style w:val="FootnoteAnchor"/>
          <w:rtl w:val="true"/>
        </w:rPr>
        <w:footnoteReference w:id="199"/>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الطلاق؛ لأنّه مختار في تعيينها، ولأنّه ممّا عَدَل عن الإبهام إلى التعيين فقد زاد ما أُكرهه عليه، لأنّ الإكراه على طلاق إحداهما، وطلاق المعيّنة طلاق إحداهما مع الزيادة، وقد تقرّر أنّ الأمر بالكلّي ليس أمراً بالجزئي، فقد ظهر ضعفه؛ لأنّ الفرد المذكور عين المكره عليه لا غيره ولا زيادة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له في الإكراه على طلاق واحدة مبهمة؛ بأن يكرهه على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إحداكما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عنه إلى طلاق واحدة معيّنة فقد وقع طلاقه غير مكره عليه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5416549_2870459653"/>
      <w:bookmarkStart w:id="188" w:name="_Toc67"/>
      <w:bookmarkEnd w:id="187"/>
      <w:r>
        <w:rPr>
          <w:rtl w:val="true"/>
        </w:rPr>
        <w:t>وجهان فیمن طلّق زوجتیه مکرهاً علیه</w:t>
      </w:r>
      <w:bookmarkEnd w:id="1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المكره عليه مع الزيادة، ومن كون الواقع غير المكره عليه، لكن لا يخلو أوّلهما من رجحان؛ لأنّ محض كون الواقع غير مكره عليه ليس رافعاً للإكراه إلّا مع الدلالة على الاختيار، والظاهر عدم الدلالة في المقام إلّا بالنسبة إلى </w:t>
      </w:r>
      <w:bookmarkStart w:id="189" w:name="pg9375_99314"/>
    </w:p>
    <w:p>
      <w:pPr>
        <w:pStyle w:val="BookText"/>
        <w:rPr/>
      </w:pPr>
      <w:bookmarkEnd w:id="189"/>
      <w:r>
        <w:rPr>
          <w:rFonts w:ascii="Amiri" w:hAnsi="Amiri" w:eastAsia="Amiri" w:cs="Amiri"/>
          <w:color w:val="111111"/>
          <w:sz w:val="28"/>
          <w:sz w:val="28"/>
          <w:szCs w:val="28"/>
          <w:rtl w:val="true"/>
          <w:lang w:bidi="ar-SA"/>
        </w:rPr>
        <w:t>ولو أكرهه على طلاق كلتيهما فطلّق إحداهما، فالظاهر أنّه وقع مكرهاً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أن يطلّق ثلاث تطليقات بينهما رجعتان، فطلّقها واحدة أو اثنتين، ففي وقوع ما أوقعه مكرهاً عليه إشكال، إلّا إذا قصد تحمّل ما أوعده عليه في ترك البقيّة، أو كان ذلك بقصد احتمال التخلّص عن المكروه، وأنّه لعلّ المكرِه اقتنع بما أوقعه وأغمض عمّا لم يوقعه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وإلّا لم يطلّقهما مقارناً مع التوعّد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ظاهر</w:t>
      </w:r>
      <w:r>
        <w:rPr>
          <w:rFonts w:eastAsia="IRNazanin" w:cs="IRNazanin"/>
          <w:color w:val="111111"/>
          <w:sz w:val="28"/>
          <w:szCs w:val="28"/>
          <w:rtl w:val="true"/>
          <w:lang w:bidi="fa-IR"/>
        </w:rPr>
        <w:t>.</w:t>
      </w:r>
    </w:p>
    <w:p>
      <w:pPr>
        <w:pStyle w:val="Heading4"/>
        <w:numPr>
          <w:ilvl w:val="3"/>
          <w:numId w:val="1"/>
        </w:numPr>
        <w:rPr/>
      </w:pPr>
      <w:bookmarkStart w:id="190" w:name="__RefHeading___Toc5416551_2870459653"/>
      <w:bookmarkStart w:id="191" w:name="_Toc68"/>
      <w:bookmarkEnd w:id="190"/>
      <w:r>
        <w:rPr>
          <w:rtl w:val="true"/>
        </w:rPr>
        <w:t>في الإکراه علی أن یطلِّق ثلاث تطلیقات</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محلّ للإشكال فيه ولا في الإثبات أصلاً؛ حيث إنّ مقام الإثبات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المورد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واضح؛ لأنّ في المخالفة المزبورة ظهور في الاختيار ودلالة عليه، وما ذكر منشأً للإشكال فهو يرجع إلى مقام القصد والثبوت مع أنّ حاله أيضاً واضح ولا إشكال فيه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في الجواهر الذي يقرب من المتن،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يكرهه على ثلاث طلقات فيوقع واحدة، فإنّه بالمخالفة المزبورة يظهر منه الاختيار، إلّا أنّه كما ترى، ضرورة كون الواحدة بعض المكره عليه وقد يقصد دفع المكروه بالإجابة إلىبعضه</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الضرورة غير رافعة للظهور وليست بأزيد من احتمال في الثبوت</w:t>
      </w:r>
      <w:r>
        <w:rPr>
          <w:rFonts w:eastAsia="Amiri" w:cs="Amiri" w:ascii="Amiri" w:hAnsi="Amiri"/>
          <w:color w:val="111111"/>
          <w:sz w:val="28"/>
          <w:szCs w:val="28"/>
          <w:rtl w:val="true"/>
          <w:lang w:bidi="ar-SA"/>
        </w:rPr>
        <w:t xml:space="preserve">. </w:t>
      </w:r>
      <w:bookmarkStart w:id="192" w:name="pg9375_99315"/>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5416553_2870459653"/>
      <w:bookmarkStart w:id="194" w:name="_Toc69"/>
      <w:bookmarkEnd w:id="193"/>
      <w:r>
        <w:rPr>
          <w:rtl w:val="true"/>
        </w:rPr>
        <w:t>کلام المسالك في بعض فروع الإکراه علی المطلِّق</w:t>
      </w:r>
      <w:bookmarkEnd w:id="194"/>
    </w:p>
    <w:p>
      <w:pPr>
        <w:pStyle w:val="BookText"/>
        <w:rPr/>
      </w:pPr>
      <w:r>
        <w:rPr>
          <w:rFonts w:ascii="Amiri" w:hAnsi="Amiri" w:eastAsia="Amiri" w:cs="Amiri"/>
          <w:color w:val="111111"/>
          <w:sz w:val="28"/>
          <w:sz w:val="28"/>
          <w:szCs w:val="28"/>
          <w:rtl w:val="true"/>
          <w:lang w:bidi="ar-SA"/>
        </w:rPr>
        <w:t>وفي المسالك فروع لا بأس بذكرها</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5416555_2870459653"/>
      <w:bookmarkStart w:id="196" w:name="_Toc70"/>
      <w:bookmarkEnd w:id="195"/>
      <w:r>
        <w:rPr>
          <w:rtl w:val="true"/>
        </w:rPr>
        <w:t>الإکراه علی الطلاق بغیر الصیغة</w:t>
      </w:r>
      <w:bookmarkEnd w:id="19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أن يطلّق بكناية من الكنايات، فطلّق باللفظ الصريح أو بالعكس عند القائل بصحّته، أو عَدَل من صريح مأمورٌ به إلى صريح آخر، فإنّه يقع الطلاق، خصوصاً في الأوّل؛ لأنّه قد حمله على طلاق فاسد فعَدَل إلى الصحيح وعند مجوّزه عَدَل إلى غير الصيغة المكره عليها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التفصيل في المسألة؛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بصيغة خاصّة مذكورة في كلامه، بحيث كان توعّده على الطلاق مع تلك الصيغة، فالطلاق بغيرها صحيح؛ لكونه كاشفاً عن الاختيار، وإن لم يكن كذلك وكان تهديده راجعاً إلى أصل الطلاق فهو باطل؛ لأنّه المكره عليه وليس التبديل كاشفاً عنه كما لا يخفى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في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وذلك لبعد عناية الشخص بصيغة خاصّة والإجبار عليها، فإنّ الغرض الأصلي هو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الصيغ التي وقع الاختلاف فيها بين العامّة والخاصّة، فإن كان المكرِه من العامّة فلعلّ الظاهر هو الأوّل</w:t>
      </w:r>
      <w:r>
        <w:rPr>
          <w:rFonts w:eastAsia="Amiri" w:cs="Amiri" w:ascii="Amiri" w:hAnsi="Amiri"/>
          <w:color w:val="111111"/>
          <w:sz w:val="28"/>
          <w:szCs w:val="28"/>
          <w:rtl w:val="true"/>
          <w:lang w:bidi="ar-SA"/>
        </w:rPr>
        <w:t xml:space="preserve">. </w:t>
      </w:r>
      <w:bookmarkStart w:id="197" w:name="pg9375_99316"/>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5416557_2870459653"/>
      <w:bookmarkStart w:id="199" w:name="_Toc71"/>
      <w:bookmarkEnd w:id="198"/>
      <w:r>
        <w:rPr>
          <w:rtl w:val="true"/>
        </w:rPr>
        <w:t>وجهان في إکراه الوکیل علی الطلاق</w:t>
      </w:r>
      <w:bookmarkEnd w:id="199"/>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الوكيل على الطلاق دون الموكّل، ففي صحّته وجهان أيضاً من تحقّق اختيار الموكّل المالك للتصرّف، ومن سلب عبارة المباشر</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5416559_2870459653"/>
      <w:bookmarkStart w:id="201" w:name="_Toc72"/>
      <w:bookmarkEnd w:id="200"/>
      <w:r>
        <w:rPr>
          <w:rtl w:val="true"/>
        </w:rPr>
        <w:t>حکم الإکراه في توعید المکرَه بفعل المستقبل</w:t>
      </w:r>
      <w:bookmarkEnd w:id="20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توعّده بفعل مستقبل،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تفعل لأقتلنّك أو أضربنّك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عدّه إكراهاً نظر؛ من حصول الخوف بإيقاع الضرر، ومن سلامته منه الآن، والتخلّص من الضرر يحصل بإيقاعه عند خوف وقوعه في الحال 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يحصل الإكراه في الآجل على أنّه إن لم يفعل الآن أوقع به المكروه في الآجل، وإن فَعَله ذلك الوقت ورجّح وقوع المتوعّد به اتّجه كونه إكراهاً لشمول الحدّ 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كونه إكراهاً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5416561_2870459653"/>
      <w:bookmarkStart w:id="203" w:name="_Toc73"/>
      <w:bookmarkEnd w:id="202"/>
      <w:r>
        <w:rPr>
          <w:rtl w:val="true"/>
        </w:rPr>
        <w:t>حکم بعض موارد الضرر في الإکراه</w:t>
      </w:r>
      <w:bookmarkEnd w:id="20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الإكراه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امرأتك، وإلّا قتلت نفسي أو كفرت أو تركت الصلاة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بأن يقول وليّالقصاص لمن هو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امرأتك وإلّا اقتصصت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حقّه، فلا يعدّ </w:t>
      </w:r>
      <w:bookmarkStart w:id="204" w:name="pg9375_99317"/>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استيفاؤه ضرراً بالمأمور به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فيه</w:t>
      </w:r>
      <w:r>
        <w:rPr>
          <w:rStyle w:val="FootnoteAnchor"/>
          <w:rtl w:val="true"/>
        </w:rPr>
        <w:footnoteReference w:id="204"/>
      </w:r>
      <w:r>
        <w:rPr>
          <w:rFonts w:ascii="Amiri" w:hAnsi="Amiri" w:eastAsia="Amiri" w:cs="Amiri"/>
          <w:color w:val="111111"/>
          <w:sz w:val="28"/>
          <w:sz w:val="28"/>
          <w:szCs w:val="28"/>
          <w:rtl w:val="true"/>
          <w:lang w:bidi="ar-SA"/>
        </w:rPr>
        <w:t>وأنّ بعض الموارد يعدّ من مصاديق الإكراه ولا فرق بين موارد الضرر، وأمّا الأخير، فإن أراد أنّه ليس بضرر،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ضرر، وإن أراد عدم شمول القاعدة 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أمثال هذه الموارد ممّا بني على الضرر شبيهٌ بخروج تخصّصي ويكون واضحاً غير محتاج إلى بيان، إلّا أن يريد عدم الشمول؛ لأنّه ضرر مُقدِم، فله وجهٌ، ولكنّ الشأن في أنّه هل هو ضرر أو عدم النفع والإكراه صدقه، دائر غالباً على الضرر وغير صادق على النفع غالباً، ولعلّ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كونه ضرراً هو ذلك</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416563_2870459653"/>
      <w:bookmarkStart w:id="206" w:name="_Toc74"/>
      <w:bookmarkEnd w:id="205"/>
      <w:r>
        <w:rPr>
          <w:rtl w:val="true"/>
        </w:rPr>
        <w:t>في العدول عن الطلاق بعد تلفّظه بالطلاق</w:t>
      </w:r>
      <w:bookmarkEnd w:id="2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تلفّظ بالطلاق،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المرأة، فإن كان هناك قرينة تدلّ على صدقه؛ بأن كان محبوساً، أو في يد متغلّب، ودلّت القرينة على صدقه قبل قوله بيمينه،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في المرض،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مغشيّاً عليّ أو مسلوب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 إلّا ببيّنة تقوم على أنّه كان زائل العقل في ذلك الوقت؛ لأنّ الأصل في تصرّفات المكلّف الصحّة، إلى أن يثبت خلافه، وإنّما عدلنا في دعوى الإكراه عن ذلك بالقرائن؛لظهورها وكثرة وقوعها ووضوح قرائنها، بخلاف المرض</w:t>
      </w:r>
      <w:r>
        <w:rPr>
          <w:rFonts w:eastAsia="Amiri" w:cs="Amiri" w:ascii="Amiri" w:hAnsi="Amiri"/>
          <w:color w:val="111111"/>
          <w:sz w:val="28"/>
          <w:szCs w:val="28"/>
          <w:rtl w:val="true"/>
          <w:lang w:bidi="ar-SA"/>
        </w:rPr>
        <w:t>.</w:t>
      </w:r>
      <w:r>
        <w:rPr>
          <w:rStyle w:val="FootnoteAnchor"/>
          <w:rtl w:val="true"/>
        </w:rPr>
        <w:footnoteReference w:id="205"/>
      </w:r>
      <w:bookmarkStart w:id="207" w:name="pg9375_99318"/>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أوقع الطلاق عن إكراه، ثمّ تعقّبه الرضا، لم يفد ذلك في صحّته، وليس كالعقد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الطلاق اطّلاع الزوجة عليه، فضلاً عن رضاها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المطلَّقة أن تكون زوجة دائمة، فلا يقع الطلاق على المتمتّع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حمل الفعل على الصحّة، وكذا في رفع اليد عن الظهور بالقرينة، ولكن في إطلاق مثاله الثاني إشكال؛ لأنّ المورد في المرض 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فإنّ القرينة في بعض الموارد قويّة ظاهرة كالحصبة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5416565_2870459653"/>
      <w:bookmarkStart w:id="209" w:name="_Toc75"/>
      <w:bookmarkEnd w:id="208"/>
      <w:r>
        <w:rPr>
          <w:rtl w:val="true"/>
        </w:rPr>
        <w:t>عدم الفائدة في صحّة الطلاق عن إکراه عند تعقّب الرضا</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فيه،</w:t>
      </w:r>
      <w:r>
        <w:rPr>
          <w:rStyle w:val="FootnoteAnchor"/>
          <w:rtl w:val="true"/>
        </w:rPr>
        <w:footnoteReference w:id="206"/>
      </w:r>
      <w:r>
        <w:rPr>
          <w:rFonts w:ascii="Amiri" w:hAnsi="Amiri" w:eastAsia="Amiri" w:cs="Amiri"/>
          <w:color w:val="111111"/>
          <w:sz w:val="28"/>
          <w:sz w:val="28"/>
          <w:szCs w:val="28"/>
          <w:rtl w:val="true"/>
          <w:lang w:bidi="ar-SA"/>
        </w:rPr>
        <w:t>وهو مثل الطلاق الفضولي، واحتمال الفرق بينهما مستبعد جدّاً، مضافاً إلى الأصل، والعمدة هو إطلاق عدم صحّة الطلاق عند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للّغويّة الاشتراط؛ لأنّ الطلاق بيد الزوج</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416567_2870459653"/>
      <w:bookmarkStart w:id="211" w:name="_Toc76"/>
      <w:bookmarkEnd w:id="210"/>
      <w:r>
        <w:rPr>
          <w:rtl w:val="true"/>
        </w:rPr>
        <w:t xml:space="preserve">شروط المطلَّقة </w:t>
      </w:r>
      <w:r>
        <w:rPr>
          <w:rtl w:val="true"/>
        </w:rPr>
        <w:t>:</w:t>
      </w:r>
      <w:bookmarkEnd w:id="211"/>
    </w:p>
    <w:p>
      <w:pPr>
        <w:pStyle w:val="Heading4"/>
        <w:numPr>
          <w:ilvl w:val="3"/>
          <w:numId w:val="1"/>
        </w:numPr>
        <w:rPr/>
      </w:pPr>
      <w:bookmarkStart w:id="212" w:name="__RefHeading___Toc5416569_2870459653"/>
      <w:bookmarkStart w:id="213" w:name="_Toc77"/>
      <w:bookmarkEnd w:id="212"/>
      <w:r>
        <w:rPr>
          <w:rtl w:val="true"/>
        </w:rPr>
        <w:t>الشرط أوّلها</w:t>
      </w:r>
      <w:r>
        <w:rPr>
          <w:rtl w:val="true"/>
        </w:rPr>
        <w:t xml:space="preserve">: </w:t>
      </w:r>
      <w:r>
        <w:rPr>
          <w:rtl w:val="true"/>
        </w:rPr>
        <w:t>أن تكون زوجة دائمة</w:t>
      </w:r>
      <w:bookmarkEnd w:id="2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الأجنبيّة مطلقاً ولو بالاشتراط، والوجه المشترك فيها عدم السببيّة فيها، فإنّ الأسباب والمسبّبات الشرعيّة توقيفيّة ولم تثبتالسببيّة في غير الزوجيّة الدائمة وهو المطابق لاستصحاب بقاء الحلّ والأحكام السابقة، كما أنّ عليه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لبعض العامّة قول بجواز طلاق الأجنبيّة مطلقاً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معلّقاً على الزوجيّة، ولا يخفى أنّ الإيراد عليه لعدم المعقوليّة كما عن بعضهم الآخر غير وارد؛ لأنّ الطلاق من الاعتباريّات وهو تابع لجعل الشارع، فمن الممكن صحّة طلاق الأجنبيّة دفعاً للزوجيّة المستقبلة المحتملة وخلط باب التكوين بالتشريع من غفلات العامّة في غير واحد من الأحكام، والأسف وقوعه في كلمات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وممّن تذكّر هذه الغفلة وحقّق مباينة التكوين عن التشريع وإنّهما بابان مستقلّان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خدماته العالية لفقه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عن الإسلام خير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عدم صحّته فيها الأخبار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المتعة ليست من الأربع، لأنّها لا تطلّق ولا ترث، وإنّما هي مستأجرة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الحسن الصيقل،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طلاقاً لا تحلّ له حتّى تنكح زوجاً غيره، فتزوّجها رجل متعة أ تحلّ للأوّل؟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w:t>
      </w:r>
      <w:r>
        <w:rPr>
          <w:rFonts w:ascii="IRNazanin" w:hAnsi="IRNazanin" w:eastAsia="IRNazanin"/>
          <w:color w:val="111111"/>
          <w:sz w:val="28"/>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يتزوّج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كذا وكذا يوماً بكذا وكذا درهماً، فإذا مضت تلك الأيّام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طلاقها في شرطها، ولاعدّة لها عليك</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إسماعيل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يتزوّج المرأة متعة سنة أو أقلّ أو أكثر،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شيئاً معلوماً إلى أجل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بغير 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ولا يخفى عليك ما في الاستدلال بهاتين الصحيحتين الأخيرتين؛ وذلك لعدم دلالة الأخيرة على أزيد من البينونة بغير الطلاق لا الانحصار فيه وعدم الجدوى للطلاق في البينونة ولذلك قال في المسالك في ذيل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وتعدّد الأسباب ممكنٌ والاعتماد على الاتّفاق</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وأورد عليه الحدائق</w:t>
      </w:r>
      <w:r>
        <w:rPr>
          <w:rStyle w:val="FootnoteAnchor"/>
          <w:rtl w:val="true"/>
        </w:rPr>
        <w:footnoteReference w:id="213"/>
      </w:r>
      <w:r>
        <w:rPr>
          <w:rFonts w:ascii="Amiri" w:hAnsi="Amiri" w:eastAsia="Amiri" w:cs="Amiri"/>
          <w:color w:val="111111"/>
          <w:sz w:val="28"/>
          <w:sz w:val="28"/>
          <w:szCs w:val="28"/>
          <w:rtl w:val="true"/>
          <w:lang w:bidi="ar-SA"/>
        </w:rPr>
        <w:t>بأنّه لا دليل على سببيّته في المتعة، والأصل عدمه،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ولتوقّف الاستدلال في ما قبلها على ظهورها في حصر الطلاق في شرطها مضيّاً أو إسقاطاً في ذلك، كما احتمله الجواهر، لكنّه ليس بأزيد من الاحتمال، ولا وجه له لا سيّما مع أنّ الصحيحة في مقام بيان المتعة لا في الفرقة منها، 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يحضرني من النصوص ما يدلّ على عدم وقوع الطلاقبالمستمتع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فيها ما يدلّ على حصوله بانقضاء المدّة وبهبتها، ولكن ذلك لا يقتضي عدم صحّته عليها؛ لإمكان تعدّد الأسباب</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 المصحّح في حاشية الكتاب بأنّ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الغريب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تبحّره واطّلاعه التامّ على الروايات المتفرّقة في أبواب الفقه وغيرها، لم يلتفت إلى هذه الرواية هنا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يحضرني من النصوص ما يدلّ على عدم وقوع الطلاق بالمستمتع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لها في بحث المتعة، بل عقد صاحب الوسائل لهذا العنوان باباً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المتمتّع بها تبيّن بانقضاء المدّة وبهبتها ولا يقع بها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المتعة، وكذلك روي في الوسائل في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الطلاق، الحديث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الصيقل، عن أبي 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مراد المصحّح من تلك الرواية هي رواية محمّد بن مسلم التي قد مرّت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منه عدم تعرّض صاحب الحدائق لهاتين الروايتين الدالّتين على المسألة وهما روايتا ابن مسلم والحسن الصيقل؛ لأنّه أكثر تبحّراً واطّلاعاً بالنسبة إلى الروايات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منهما عدم ذكر صاحب الوسائل لهما في الباب المنعقد في عدم حاجة المتعة إلى الطلاق كما لا يخفى وجهه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عدم صحّة الطلاق في المتعة بأنّهنّ مستأجرات، وبعدم الحاجة إليه بعد وجود السبب وهو انقضاء المدّة وإمكان الهبة، ثمّ إنّ العمدة في المسألة حسنتا ابن مسلم والصيقل المنجبرتين بنفي الخلاف والإجماع فإنّالأصل لا محلّ له مع وجود الرواية والحجّة، والإجماع لا حجيّة له في مصبّ الرواية كما أنّه لا اعتبار بالاعتبار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عدم الصحّة في الأجنبيّة منجّزاً ومعلّقاً، بالمعيّنة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تزوّجت فلانة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بالمطلقة أو العامّة،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أتزوّجها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خلاف فيه، وفي الجواهر بعد بيان تلك الأقسام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 شيء من ذلك بيننا نصّاً وفتوىً، ولاإشكال، بل من ضرورة المذهب أنّه لاطلاق إلّا بعد نكاح؛ لأنّه لإزالة قيده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وتدلّ عليه الروايات المستفيضة كالصريحة بل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امرأة أتزوّجها ما عاشت أُمّي فهي طالق؟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بعد النكاح، ولا عتق إلّا بعد ملك</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فهي طالق، وإن اشتريت فلاناً فهو حرّ، وإن اشتريت هذا الثوب فهو في المساكين؟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 لا يطلّق إلّا ما يملك، ولا يعتق إلّا ما يملك، ولا يصدّق إلّا ما يملك</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عبدالله بن سليمان، عن أبيه في حديث،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سمّى امرأة بعينها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يتزوّجها فهيطالق ثلاثاً، ثمّ بدأ له أن يتزوّجها أ يصلح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بعد النكاح</w:t>
      </w:r>
      <w:r>
        <w:rPr>
          <w:rFonts w:eastAsia="IRNazanin" w:cs="IRNazanin"/>
          <w:color w:val="111111"/>
          <w:sz w:val="28"/>
          <w:szCs w:val="28"/>
          <w:rtl w:val="true"/>
          <w:lang w:bidi="fa-IR"/>
        </w:rPr>
        <w:t>».</w:t>
      </w:r>
      <w:r>
        <w:rPr>
          <w:rStyle w:val="FootnoteAnchor"/>
          <w:rtl w:val="true"/>
        </w:rPr>
        <w:footnoteReference w:id="21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غيرها من أحاديث الباب</w:t>
      </w:r>
      <w:r>
        <w:rPr>
          <w:rFonts w:eastAsia="Amiri" w:cs="Amiri" w:ascii="Amiri" w:hAnsi="Amiri"/>
          <w:color w:val="111111"/>
          <w:sz w:val="28"/>
          <w:szCs w:val="28"/>
          <w:rtl w:val="true"/>
          <w:lang w:bidi="ar-SA"/>
        </w:rPr>
        <w:t xml:space="preserve">. </w:t>
      </w:r>
      <w:bookmarkStart w:id="214" w:name="pg9375_99323"/>
    </w:p>
    <w:p>
      <w:pPr>
        <w:pStyle w:val="BookText"/>
        <w:rPr/>
      </w:pPr>
      <w:bookmarkEnd w:id="214"/>
      <w:r>
        <w:rPr>
          <w:rFonts w:ascii="Amiri" w:hAnsi="Amiri" w:eastAsia="Amiri" w:cs="Amiri"/>
          <w:color w:val="111111"/>
          <w:sz w:val="28"/>
          <w:sz w:val="28"/>
          <w:szCs w:val="28"/>
          <w:rtl w:val="true"/>
          <w:lang w:bidi="ar-SA"/>
        </w:rPr>
        <w:t>وأن تكون طاهرة من الحيض والنفاس، فلا يصحّ طلاق الحائض والنفساء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بالنكاح في هذه الأخبار هو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خلاف إجماع الأُمّة، بل خلاف ضرورة فقه الإسلام في عدم اشتراط الطلاق بالوطي، بل نصّ الكتاب بوقوعه قبله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نَكَحْتُمُ الْمُؤْمِنَاتِ ثُمَّ طَلَّقْتُمُوهُنَّ مِن قَبْلِ أَن تَمَسُّوهُنَّ فَمَا لَكُمْ عَلَيْهِنَّ مِنْ عِدَّةٍ</w:t>
      </w:r>
      <w:r>
        <w:rPr>
          <w:rFonts w:ascii="IRNazanin" w:hAnsi="IRNazanin" w:eastAsia="IRNazanin"/>
          <w:color w:val="111111"/>
          <w:sz w:val="28"/>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جُنَاحَ عَلَيْكُمْ إِن طَلَّقْتُمُ النِّسَاء مَا لَمْ تَمَسُّوهُنَّ</w:t>
      </w:r>
      <w:r>
        <w:rPr>
          <w:rFonts w:ascii="IRNazanin" w:hAnsi="IRNazanin" w:eastAsia="IRNazanin"/>
          <w:color w:val="111111"/>
          <w:sz w:val="28"/>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طَلَّقْتُمُوهُنَّ مِن قَبْلِ أَن تَمَسُّوهُنَّ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للنكاح المتعارف في الكتاب والسنّة وهو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منها قد ذكر التزويج وهو عقد النكاح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تدلّ أيضاً على عدم الطلاق على الموطوءة بوطء الشبهة والمحلّلة والمملوكة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احتمال كون الحصر إضافيّاً وأنّ المراد نفي الطلاق في الأجنبيّة فلا دلالة فيها بالنسبة إلى تلك الموارد والأمر فيها سهلٌ بعد أنّ مقتضى الأصل والقاعدة عدم الصحّة حيث إنّ السببيّة محتاجة إلى الجعل والاعتبار كما أنّ الأحكام السابقة باقية إلى أن يثبت الخلاف</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416571_2870459653"/>
      <w:bookmarkStart w:id="216" w:name="_Toc78"/>
      <w:bookmarkEnd w:id="215"/>
      <w:r>
        <w:rPr>
          <w:rtl w:val="true"/>
        </w:rPr>
        <w:t>الشرط الثاني للمطلَّقة</w:t>
      </w:r>
      <w:r>
        <w:rPr>
          <w:rtl w:val="true"/>
        </w:rPr>
        <w:t xml:space="preserve">: </w:t>
      </w:r>
      <w:r>
        <w:rPr>
          <w:rtl w:val="true"/>
        </w:rPr>
        <w:t>أن تكون طاهرة من الحيض والنفاس</w:t>
      </w:r>
      <w:bookmarkEnd w:id="21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عليه إجماع أصحابنا،</w:t>
      </w:r>
      <w:r>
        <w:rPr>
          <w:rStyle w:val="FootnoteAnchor"/>
          <w:rtl w:val="true"/>
        </w:rPr>
        <w:footnoteReference w:id="222"/>
      </w:r>
      <w:r>
        <w:rPr>
          <w:rFonts w:ascii="IRNazanin" w:hAnsi="IRNazanin" w:eastAsia="IRNazanin"/>
          <w:color w:val="111111"/>
          <w:sz w:val="28"/>
          <w:sz w:val="28"/>
          <w:szCs w:val="28"/>
          <w:rtl w:val="true"/>
          <w:lang w:bidi="fa-IR"/>
        </w:rPr>
        <w:t xml:space="preserve">بل على حرمته 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w:t>
      </w:r>
      <w:r>
        <w:rPr>
          <w:rStyle w:val="FootnoteAnchor"/>
          <w:rtl w:val="true"/>
        </w:rPr>
        <w:footnoteReference w:id="223"/>
      </w:r>
      <w:r>
        <w:rPr>
          <w:rFonts w:ascii="Amiri" w:hAnsi="Amiri" w:eastAsia="Amiri" w:cs="Amiri"/>
          <w:color w:val="111111"/>
          <w:sz w:val="28"/>
          <w:sz w:val="28"/>
          <w:szCs w:val="28"/>
          <w:rtl w:val="true"/>
          <w:lang w:bidi="ar-SA"/>
        </w:rPr>
        <w:t>ويدلّ على البطلان والشرطيّة،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ascii="Amiri" w:hAnsi="Amiri" w:eastAsia="Amiri" w:cs="Amiri"/>
          <w:color w:val="111111"/>
          <w:sz w:val="28"/>
          <w:sz w:val="28"/>
          <w:szCs w:val="28"/>
          <w:rtl w:val="true"/>
          <w:lang w:bidi="ar-SA"/>
        </w:rPr>
        <w:t>ووجه الاستدلال على ما جاء من العامّة والخاصّة أنّ المراد بالعدّة هو الطهر الغير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ظاهرة في الوضع؛ وذلك لأنّ الأمر أو النهي إذا توجّه إلى أمر ليس مقصوداً بالذات فهو محمولٌ على كونه غيريّاً ووضعيّاً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بيع الغرر،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بالصيغة، فإنّ العقلاء في مثل تلك الموارد التي ليست مقصودة بالذات لا يحكمون بالنفسيّة والتكليف بل الغيريّة والشرطيّة، والسرّ في ذلك واضح، فإنّ المقصود من الإتيان بأمثال هذه الموارد ليست نفسها حتّى إذا أمر الشارع بها أو نهى عنها نحمله على المطلوبيّة الذاتيّة ونستظهرها منه فإنّها طريق إلى أمر آخر هو مطلوب نفسي وبالذات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الأمر كذلك في باب الأجزاء والشرائط فإنّه أيضاً ظاهر في الشرطيّة والمانعيّة بنفس البيان، وهذا من إفادات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الفضلاء السبعة، بل هي أربع عشرة صحيحة، وهي ما عن عمر بن أُذينة، عن زرارة وبكير ابني أعين، ومحمّد بن مسلم، وبريد بن معاوية العجلي، والفضيل بن يسار وإسماعيل الأزرق ومعمّر بن يحيى بن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سمعه من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ابنه بعد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ما قالوا وإن لم أحفظ حروفه غير أنّه لم يسقط عنّي جمل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الطلاق الذي أمر الله به في كتابه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حاضت المرأة وطهرت من حيضها أشهد </w:t>
      </w:r>
    </w:p>
    <w:p>
      <w:pPr>
        <w:pStyle w:val="BookText"/>
        <w:rPr/>
      </w:pPr>
      <w:r>
        <w:rPr>
          <w:rFonts w:ascii="Amiri" w:hAnsi="Amiri" w:eastAsia="Amiri" w:cs="Amiri"/>
          <w:color w:val="111111"/>
          <w:sz w:val="28"/>
          <w:sz w:val="28"/>
          <w:szCs w:val="28"/>
          <w:rtl w:val="true"/>
          <w:lang w:bidi="ar-SA"/>
        </w:rPr>
        <w:t>والمراد بهما ذات الدمين فعلاً أو حكماً كالنقاء المتخلّل في 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نقتا من</w:t>
      </w:r>
    </w:p>
    <w:p>
      <w:pPr>
        <w:pStyle w:val="BookText"/>
        <w:rPr/>
      </w:pPr>
      <w:r>
        <w:rPr>
          <w:rFonts w:ascii="Amiri" w:hAnsi="Amiri" w:eastAsia="Amiri" w:cs="Amiri"/>
          <w:color w:val="111111"/>
          <w:sz w:val="28"/>
          <w:sz w:val="28"/>
          <w:szCs w:val="28"/>
          <w:rtl w:val="true"/>
          <w:lang w:bidi="ar-SA"/>
        </w:rPr>
        <w:t>رجلين عدلين قبل أن يجامعها على تطليقه، ثمّ هو أحقّ برجعتها ما لم تمض لها ثلاثة قروء، فإن راجعها كانت عنده على تطليقتين، وإن مضت ثلاثة قروء قبل أن يراجعها فهي أملك بنفسها، فإن أراد أن يخطبها مع الخطّاب خطبها، فإن تزوّجها كانت عنده على تطليقتين وماخلا هذا فليس بطلاق</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عنهم،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 الرجل في دم النفاس، أو طلّقها بعد ما يمسّها فليس طلاقه إيّاها بطلاق </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امرأته ثلاثاً في مجلس وهي حائض، فليس بشيءٍ، وقد 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عبدالله بن عمر، إذ طلّق امرأته ثلاثاً وهي حائض، فأبطل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الطلاق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خالف كتاب الله فهو ردّ إلى كتاب الله عزّ وجلّ،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في عدّة</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بكير بن أعين وغيره،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طلاق لغير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بطلاق، أن يطلّقها وهيحائض أو في دم نفاسها أو بعد ما يغشاها قبل أن تحيض فليس طلاقه بطلاق </w:t>
      </w:r>
      <w:r>
        <w:rPr>
          <w:rFonts w:eastAsia="IRNazanin" w:cs="IRNazanin"/>
          <w:color w:val="111111"/>
          <w:sz w:val="28"/>
          <w:szCs w:val="28"/>
          <w:rtl w:val="true"/>
          <w:lang w:bidi="fa-IR"/>
        </w:rPr>
        <w:t>...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إلى غيرها من الأحاديث</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الحكمي بالفعلي؛ لأنّه حيض ادّعاءً</w:t>
      </w:r>
      <w:r>
        <w:rPr>
          <w:rFonts w:eastAsia="Amiri" w:cs="Amiri" w:ascii="Amiri" w:hAnsi="Amiri"/>
          <w:color w:val="111111"/>
          <w:sz w:val="28"/>
          <w:szCs w:val="28"/>
          <w:rtl w:val="true"/>
          <w:lang w:bidi="ar-SA"/>
        </w:rPr>
        <w:t xml:space="preserve">. </w:t>
      </w:r>
      <w:bookmarkStart w:id="217" w:name="pg9375_99326"/>
    </w:p>
    <w:p>
      <w:pPr>
        <w:pStyle w:val="BookText"/>
        <w:rPr/>
      </w:pPr>
      <w:bookmarkEnd w:id="217"/>
      <w:r>
        <w:rPr>
          <w:rFonts w:ascii="Amiri" w:hAnsi="Amiri" w:eastAsia="Amiri" w:cs="Amiri"/>
          <w:color w:val="111111"/>
          <w:sz w:val="28"/>
          <w:sz w:val="28"/>
          <w:szCs w:val="28"/>
          <w:rtl w:val="true"/>
          <w:lang w:bidi="ar-SA"/>
        </w:rPr>
        <w:t>الدمين ولم تغتسلا من الحدث صحّ طلاقهما،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تكون في طهرٍ واقعها فيه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الحائض والنفساء حينئذٍ، فإطلاق الأدلّة في محلّه</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5416573_2870459653"/>
      <w:bookmarkStart w:id="219" w:name="_Toc79"/>
      <w:bookmarkEnd w:id="218"/>
      <w:r>
        <w:rPr>
          <w:rtl w:val="true"/>
        </w:rPr>
        <w:t>الشرط الثالث للمطلَّقة</w:t>
      </w:r>
      <w:r>
        <w:rPr>
          <w:rtl w:val="true"/>
        </w:rPr>
        <w:t xml:space="preserve">: </w:t>
      </w:r>
      <w:r>
        <w:rPr>
          <w:rtl w:val="true"/>
        </w:rPr>
        <w:t>أن لا تكون في طهر واقعها فيه زوجها</w:t>
      </w:r>
      <w:bookmarkEnd w:id="2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w:t>
      </w:r>
      <w:r>
        <w:rPr>
          <w:rStyle w:val="FootnoteAnchor"/>
          <w:rtl w:val="true"/>
        </w:rPr>
        <w:footnoteReference w:id="229"/>
      </w:r>
      <w:r>
        <w:rPr>
          <w:rFonts w:ascii="Amiri" w:hAnsi="Amiri" w:eastAsia="Amiri" w:cs="Amiri"/>
          <w:color w:val="111111"/>
          <w:sz w:val="28"/>
          <w:sz w:val="28"/>
          <w:szCs w:val="28"/>
          <w:rtl w:val="true"/>
          <w:lang w:bidi="ar-SA"/>
        </w:rPr>
        <w:t>والسنّة، وقد مضى شطر منها، وفي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استفاض أخبارنا، بل وربما احتمل تواترها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تكملة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يقع الكلام في أنّ الحيض والنفاس هل هما مانعان من صحّة الطلاق أو الخلوّ منهما شرط فيها؟ وجهان، وتظهر الثمرة في المجهولة حالها كما ذكرها في الجواهر</w:t>
      </w:r>
      <w:r>
        <w:rPr>
          <w:rStyle w:val="FootnoteAnchor"/>
          <w:rtl w:val="true"/>
        </w:rPr>
        <w:footnoteReference w:id="231"/>
      </w:r>
      <w:r>
        <w:rPr>
          <w:rFonts w:ascii="Amiri" w:hAnsi="Amiri" w:eastAsia="Amiri" w:cs="Amiri"/>
          <w:color w:val="111111"/>
          <w:sz w:val="28"/>
          <w:sz w:val="28"/>
          <w:szCs w:val="28"/>
          <w:rtl w:val="true"/>
          <w:lang w:bidi="ar-SA"/>
        </w:rPr>
        <w:t xml:space="preserve">وهي إشارة إلى قاعدة كلّيّة مذكورة في بعض الكلمات وهي أنّ الشكّ إذا كان في الشرط فالإحراز لازم، وإن كان في المانع فغير لازم؛ قضاءً لأصالة العدم، ويستفاد من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تسليمه للقاعدة لكن في الوجوديين وأمّا في الوجودي والعدمي؛ أي فيما كان الشرط على الشرطيّة أمراً وجوديّاً كالقدرة على التسليم، والمانع على المانعيّة؛ أي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عدميّاً فالمانع عدم القدرة فالثمرة غير مترتبّة على فرض إمكان المانعيّة كذلك، حيث إنّالعدم ليس بشيء ويستحيل تأثيره وتأثّره فكيف يكون مانعاً وذلك لأنّ ثمرة أصالة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العدم فيهما واحد وهو البطلان فأصالة عدم القدرة كما تكون مقتضية للبطلان من جهة انتفاء الشرط فكذلك من جهة المانع، لأنّ عدم القدرة هو المانع ومعه فالممنوع منه باطل وغير موجود وهذا بخلاف الوجوديين كالعدالة والفسق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الفسق هو ارتكاب المعاصي لا عدم الملكة الرادعة، فعلى شرطيّته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المؤمنين مع الشكّ في عدالة شخص لا تثبت ولايته لأنّ الشرط لازم الاحراز وأمّا على مانعيّة الفسق فمقتضى أصالة عدمه عدم تحقّق المانع فالولاية ثابتة للمشكوك فسقه وعدالته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وتظهر من كلام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البيع، إنكاره الثمرة المذكورة وإن وافق الشيخ الأعظم في عدم معقوليّة مانعيّة العدم، بناءً على مبناه الحقّ الحقيق بالتصديق من بطلان استصحاب العدم الأزلي الذي حقّقه في محلّه بما لامزيد عليه فعدم الثمرة حقّ على المبنى ولا كلام فيه، ففي المجهولة حالها لابدّ من الإحراز شرطاً كان أم مانعاً، وأمّا مذهب الشيخ في عدم معقوليّة مانعيّة العدم فغير تامّ؛ لما مرّ</w:t>
      </w:r>
      <w:r>
        <w:rPr>
          <w:rStyle w:val="FootnoteAnchor"/>
          <w:rtl w:val="true"/>
        </w:rPr>
        <w:footnoteReference w:id="233"/>
      </w:r>
      <w:r>
        <w:rPr>
          <w:rFonts w:ascii="IRNazanin" w:hAnsi="IRNazanin" w:eastAsia="IRNazanin"/>
          <w:color w:val="111111"/>
          <w:sz w:val="28"/>
          <w:sz w:val="28"/>
          <w:szCs w:val="28"/>
          <w:rtl w:val="true"/>
          <w:lang w:bidi="fa-IR"/>
        </w:rPr>
        <w:t xml:space="preserve">منّا مراراً، تبعاً لسيّدنا الأُستاذ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الاعتباريات يختلف عن باب التكوين وأنّ قوامها بالاعتبار والجعل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يظهر مخالفة مذهب الأُستاذ هنا لمختاره البديع من عدم الخلط بين التكوين والتشريع، ومنه يظهر أنّه لا فرق بين القول بكون الحيض والنفاس مانعين عن الطلاق أو كون الطهر منهما شرطاً في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على قول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فالثمرة مختلفة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بإيجاد شيء مقيّداً بأمر آخر كالأمر بالصلاة في المكان المباح أو مع طهارة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الشرطيّة، كما أنّ النهي عن المركّب </w:t>
      </w:r>
      <w:bookmarkStart w:id="220" w:name="pg9375_99328"/>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يشترط خلوّ المطلَّقة من الحيض في المدخول بها الحائل، دون غير المدخول بها ودون الحامل، بناءً على مجامعة الحيض للحمل، كما هو الأقوى، فيصحّ طلاقها في حال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كالنهي عن الصلاة في وبر ما لا يؤكل لحمه أو مع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المانعيّة؛ قضاءً لظهور العناوين في الموضوعيّة والدخالة، فحمل دخالة ذلك الشيء في الأمر على مانعيّة مقابله وفي النهي على شرطيّة مقابله مخالف للظاهر، ومن ذلك يظهر وجه استظهار الجواهر من الأدلّة الشرطيّة،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يشهد للثاني منهما أنّ ظاهر النصوص الكثيرة استفادة الشرط المزبور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 وَأَحْصُوا الْعِدَّةَ</w:t>
      </w:r>
      <w:r>
        <w:rPr>
          <w:rFonts w:ascii="IRNazanin" w:hAnsi="IRNazanin" w:eastAsia="IRNazanin"/>
          <w:color w:val="111111"/>
          <w:sz w:val="28"/>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لأنّ المراد الأمر بطلاقهنّ في طهر يكون من عدّتهنّ والحائض حال حيضها ليس كذلك، وكذا ذات الطهر المواقعة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ذكره المصنّف وغيره من الشرائط</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وذلك لما ذكرناه من الظهور في الأمر بالشيء أو المركّب في شيء آخر، فإنّ الأمر بالطلاق لعدّتهنّ يكون المراد منه الطهر والحائض ليست كذلك</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5416575_2870459653"/>
      <w:bookmarkStart w:id="222" w:name="_Toc80"/>
      <w:bookmarkEnd w:id="221"/>
      <w:r>
        <w:rPr>
          <w:rtl w:val="true"/>
        </w:rPr>
        <w:t>طلاق المرأة في حال الحيض</w:t>
      </w:r>
      <w:bookmarkEnd w:id="2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ويدلّ عليه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إسماعيل بن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يطلّقن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المتبيّن حملها، والتي لم يدخل بها زوجها، والغائب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زوجها، والتي لم تحض، والتي قد جلست عن المحيض</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بطلاق خمس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عنها زوجها والتي لم تحض، والتي لم يدخل بها زوجها، والحبلى، والتي قد يئست من المحيض</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وزرارة وغيرهما، عن أبي جعفر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يطلقهنّ أزواجهنّ متى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المستبين حملها، والجارية التي لم تحض، والمرأة التي قد قعدت من المحيض، والغائب عنها زوجها، والتي لم يدخل بها</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عثمان،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يطلّقن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والتي قد يئست من المحيض والتي لم يدخل بها، والغائب عنها زوجها، والتي لم تبلغ المحيض</w:t>
      </w:r>
      <w:r>
        <w:rPr>
          <w:rFonts w:eastAsia="IRNazanin" w:cs="IRNazanin"/>
          <w:color w:val="111111"/>
          <w:sz w:val="28"/>
          <w:szCs w:val="28"/>
          <w:rtl w:val="true"/>
          <w:lang w:bidi="fa-IR"/>
        </w:rPr>
        <w:t>».</w:t>
      </w:r>
      <w:r>
        <w:rPr>
          <w:rStyle w:val="FootnoteAnchor"/>
          <w:rtl w:val="true"/>
        </w:rPr>
        <w:footnoteReference w:id="23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والعموم في هذه الأحاديث شامل لحال الحيض والطهر، كما أنّه شامل لطهر المواقعة وغير المواقعة، وأنّها حاكمة على إطلاق ما دلّ على النهيعن طلاق الحائض على شموله للحائل غير المدخول بها والحامل، وعلى كون النسبة عموماً من وجه، فإنّ لسانها لسان النظر إلى ذلك الإطلاق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عنها فالترجيح لها؛ لخروجهما عنه بالإجماع، بل لدلالة الآية أيضاً؛ لأنّ المراد من قوله </w:t>
      </w:r>
      <w:bookmarkStart w:id="223" w:name="pg9375_99330"/>
    </w:p>
    <w:p>
      <w:pPr>
        <w:pStyle w:val="BookText"/>
        <w:rPr/>
      </w:pPr>
      <w:bookmarkEnd w:id="223"/>
      <w:r>
        <w:rPr>
          <w:rFonts w:ascii="Amiri" w:hAnsi="Amiri" w:eastAsia="Amiri" w:cs="Amiri"/>
          <w:color w:val="111111"/>
          <w:sz w:val="28"/>
          <w:sz w:val="28"/>
          <w:szCs w:val="28"/>
          <w:rtl w:val="true"/>
          <w:lang w:bidi="ar-SA"/>
        </w:rPr>
        <w:t xml:space="preserve">وكذا يشترط ذلك فيما إذا كان الزوج حاضراً؛ بمعنى كونهما في بلد واحد حين الطلاق، ولو كان غائباً يصحّ طلاقها وإن وقع في حال الحيض، لكن إذا لم يعلم حالها من حيث الطهر والحيض وتعذّر أو تعسّر عليه استعلامها، فلو علم أنّها في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علمه بعادتها الوقتيّة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تمكّن من استعلامها، وطلّقها فتبيّن وقوعه في حال الحيض 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w:t>
      </w:r>
      <w:r>
        <w:rPr>
          <w:rStyle w:val="FootnoteAnchor"/>
          <w:rtl w:val="true"/>
        </w:rPr>
        <w:footnoteReference w:id="240"/>
      </w:r>
      <w:r>
        <w:rPr>
          <w:rFonts w:ascii="Amiri" w:hAnsi="Amiri" w:eastAsia="Amiri" w:cs="Amiri"/>
          <w:color w:val="111111"/>
          <w:sz w:val="28"/>
          <w:sz w:val="28"/>
          <w:szCs w:val="28"/>
          <w:rtl w:val="true"/>
          <w:lang w:bidi="ar-SA"/>
        </w:rPr>
        <w:t xml:space="preserve">الأمر بطلاقهنّ في طهر يكون من عدّتهنّ، وغير المدخول بها لاعدّة لها، كما أنّ الحامل عدّتها وضع الحمل على كلّ حالٍ، وقد ظهر ممّا ذكرنا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استثنائهما أيضاً</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416577_2870459653"/>
      <w:bookmarkStart w:id="225" w:name="_Toc81"/>
      <w:bookmarkEnd w:id="224"/>
      <w:r>
        <w:rPr>
          <w:rtl w:val="true"/>
        </w:rPr>
        <w:t>اختلاف الأصحاب في طلاق الغائب</w:t>
      </w:r>
      <w:bookmarkEnd w:id="225"/>
    </w:p>
    <w:p>
      <w:pPr>
        <w:pStyle w:val="Heading4"/>
        <w:numPr>
          <w:ilvl w:val="3"/>
          <w:numId w:val="1"/>
        </w:numPr>
        <w:rPr/>
      </w:pPr>
      <w:bookmarkStart w:id="226" w:name="__RefHeading___Toc5416579_2870459653"/>
      <w:bookmarkStart w:id="227" w:name="_Toc82"/>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طلاق الغائب في الجملة إجماعاً ولا إشكال فيه، وعليه الروايات الكثيرة، وإنّما الكلام والإشكال في إطلاقه، فإنّ في المسألة أقوال خمسة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التربّص، وأنّ المناط تحقّق وصف الغائب مع الجهل بحال الزوجة، والتقييد بالجهل وإن لم يكن بمصرّح به في كلماتهم المرئيّ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والمحكيّ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هو المستفاد والمعلوم عرفاً من مناسبة الحكم والموضوع؛ وذلك لعدم الخصوصيّة للغائب بما هو هو الموجب لجواز الطلاق حتّى مع العلم بالحال وأنّ الزوجة حائض، بل الخصوصيّة إنّما تكون من جهة سببيّة الغيبة للجهل غالباً لاسيّما في مثل زمان القائلين بهذا القول ممّا كانت الأجهزة الإعلاميّة والاتّصالات اليوميّة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عليّ بن بابويه وابن أبي عقيل</w:t>
      </w:r>
      <w:r>
        <w:rPr>
          <w:rStyle w:val="FootnoteAnchor"/>
          <w:rtl w:val="true"/>
        </w:rPr>
        <w:footnoteReference w:id="242"/>
      </w:r>
      <w:r>
        <w:rPr>
          <w:rFonts w:ascii="Amiri" w:hAnsi="Amiri" w:eastAsia="Amiri" w:cs="Amiri"/>
          <w:color w:val="111111"/>
          <w:sz w:val="28"/>
          <w:sz w:val="28"/>
          <w:szCs w:val="28"/>
          <w:rtl w:val="true"/>
          <w:lang w:bidi="ar-SA"/>
        </w:rPr>
        <w:t>وسلّار</w:t>
      </w:r>
      <w:r>
        <w:rPr>
          <w:rStyle w:val="FootnoteAnchor"/>
          <w:rtl w:val="true"/>
        </w:rPr>
        <w:footnoteReference w:id="243"/>
      </w:r>
      <w:r>
        <w:rPr>
          <w:rFonts w:ascii="Amiri" w:hAnsi="Amiri" w:eastAsia="Amiri" w:cs="Amiri"/>
          <w:color w:val="111111"/>
          <w:sz w:val="28"/>
          <w:sz w:val="28"/>
          <w:szCs w:val="28"/>
          <w:rtl w:val="true"/>
          <w:lang w:bidi="ar-SA"/>
        </w:rPr>
        <w:t>والمفيد</w:t>
      </w:r>
      <w:r>
        <w:rPr>
          <w:rStyle w:val="FootnoteAnchor"/>
          <w:rtl w:val="true"/>
        </w:rPr>
        <w:footnoteReference w:id="244"/>
      </w:r>
      <w:r>
        <w:rPr>
          <w:rFonts w:ascii="Amiri" w:hAnsi="Amiri" w:eastAsia="Amiri" w:cs="Amiri"/>
          <w:color w:val="111111"/>
          <w:sz w:val="28"/>
          <w:sz w:val="28"/>
          <w:szCs w:val="28"/>
          <w:rtl w:val="true"/>
          <w:lang w:bidi="ar-SA"/>
        </w:rPr>
        <w:t>وأبي الصلاح،</w:t>
      </w:r>
      <w:r>
        <w:rPr>
          <w:rStyle w:val="FootnoteAnchor"/>
          <w:rtl w:val="true"/>
        </w:rPr>
        <w:footnoteReference w:id="245"/>
      </w:r>
      <w:r>
        <w:rPr>
          <w:rFonts w:ascii="Amiri" w:hAnsi="Amiri" w:eastAsia="Amiri" w:cs="Amiri"/>
          <w:color w:val="111111"/>
          <w:sz w:val="28"/>
          <w:sz w:val="28"/>
          <w:szCs w:val="28"/>
          <w:rtl w:val="true"/>
          <w:lang w:bidi="ar-SA"/>
        </w:rPr>
        <w:t>بل قد ادّعى ثانيهم التواتر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المحكيّ عن الصدوق في الفقيه</w:t>
      </w:r>
      <w:r>
        <w:rPr>
          <w:rStyle w:val="FootnoteAnchor"/>
          <w:rtl w:val="true"/>
        </w:rPr>
        <w:footnoteReference w:id="246"/>
      </w:r>
      <w:r>
        <w:rPr>
          <w:rFonts w:ascii="Amiri" w:hAnsi="Amiri" w:eastAsia="Amiri" w:cs="Amiri"/>
          <w:color w:val="111111"/>
          <w:sz w:val="28"/>
          <w:sz w:val="28"/>
          <w:szCs w:val="28"/>
          <w:rtl w:val="true"/>
          <w:lang w:bidi="ar-SA"/>
        </w:rPr>
        <w:t>والشيخ في موضع منالنهاية</w:t>
      </w:r>
      <w:r>
        <w:rPr>
          <w:rStyle w:val="FootnoteAnchor"/>
          <w:rtl w:val="true"/>
        </w:rPr>
        <w:footnoteReference w:id="247"/>
      </w:r>
      <w:r>
        <w:rPr>
          <w:rFonts w:ascii="Amiri" w:hAnsi="Amiri" w:eastAsia="Amiri" w:cs="Amiri"/>
          <w:color w:val="111111"/>
          <w:sz w:val="28"/>
          <w:sz w:val="28"/>
          <w:szCs w:val="28"/>
          <w:rtl w:val="true"/>
          <w:lang w:bidi="ar-SA"/>
        </w:rPr>
        <w:t>وصريح ابن حمزة على المحكيّ،</w:t>
      </w:r>
      <w:r>
        <w:rPr>
          <w:rStyle w:val="FootnoteAnchor"/>
          <w:rtl w:val="true"/>
        </w:rPr>
        <w:footnoteReference w:id="248"/>
      </w:r>
      <w:r>
        <w:rPr>
          <w:rFonts w:ascii="Amiri" w:hAnsi="Amiri" w:eastAsia="Amiri" w:cs="Amiri"/>
          <w:color w:val="111111"/>
          <w:sz w:val="28"/>
          <w:sz w:val="28"/>
          <w:szCs w:val="28"/>
          <w:rtl w:val="true"/>
          <w:lang w:bidi="ar-SA"/>
        </w:rPr>
        <w:t>وهو تربّص 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تربّص ثلاثة أشهر مع العلم ببراءة رحمها من الحمل فيما إذا خرج بعد المواقعة، وهو المحكيّ عن ابن الجنيد</w:t>
      </w:r>
      <w:r>
        <w:rPr>
          <w:rStyle w:val="FootnoteAnchor"/>
          <w:rtl w:val="true"/>
        </w:rPr>
        <w:footnoteReference w:id="249"/>
      </w:r>
      <w:r>
        <w:rPr>
          <w:rFonts w:ascii="Amiri" w:hAnsi="Amiri" w:eastAsia="Amiri" w:cs="Amiri"/>
          <w:color w:val="111111"/>
          <w:sz w:val="28"/>
          <w:sz w:val="28"/>
          <w:szCs w:val="28"/>
          <w:rtl w:val="true"/>
          <w:lang w:bidi="ar-SA"/>
        </w:rPr>
        <w:t>والعلّامة في المختلف</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السفر في طهر غير المواقعة، فيجوز له الطلاق من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اشتراط، بخلاف كونه في طهر المواقعة، فعليه التربّص ما بين شهر إلى ثلاثة أشهر، وهو للشيخ في موضع من النهاية </w:t>
      </w:r>
      <w:r>
        <w:rPr>
          <w:rStyle w:val="FootnoteAnchor"/>
          <w:rtl w:val="true"/>
        </w:rPr>
        <w:footnoteReference w:id="251"/>
      </w:r>
      <w:r>
        <w:rPr>
          <w:rFonts w:ascii="Amiri" w:hAnsi="Amiri" w:eastAsia="Amiri" w:cs="Amiri"/>
          <w:color w:val="111111"/>
          <w:sz w:val="28"/>
          <w:sz w:val="28"/>
          <w:szCs w:val="28"/>
          <w:rtl w:val="true"/>
          <w:lang w:bidi="ar-SA"/>
        </w:rPr>
        <w:t>وصريح ابن البرّاج على المحكيّ عنه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كذلك مع اعتبار العلم بخروجها من ذلك الطهر إلى طهر آخر، وهو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الشرائع</w:t>
      </w:r>
      <w:r>
        <w:rPr>
          <w:rStyle w:val="FootnoteAnchor"/>
          <w:rtl w:val="true"/>
        </w:rPr>
        <w:footnoteReference w:id="253"/>
      </w:r>
      <w:r>
        <w:rPr>
          <w:rFonts w:ascii="Amiri" w:hAnsi="Amiri" w:eastAsia="Amiri" w:cs="Amiri"/>
          <w:color w:val="111111"/>
          <w:sz w:val="28"/>
          <w:sz w:val="28"/>
          <w:szCs w:val="28"/>
          <w:rtl w:val="true"/>
          <w:lang w:bidi="ar-SA"/>
        </w:rPr>
        <w:t>المحصّل في المسألة ، وذهب إليه قبلهم الشيخ في الاستبصار</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هذا، ومنشأ الخلاف اختلاف الأخبار،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جواز طلاق الغائب مطلقاً، وهي أخبار استثناء الخمس المنقولة في المسألة السابقة وصحيحة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طلاقه على كلّ حالٍ، وتعتدّ امرأته من يوم طلّقها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يطلّق امرأته وهو غائب، فيعلم أنّه يوم طلّقها كانت طامثاً،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فمقتضى الإطلاق في تلك الأخبار وترك الاستفصال في هاتين الروايتين هو عدم اعتبار التربّص أصلاً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غير تمام، أمّا في أخبار الخمس، فلأنّه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العدّ لا المعدود وأنّ الغائب على الإطلاق مورد للاستثناء أو مع القيد، والمفيد في المقام هو الإطلاق في المعدود لا في العدّ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الروايتين، فلأنّ السائل فى صحيحة ابن مسلم ليس في مقام السؤال عن صحّة طلاق الغائب بما هو غائب حتّى يكون في ترك الاستفصال دلالة على العموم بل السؤال عن اشتراط طلاقه كغيره بالخلوّ عن الحيض وعدمه، فالسؤال هو عن أصل الاستثناء، فتكون مثل أخبار الخمس، وفي رواية أبي بصير السؤال عن طلاق الغائب المنكشف كونه في حال الحيض بعد وقوعه، كما يظهر من عطفه العلم بالطلاق بالفاء المفيدة للتعقيب، فليس السؤال إلّا عن صورة خاصّة، فالاستدلال للعموم بترك الاستفصال في هذه الرواية أضعف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ما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جلّ أخبار الخمس، بل في غير صحيح ابن مسلم وزرارة وغيرهما عن أبي عبدالله وأبي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ناظرة إلى حال المرأة وأنّهنّ يطلّقن على كلّ حالٍ، فالإطلاق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حالات المرأة الغائب عنها زوجها لا بالنسبة إلى الزوج الغائب ومدّة التربّص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التمسّك بالإطلاق في تلك الصحاح له وجهٌ وهو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الأزمنة من الغيبة في المدّة اليسيرة والكثيرة، فالصحاح بإطلاقها تدلّ على صحّة طلاق الغائب ولو قبل مضيّ الشهر، لكنّ الحمل كذلك بعيدٌ جدّاً، فإنّ الظاهر كون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الزمانيّة العموم من حيث خلوّ الزوجة عن الحيض وعدمه، فإنّه المحطّ للاستثناء، ويشهدله سياق بقيّة الأخبار من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اشتراط مضيّ شهر واحد، كموثّقة إسحاق بن عمّار،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إذا أراد أن يطلّقها تركها شهراً</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وما عن ابن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يطلّق الغائب؟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عمّار، أو روى إسحاق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له شهر</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اشتراط التربّص بثلاثة أشهر وما فوقها، كصحيحة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خرج من منزله إلى السفر فليس له أن يطلّق حتّى تمضي ثلاثة أشهر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الذي يطلّق أهله كم غيبته؟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أشهر،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Style w:val="FootnoteAnchor"/>
          <w:rtl w:val="true"/>
        </w:rPr>
        <w:footnoteReference w:id="2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أنّ طلاق الغائب بالأهلّة والشهور، كموثّقة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الغائبيطلّق بالأهلّة والشهور</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ولا يخفى عليك عدم منافاة الرابعة للبقيّة؛ لأنّ النسبة بينهما نسبة الإجمال والتفسير، كما أنّه يحتمل أن يكون الاعتداد بالأهلّة والشهور؛ وذلك لما ورد في صحيحة عبدالرحمن بن الحجّاج</w:t>
      </w:r>
      <w:r>
        <w:rPr>
          <w:rStyle w:val="FootnoteAnchor"/>
          <w:rtl w:val="true"/>
        </w:rPr>
        <w:footnoteReference w:id="262"/>
      </w:r>
      <w:r>
        <w:rPr>
          <w:rFonts w:ascii="Amiri" w:hAnsi="Amiri" w:eastAsia="Amiri" w:cs="Amiri"/>
          <w:color w:val="111111"/>
          <w:sz w:val="28"/>
          <w:sz w:val="28"/>
          <w:szCs w:val="28"/>
          <w:rtl w:val="true"/>
          <w:lang w:bidi="ar-SA"/>
        </w:rPr>
        <w:t>في الحاضر الذي لا يمكنه الوصول بل الظاهر هو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أو يمكن أن يذكر في رفع الاختلاف والجمع بين هذه الأخبار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الاستبصار، وهو الدليل لأصحاب القول الخامس، بحمل الأخبار المختلفة في مدّة التربّص على اختلاف عادات النساء في الحيض وعلم الزوج بحال زوجته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يعلم من حال زوجته أنّها تحيض في كلّ شهر يجوز له أن يطلّقها بعد انقضاء الشهر، ومن يعلم أنّها لا تحيض إلّا في كلّ ثلاثة أشهر لم يجز له أن يطلّقها إلّا بعد انقضاء ثلاثة أشهر، وكذلك من تحيض في كلّ ستّة أشهر، وحينئذٍ فالمراعى في جواز ذلك مضيّ حيضة وانتقالها إلى طهر لم يقربها فيه بجماع،</w:t>
      </w:r>
      <w:r>
        <w:rPr>
          <w:rStyle w:val="FootnoteAnchor"/>
          <w:rtl w:val="true"/>
        </w:rPr>
        <w:footnoteReference w:id="263"/>
      </w:r>
      <w:r>
        <w:rPr>
          <w:rFonts w:ascii="Amiri" w:hAnsi="Amiri" w:eastAsia="Amiri" w:cs="Amiri"/>
          <w:color w:val="111111"/>
          <w:sz w:val="28"/>
          <w:sz w:val="28"/>
          <w:szCs w:val="28"/>
          <w:rtl w:val="true"/>
          <w:lang w:bidi="ar-SA"/>
        </w:rPr>
        <w:t>واقتفاه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يقتضيه النظر الصحيح والوقوف مع القوانين الأُصوليّة هو مختار الشیخ في الاستبصار؛ وذلك لأنّ الأخبار الدالّة على وجوب التربّص مدّة ليصحّ الطلاق لا يجوز إجراؤها على ظاهرها من الاختلاف والتنافي، ولا اطّراح بعضها، فلم يبق إلّا الجمع بينها بالحمل على أنّ المراد مراعاة زمان يعلم الزوج الغائب حصول الحيض بعد طهر الجماع والانتقال عنه إلىالطهر، وأنّ الاختلاف منزّل على اختلاف عادة النساء في حصول الحيض باعتبار شهر أو ثلاثة أو خمسة أو ستّة، فقد اشتركت أخبار التربّص في أنّ الانتقال من طهر إلى آخر شرط صحّة الطلاق من الغائب ولو ظنّاً مستفاداً من عادة المرأة إن كانت معلومة،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فمن غالب عادات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رواية أبي بصير</w:t>
      </w:r>
      <w:r>
        <w:rPr>
          <w:rStyle w:val="FootnoteAnchor"/>
          <w:rtl w:val="true"/>
        </w:rPr>
        <w:footnoteReference w:id="264"/>
      </w:r>
      <w:r>
        <w:rPr>
          <w:rFonts w:ascii="Amiri" w:hAnsi="Amiri" w:eastAsia="Amiri" w:cs="Amiri"/>
          <w:color w:val="111111"/>
          <w:sz w:val="28"/>
          <w:sz w:val="28"/>
          <w:szCs w:val="28"/>
          <w:rtl w:val="true"/>
          <w:lang w:bidi="ar-SA"/>
        </w:rPr>
        <w:t>على أنّه لو طلّقها وعلم يوم طلقها أنّها كانت طامثاً يجوز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ما اشتركت فيه هذه الأخبار مختصّ بعموم الخبرين الدالّين على جواز تطليق زوجة الغائب على كلّ حالٍ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ولا يتوهّم أنّ المعتبر عند أصحاب هذا القول هو العلم بالانتقال وانقضاء الحيض كما هو صريح الشرائع،</w:t>
      </w:r>
      <w:r>
        <w:rPr>
          <w:rStyle w:val="FootnoteAnchor"/>
          <w:rtl w:val="true"/>
        </w:rPr>
        <w:footnoteReference w:id="266"/>
      </w:r>
      <w:r>
        <w:rPr>
          <w:rFonts w:ascii="Amiri" w:hAnsi="Amiri" w:eastAsia="Amiri" w:cs="Amiri"/>
          <w:color w:val="111111"/>
          <w:sz w:val="28"/>
          <w:sz w:val="28"/>
          <w:szCs w:val="28"/>
          <w:rtl w:val="true"/>
          <w:lang w:bidi="ar-SA"/>
        </w:rPr>
        <w:t>لكنّ الظاهر من المحقّق الثاني هو الاكتفاء بالظنّ؛ حيث إنّ مرادهم من العلم بقرينة اكتفائهم بمضيّ مدّة الحيض من أشهر وغيره هو الحجّة المعتبرة المستندة إلى الظنّ الحاصل من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العلم في الفقه والألسنة المتعارفة هو الحجّة كما بيّنّاه مرّة بعد مرّة، وحقّقناه في الأُصول عند البحث عن حديث الرفع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الأُصوليّة وإن كان تقييد الأخبار المطلقة</w:t>
      </w:r>
      <w:r>
        <w:rPr>
          <w:rStyle w:val="FootnoteAnchor"/>
          <w:rtl w:val="true"/>
        </w:rPr>
        <w:footnoteReference w:id="267"/>
      </w:r>
      <w:r>
        <w:rPr>
          <w:rFonts w:ascii="Amiri" w:hAnsi="Amiri" w:eastAsia="Amiri" w:cs="Amiri"/>
          <w:color w:val="111111"/>
          <w:sz w:val="28"/>
          <w:sz w:val="28"/>
          <w:szCs w:val="28"/>
          <w:rtl w:val="true"/>
          <w:lang w:bidi="ar-SA"/>
        </w:rPr>
        <w:t>المستندة للشيخ المفيد ومن تبعه بأخبار التربّص لكنّ الإشكال في تلك الأخبار لما بينهما من التعارض فلابدّ من رفع التعارض بينهما ثمّ التقييد بها، وما ذكروه من الجمع فليس في الأخبار إشعار به أصلاً ويكون الجمع تبرّعاً محضاً والسؤال قد وقع فيها عن مطلق المطلّق لا عن واقعة مخصوصة حتّى يتوجّه احتمال كون المطلّقة المسؤول عنها معتادة بتلكالعدّة، فحملها على العادات المختلفة بعيدٌ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موثّقة إسحاق بن عمّار المنقولة في الطائقة الثالثة</w:t>
      </w:r>
      <w:r>
        <w:rPr>
          <w:rStyle w:val="FootnoteAnchor"/>
          <w:rtl w:val="true"/>
        </w:rPr>
        <w:footnoteReference w:id="268"/>
      </w:r>
      <w:r>
        <w:rPr>
          <w:rFonts w:ascii="Amiri" w:hAnsi="Amiri" w:eastAsia="Amiri" w:cs="Amiri"/>
          <w:color w:val="111111"/>
          <w:sz w:val="28"/>
          <w:sz w:val="28"/>
          <w:szCs w:val="28"/>
          <w:rtl w:val="true"/>
          <w:lang w:bidi="ar-SA"/>
        </w:rPr>
        <w:t>حيث إنّها حاكمة على موثّقته الأُخرى وعلى ما عن ابن سماعة المنقولتين في الطائفة الثانية؛</w:t>
      </w:r>
      <w:r>
        <w:rPr>
          <w:rStyle w:val="FootnoteAnchor"/>
          <w:rtl w:val="true"/>
        </w:rPr>
        <w:footnoteReference w:id="269"/>
      </w:r>
      <w:r>
        <w:rPr>
          <w:rFonts w:ascii="Amiri" w:hAnsi="Amiri" w:eastAsia="Amiri" w:cs="Amiri"/>
          <w:color w:val="111111"/>
          <w:sz w:val="28"/>
          <w:sz w:val="28"/>
          <w:szCs w:val="28"/>
          <w:rtl w:val="true"/>
          <w:lang w:bidi="ar-SA"/>
        </w:rPr>
        <w:t>لأنّها تفسّر الغائب فيرتفع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جريان ذلك في صحيحة جميل؛ لعدم كون الموضوع فيها الغائب، بل الموضوع فيها الرجل الخارج من منزله، والحكومة تابعة للسان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بذلك أحد، ويكون مخالفاً للإجماع؛ حيث إنّ اللازم من الجمع كذلك تربّص أربعة أشهر، ثلاثة أشهر، لتحقّق الغائب حكومة، وواحد لاعتباره في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المطلقات على شهر واحد، والثلاثة والخمسة والستّة على الندب، والشاهد له اختلاف الروايات مع اتّحاد الراوي في اثنتين منها، وهو في روايتي إسحاق بن عمّار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ولا يخفى عدم تماميّته؛ لعدم اختلافها كثيراً موجباً للحمل كذلك، فإنّ الأخبار بين طائفتين من شهر واحد وثلاثة أشهر، والزائد على الثلاثة ليس بمعتبرٍ؛ وذلك لما في الموثّق الدالّ عليه بالاجتزاء بالثلاثة، ففيه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أشهر أو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الحمل عليه يلزم أن يجري في الشهر الواحد أيضاً فكيف يكون متعيّناً؟ نعم، في وحدة الراوي دلالة عليه، لكنّه غير كافٍ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الجواهر من حمل المطلّقات على طهر غير المواقعة واعتبار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أشهر أو شهر واحد على من خرج في طهر المواقعة، فإنّ طلاق الغائب بعد مضيّ ثلاثة أشهر في المسترابة يقع صحيحاً؛ لأنّ الطلاق لابدّ أن يكون في العدّة، قضاءً للآية الشريفة،</w:t>
      </w:r>
      <w:r>
        <w:rPr>
          <w:rStyle w:val="FootnoteAnchor"/>
          <w:rtl w:val="true"/>
        </w:rPr>
        <w:footnoteReference w:id="271"/>
      </w:r>
      <w:r>
        <w:rPr>
          <w:rFonts w:ascii="Amiri" w:hAnsi="Amiri" w:eastAsia="Amiri" w:cs="Amiri"/>
          <w:color w:val="111111"/>
          <w:sz w:val="28"/>
          <w:sz w:val="28"/>
          <w:szCs w:val="28"/>
          <w:rtl w:val="true"/>
          <w:lang w:bidi="ar-SA"/>
        </w:rPr>
        <w:t>فالمرأة في ذلك الزمان لا تخلو من أن تكون حاملاً أو حائلاً والطلاق فيهما في العدّة، أمّا في الحامل؛ لكون انقضاء عدّتها بالوضع ويصحّ طلاقها في حاله وإن كانت حائضاً، وأمّا في الحائل؛ فلعدم إضرار الحيض في الغائب غير العالم، فإنّ المتيقّن من مانعيّته إنّما هو في غير الغائب ممّن لا يتعذّر ولا يتعسّر عليه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هذا الكلام يجري في مستقيمة الحيض بعد مضيّ الشهر؛ لأنّ المطلّقة بعد انقضاء عدّتها وهي شهران أو ثلاثة أشهر إمّا تكون حاملاً فطلاقها كان في الحمل وإمّا تكون حائلاً فطلاقها لم يكن في طهر المواقعة، ووقوعه في الحيض غير مضرّ في الغائب كما مرّ،</w:t>
      </w:r>
      <w:r>
        <w:rPr>
          <w:rStyle w:val="FootnoteAnchor"/>
          <w:rtl w:val="true"/>
        </w:rPr>
        <w:footnoteReference w:id="27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من التأمّل فيما ذكرنا قد ينقدح وجه جمع بين ما دلّ من النصوص التي سمعت تواترها على طلاق الغائب على كلّ حالٍ بحملها على الغائب عنها في طهر لم يواقعها فيه ولم يعلم بكونها حائضاً ولو لعادة لها وقتيّة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 لديه، وبين ما دلّ منها على اعتبار الثلاثة أشهر، وهي صحيح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إذا خرج من منزله إلى السفرفليس له أن يطلّق حتّى تمضي ثلاثة أشهر</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إسحاق بن عمّار، قلت لأبي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الذي يطلّق كم غيبته؟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أشهر أو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وحسن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يطلّق بالأهلّة والشهور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التي عن الإسكافي</w:t>
      </w:r>
      <w:r>
        <w:rPr>
          <w:rStyle w:val="FootnoteAnchor"/>
          <w:rtl w:val="true"/>
        </w:rPr>
        <w:footnoteReference w:id="276"/>
      </w:r>
      <w:r>
        <w:rPr>
          <w:rFonts w:ascii="Amiri" w:hAnsi="Amiri" w:eastAsia="Amiri" w:cs="Amiri"/>
          <w:color w:val="111111"/>
          <w:sz w:val="28"/>
          <w:sz w:val="28"/>
          <w:szCs w:val="28"/>
          <w:rtl w:val="true"/>
          <w:lang w:bidi="ar-SA"/>
        </w:rPr>
        <w:t>العمل بها وطرح ما عداها، وتبعه في المختلف</w:t>
      </w:r>
      <w:r>
        <w:rPr>
          <w:rStyle w:val="FootnoteAnchor"/>
          <w:rtl w:val="true"/>
        </w:rPr>
        <w:footnoteReference w:id="277"/>
      </w:r>
      <w:r>
        <w:rPr>
          <w:rFonts w:ascii="Amiri" w:hAnsi="Amiri" w:eastAsia="Amiri" w:cs="Amiri"/>
          <w:color w:val="111111"/>
          <w:sz w:val="28"/>
          <w:sz w:val="28"/>
          <w:szCs w:val="28"/>
          <w:rtl w:val="true"/>
          <w:lang w:bidi="ar-SA"/>
        </w:rPr>
        <w:t>بحملها على من خرج في طهر المواقعة، ضرورة أنّه مع مضيّ المدّة المزبورة إمّا أن تكون مستبينة الحمل وطلاقها حينئذٍ للعدّة، أوحائضاً وهو غير قادح في الغائب، بل قد يحصل ذلك في الامرأة المستقيمة التي هي غير مسترابة بمضيّ شهر مضافاً إلى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ينزّل موثّق إسحاق،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إذا أراد أن يطلّقها تركها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ابن سماعة، سألت محمّد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يطلّق الغائب؟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مضى له شهر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فتجتمع حينئذٍ جميع النصوص على معنى واحد، وإليه أشار الصدوق في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الغائب أن يطلّق امرأته فحدّ غيبته أنّه إذا غابها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له أن يطلّق متى شاء خمسة أشهر أو ستّة، وأوسطه ثلاثة أشهر، وأدناه شهر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بل لا يبعد إرادة الانتقال من طهر إلى زمان طهر آخر من الشهر في النصوص، ولعلّ هذا هو الوجه في اختلاف النصوص، وأولى من العمل بأحدها وطرح الآخر</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الجمع كذلك كالجمع السابق تبرّعي لا شاهد له، لا من العقل ولا من النقل، وما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لصحّة الطلاق من وقوعه إمّا على الحامل المستبين حمله أو الحائل المنقضي حيضه فإنّه وإن كان فيه الدقّة الفقهيّة إلّا أنّ العرف لا يعلمه، فضلاً عن المساعدة عليه، بل غير واحد من علمائهم وفقهائهم لا يعلمونه إلّا بعد الدقّة الكثيرة فكيف يعتمد على هذا النحو من الجمع الذي ليس بعرفي، بل ليس إلّا جمعاً دقيقاً فقهيّاً لا يبدو إلّا من مثل صاحب الجواهر المستنبط لجواهر الأحكام بالغوص في بحار الكتاب والسنّة، المؤلف لجواهر الكلام في الفقه الذي لا تجد فرعاً من كلّ أبواب الفقه إلّا وقد تعرّضه، والذي قال أُستاذنا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أنّه الذي يعجز عن تأليفه مأة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مضيّ ثلاثة أشهر وإن كان غالباً موجباً للعلم أو الاطمئنان بالحمل وعدمه، لكنّه ليس على الدوام فيبقى حال غير الغالب غير معلوم ولا يستقيم مع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حمل المطلقات على الخارج في طهر غير المواقعة ممّا لا شاهد له أصلاً،فإنّه وإن سلّمنا كون الاختلاف في أخبار التربّص شاهداً على 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فهو مختصّ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بتلك الأخبار دون المطلقات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الشهر الواحد على المستقيمة، والثلاثة على غيرها على أن تكون للأهلّة والشهور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شاهد له أيضاً ويكون تبرّعاً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المسالك</w:t>
      </w:r>
      <w:r>
        <w:rPr>
          <w:rStyle w:val="FootnoteAnchor"/>
          <w:rtl w:val="true"/>
        </w:rPr>
        <w:footnoteReference w:id="281"/>
      </w:r>
      <w:r>
        <w:rPr>
          <w:rFonts w:ascii="Amiri" w:hAnsi="Amiri" w:eastAsia="Amiri" w:cs="Amiri"/>
          <w:color w:val="111111"/>
          <w:sz w:val="28"/>
          <w:sz w:val="28"/>
          <w:szCs w:val="28"/>
          <w:rtl w:val="true"/>
          <w:lang w:bidi="ar-SA"/>
        </w:rPr>
        <w:t>من تقييد الإطلاقات بأخبار التربّص ثلاثة أشهر؛ لصحّتها وموافقتها مع الاعتبار، لأنّ الغالب في الغائب عن زوجته أن يكون حالها مجهولاً وحملها ممكناً في وقته، ومع جهله بحالها تصير في معنى المسترابة إلّا أن يعلم عادة المرأة وانتقالها بحسبه من طهر إلى طهر آخر فيكفي تربّصه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تمام على مبناه من اختصاص حجيّة الخبر بالصحيح الأعلائي</w:t>
      </w:r>
      <w:r>
        <w:rPr>
          <w:rStyle w:val="FootnoteAnchor"/>
          <w:rtl w:val="true"/>
        </w:rPr>
        <w:footnoteReference w:id="282"/>
      </w:r>
      <w:r>
        <w:rPr>
          <w:rFonts w:ascii="Amiri" w:hAnsi="Amiri" w:eastAsia="Amiri" w:cs="Amiri"/>
          <w:color w:val="111111"/>
          <w:sz w:val="28"/>
          <w:sz w:val="28"/>
          <w:szCs w:val="28"/>
          <w:rtl w:val="true"/>
          <w:lang w:bidi="ar-SA"/>
        </w:rPr>
        <w:t>وأمّا على ما هو الحقّ من حجيّة الخبر وإن كان موثّقاً، بل وإن كان موثوق الصدور فالتعارض في محلّه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موثّقة عمّار</w:t>
      </w:r>
      <w:r>
        <w:rPr>
          <w:rStyle w:val="FootnoteAnchor"/>
          <w:rtl w:val="true"/>
        </w:rPr>
        <w:footnoteReference w:id="283"/>
      </w:r>
      <w:r>
        <w:rPr>
          <w:rFonts w:ascii="Amiri" w:hAnsi="Amiri" w:eastAsia="Amiri" w:cs="Amiri"/>
          <w:color w:val="111111"/>
          <w:sz w:val="28"/>
          <w:sz w:val="28"/>
          <w:szCs w:val="28"/>
          <w:rtl w:val="true"/>
          <w:lang w:bidi="ar-SA"/>
        </w:rPr>
        <w:t>الدالّة على اعتبار الشهر بما في صحيحة عبدالرحمن</w:t>
      </w:r>
      <w:r>
        <w:rPr>
          <w:rStyle w:val="FootnoteAnchor"/>
          <w:rtl w:val="true"/>
        </w:rPr>
        <w:footnoteReference w:id="284"/>
      </w:r>
      <w:r>
        <w:rPr>
          <w:rFonts w:ascii="IRNazanin" w:hAnsi="IRNazanin" w:eastAsia="IRNazanin"/>
          <w:color w:val="111111"/>
          <w:sz w:val="28"/>
          <w:sz w:val="28"/>
          <w:szCs w:val="28"/>
          <w:rtl w:val="true"/>
          <w:lang w:bidi="fa-IR"/>
        </w:rPr>
        <w:t>من كون الشهر للغائب الذي يصل إليها الأحيان، ولا يصل إليها الأحيان فيتركها شهراً ولا يصل إليها ليصير سبباً لجهله، فإنّ المناط في الغائب الجهل كما يظهر من الصحيحة ويكون مناسباً للغيبة، وحملالدالّة على اعتبار الثلاثة على الأولويّة والاستحباب بشهادة موثّقة عمّار، عن أبي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يعيّن المدّة في جواب إسحاق عن مدّة الغيبة في الغائب الذي يطلّق، بل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والجواب كذلك لا يلائم الوجوب بل منافٍ له، وما في الذيل من بيان الحدّ الذي يكون دون ذلك وإن كان في حدّ نفسه ظاهراً في الوجوب لكنّه لمّا يكون بعد سؤال السائل فظهوره لمكان الترديد في الاستحباب محفوظٌ وإلّا فيلزم نقصان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من الجمع هو أظهر الوجوه وعليه الشاهد من الأخبار ويكون موافقاً للاعتبار وهو الوجه كما في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احتمال أنّ الأهلّة والشهور ليست شرطاً في صحّة الطلاق من باب الحيض والطهر بل هو حكم للغائب عند الطلاق؛ فإنّ ترك المرأة في السفر في موثّقة عمّار لا معنى له إلّا مضيّ المدّة، فالملاك هو مضيّها، وعلى هذا يؤخذ بظاهر عنوان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ويشعر به ما عن محمّد بن الحسن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بعض موالينا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عارفة أحدث زوجها فهرب من البلاد فتبع الزوج بعض أهل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طلّقت وإمّا رددتك، فطلّقها، ومضى الرجل على وجهه فما ترى للمرأة؟ فكتب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تزوّجي يرحمك الله</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إلّا أنّه مع اختصاصه بالموثّقة ممّا لا يذهب إليه الفقيه العارف بأحكام الطلاق وأدلّة شرائطه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رواية إسحاق بن عمّار نصّ في صحّة الطلاق بعد مضيّ شهر واحد، وصحيحة جميل ظاهرة في عدم الجواز، فيحمل النفي هنا علىالكراهة، وكذا موثّقة عمّار الأُخرى ظاهرة في الجواز بعد مضيّ ثلاثة أشهر وعدم الجواز قبله، فحمل الروايات على الاستحباب لهذا الوجه وجيهٌ إلّا أنّ الإشكال في الوجه، فإنّه غير تمام على ما حقّق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غاب الزوج، فإن خرج حال حيضها، لم يجز طلاقها إلّا بعد مضيّ مدّة قطع بانقطاع ذلك الحيض، أو كانت ذات العادة ومضت عادتها، فإن طلّقها بعد ذلك في زمان، لم يعلم بكونها حائضاً في ذلك الزمان، صحّ طلاقها وإن تبيّن وقوعه في حال الحيض، وإن خرج في حال الطهر الذي لم يواقعها فيه، طلّقها في أيّ زمان لم يعلم بكونها حائضاً، وصحّ طلاقها وإن صادف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طلّقها في زمان علم بأنّ عادتها التحيّض فيه بطل إن صادفه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خرج في الطهر الذي واقعها فيه ينتظر مضيّ زمان انتقلت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الطهر إلى طهر آخر، ويكفي تربّص شهر، والأحوط أن لا ينقص عن ذلك، والأولى تربّص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الجهل بعادتها، وإلّا فيتبع العادة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الطلاق بعد التربّص المذكور لم يضرّ مصادفة الحيض في الواقع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يضرّ مصادفته للطهر الذي واقعها فيه؛ بأن طلّقها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الحيض المتيقّن حال خروجه المنقطع بالقطع بخلافه أو بمضيّ المدّة والمحكّم فيهما إطلاق روايات الغائب لعدم اختصاصها بالخروج مع الجهل بحال الزوجة، ووجه ما استدركه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عدم كون الغائب بما هو هو موضوعاً للحكم ومورداً للاستثناء بل الاعتبار به من جهة ملازمته للجهل بحالها فإنّه المناسب معه في الاستثناء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الانتقال بمقتضى العادة هي من جهة حجّيّة العادة ظاهراًوالاحتياط بمضيّ الشهر من جهة الغلبة والعمل برواية الشهر وأمّا الأولويّة بالنسبة إلى الثلاثة فلما مرّ</w:t>
      </w:r>
      <w:r>
        <w:rPr>
          <w:rStyle w:val="FootnoteAnchor"/>
          <w:rtl w:val="true"/>
        </w:rPr>
        <w:footnoteReference w:id="287"/>
      </w:r>
      <w:r>
        <w:rPr>
          <w:rFonts w:ascii="Amiri" w:hAnsi="Amiri" w:eastAsia="Amiri" w:cs="Amiri"/>
          <w:color w:val="111111"/>
          <w:sz w:val="28"/>
          <w:sz w:val="28"/>
          <w:szCs w:val="28"/>
          <w:rtl w:val="true"/>
          <w:lang w:bidi="ar-SA"/>
        </w:rPr>
        <w:t>من الجمع بالحمل على الاستحباب وكثرة الاستظهار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مضيّ مدّة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الطهر الأوّل والحيض الذي بعده، ثمّ تبيّن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الذي يتعذّر أو يتعسّر عليه معرفة حال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الطهر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كالغائب، كما أنّ الغائب لو فرض إمكان علمه بحالها بسهولة بلا تعسّر كالحاضر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الظهور هو أولويّة كشف الطهر من كشف الحيض فإنّ فيه فقدان الشرطين وهما عدم الحيض وعدم كون الطهر غير المواقعة وفي كشف الحيض فقدان الشرط الأخير فقط، وأيضاً أنّه لا خصوصيّة للحيض، بل المعيار هو الغيبة واستثناء الغائب من الشرطين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الخصوصيّة للغائب؛ وذلك لصحيحة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سرّاً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 xml:space="preserve">وهي في منزل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 أن يطلّقها وليس يصل إليها فيعلم طمثها إذا طمثت ولا يعلم بطهرها إذا طهرت؟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الغائب عن أهله، يطلّق بالأهلّة والشهور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يصل إليها الأحيان والأحيان لا يصل إليها فيعلم حالها كيف يطلّقها؟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له شهر لا يصل إليها فيه يطلّقها إذا نظر إلى غرّة الشهر الآخر بشهود ويكتب الشهر الذي يطلّقها فيه ويشهد على طلاقها رجلين، فإذا مضى ثلاثة أشهر فقد بانت منه وهو خاطب منالخطّاب، وعليه نفقتها في تلك الثلاثة الأشهر التي تعتدّ فيها</w:t>
      </w:r>
      <w:r>
        <w:rPr>
          <w:rFonts w:eastAsia="Amiri" w:cs="Amiri" w:ascii="Amiri" w:hAnsi="Amiri"/>
          <w:color w:val="111111"/>
          <w:sz w:val="28"/>
          <w:szCs w:val="28"/>
          <w:rtl w:val="true"/>
          <w:lang w:bidi="ar-SA"/>
        </w:rPr>
        <w:t>».</w:t>
      </w:r>
      <w:r>
        <w:rPr>
          <w:rStyle w:val="FootnoteAnchor"/>
          <w:rtl w:val="true"/>
        </w:rPr>
        <w:footnoteReference w:id="289"/>
      </w:r>
      <w:bookmarkStart w:id="228" w:name="pg9375_99345"/>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في المسألة إلّا من الحلّي</w:t>
      </w:r>
      <w:r>
        <w:rPr>
          <w:rStyle w:val="FootnoteAnchor"/>
          <w:rtl w:val="true"/>
        </w:rPr>
        <w:footnoteReference w:id="290"/>
      </w:r>
      <w:r>
        <w:rPr>
          <w:rFonts w:ascii="Amiri" w:hAnsi="Amiri" w:eastAsia="Amiri" w:cs="Amiri"/>
          <w:color w:val="111111"/>
          <w:sz w:val="28"/>
          <w:sz w:val="28"/>
          <w:szCs w:val="28"/>
          <w:rtl w:val="true"/>
          <w:lang w:bidi="ar-SA"/>
        </w:rPr>
        <w:t>فيما حكي عنه؛</w:t>
      </w:r>
      <w:r>
        <w:rPr>
          <w:rStyle w:val="FootnoteAnchor"/>
          <w:rtl w:val="true"/>
        </w:rPr>
        <w:footnoteReference w:id="291"/>
      </w:r>
      <w:r>
        <w:rPr>
          <w:rFonts w:ascii="Amiri" w:hAnsi="Amiri" w:eastAsia="Amiri" w:cs="Amiri"/>
          <w:color w:val="111111"/>
          <w:sz w:val="28"/>
          <w:sz w:val="28"/>
          <w:szCs w:val="28"/>
          <w:rtl w:val="true"/>
          <w:lang w:bidi="ar-SA"/>
        </w:rPr>
        <w:t>بناءً على أصله من عدم العمل بخبر الواحد، فإلحاق الحاضر حينئذٍ بالغائب قياسٌ، والمتّجه بقاؤه حينئذٍ على حكم الحاضر من عدم جواز طلاقه حتّى يعلم انتقالها من طهر المواقعة وخلوّها عن الحيض حين الطلاق، ولكنّه كما ترى</w:t>
      </w:r>
      <w:r>
        <w:rPr>
          <w:rFonts w:eastAsia="Amiri" w:cs="Amiri" w:ascii="Amiri" w:hAnsi="Amiri"/>
          <w:color w:val="111111"/>
          <w:sz w:val="28"/>
          <w:szCs w:val="28"/>
          <w:rtl w:val="true"/>
          <w:lang w:bidi="ar-SA"/>
        </w:rPr>
        <w:t>.</w:t>
      </w:r>
      <w:r>
        <w:rPr>
          <w:rStyle w:val="FootnoteAnchor"/>
          <w:rtl w:val="true"/>
        </w:rPr>
        <w:footnoteReference w:id="292"/>
      </w:r>
    </w:p>
    <w:p>
      <w:pPr>
        <w:pStyle w:val="Heading4"/>
        <w:numPr>
          <w:ilvl w:val="3"/>
          <w:numId w:val="1"/>
        </w:numPr>
        <w:rPr/>
      </w:pPr>
      <w:bookmarkStart w:id="229" w:name="__RefHeading___Toc5416581_2870459653"/>
      <w:bookmarkStart w:id="230" w:name="_Toc83"/>
      <w:bookmarkEnd w:id="229"/>
      <w:r>
        <w:rPr>
          <w:rtl w:val="true"/>
        </w:rPr>
        <w:t>تتمّة</w:t>
      </w:r>
      <w:r>
        <w:rPr>
          <w:rtl w:val="true"/>
        </w:rPr>
        <w:t xml:space="preserve">: </w:t>
      </w:r>
      <w:r>
        <w:rPr>
          <w:rtl w:val="true"/>
        </w:rPr>
        <w:t>زیادة صور في طلاق الغائب</w:t>
      </w:r>
      <w:bookmarkEnd w:id="230"/>
    </w:p>
    <w:p>
      <w:pPr>
        <w:pStyle w:val="BookText"/>
        <w:rPr/>
      </w:pPr>
      <w:r>
        <w:rPr>
          <w:rFonts w:ascii="Amiri" w:hAnsi="Amiri" w:eastAsia="Amiri" w:cs="Amiri"/>
          <w:color w:val="111111"/>
          <w:sz w:val="28"/>
          <w:sz w:val="28"/>
          <w:szCs w:val="28"/>
          <w:rtl w:val="true"/>
          <w:lang w:bidi="ar-SA"/>
        </w:rPr>
        <w:t xml:space="preserve">قد 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Style w:val="FootnoteAnchor"/>
          <w:rtl w:val="true"/>
        </w:rPr>
        <w:footnoteReference w:id="293"/>
      </w:r>
      <w:r>
        <w:rPr>
          <w:rFonts w:ascii="IRNazanin" w:hAnsi="IRNazanin" w:eastAsia="IRNazanin"/>
          <w:color w:val="111111"/>
          <w:sz w:val="28"/>
          <w:sz w:val="28"/>
          <w:szCs w:val="28"/>
          <w:rtl w:val="true"/>
          <w:lang w:bidi="fa-IR"/>
        </w:rPr>
        <w:t>صوراً لطلاق الغائب قد مرّ</w:t>
      </w:r>
      <w:r>
        <w:rPr>
          <w:rStyle w:val="FootnoteAnchor"/>
          <w:rtl w:val="true"/>
        </w:rPr>
        <w:footnoteReference w:id="294"/>
      </w:r>
      <w:r>
        <w:rPr>
          <w:rFonts w:ascii="Amiri" w:hAnsi="Amiri" w:eastAsia="Amiri" w:cs="Amiri"/>
          <w:color w:val="111111"/>
          <w:sz w:val="28"/>
          <w:sz w:val="28"/>
          <w:szCs w:val="28"/>
          <w:rtl w:val="true"/>
          <w:lang w:bidi="ar-SA"/>
        </w:rPr>
        <w:t xml:space="preserve">بعضها في المتن وبقي منها بعض يجدر ذكر تمامها إتماماً للفائدة،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الغائب زوجته فلا يخلو؛ إمّا أن يطلّقها بعد مضيّ المدّة المعتبرة أو قبلها، وعلى التقديرين؛ إمّا أن يوافق فعله كونها جامعة لشرائطه في الواقع؛ بأن يكون قد حاضت بعد طهر المواقعة وطهرت فوقع الطلاق حال الطهر أو لا يوافق؛ بأن تبيّن وقوعه في طهر المواقعة أو حالة الحيض أو يستمرّ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الحكم ينتظم في مسائل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مراعياً للمدّة المعتبرة ثمّ تظهر الموافقة، بأن كانت قد انتقلت من طهر المواقعة إلى آخر، وهنا يصحّ الطلاق إجماعاً؛ لاجتماع الشرائط المعتبرة في صحّته ظاهراً وفي نفس الأمر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المدّة في هذه المسائل مبنيّة على مختاره من الخصوصيّة لها، كما أنّها تختلف باختلاف المباني من اعتبار الشهر أو الثلاثة، أو اعتبارهما باعتبار الاختلاف في الحيض، وأمّا على المختار من كفاية الحجّة على الانتقال فلا خصوصيّة للمدّة بما هي هي بل الاعتبار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المدّة تكون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فالوجه في الصحّة هو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واقتفاه الجواهر إلّا أنّه ادّعى عدم الخلاف في الصحّة</w:t>
      </w:r>
      <w:r>
        <w:rPr>
          <w:rStyle w:val="FootnoteAnchor"/>
          <w:rtl w:val="true"/>
        </w:rPr>
        <w:footnoteReference w:id="295"/>
      </w:r>
      <w:r>
        <w:rPr>
          <w:rFonts w:ascii="Amiri" w:hAnsi="Amiri" w:eastAsia="Amiri" w:cs="Amiri"/>
          <w:color w:val="111111"/>
          <w:sz w:val="28"/>
          <w:sz w:val="28"/>
          <w:szCs w:val="28"/>
          <w:rtl w:val="true"/>
          <w:lang w:bidi="ar-SA"/>
        </w:rPr>
        <w:t>ونسب الإجماع إلى المسالك</w:t>
      </w:r>
      <w:r>
        <w:rPr>
          <w:rStyle w:val="FootnoteAnchor"/>
          <w:rtl w:val="true"/>
        </w:rPr>
        <w:footnoteReference w:id="296"/>
      </w:r>
      <w:r>
        <w:rPr>
          <w:rFonts w:ascii="Amiri" w:hAnsi="Amiri" w:eastAsia="Amiri" w:cs="Amiri"/>
          <w:color w:val="111111"/>
          <w:sz w:val="28"/>
          <w:sz w:val="28"/>
          <w:szCs w:val="28"/>
          <w:rtl w:val="true"/>
          <w:lang w:bidi="ar-SA"/>
        </w:rPr>
        <w:t>وفيه وفي أمثاله الكثيرة الواقعة في الجواهر، لشهادة على 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الفتاوى والإجماعات، فالمسألة مع أنّها كانت من واضحات الفقه وليس للفقيه إلّا الإفتاء بالصحّة لاجتماع الشرائط ظاهراً وواقعاً،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يحصل له الإجماع فلم يدّعه بنفسه، بل حكاه عن غيره واكتفى بنفي الخلاف المحصّل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كذلك، ولكن ظهر بعد ذلك كونها حائضاً حال الطلاق، وهنا يصحّ الطلاق أيضاً؛ لأنّ شرط صحّته للغائب مراعاة المدّة المعتبرة وقد حصل، والحيض هنا غير مانع؛ لعدم العلم به، وهو ممّا قد استثني من صور المنع من طلاق الحائضبالنصّ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بصير،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يطلّق امرأته وهو غائب فيعلم أنّه يوم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طلّقها كانت طامثاً،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والمراد من هذه الرواية أنّه لم يكن عالماً بالحيض حال الطلاق، ثمّ علم؛ لعطفه العلم على الطلاق بالفاء المفيدة للتعقيب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هذه الصورة أيضاً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في أنّه طلّق بعد المدّة المعتبرة ولكن ظهر بعد ذلك كونها باقية في طهر المواقعة لم تنتقل منه إلى حيض ولا إلى طهر آخر، وهو صحيح أيضاً كالسابقة، لعين ما ذكر فيها، وهو وقوعه على الوجه المعتبر شرعاً، ولأنّ الطلاق إذا حكم بصحّته في حالة الحيض بالنصّ والإجماع فلأن يحكم بصحّته في حالة الطهر أولى؛ لما قد عرفت من أنّ شرط الطلاق في غير الغائب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طهر، وكون الطهر غير طهر المواقعة، فإذا اتّفق وقوعه في حالة الحيض تخلّف الشرطان؛ لعدم طهر آخر غير طهر المواقعة وعدم الخلوّ من الحيض، وإذا اتّفق وقوعه في حالة الطهر فالمتخلّف شرط واحد وهو كون الطهر غير طهر المواقعة، فإذا كان تخلّف الشرطين في الغائب غير مانع فتخلّف أحدهما أولى بعدم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Style w:val="FootnoteAnchor"/>
          <w:rtl w:val="true"/>
        </w:rPr>
        <w:footnoteReference w:id="298"/>
      </w:r>
      <w:r>
        <w:rPr>
          <w:rFonts w:ascii="Amiri" w:hAnsi="Amiri" w:eastAsia="Amiri" w:cs="Amiri"/>
          <w:color w:val="111111"/>
          <w:sz w:val="28"/>
          <w:sz w:val="28"/>
          <w:szCs w:val="28"/>
          <w:rtl w:val="true"/>
          <w:lang w:bidi="ar-SA"/>
        </w:rPr>
        <w:t>هنا بعدم الوقوع؛ لانتفاء شرط الصحّة وهو استبراء الرحم، خرج منه حالة الحيض للرواية فيبقى الباقي، وللمنع عن وجود الشرط، وأنّالإذن في الطلاق استناداً إلى الظنّ لا يقتضي الحكم بالصحّة إذا ظهر بطلان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المعتبر في استبراء الرحم للغائب إنّما هو مراعاة المدّة المعتبرة وهو حاصل، وموضع النصّ والفتوى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حالة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عليه، وظهور بطلان الظنّ غير مؤثّر فيما 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المعتبر حاصل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المانعيّة، وقد تخلّف فيما هو أولى بالحكم أو مساوٍ في المنع، وكون الحكمة في انتظار المدّة المقرّرة هو استبراء الرحم غير لازم؛ لأنّها مستنبطة لا منصوصة فلا يلزم اطّرادها، وإنّما المنصوص اعتبار انقضاء المدّة المعتبرة واستنبط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بظنّ الانتقال من طهر إلى آخر، وكلاهما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مراعياً للمدّة المعتبرة ويستمرّ الاشتباه فلا يعلم كونها حائضاً حال الطلاق أو طاهراً طهر المواقعة أو غيره، وهنا يصحّ الطلاق قولاً واحداً، لوجود المقتضي للصحّة وهو استبراؤها المدّة المعتبرة مع باقي الشرائط وانتفاء المانع، إذ ليس ثمّ إلّا اشتباه الحال وهو غير صالح للمانعيّة، وكون انتقالها من طهر المواقعة إلى آخر شرطاً في صحّة الطلاق مخصوص بالحاضر، وأمّا الشرط في الغائب، فهو مضيّ المدّة المعتبرة مع عدم العلم بكونها حائضاً حال الطلاق أو باقية في طهر المواقعة، فمتى انتفى العلم بذلك حصل الشرط</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قبل مضيّ المدّة المعتبرة ولكن ظهر بعد الطلاق وقوعه في طهر لم يواقعها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صحّة الطلاق حينئذٍ وجهان؛ من حصول شرط الصحّة في نفسالأمر وظهور الحال، ومن عدم اجتماع الشرائط المعتبرة في الطلاق حال إيقاعه المقتضي لبطلانه، ويمكن أن يجعل ظهور اجتماع الشرائط بعد ذلك كاشفاً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صحّته، خصوصاً مع جهله ببطلان الطلاق من دون مراعاة الشرط؛ لقصده حينئذٍ إلى طلاق صحيح ثمّ ظهر اجتماع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وذلك لإطلاق أدلّة الشرائط، كما قاله في الجواهر،</w:t>
      </w:r>
      <w:r>
        <w:rPr>
          <w:rStyle w:val="FootnoteAnchor"/>
          <w:rtl w:val="true"/>
        </w:rPr>
        <w:footnoteReference w:id="299"/>
      </w:r>
      <w:r>
        <w:rPr>
          <w:rFonts w:ascii="Amiri" w:hAnsi="Amiri" w:eastAsia="Amiri" w:cs="Amiri"/>
          <w:color w:val="111111"/>
          <w:sz w:val="28"/>
          <w:sz w:val="28"/>
          <w:szCs w:val="28"/>
          <w:rtl w:val="true"/>
          <w:lang w:bidi="ar-SA"/>
        </w:rPr>
        <w:t>بل لظهور أدلّة الإحراز في أنّ الإحراز طريقي لا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قبل الاستبراء وتبيّن عدم الانتقال أو يستمرّ الاشتباه فيبطل الطلاق عند كلّ من اعتبر المدّة؛ لوجود المقتضي للبطلان وهو عدم التربّص به المدّة المعتبرة وعدم انكشاف حصول ما يقتضي الصحّة، بخلاف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الفرق في البطلان في الصورتين، حيث إنّه واقعي مع التبيّن وظاهري مع استمرار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بعد انقضاء المدّة المعتبرة ولكن اتّفق له مخبر يجوز الاعتماد عليه شرعاً بأنّها حائض بسبب تغيّر عادتها، ففي صحّة الطلاق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العدم، وكذا لو أخبره ببقائها في طهر المواقعة أو بكونها حائضاً حيضاً آخر بعد الطهر المعتبر في صحّة الحيض؛ لاشتراك الجميع في المقتضيللبطلان، وصحّة طلاقه غائباً مشروط 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الظنّ بحصول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بأنّ الروايات مشروطة بعدم الظنّ بالخلاف،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إطلاق، وانصرافها غير معلوم، ويؤيّده إطلاق عبارات الأصحاب، بل الانصراف كذلك معلوم العدم، كيف وطلاق الغائب مع رعاية شرائطه صحيح نصّاً وفتوىً مع العلم بخلافه، فضلاً عن الظنّ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كون المراد من العبارة إخبار المخبر بعد الطلاق، وأمّا بناءً على مقارنة الإخبار بالطلاق كما في الجواهر</w:t>
      </w:r>
      <w:r>
        <w:rPr>
          <w:rStyle w:val="FootnoteAnchor"/>
          <w:rtl w:val="true"/>
        </w:rPr>
        <w:footnoteReference w:id="300"/>
      </w:r>
      <w:r>
        <w:rPr>
          <w:rFonts w:ascii="Amiri" w:hAnsi="Amiri" w:eastAsia="Amiri" w:cs="Amiri"/>
          <w:color w:val="111111"/>
          <w:sz w:val="28"/>
          <w:sz w:val="28"/>
          <w:szCs w:val="28"/>
          <w:rtl w:val="true"/>
          <w:lang w:bidi="ar-SA"/>
        </w:rPr>
        <w:t>بل استظهره من المسالك ففيه إمكان منع الاشتراط المزبور؛ وذلك لإطلاق الأدلّة المقتصر في تقييدها على صورة العلم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باعتبار خصوص خبر العدل، بناءً على أنّه من العلم شرعاً في هذا المقام دون كلّ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خروج الزوج في طهر آخر غير طهر المواقعة صحّ طلاقها من غير تربّص ما لم يعلم كونها حائضاً، ولا يشترط هنا العلم أو الظنّ بعدم الحيض، بخلاف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الصحّة هنا موجودٌ وهو استبراؤها بالانتقال من طهر إلى آخر، وإنّما الحيض بعد ذلك مانع من صحّة الطلاق، ولا يشترط في الحكم بصحّة الفعل العلم بانتفاء موانعه، بل يكفي عدم العلم بوجودها، بخلاف السابق، فإنّ شرط صحّة الطلاق مضيّ المدّة المعتبرة المشتملة على العلم بانتقالها من طهر إلى آخر،والجهل بالشرط يقتضي الجهل بصحّة المشروط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الحكم تمام؛ قضاءً لأخبار الغائب، لا لما علّله من الفرق في الشكّ في الشرط والمانع، وذلك لما مرّ من عدم التماميّة، وإن كان مورداً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هنا كالحيض في المنع والاكتفاء بطهرها منه، فلو غاب وهي حامل ومضت مدّة يعلم بحسب حال الحمل وضعها وطهرها من النفاس جاز طلاقها، كما لو انتقلت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الحكم بالنفاس ظنّه المستند إلى عادتها وإن كان عدمه ممكناً كما قلناه في الحيض، ومثله ما لو كان حاضراً ووطأها قبل الوضع، فإنّه يكتفي بنفاسها في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وطأها حاملاً ثمّ غاب وطلّق قبل مضيّ مدّة تلد فيها غالباً وتنفّس فصادف الطلاق ولادتها وانقضاء نفاسها، ففي صحّته الوجهان الماضيان في الحيض، والحكم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في الجواهر على اعتبار مضيّ المدّة ؛ لأنّ طلاق الحامل لا يعتبر فيه مضيّ المدّة بما هذا لفظه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القول بجواز طلاقها على كلّ حالٍ ما لم يعلم نفاسها؛ لاجتماع جهتي الجواز فيه، وهي الحمل وكونه غائباً، ولا مدخليّة للمدّة هنا فيه، وحينئذٍ فلو وطأها حاملاً ثمّ غاب عنها وطلّق قبل مضيّ مدّة تلد فيها غالباً فصادف الطلاق نفاسها صحّ، وكذا لو صادف ولادتها وانتفاء نفاسها، وليس هو كالطلاق قبلالمدّة فصادف حيضها وطهرها؛ وذلك لأنّ احتمال البطلان بسبب احتمال كون مضيّ المدّة شرطاً ولم يحصل، بخلاف المقام الذي لا وجه فيه لاعتبار المدّة، ضرورة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كونها حاملاً أو في طهر لم يقربها فيه، وكلّ منهما لا يعتبر فيه مدّة أصلاً كما عرفت؛ إذ المدّة إنّما اعتبرت لتحصيل الظنّ بالانتقال إلى طهر آخر باعتبار مواقعته لها في الطهر الذي غاب فيه، وفي الفرض لا تقدح مواقعته؛ لكونها حاملاً أو في طهر لم يواقعها فيه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بالعلم في هذه المواضع كلّها معناه العامّ، وهو الاعتقاد الراجح الشامل للظنّ المستند إلى عادتها في الحيض والطهر والحمل، وينبّه عليه إطلاقهم العلم ثمّ ظهور خلافه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كلام في أنّ المراد من العلم هنا أعمّ من العلم الخاصّ، وأمّا شموله لمطلق الظنّ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مختصّ بالظنّ الذي يكون معتبراً، إلّا أن يقال بكون المراد منه هو المعتبر من الظنون؛ قضاءً للأمثلة، حيث إنّها من الظنون المعتبرة، ودليل الشمول استعمال الروايات وضرورة الشمول، كما يظهر من المراجعة إلى موارد استعمال العلم في الكتاب والسنّة وألسنة الفقهاء، فإنّ العلماء ورثة الأنبياء وأُمناء الرسل هم أهل الحجج والأمارات لا العلوم الفلسفيّة والرجحان المانع من النقيض؛ لعدم إمكانهما في غيرالضروريّات من الفقه، وقد حقّق الشمول الأُستاذ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البحث عن رفع ما لا يعلمون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الرفع</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bookmarkStart w:id="231" w:name="pg9375_99353"/>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الطلاق في الطهر الذي واقعها فيه في اليائسة والصغيرة والحامل والمسترابة، وهي المرأة التي كانت في سنّ من تحيض ولا تحيض؛ لخلقة أو عارض، لكن يشترط في الأخيرة مضيّ ثلاثة أشهر من زمان المواقعة، فلو طلّقها قبلها لم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الشمول ذلك، لا الإطلاق المذكور في كلامه؛ لأنّ الإطلاق كلّما كان واسعاً لا يشمل غير أفراده، فإنّ الإطلاق ليس قرينة على خلاف الظاهر وعلى الصدق لغير مصاديقه كما هو واضح</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416583_2870459653"/>
      <w:bookmarkStart w:id="233" w:name="_Toc84"/>
      <w:bookmarkEnd w:id="232"/>
      <w:r>
        <w:rPr>
          <w:rtl w:val="true"/>
        </w:rPr>
        <w:t>اعتبار مضيّ ثلاثة أشهر</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Style w:val="FootnoteAnchor"/>
          <w:rtl w:val="true"/>
        </w:rPr>
        <w:footnoteReference w:id="304"/>
      </w:r>
      <w:r>
        <w:rPr>
          <w:rFonts w:ascii="Amiri" w:hAnsi="Amiri" w:eastAsia="Amiri" w:cs="Amiri"/>
          <w:color w:val="111111"/>
          <w:sz w:val="28"/>
          <w:sz w:val="28"/>
          <w:szCs w:val="28"/>
          <w:rtl w:val="true"/>
          <w:lang w:bidi="ar-SA"/>
        </w:rPr>
        <w:t>من روايات استثناء الخمس، وأمّا اشتراط مضيّ ثلاثة أشهر في الأخيرة فلا خلاف فيه، بل في الحدائق بعد النسبة إلى المقطوع به في كلامهم،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الظاهر أنّه موضع وفاقٍ</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ويدلّ عليه صحيح إسماعيل بن سعد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المسترابة من المحيض، كيف تطلّق؟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w:t>
      </w:r>
      <w:r>
        <w:rPr>
          <w:rStyle w:val="FootnoteAnchor"/>
          <w:rtl w:val="true"/>
        </w:rPr>
        <w:footnoteReference w:id="30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 العطّار المنجبر بالعمل،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يستراب بها ومثلها تحمل ومثلها لا تحمل ولا تحيض وقدواقعها زوجها، كيف يطلّقها إذا أراد طلاقها؟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ليمسك عنها ثلاثة أشهر، ثمّ يطلّقها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هل المراد من الصغيرة هي غير البالغة كما هو ظاهر المتن والشرائع</w:t>
      </w:r>
      <w:r>
        <w:rPr>
          <w:rStyle w:val="FootnoteAnchor"/>
          <w:rtl w:val="true"/>
        </w:rPr>
        <w:footnoteReference w:id="308"/>
      </w:r>
      <w:r>
        <w:rPr>
          <w:rFonts w:ascii="IRNazanin" w:hAnsi="IRNazanin" w:eastAsia="IRNazanin"/>
          <w:color w:val="111111"/>
          <w:sz w:val="28"/>
          <w:sz w:val="28"/>
          <w:szCs w:val="28"/>
          <w:rtl w:val="true"/>
          <w:lang w:bidi="fa-IR"/>
        </w:rPr>
        <w:t>والمختصر</w:t>
      </w:r>
      <w:r>
        <w:rPr>
          <w:rStyle w:val="FootnoteAnchor"/>
          <w:rtl w:val="true"/>
        </w:rPr>
        <w:footnoteReference w:id="309"/>
      </w:r>
      <w:r>
        <w:rPr>
          <w:rFonts w:ascii="Amiri" w:hAnsi="Amiri" w:eastAsia="Amiri" w:cs="Amiri"/>
          <w:color w:val="111111"/>
          <w:sz w:val="28"/>
          <w:sz w:val="28"/>
          <w:szCs w:val="28"/>
          <w:rtl w:val="true"/>
          <w:lang w:bidi="ar-SA"/>
        </w:rPr>
        <w:t>بل المذكور في كلام الأصحاب على ما في الحدائق،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المذكور في كلام الأصحاب عدّ الصغيرة في جملة من استثني من الحكم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التي لم تبلغ التسع كما فسّره الشيخ في النهاية؟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وتظهر الثمرة في سنّ البلوغ، فعلى أنّ ذلك بتماميّة الثلاث عشرة لا التسع كما هو المختار يمكن أن تكون الجارية قبل ذلك السنّ إذا لم تكن بالغة بالعلائم الأُخرى، ممّن لم تحض ومثلها لا تحيض بل هو الغالب فيهنّ كما ادّعاه أهل الاطّلاع، فيجوز طلاقها وإن كانت مدخولاً بها؛ لأنّها من المستثنيات ويجوز طلاقها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 قضاءً لظاهر العنوان المأخوذ في أخبار الاستثناء، فإنّ حمل العنوان على عدم البلوغ حمل لللفظ على الإشارة وأنّه ليس بنفسه مقصوداً، بل يكون مقصوداً للغير وعنواناً مشيراً إليه، وهو كما ترى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ويستشهد، بل يستدلّ للثاني ببعض روايات العدد، كرواية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تحض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لها أقلّ من تسع سنين، والتي لم يدخل بها، والتي قد يئست منالحيض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لها خمسون سنة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وروايته الأُخرى الموثّقة،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قد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تكون 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ستّين سنة فقد يئست من المحيض ومثلها لا تحيض، والتي لم تحض ومثلها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يكون 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تبلغ تسع سنين، فإنّها لا تحيض ومثلها لا تحيض، والتي لم يدخل بها</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ولكن في الاستدلال، بل في الاستشهاد بهما إشكال ومناقشة؛ لأنّه إن أراد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واقع خارجي وهو حيضهنّ بعد التسع فهو كما ترى؛ لأنّ أكثر الجاريات في التاسع من العمر لسنّ في سنّ من تحيض، وإن أُريد أنّ الجارية بعد تسع سنين ليست ممّن لا تحيض ادّعاءً فهو خلاف الظاهر ويحتاج إلى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الممكن، بل الظاهر حمل الرواية على أنّ القدر المشترك بين الجواري وما يكون لهنّ جميعاً بالنسبة إلى عدم الحيض هو قبل تسع سنين، فالرواية بحسب المفهوم في بيان ما يمكن بلوغه الحيض بحسب السنّ، بل لا يدلّ المفهوم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عدم الإطلاق للمفهوم، والظاهر أنّ ما ذكرناه هو مراد صاحب 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شرائط المطلّقة ما هذا لفظه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بالصغيرة من نقص سنّها عنتسع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لها تسع سنين فصاعداً ولم تكن حاضت بعد وأراد طلاقها فليصبر عليها ثلاثة أشهر ثمّ يطلّقها بعد ذلك</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وعندي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هذا التخصيص نظر، ولا يبعد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تحض مثلها عادة وإن زاد سنّها عن التسع، وسيجيء في باب العدد ما يزید ذلك وضوحاً</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وما ذكره فيه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وجمعاً من الأصحاب صرّحوا بأنّ المراد بالصغيرة من نقص سنّها عن التسع، ومورد الروايات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لا تحيض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تتناول من زاد سنّها على التسع إذا لم تحض مثلها، وقد وقع التصريح في صحيحة جميل</w:t>
      </w:r>
      <w:r>
        <w:rPr>
          <w:rStyle w:val="FootnoteAnchor"/>
          <w:rtl w:val="true"/>
        </w:rPr>
        <w:footnoteReference w:id="315"/>
      </w:r>
      <w:r>
        <w:rPr>
          <w:rFonts w:ascii="Amiri" w:hAnsi="Amiri" w:eastAsia="Amiri" w:cs="Amiri"/>
          <w:color w:val="111111"/>
          <w:sz w:val="28"/>
          <w:sz w:val="28"/>
          <w:szCs w:val="28"/>
          <w:rtl w:val="true"/>
          <w:lang w:bidi="ar-SA"/>
        </w:rPr>
        <w:t>بعدم وجوب العدّة على من لم تحمل مثلها وإن كان قد دخل بها الزوج، مع أنّ الدخول بمن دون التسع محرّم، وحمله على الدخول المحرّم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بسقوط العدّة عن الصبيّة التي لم تحمل مثلها وإن كانت قد تجاوزت التسع، لم يكن بعيداً من الصواب وإن كان الاحتياط يقتضي المصير إلى ما ذكروه</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ما ذكره صاحب الجواهر</w:t>
      </w:r>
      <w:r>
        <w:rPr>
          <w:rStyle w:val="FootnoteAnchor"/>
          <w:rtl w:val="true"/>
        </w:rPr>
        <w:footnoteReference w:id="317"/>
      </w:r>
      <w:r>
        <w:rPr>
          <w:rFonts w:ascii="Amiri" w:hAnsi="Amiri" w:eastAsia="Amiri" w:cs="Amiri"/>
          <w:color w:val="111111"/>
          <w:sz w:val="28"/>
          <w:sz w:val="28"/>
          <w:szCs w:val="28"/>
          <w:rtl w:val="true"/>
          <w:lang w:bidi="ar-SA"/>
        </w:rPr>
        <w:t>في المحكيّ عنه من أنّ الأولى إرادة الأعمّ منها وهي التي لم تبلغ سنّ المحيض الذي هو التسع، ومن التي لم تحض مثلها عادة؛ سواء كان ينقص سنّها عن التسع أو لم يكن، فتكون أعمّمن الصغيرة والمسترابة؛ وذلك لعدم ذكر للمسترابة في موضع من كلاميه أصلاً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مراد صاحب نهاية المرام أنّ الملاك في المسألة هو سنّ من لا تحيض ولا تحيض كما بيّنّاه، والشاهد عليه أنّه قد ذكر ذلك الكلام ذيل قول الشيخ ولقد أجاد فيما قال، فهو كالنصّ في عدم شموله للمسترابة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الحامل، فهل هي تمام الموضوع كما في المتن، أو المستبين حملها كما هو المحكيّ عن بحر العلوم في المصابيح؟</w:t>
      </w:r>
      <w:r>
        <w:rPr>
          <w:rStyle w:val="FootnoteAnchor"/>
          <w:rtl w:val="true"/>
        </w:rPr>
        <w:footnoteReference w:id="318"/>
      </w:r>
      <w:r>
        <w:rPr>
          <w:rFonts w:ascii="Amiri" w:hAnsi="Amiri" w:eastAsia="Amiri" w:cs="Amiri"/>
          <w:color w:val="111111"/>
          <w:sz w:val="28"/>
          <w:sz w:val="28"/>
          <w:szCs w:val="28"/>
          <w:rtl w:val="true"/>
          <w:lang w:bidi="ar-SA"/>
        </w:rPr>
        <w:t>وجه الأوّل واضح؛ لأنّ المذكور في الروايات هو الحامل والحامل أمر واقعي لا دخل للعلم والجهل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 أمر التبيّن في 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w:t>
      </w:r>
      <w:r>
        <w:rPr>
          <w:rStyle w:val="FootnoteAnchor"/>
          <w:rtl w:val="true"/>
        </w:rPr>
        <w:footnoteReference w:id="319"/>
      </w:r>
      <w:r>
        <w:rPr>
          <w:rFonts w:ascii="IRNazanin" w:hAnsi="IRNazanin" w:eastAsia="IRNazanin"/>
          <w:color w:val="111111"/>
          <w:sz w:val="28"/>
          <w:sz w:val="28"/>
          <w:szCs w:val="28"/>
          <w:rtl w:val="true"/>
          <w:lang w:bidi="fa-IR"/>
        </w:rPr>
        <w:t>عن إسماعيل بن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يطلّقن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المتبيّن حملها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2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Style w:val="FootnoteAnchor"/>
          <w:rtl w:val="true"/>
        </w:rPr>
        <w:footnoteReference w:id="321"/>
      </w:r>
      <w:r>
        <w:rPr>
          <w:rFonts w:ascii="IRNazanin" w:hAnsi="IRNazanin" w:eastAsia="IRNazanin"/>
          <w:color w:val="111111"/>
          <w:sz w:val="28"/>
          <w:sz w:val="28"/>
          <w:szCs w:val="28"/>
          <w:rtl w:val="true"/>
          <w:lang w:bidi="fa-IR"/>
        </w:rPr>
        <w:t>أيضاً عن محمّد بن مسلم وزرارة وغيرهما، عن أبي جعفر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يطلّقهنّ أزواجهنّ متى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 المستبين حملها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الاستبانة فيهما مأخوذة كأمثالها على الطريقيّة لاالموضوعيّة، والسرّ أنّ الطرق المثبتة لمّا كانت آلة لإحراز الواقع ومقصودة لذلك وتكون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الطبع فكلّ ما أُخذ في الدليل وفي موضوع الحكم يحمله العرف لذلك الطبع على الطريقيّ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ومن هذا الوجه أيضاً حمل اليقين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الاستصحاب على الطريقيّة، لا بما ذكره صاحب الكفاية</w:t>
      </w:r>
      <w:r>
        <w:rPr>
          <w:rStyle w:val="FootnoteAnchor"/>
          <w:rtl w:val="true"/>
        </w:rPr>
        <w:footnoteReference w:id="323"/>
      </w:r>
      <w:r>
        <w:rPr>
          <w:rFonts w:ascii="Amiri" w:hAnsi="Amiri" w:eastAsia="Amiri" w:cs="Amiri"/>
          <w:color w:val="111111"/>
          <w:sz w:val="28"/>
          <w:sz w:val="28"/>
          <w:szCs w:val="28"/>
          <w:rtl w:val="true"/>
          <w:lang w:bidi="ar-SA"/>
        </w:rPr>
        <w:t>من فناء اليقين في المتيقّن فناء المرآة في المرئيّ به؛ لمنافاة ذلك مع الأخذ في الحكم والنظر إليه مستقلاً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أنّ قيد التبيّن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توضيحيّاً لا احترازيّاً وهو كما ترى؛ حيث إنّ الأصل في القيد الاحتراز، مدفوعٌ بأنّه يكون للتنبيه على الطلاق المباح، لأنّه مع عدم التبيّن فمقتضى استصحاب عدم الحمل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في المصابيح</w:t>
      </w:r>
      <w:r>
        <w:rPr>
          <w:rStyle w:val="FootnoteAnchor"/>
          <w:rtl w:val="true"/>
        </w:rPr>
        <w:footnoteReference w:id="324"/>
      </w:r>
      <w:r>
        <w:rPr>
          <w:rFonts w:ascii="Amiri" w:hAnsi="Amiri" w:eastAsia="Amiri" w:cs="Amiri"/>
          <w:color w:val="111111"/>
          <w:sz w:val="28"/>
          <w:sz w:val="28"/>
          <w:szCs w:val="28"/>
          <w:rtl w:val="true"/>
          <w:lang w:bidi="ar-SA"/>
        </w:rPr>
        <w:t>على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بالروايتين وأُخرى بأنّ الطلاق حرام في طُهر المواقعة فيجب التبيّن ولا تنافيه الروايات المطلّقة الغير المقيّدة بالتبيّن؛ لأنّها ناظرة إلى إباحة الطلاق وهي منوطة بالتبيّن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الطلاق دون وقوعه، والإباحة مشروطة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فيهما، أمّا الأُولى، فقد ظهر ممّا مرّ،</w:t>
      </w:r>
      <w:r>
        <w:rPr>
          <w:rStyle w:val="FootnoteAnchor"/>
          <w:rtl w:val="true"/>
        </w:rPr>
        <w:footnoteReference w:id="325"/>
      </w:r>
      <w:r>
        <w:rPr>
          <w:rFonts w:ascii="Amiri" w:hAnsi="Amiri" w:eastAsia="Amiri" w:cs="Amiri"/>
          <w:color w:val="111111"/>
          <w:sz w:val="28"/>
          <w:sz w:val="28"/>
          <w:szCs w:val="28"/>
          <w:rtl w:val="true"/>
          <w:lang w:bidi="ar-SA"/>
        </w:rPr>
        <w:t>وأمّا الثانية، فمخالفة للظاهر جدّاً؛ لأنّها إمّا في مقام بيان الحكم الوضعي أو الأعمّ منه ومن التكليفي؛ لأنّ الطلاق من الإيقاعات وهو مقصود بالغير، والظاهر من الحكم المتعلّق به هو الإرشاد إلى الوضع ولا أقلّ من أنّه المتيقّن دون الوضعي ولا فرق بينهما وبين المطلقات،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ذلك النظرجارٍ في المقيّد من الأخبار؛ لاشتراكه مع المطلق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أيضاً ناظرتان إلى مقام بيان الحكم التكليفي</w:t>
      </w:r>
      <w:r>
        <w:rPr>
          <w:rFonts w:eastAsia="Amiri" w:cs="Amiri" w:ascii="Amiri" w:hAnsi="Amiri"/>
          <w:color w:val="111111"/>
          <w:sz w:val="28"/>
          <w:szCs w:val="28"/>
          <w:rtl w:val="true"/>
          <w:lang w:bidi="ar-SA"/>
        </w:rPr>
        <w:t xml:space="preserve">. </w:t>
      </w:r>
      <w:bookmarkStart w:id="234" w:name="pg9375_99359"/>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ترّبص ثلاثة أشهر في المسترابة، أن يكون اعتزاله لأجل أن يطلّقها، فلو لم يتّفق مواقعتها بسبب إلى مضيّها، ثمّ بدا له طلاقها صحّ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واقعها في حال الحيض لم يصحّ طلاقها في الطهر الذي بعد تلك الحيضة، بل لابدّ من إيقاعه في طهر آخر بعد حيض آخر، فما هو الشرط كونها مستبرأة بحيضة بعد المواقعة، لا وقوعه في طهر غير طهر المواقعة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الأدلّة، مع أنّه ليس من العبادات حتّى يحتمل فيه القصد، بل ذلك التربّص يكون اطمئناناً ببراءة الرحم، ومن المعلوم عدم دخالة القصد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الحكم توصلّي لا تعبّدي، كما لا يخفى</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416585_2870459653"/>
      <w:bookmarkStart w:id="236" w:name="_Toc85"/>
      <w:bookmarkEnd w:id="235"/>
      <w:r>
        <w:rPr>
          <w:rtl w:val="true"/>
        </w:rPr>
        <w:t>تعتبر الطهارة من الحيض والنفاس</w:t>
      </w:r>
      <w:bookmarkEnd w:id="2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ليس إلّا وقوعه في طهر غير المواقعة، ففي موثّقة اليسع،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طلاق إلّا على السنّة، ولا طلاق إلّا على طهر من غير جماع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الصحّة في مفروض المسألة؛ لإطلاق دليل الشرط، وليس المفروض مورداً للتعرّض في الأخبار حتّى يقيّد به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فلم نجد التعرّض للمسألة في مثل الجواهر والحدائق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من كشف اللثام</w:t>
      </w:r>
      <w:r>
        <w:rPr>
          <w:rStyle w:val="FootnoteAnchor"/>
          <w:rtl w:val="true"/>
        </w:rPr>
        <w:footnoteReference w:id="327"/>
      </w:r>
      <w:r>
        <w:rPr>
          <w:rFonts w:ascii="Amiri" w:hAnsi="Amiri" w:eastAsia="Amiri" w:cs="Amiri"/>
          <w:color w:val="111111"/>
          <w:sz w:val="28"/>
          <w:sz w:val="28"/>
          <w:szCs w:val="28"/>
          <w:rtl w:val="true"/>
          <w:lang w:bidi="ar-SA"/>
        </w:rPr>
        <w:t>أنّه لو وطِئَها في الحيض ثمّ خرجت منالحيض وصارت طاهرة، فالطلاق في الطهر صحيح؛ لأنّه طهر غير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الشرط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أثر منه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لم نأخذ </w:t>
      </w:r>
      <w:bookmarkStart w:id="237" w:name="pg9375_99360"/>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الطلاق تعيّن المطلّقة؛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يشير إليها بما يرفع الإبهام والإجمال، فلو كانت له زوجة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بخلاف ما إذا كانت له زوجتان أو أكثر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بالإطلاقات فالأصل يقتضي بقاء الحرمة، وما في العبارة من اشتراط كونها مستبرأة بحيضة بعد المواقعة فهو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إمّا إطلاق الأدلّة وإمّا استصحاب بقاء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أمارة على عدم الحمل، وهو مع المواقعة فيه 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نسلّم أنّ الحيض أمارة على ذلك دائماً، فإنّه يتّفق مع الحمل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وثانياً لا نسلّم عدم موجبيّة الحيض للاستبراء إن اتّفق فيه الوقاع، وعلى كلّ حالٍ، فالمسألة مشكلة</w:t>
      </w:r>
      <w:r>
        <w:rPr>
          <w:rFonts w:eastAsia="Amiri" w:cs="Amiri" w:ascii="Amiri" w:hAnsi="Amiri"/>
          <w:color w:val="111111"/>
          <w:sz w:val="28"/>
          <w:szCs w:val="28"/>
          <w:rtl w:val="true"/>
          <w:lang w:bidi="ar-SA"/>
        </w:rPr>
        <w:t>.</w:t>
      </w:r>
      <w:r>
        <w:rPr>
          <w:rStyle w:val="FootnoteAnchor"/>
          <w:rtl w:val="true"/>
        </w:rPr>
        <w:footnoteReference w:id="328"/>
      </w:r>
    </w:p>
    <w:p>
      <w:pPr>
        <w:pStyle w:val="Heading3"/>
        <w:numPr>
          <w:ilvl w:val="2"/>
          <w:numId w:val="1"/>
        </w:numPr>
        <w:rPr/>
      </w:pPr>
      <w:bookmarkStart w:id="238" w:name="__RefHeading___Toc5416587_2870459653"/>
      <w:bookmarkStart w:id="239" w:name="_Toc86"/>
      <w:bookmarkEnd w:id="238"/>
      <w:r>
        <w:rPr>
          <w:rtl w:val="true"/>
        </w:rPr>
        <w:t>تعيين المطلّقة لو کانت أکثر من واحدة</w:t>
      </w:r>
      <w:bookmarkEnd w:id="239"/>
    </w:p>
    <w:p>
      <w:pPr>
        <w:pStyle w:val="Heading4"/>
        <w:numPr>
          <w:ilvl w:val="3"/>
          <w:numId w:val="1"/>
        </w:numPr>
        <w:rPr/>
      </w:pPr>
      <w:bookmarkStart w:id="240" w:name="__RefHeading___Toc5416589_2870459653"/>
      <w:bookmarkStart w:id="241" w:name="_Toc87"/>
      <w:bookmarkEnd w:id="240"/>
      <w:r>
        <w:rPr>
          <w:rtl w:val="true"/>
        </w:rPr>
        <w:t>اشارة</w:t>
      </w:r>
      <w:bookmarkEnd w:id="24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المشهور اشتراط التعيين في المطلّقة مع تعدّد الزوجة لفظاً أو قصداً، وعن الشيخ</w:t>
      </w:r>
      <w:r>
        <w:rPr>
          <w:rStyle w:val="FootnoteAnchor"/>
          <w:rtl w:val="true"/>
        </w:rPr>
        <w:footnoteReference w:id="329"/>
      </w:r>
      <w:r>
        <w:rPr>
          <w:rFonts w:ascii="Amiri" w:hAnsi="Amiri" w:eastAsia="Amiri" w:cs="Amiri"/>
          <w:color w:val="111111"/>
          <w:sz w:val="28"/>
          <w:sz w:val="28"/>
          <w:szCs w:val="28"/>
          <w:rtl w:val="true"/>
          <w:lang w:bidi="ar-SA"/>
        </w:rPr>
        <w:t>والمحقّق</w:t>
      </w:r>
      <w:r>
        <w:rPr>
          <w:rStyle w:val="FootnoteAnchor"/>
          <w:rtl w:val="true"/>
        </w:rPr>
        <w:footnoteReference w:id="330"/>
      </w:r>
      <w:r>
        <w:rPr>
          <w:rFonts w:ascii="Amiri" w:hAnsi="Amiri" w:eastAsia="Amiri" w:cs="Amiri"/>
          <w:color w:val="111111"/>
          <w:sz w:val="28"/>
          <w:sz w:val="28"/>
          <w:szCs w:val="28"/>
          <w:rtl w:val="true"/>
          <w:lang w:bidi="ar-SA"/>
        </w:rPr>
        <w:t>والعلّامة</w:t>
      </w:r>
      <w:r>
        <w:rPr>
          <w:rStyle w:val="FootnoteAnchor"/>
          <w:rtl w:val="true"/>
        </w:rPr>
        <w:footnoteReference w:id="331"/>
      </w:r>
      <w:r>
        <w:rPr>
          <w:rFonts w:ascii="Amiri" w:hAnsi="Amiri" w:eastAsia="Amiri" w:cs="Amiri"/>
          <w:color w:val="111111"/>
          <w:sz w:val="28"/>
          <w:sz w:val="28"/>
          <w:szCs w:val="28"/>
          <w:rtl w:val="true"/>
          <w:lang w:bidi="ar-SA"/>
        </w:rPr>
        <w:t>والشهيد</w:t>
      </w:r>
      <w:r>
        <w:rPr>
          <w:rStyle w:val="FootnoteAnchor"/>
          <w:rtl w:val="true"/>
        </w:rPr>
        <w:footnoteReference w:id="332"/>
      </w:r>
      <w:r>
        <w:rPr>
          <w:rFonts w:ascii="Amiri" w:hAnsi="Amiri" w:eastAsia="Amiri" w:cs="Amiri"/>
          <w:color w:val="111111"/>
          <w:sz w:val="28"/>
          <w:sz w:val="28"/>
          <w:szCs w:val="28"/>
          <w:rtl w:val="true"/>
          <w:lang w:bidi="ar-SA"/>
        </w:rPr>
        <w:t xml:space="preserve">في أحد قوليهمعدم الاشتراط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المنقول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مقتضى الاستصحاب والاحتياط اشتراطه، كما أنّ مقتضى الإطلاق في باب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الاشتراط،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المتعيّنة؛ حيث إنّه المتعارف، 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طلاق غير المعيّن ليس بطلاق عند العقلاء كبقيّة العقود والإيقاعات؛ فما عن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منشأ اختلاف هؤلاء العلماء الأربعة في المسألة بكونهم ذوي قولين هو الاجتهاد والدراية لا الأخبار؛ حيث إنّها إمّا تكون شاهدة أو مؤيّدة للمشهور كما سيظهر ولنكتفي في بيان تلك الوجوه بنقل عبارة الرياض وفيه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تعيين المطلّقة إن تعدّدت الزوجة لفظاً أو نيّة تردّد، ينشأ من أصالة بقاء النكاح فلا يزول إلّا بسبب محقّق السببيّة وأنّ الطلاق أمر معيّن فلابدّ له من محلّ معيّن وحيث لا محلّ فلا طلاق، وأنّ الأحكام من قبيل الأعراض فلابدّ لها من محلّ تقوم به، وأنّ توابع الطلاق من العدّة وغيرها لابدّ لها من محلّ معيّن، ومن أصالة عدم الاشتراط وتعارض بالأُولى، ومن عموم مشروعيّة الطلاق، ومحلّ المبهم جاز أن يكون مبهماً وهما ممنوعان، ومن أنّ إحداهما زوجة وكلّ زوجة يصحّ طلاقها وكليّة الكبرى ممنوعة ولا دليل عليها سوى العموم المدّعى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بعد المنع المتقدّم أنّه ليس بنفسه دليلاً آخر قطعاً فإذن القولالأوّل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الأقوى والأشهر بين أصحابنا المتأخّرين منهم والقدماء كما حكاه بعض الأجلّاء، بل ادّعى عليه في الانتصار</w:t>
      </w:r>
      <w:r>
        <w:rPr>
          <w:rStyle w:val="FootnoteAnchor"/>
          <w:rtl w:val="true"/>
        </w:rPr>
        <w:footnoteReference w:id="333"/>
      </w:r>
      <w:r>
        <w:rPr>
          <w:rFonts w:ascii="Amiri" w:hAnsi="Amiri" w:eastAsia="Amiri" w:cs="Amiri"/>
          <w:color w:val="111111"/>
          <w:sz w:val="28"/>
          <w:sz w:val="28"/>
          <w:szCs w:val="28"/>
          <w:rtl w:val="true"/>
          <w:lang w:bidi="ar-SA"/>
        </w:rPr>
        <w:t>إجماعنا، ويشهد له بعض المعتبرة الآتية في أوّل الركن الرابع وهو الشهادة، خلافاً للمبسوط</w:t>
      </w:r>
      <w:r>
        <w:rPr>
          <w:rStyle w:val="FootnoteAnchor"/>
          <w:rtl w:val="true"/>
        </w:rPr>
        <w:footnoteReference w:id="334"/>
      </w:r>
      <w:r>
        <w:rPr>
          <w:rFonts w:ascii="Amiri" w:hAnsi="Amiri" w:eastAsia="Amiri" w:cs="Amiri"/>
          <w:color w:val="111111"/>
          <w:sz w:val="28"/>
          <w:sz w:val="28"/>
          <w:szCs w:val="28"/>
          <w:rtl w:val="true"/>
          <w:lang w:bidi="ar-SA"/>
        </w:rPr>
        <w:t>والفاضلين</w:t>
      </w:r>
      <w:r>
        <w:rPr>
          <w:rStyle w:val="FootnoteAnchor"/>
          <w:rtl w:val="true"/>
        </w:rPr>
        <w:footnoteReference w:id="335"/>
      </w:r>
      <w:r>
        <w:rPr>
          <w:rFonts w:ascii="Amiri" w:hAnsi="Amiri" w:eastAsia="Amiri" w:cs="Amiri"/>
          <w:color w:val="111111"/>
          <w:sz w:val="28"/>
          <w:sz w:val="28"/>
          <w:szCs w:val="28"/>
          <w:rtl w:val="true"/>
          <w:lang w:bidi="ar-SA"/>
        </w:rPr>
        <w:t>والشهيد</w:t>
      </w:r>
      <w:r>
        <w:rPr>
          <w:rStyle w:val="FootnoteAnchor"/>
          <w:rtl w:val="true"/>
        </w:rPr>
        <w:footnoteReference w:id="336"/>
      </w:r>
      <w:r>
        <w:rPr>
          <w:rFonts w:ascii="Amiri" w:hAnsi="Amiri" w:eastAsia="Amiri" w:cs="Amiri"/>
          <w:color w:val="111111"/>
          <w:sz w:val="28"/>
          <w:sz w:val="28"/>
          <w:szCs w:val="28"/>
          <w:rtl w:val="true"/>
          <w:lang w:bidi="ar-SA"/>
        </w:rPr>
        <w:t>في أحد قوليهم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وأمّا ما اتّخذه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المعتبرة شاهداً فهو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أنّه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أو بائنة أو بتّة أو بريّة أو خليّة؟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كلّه ليس بشيء، إنّما الطلاق أن يقول لها في قبل العدّة بعد ما تطهر من محيضها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اعتدّي، يريد بذلك الطلاق، ويشهد على ذلك رجلين عدلين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ففي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واعتدّي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بها في إجراء الصيغة لشهادة على لزوم التعيين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أحمد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الحسنصاحب العسكر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تزوّجت أربع نسوة ولم أسأل عن أسمائهنّ، ثمّ إنّي أردت طلاق إحداهنّ وتزويج امرأة أُخرى،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إلى علامة إن كانت بواحدة منهنّ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 فلانة التي بها علامة كذا وكذا هي طالق، ثمّ تزوّج </w:t>
      </w:r>
    </w:p>
    <w:p>
      <w:pPr>
        <w:pStyle w:val="BookText"/>
        <w:rPr/>
      </w:pPr>
      <w:r>
        <w:rPr>
          <w:rFonts w:ascii="Amiri" w:hAnsi="Amiri" w:eastAsia="Amiri" w:cs="Amiri"/>
          <w:color w:val="111111"/>
          <w:sz w:val="28"/>
          <w:sz w:val="28"/>
          <w:szCs w:val="28"/>
          <w:rtl w:val="true"/>
          <w:lang w:bidi="ar-SA"/>
        </w:rPr>
        <w:t>إلّا إذا نوى في نفسه معيّنة، فهل يقبل تفسيره بمعيّنة من غير يمين؟ فيه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 إذا انقضت العدّة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فإنّ في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العلامة لشهادة على اعتبار التعيين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عدم شهادتهما للمطلوب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فيهما تأييد له، فإنّ الأولى مع أنّها ليست في مقام بيان شرطيّة التعيين أصلاً، بل في مقام بيان عدم الصيغة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بريّة وخليّة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كونها بما عيّنه من الصيغتين، واردة مورد الغالب، وأمّا الثاني، فلعلّ الأمر بالنظر، بل الظاهر أنّه لدفع المشقّة الناشئة من قبل عدم التعيين، فإنّ في تعيينها بعد الطلاق بالقرعة أو بالاختيار مشقّة كما لا يخفى، وهذه المشقّة وإن لم تكن كثيرة لكنّ الاعتماد على الرفع بعد الطلاق مع إمكان الدفع من أوّل الأمر أمرٌ غير مطلوب،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التسهيل والدفع وحلّ العقدة بالطريق الأسهل لا بيان الشرطيّة،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على القول بالصحّة، ففي التعيين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الاختيار بيده ابتداءً فكذا 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الأوّل بأنّ القرعة تكون في مورد له واقع معيّن وهذا بخلاف المورد؛ لأنّه ليس له واقع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نقل باختصاصهابمورد ليس له واقع معيّن فلا أقلّ من شمولها له؛ لأنّ مورد القرعة في الكتاب وعند العقلاء هو باب تزاحم الحقوق الذي ليس له واقع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التعيين هو بالقرعة؛ لأنّها لكلّ أمر مشكل، والاستدلال للثاني بالاختيار أشبه شيء بالمصادرة كما هو ظاهر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التأمّل لا يعبأ به؛ لأنّ نيّته لا تعلم إلّا من قبله وهو يطالب بنيّته، </w:t>
      </w:r>
      <w:bookmarkStart w:id="242" w:name="pg9375_99364"/>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وجهه هو كون المقام مقام حقوق الغير فهو معرض لتضييع الحقّ والزوج محلّ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هنا بيد الزوج</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5416591_2870459653"/>
      <w:bookmarkStart w:id="244" w:name="_Toc88"/>
      <w:bookmarkEnd w:id="243"/>
      <w:r>
        <w:rPr>
          <w:rtl w:val="true"/>
        </w:rPr>
        <w:t>فروعٌ</w:t>
      </w:r>
      <w:r>
        <w:rPr>
          <w:rtl w:val="true"/>
        </w:rPr>
        <w:t xml:space="preserve">: </w:t>
      </w:r>
      <w:r>
        <w:rPr>
          <w:rtl w:val="true"/>
        </w:rPr>
        <w:t>في تعیین المطلّقة</w:t>
      </w:r>
      <w:bookmarkEnd w:id="244"/>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فروعٌ على القول بالصحّة مع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غير معيّنة حرمتا عليه جميعاً حتّى يعيّن ويطالب به وينفق حتّى تعيّن، ولا فرق بين البائن والرجعي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الجميع؛ أي حرمت عليه كلّ واحد منهما كما احتمله كشف اللثام</w:t>
      </w:r>
      <w:r>
        <w:rPr>
          <w:rStyle w:val="FootnoteAnchor"/>
          <w:rtl w:val="true"/>
        </w:rPr>
        <w:footnoteReference w:id="341"/>
      </w:r>
      <w:r>
        <w:rPr>
          <w:rFonts w:ascii="Amiri" w:hAnsi="Amiri" w:eastAsia="Amiri" w:cs="Amiri"/>
          <w:color w:val="111111"/>
          <w:sz w:val="28"/>
          <w:sz w:val="28"/>
          <w:szCs w:val="28"/>
          <w:rtl w:val="true"/>
          <w:lang w:bidi="ar-SA"/>
        </w:rPr>
        <w:t xml:space="preserve">فالحرمة ظاهريّة إن كان التعيين كاشفاً وبياناً للموقع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لكونها من جهة الاحتياط والعلم بالموافقة، فإنّ المخالفة الاحتماليّة 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جائزة، وأمّا إن قلنا إنّ بالتعيين يتمّ الطلاق فلا حرمة قبله أصلاً، كما لا نقول في البيع الفضولي قبل الإجازة على كونها ناقلة، وغاية الأمر كون الإبهام التزاماً في الذمّة بالطلاق ويخرج عنها بالتعيين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فحكم القواعد بحرمتهما في غير محلّه؛ لعدم الحرمة لواحد منهما فضلاً عن كليهما كما هو واضح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أنّ الجمع بينهما حرام كحرمة الجمع بين الأُختين إلّاأنّها في العقد وهذه في الوطي فبعد وطي إحداهما يكون وطي الأُخرى محرّماً عليه،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اعتبرنا التعيين كاشفاً فكلّ واحد منهما حرام هذه وتلك وإن انفردت عن الأُخرى احتياطاً لما مرّ قبل ذلك، وإن قلنا إنّ بالتعيين يتحقّق الطلاق فليستا بحرام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الاحتمالات في عبارة القواعد أربعة، حاصلة من ضرب الاحتمالين في الجمع في الاحتمالين من حيث المعنى، والصحيح منها واحد وهو حمل الجمع على الجميع مع القول بالكاشفيّة والبقيّة باطلة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المطالبة بالتعيين، فهو تمام على أنّ التعيين كاشف؛ لاستلزام عدمه حرمة الاستمتاع لهما وتضييع حقّ غير المطلّقة بحسب الواقع، وأمّا على كونه جزءً آخراً للطلاق، فلا حقّ لهما، فكيف المطالبة؟ لأنّهما زوجتاه وحقوقهما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الإنفاق عليهما، فعلى مبنى المتمّميّة فواضح وعلى الكاشفيّة فكذلك على كونها حكميّة، وأمّا على الحقيقيّة فلكونه السبب والمقدّم لعدم التعيين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الفرق بين البائن والرجعي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طلّقتها، تعينت للطلاق،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لم أُطلّقها، تعيّنت الأُخرى إن كانت واحدة وإلّا عيّن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 التعيين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طلّقت هذه 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الأُولى دون الثانية؛ لأنّ الأُولى إذا تعيّن الطلاق فيها لم يبق ما يقع على الثانية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التعيين تعيين اختيار، فلا يفتقر إلى القرعة، بل له أن يعيّن من شاء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ولَنكتفي في بيان هذا الفرع وتالييه بعبارة كشف اللثام،</w:t>
      </w:r>
      <w:r>
        <w:rPr>
          <w:rStyle w:val="FootnoteAnchor"/>
          <w:rtl w:val="true"/>
        </w:rPr>
        <w:footnoteReference w:id="342"/>
      </w:r>
      <w:r>
        <w:rPr>
          <w:rFonts w:ascii="Amiri" w:hAnsi="Amiri" w:eastAsia="Amiri" w:cs="Amiri"/>
          <w:color w:val="111111"/>
          <w:sz w:val="28"/>
          <w:sz w:val="28"/>
          <w:szCs w:val="28"/>
          <w:rtl w:val="true"/>
          <w:lang w:bidi="ar-SA"/>
        </w:rPr>
        <w:t>وذلك لبطلان المبنى من رأس وهو صحّة طلاق المبهمة، فلا حاجة إلى زيادة البسط، وعبارته كافية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مزجيّاً بالمتن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التعيين تعيين شهوة واختيار لا تعيين إخبار عن معنى في نفس الأمر لا يجوز تعدّيه، فلا يفتقر إلى القرعة كما في الشرائع</w:t>
      </w:r>
      <w:r>
        <w:rPr>
          <w:rStyle w:val="FootnoteAnchor"/>
          <w:rtl w:val="true"/>
        </w:rPr>
        <w:footnoteReference w:id="343"/>
      </w:r>
      <w:r>
        <w:rPr>
          <w:rFonts w:ascii="Amiri" w:hAnsi="Amiri" w:eastAsia="Amiri" w:cs="Amiri"/>
          <w:color w:val="111111"/>
          <w:sz w:val="28"/>
          <w:sz w:val="28"/>
          <w:szCs w:val="28"/>
          <w:rtl w:val="true"/>
          <w:lang w:bidi="ar-SA"/>
        </w:rPr>
        <w:t>استناداً إلى الإشكال عنده كما عند غيره بل له أن يعيّن من شاء فإنّ الغرض إيقاع الطلاق على إحداهما من غير تعيين لفظاً ولا نيّة والقرعة لما تعيّن في نفسه فأشتبه علينا لكن لو أقرع فاختار من خرجت باسمها لم يكن به بأس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يقع الطلاق بالمعيّنة من حين الإيقاع للطلاق أو من حين التعيين؟ الأقرب الثاني؛ استصحاباً للنكاح واحتياطاً للعدّة، ولأنّها لو طلّقت بالإيقاع فإمّا أن يقع الطلاق حينئذٍ على الكلّ أو على واحدة معيّنة، وفسادهما ظاهر؛ لكونهما خلاف مقتضى اللفظ والنيّة، أو على واحدة مبهمة وهو أيضاً باطل؛ لأنّ الطلاق معيّن لا يحلّ إلّا في معيّن، ولأنّ المطلّقة موجودة في الخارج ولا وجود للمبهم، ويرد النقض بكلّ واجب مخيّر ومنع تعيّن الطلاق إذا لم يتعيّن المحلّ، وأنّ المطلّقة ذاتها موجودة مع تعلّق الطلاق المبهم بها، وخيرة المبسوط الوقوع من حين الإيقاعلأنّه أوقع صيغة منجّزة مجزوماً بها فيقع بها الطلاق وإن كان مبهماً والتعيين ليس من صيغة الطلاق في شيء كما أنّ من أسلم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أكثر من أربع يزول بالإسلام نكاحه عن الزائدة المبهمة ولا يتعيّن إلّا بالتعيين والتعيين كاشف عمّن زال نكاحها لا مزيل وهو عندي أقرب، وعلى الأوّل فيجب عليها العدّة من حين التعيين وعلى الثاني من الإيقاع وهو ظاهر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وطلّقها بائناً ثمّ وطئ إحداهما وقلنا يقع الطلاق باللفظ كان تعييناً للأُخرى للطلاق؛ لأنّ الظاهر أنّه إنّما يطأ من يحلّ له فهو كوطي الجارية المبيعة في زمن الخيار فإنّه يكون فسخاً من البائع وإجازة من المشتري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تعييناً؛ لأنّه أعمّ وكما أنّ الطلاق إنّما يقع بالقول فكذا تعيينه، ولأنّه لو كان تعييناً لكان إذا وطئهما طلّقتا وكما أنّ النكاح لا يملك بالفعل لا يتدارك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ملك اليمين فيحصل بالفعل فيتدارك به فلذا كان وطي المبيعة فسخاً أو إجازة، وإن قلنا إنّ الطلاق إنّما يقع بالتعيين لم يؤثّر الوطي شيئاً؛ لأنّ الفعل لا يوقع الطلاق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المبسوط</w:t>
      </w:r>
      <w:r>
        <w:rPr>
          <w:rStyle w:val="FootnoteAnchor"/>
          <w:rtl w:val="true"/>
        </w:rPr>
        <w:footnoteReference w:id="344"/>
      </w:r>
      <w:r>
        <w:rPr>
          <w:rFonts w:ascii="Amiri" w:hAnsi="Amiri" w:eastAsia="Amiri" w:cs="Amiri"/>
          <w:color w:val="111111"/>
          <w:sz w:val="28"/>
          <w:sz w:val="28"/>
          <w:szCs w:val="28"/>
          <w:rtl w:val="true"/>
          <w:lang w:bidi="ar-SA"/>
        </w:rPr>
        <w:t>أنّ من جعل الوطي تعييناً أباح وطي من شاء منهما وإنّما حرّم الجمع بينهما في الوطي ومن لم يجعله تعييناً حرّمهما لأنّهما قبل التعيين متشبّثتان بحرمة الطلاق، والأقرب عند المصنّف مع أنّه لم يجعله تعييناً تحريم وطئهما معاً وإباحة من شاء منهما لما عرفت من أنّ المتشبّثة بحرمة الطلاق إنّما هي في إحداهما مبهمةفكما له إبقاء من شاء منهما على الزوجيّة له وطي من شاء منهما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التعيين على الفور ويعصى بالتأخير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لتخّرج الزوجات من التحيّر، فإنّه مشقّة عليهنّ</w:t>
      </w:r>
      <w:r>
        <w:rPr>
          <w:rFonts w:eastAsia="Amiri" w:cs="Amiri" w:ascii="Amiri" w:hAnsi="Amiri"/>
          <w:color w:val="111111"/>
          <w:sz w:val="28"/>
          <w:szCs w:val="28"/>
          <w:rtl w:val="true"/>
          <w:lang w:bidi="ar-SA"/>
        </w:rPr>
        <w:t xml:space="preserve">. </w:t>
      </w:r>
      <w:bookmarkStart w:id="245" w:name="pg9375_99369"/>
    </w:p>
    <w:p>
      <w:pPr>
        <w:pStyle w:val="Heading2"/>
        <w:numPr>
          <w:ilvl w:val="1"/>
          <w:numId w:val="1"/>
        </w:numPr>
        <w:rPr/>
      </w:pPr>
      <w:bookmarkStart w:id="246" w:name="__RefHeading___Toc5416593_2870459653"/>
      <w:bookmarkStart w:id="247" w:name="_Toc89"/>
      <w:bookmarkEnd w:id="245"/>
      <w:bookmarkEnd w:id="246"/>
      <w:r>
        <w:rPr>
          <w:rtl w:val="true"/>
        </w:rPr>
        <w:t xml:space="preserve">القول في الصيغة </w:t>
      </w:r>
      <w:r>
        <w:rPr>
          <w:rtl w:val="true"/>
        </w:rPr>
        <w:t>(</w:t>
      </w:r>
      <w:r>
        <w:rPr/>
        <w:t>1</w:t>
      </w:r>
      <w:r>
        <w:rPr>
          <w:rtl w:val="true"/>
        </w:rPr>
        <w:t>)</w:t>
      </w:r>
      <w:bookmarkEnd w:id="247"/>
    </w:p>
    <w:p>
      <w:pPr>
        <w:pStyle w:val="Heading3"/>
        <w:numPr>
          <w:ilvl w:val="2"/>
          <w:numId w:val="1"/>
        </w:numPr>
        <w:rPr/>
      </w:pPr>
      <w:bookmarkStart w:id="248" w:name="__RefHeading___Toc5416595_2870459653"/>
      <w:bookmarkStart w:id="249" w:name="_Toc90"/>
      <w:bookmarkEnd w:id="248"/>
      <w:r>
        <w:rPr>
          <w:rtl w:val="true"/>
        </w:rPr>
        <w:t>اشارة</w:t>
      </w:r>
      <w:bookmarkEnd w:id="249"/>
    </w:p>
    <w:p>
      <w:pPr>
        <w:pStyle w:val="Heading3"/>
        <w:numPr>
          <w:ilvl w:val="2"/>
          <w:numId w:val="1"/>
        </w:numPr>
        <w:rPr/>
      </w:pPr>
      <w:bookmarkStart w:id="250" w:name="__RefHeading___Toc5416597_2870459653"/>
      <w:bookmarkStart w:id="251" w:name="_Toc91"/>
      <w:bookmarkEnd w:id="250"/>
      <w:r>
        <w:rPr>
          <w:rtl w:val="true"/>
        </w:rPr>
        <w:t>الأصل في شرطیّة الصیغة</w:t>
      </w:r>
      <w:bookmarkEnd w:id="2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أصل المسألة ينبغي تقرير الأصل فيها؛ لاختلاف الروايات بل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مقتضى الاستصحاب هو الشرطيّة والاقتصار على القدر المتيقّن، كما أنّ مقتضى إطلاق أدلّة الطلاق تحقّقه بكلّ ما يتحقّق الطلاق به من الفعل والكتابة، فضلاً عن القول وإن كان مجازاً بعيداً، كقول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إشربي وكُلي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إشربي غصص الفراق، مريداً به الطلاق،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اختارت نفسها فهي مطلّقة</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في الجواهر في بيان الأصل من أنّ النكاح عصمة كغيره من العصم المستصحبة، والطلاق مشروع لرفعه، فزواله منوط بتحقّق مسمّاهالحاصل بإنشائه بكلّ لفظ دلّ عليه،</w:t>
      </w:r>
      <w:r>
        <w:rPr>
          <w:rStyle w:val="FootnoteAnchor"/>
          <w:rtl w:val="true"/>
        </w:rPr>
        <w:footnoteReference w:id="348"/>
      </w:r>
      <w:r>
        <w:rPr>
          <w:rFonts w:ascii="Amiri" w:hAnsi="Amiri" w:eastAsia="Amiri" w:cs="Amiri"/>
          <w:color w:val="111111"/>
          <w:sz w:val="28"/>
          <w:sz w:val="28"/>
          <w:szCs w:val="28"/>
          <w:rtl w:val="true"/>
          <w:lang w:bidi="ar-SA"/>
        </w:rPr>
        <w:t xml:space="preserve">ناظر إلى الإطلاق وإلّا فمحض كون الطلاق مشروعاً للرفع </w:t>
      </w:r>
      <w:bookmarkStart w:id="252" w:name="pg9375_99370"/>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إلّا بصيغة خاصّة،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شاكلها من الألفاظ الدالّة على تعيين المطلّقة، فلا يقع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الكناية،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إلحقي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فلا يقع بها وإن نواه، حتّى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 به الطلاق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موجبٍ لتحقّقه بكلّ الألفاظ؛ لعدم الملازمة بينهما كما هو ظاهر، وتحقّقه كذلك موقوفٌ على إثبات أنّ مطلق الطلاق مشروعٌ للرفع، وليس ذلك إلّا بالتمسّك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w:t>
      </w:r>
      <w:r>
        <w:rPr>
          <w:rFonts w:ascii="IRNazanin" w:hAnsi="IRNazanin" w:eastAsia="IRNazanin"/>
          <w:color w:val="111111"/>
          <w:sz w:val="28"/>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حيث إنّ الموضوع هو طلاق الناس، وإلّا فأصل المشروعيّة لا يقتضي أزيد من تحقّقه بالإنشاء في الجملة، فلعلّه اعتبر الشارع في مشروعيّته شرائط خاصّة، فالمشروعيّة في الجملة موجبة لتحقّقه في الجملة، والمشروعيّة على الإطلاق موجبة لتحقّقه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فافهمه واغتنمه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 أنّ الإطلاق اللفظي في الآية موجودٌ، فلا يصل الدور إلى الاستصحاب والأصل العملي، بل مقتضى الأصل اللفظي الموجب للسعة هو المحكّم ما لم يدلّ على خلافه الدليل</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416599_2870459653"/>
      <w:bookmarkStart w:id="254" w:name="_Toc92"/>
      <w:bookmarkEnd w:id="253"/>
      <w:r>
        <w:rPr>
          <w:rtl w:val="true"/>
        </w:rPr>
        <w:t>الشروط في صیغة الطلاق</w:t>
      </w:r>
      <w:bookmarkEnd w:id="25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 القواعد</w:t>
      </w:r>
      <w:r>
        <w:rPr>
          <w:rStyle w:val="FootnoteAnchor"/>
          <w:rtl w:val="true"/>
        </w:rPr>
        <w:footnoteReference w:id="350"/>
      </w:r>
      <w:r>
        <w:rPr>
          <w:rFonts w:ascii="Amiri" w:hAnsi="Amiri" w:eastAsia="Amiri" w:cs="Amiri"/>
          <w:color w:val="111111"/>
          <w:sz w:val="28"/>
          <w:sz w:val="28"/>
          <w:szCs w:val="28"/>
          <w:rtl w:val="true"/>
          <w:lang w:bidi="ar-SA"/>
        </w:rPr>
        <w:t>في الصيغة شروطاً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 والتنجيز، وعدم تعقّبها بما يبطلها، والوقوع على المحلّ، وقصد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الأوّل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w:t>
      </w:r>
      <w:bookmarkStart w:id="255" w:name="pg9375_99371"/>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المتن أنسب؛ لأنّه لا صراحة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احتمالي الإخبار والإنشاء واحتمال الطلاق عن الإطاعة أو الخروج من البيت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إثبات ما في المتن من انحصار الصيغة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إثبات خصوصيّة المادّة والهيئة والتلفّظ والعربيّة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5416601_2870459653"/>
      <w:bookmarkStart w:id="257" w:name="_Toc93"/>
      <w:bookmarkEnd w:id="256"/>
      <w:r>
        <w:rPr>
          <w:rtl w:val="true"/>
        </w:rPr>
        <w:t>مادّة صيغة الطلاق وهيئتها</w:t>
      </w:r>
      <w:bookmarkEnd w:id="257"/>
    </w:p>
    <w:p>
      <w:pPr>
        <w:pStyle w:val="BookText"/>
        <w:rPr/>
      </w:pPr>
      <w:r>
        <w:rPr>
          <w:rFonts w:ascii="Amiri" w:hAnsi="Amiri" w:eastAsia="Amiri" w:cs="Amiri"/>
          <w:color w:val="111111"/>
          <w:sz w:val="28"/>
          <w:sz w:val="28"/>
          <w:szCs w:val="28"/>
          <w:rtl w:val="true"/>
          <w:lang w:bidi="ar-SA"/>
        </w:rPr>
        <w:t>فالبحث في جهات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المادّة المعتبرة هل هي مادّة الطلاق بخصوصها فلا يفيد غيرها، أو مطلق ما يدلّ على ذلك المفهوم ولو مجازاً، كمادّة الخليّة والبريّة واستبراء الرحم، فيكفي في الطلاق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 أو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استبرئي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 تلك المادّة الخاصّة، فهل المعتبر فيها هو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حتّى مجرّداً عن الألف واللام أيضاً، أو الاعتبار بمطلق الهيئة من المضارع والماضي، فضلاً عن اسم الفاعل المحلّى بهما؟</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هو اللفظ أو يكفي الكتابة والإشارة؟</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العربيّة، أو أنّه لا خصوصيّة لها، بل الاعتبار بالدلالة اللفظيّة على حقيقة الطلاق بأيّ لغة من اللغات؟</w:t>
      </w:r>
    </w:p>
    <w:p>
      <w:pPr>
        <w:pStyle w:val="BookText"/>
        <w:rPr/>
      </w:pPr>
      <w:r>
        <w:rPr>
          <w:rFonts w:ascii="Amiri" w:hAnsi="Amiri" w:eastAsia="Amiri" w:cs="Amiri"/>
          <w:color w:val="111111"/>
          <w:sz w:val="28"/>
          <w:sz w:val="28"/>
          <w:szCs w:val="28"/>
          <w:rtl w:val="true"/>
          <w:lang w:bidi="ar-SA"/>
        </w:rPr>
        <w:t xml:space="preserve">والحاصل، أنّ القول بعدم كفاية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 لاعتبار المادّة والهيئة الخاصّة واشتراط اللفظ والعربيّة، وعلى القائل إثبات هذه الأُمور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الأُوليين 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كما روى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ويشهد شاهدي عَدل، وكلّ ما سوى ذلك فهي ملغى</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أنّه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أو بائنة أو بتّة أو بريّة أو خليّة،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كلّه ليس بشيء، إنّما الطلاق أن يقول لها في قبل العدّة بعد ما تطهر من محيضها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اعتدّي، يريد بذلك الطلاق، ويشهد على ذلك رجلين عدلين</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وكذا 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أو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وأظهرها وهي العمدة، الأُولى منها؛ لما فيها من الانحصار،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 سوى ذلك فهي ملغى</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والإيراد على الأخيرتين بالدلالة على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تمام؛ لأنّهما مع تلك الدلالة تكون دلالتهما على عدم كفاية غيرهما تامّة، كما لا يخفى،مضافاً إلى احتمال حملها على التقيّة كما يأتي؛ فإنّهم لا يعتبرون صيغة خاصّة فيه، بل لا يعتبرون النيّة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حمله على طلاق المرأة الغائبة والإخبار بطلاقها، ويشهد له بعض الروايات، كخبر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يرسل إليها، فيقول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فإنّ فلاناً قد فارقك؛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أنّه لا تكون فرقة إلّا بطلاق</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هذا، وقد ذهب الشيخ في المبسوط</w:t>
      </w:r>
      <w:r>
        <w:rPr>
          <w:rStyle w:val="FootnoteAnchor"/>
          <w:rtl w:val="true"/>
        </w:rPr>
        <w:footnoteReference w:id="356"/>
      </w:r>
      <w:r>
        <w:rPr>
          <w:rFonts w:ascii="Amiri" w:hAnsi="Amiri" w:eastAsia="Amiri" w:cs="Amiri"/>
          <w:color w:val="111111"/>
          <w:sz w:val="28"/>
          <w:sz w:val="28"/>
          <w:szCs w:val="28"/>
          <w:rtl w:val="true"/>
          <w:lang w:bidi="ar-SA"/>
        </w:rPr>
        <w:t xml:space="preserve">إلى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نيّة الطلاق،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الشهيد بأنّه على هذا يصحّ في سائر الصيغ أيضاً؛ لعدم الفرق بينها وبين البقيّة،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إخبار لا إنشاء؛ لأنّ نقل الإخبار إلى الإنشاء على خلاف الأصل، فيقتصر فيه على محلّ النصّ أو الوفاق، وهما منتفيان 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في هذه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بها الطلاق مع النيّة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وهو اعتراف بكونها كناية؛ لأنّ الصريح لا يتوقّف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القول في غيرها من الكنايات أو فيما أدّى معناها،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مع التعبير بالمصادر؛ لأنّها أبلغ وإن كانت مجازاً، لأنّهم يعدلون باللفظ إليه إذا أرادوا المبالغة،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أبلغ من عادل ونحوه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المصنّف بأنّه بعيدٌ عن شبه الإنشاء؛ لأنّه إخبار بوقوع الطلاق فيما مضى كما ذكرناه، والإخبار غير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وفيهنظر؛ لأنّ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تكرّر منه فيما سبق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يجعلون اللفظ الماضي أنسب بالإنشاء، بل قد جعله في النكاح صريحاً في الإنشاء، مع أنّه خبر بوقوع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فيما مضى، فما الذي عدا فيما بدا؟</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نقل الإخبار إلى الإنشاء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لكن يطالبون بالفارق بين المقامين والموجب لجعله منقولاً في تلك المواضع دون هذه، فإن جعلوه النصّ فهو ممنوع، بل ورد في الطلاق ما هو 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جعلوه الإجماع فالخلاف في المقامين موجودٌ في صيغ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تخصيص الشيخ الجواز ببعض الكنايات دون بعض، أيضاً ليس بالوجه؛ إذ لا فرق 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ادّعى وقوعه بها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 التعبير بالمصدر؛ لأنّه وإن شاركهما في كونه كناية إلّا أنّه أبلغ، وقد ذكر بعض العلماء أنّه صريح</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ويرد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ادّعى في الخلاف</w:t>
      </w:r>
      <w:r>
        <w:rPr>
          <w:rStyle w:val="FootnoteAnchor"/>
          <w:rtl w:val="true"/>
        </w:rPr>
        <w:footnoteReference w:id="359"/>
      </w:r>
      <w:r>
        <w:rPr>
          <w:rFonts w:ascii="Amiri" w:hAnsi="Amiri" w:eastAsia="Amiri" w:cs="Amiri"/>
          <w:color w:val="111111"/>
          <w:sz w:val="28"/>
          <w:sz w:val="28"/>
          <w:szCs w:val="28"/>
          <w:rtl w:val="true"/>
          <w:lang w:bidi="ar-SA"/>
        </w:rPr>
        <w:t>الإجماع على عدم الوقوع بها، وكذا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Style w:val="FootnoteAnchor"/>
          <w:rtl w:val="true"/>
        </w:rPr>
        <w:footnoteReference w:id="360"/>
      </w:r>
      <w:r>
        <w:rPr>
          <w:rFonts w:ascii="Amiri" w:hAnsi="Amiri" w:eastAsia="Amiri" w:cs="Amiri"/>
          <w:color w:val="111111"/>
          <w:sz w:val="28"/>
          <w:sz w:val="28"/>
          <w:szCs w:val="28"/>
          <w:rtl w:val="true"/>
          <w:lang w:bidi="ar-SA"/>
        </w:rPr>
        <w:t>لكن في كون إجماعه مثل إجماع الخلاف تأمّل، فراجع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ابن جنيد</w:t>
      </w:r>
      <w:r>
        <w:rPr>
          <w:rStyle w:val="FootnoteAnchor"/>
          <w:rtl w:val="true"/>
        </w:rPr>
        <w:footnoteReference w:id="361"/>
      </w:r>
      <w:r>
        <w:rPr>
          <w:rFonts w:ascii="Amiri" w:hAnsi="Amiri" w:eastAsia="Amiri" w:cs="Amiri"/>
          <w:color w:val="111111"/>
          <w:sz w:val="28"/>
          <w:sz w:val="28"/>
          <w:szCs w:val="28"/>
          <w:rtl w:val="true"/>
          <w:lang w:bidi="ar-SA"/>
        </w:rPr>
        <w:t>ومحمّد بن أبي حمزة،</w:t>
      </w:r>
      <w:r>
        <w:rPr>
          <w:rStyle w:val="FootnoteAnchor"/>
          <w:rtl w:val="true"/>
        </w:rPr>
        <w:footnoteReference w:id="362"/>
      </w:r>
      <w:r>
        <w:rPr>
          <w:rFonts w:ascii="Amiri" w:hAnsi="Amiri" w:eastAsia="Amiri" w:cs="Amiri"/>
          <w:color w:val="111111"/>
          <w:sz w:val="28"/>
          <w:sz w:val="28"/>
          <w:szCs w:val="28"/>
          <w:rtl w:val="true"/>
          <w:lang w:bidi="ar-SA"/>
        </w:rPr>
        <w:t>وقوعه بها؛استناداً إلى روايتي الحلبي</w:t>
      </w:r>
      <w:r>
        <w:rPr>
          <w:rStyle w:val="FootnoteAnchor"/>
          <w:rtl w:val="true"/>
        </w:rPr>
        <w:footnoteReference w:id="363"/>
      </w:r>
      <w:r>
        <w:rPr>
          <w:rFonts w:ascii="IRNazanin" w:hAnsi="IRNazanin" w:eastAsia="IRNazanin"/>
          <w:color w:val="111111"/>
          <w:sz w:val="28"/>
          <w:sz w:val="28"/>
          <w:szCs w:val="28"/>
          <w:rtl w:val="true"/>
          <w:lang w:bidi="fa-IR"/>
        </w:rPr>
        <w:t>وابن مسلم،</w:t>
      </w:r>
      <w:r>
        <w:rPr>
          <w:rStyle w:val="FootnoteAnchor"/>
          <w:rtl w:val="true"/>
        </w:rPr>
        <w:footnoteReference w:id="364"/>
      </w:r>
      <w:r>
        <w:rPr>
          <w:rFonts w:ascii="Amiri" w:hAnsi="Amiri" w:eastAsia="Amiri" w:cs="Amiri"/>
          <w:color w:val="111111"/>
          <w:sz w:val="28"/>
          <w:sz w:val="28"/>
          <w:szCs w:val="28"/>
          <w:rtl w:val="true"/>
          <w:lang w:bidi="ar-SA"/>
        </w:rPr>
        <w:t>بل يستفاد من كلام الشهيد في المسالك</w:t>
      </w:r>
      <w:r>
        <w:rPr>
          <w:rStyle w:val="FootnoteAnchor"/>
          <w:rtl w:val="true"/>
        </w:rPr>
        <w:footnoteReference w:id="365"/>
      </w:r>
      <w:r>
        <w:rPr>
          <w:rFonts w:ascii="IRNazanin" w:hAnsi="IRNazanin" w:eastAsia="IRNazanin"/>
          <w:color w:val="111111"/>
          <w:sz w:val="28"/>
          <w:sz w:val="28"/>
          <w:szCs w:val="28"/>
          <w:rtl w:val="true"/>
          <w:lang w:bidi="fa-IR"/>
        </w:rPr>
        <w:t xml:space="preserve">وقوعه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بكلّ كلمة أوضح دلالة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واستدلّ له بمفهوم الموافقة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هو ما ذهب إليه المشهور، ولا يقع بما قاله ابن جنيد، فضلاً عمّا قال الشهيد بكفايته؛ لإعراض المشهور عنهما، هذا هو العمدة، مضافاً إلى ما مرّ</w:t>
      </w:r>
      <w:r>
        <w:rPr>
          <w:rStyle w:val="FootnoteAnchor"/>
          <w:rtl w:val="true"/>
        </w:rPr>
        <w:footnoteReference w:id="366"/>
      </w:r>
      <w:r>
        <w:rPr>
          <w:rFonts w:ascii="Amiri" w:hAnsi="Amiri" w:eastAsia="Amiri" w:cs="Amiri"/>
          <w:color w:val="111111"/>
          <w:sz w:val="28"/>
          <w:sz w:val="28"/>
          <w:szCs w:val="28"/>
          <w:rtl w:val="true"/>
          <w:lang w:bidi="ar-SA"/>
        </w:rPr>
        <w:t xml:space="preserve">من موافقتهما للعامّة وحملهما على التقيّة، ومن حملهما على الإخبار بالطلاق،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العطف كما ذهب إليه الشيخ،</w:t>
      </w:r>
      <w:r>
        <w:rPr>
          <w:rStyle w:val="FootnoteAnchor"/>
          <w:rtl w:val="true"/>
        </w:rPr>
        <w:footnoteReference w:id="367"/>
      </w:r>
      <w:r>
        <w:rPr>
          <w:rFonts w:ascii="IRNazanin" w:hAnsi="IRNazanin" w:eastAsia="IRNazanin"/>
          <w:color w:val="111111"/>
          <w:sz w:val="28"/>
          <w:sz w:val="28"/>
          <w:szCs w:val="28"/>
          <w:rtl w:val="true"/>
          <w:lang w:bidi="fa-IR"/>
        </w:rPr>
        <w:t>ويشهد له ما في رواية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للعدّة أن يطلّق الرجل امرأته عند كلّ طهر، يرسل إليها أن اعتدّي، فإنّ فلاناً قد طلّقك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أملك برجعتها ما لم تنقض عدّتها</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وكذا ما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إليها فيقول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فإنّ فلاناً قد فارقك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معنى 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فإنّ فلاناً قد فارقك؛ يعني الطلاق، أنّه لا تكون فرقة إلّا بطلاق</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بأس بصرف الكلام فيما قاله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والتعرّض لبعض الإشكالات في كلامه على طوله وبسط مقاله،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القائل بوقوعه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الجنيد؛ استناداً إلى حسنة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أو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وحسنة محمّد بن مسلم السابقة،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كلّه ليس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الطلاق أن يقول لها في قبل العدّة بعد ما تطهر من حيضها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اعتدّي، يريد بذلك الطلاق، ويشهد على ذلك رجلين عدلين</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وروى الشيخ في التهذيب عن عليّ بن الحسن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أجمع عليه في الطلاق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أنّه قال لمحمّد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يشهد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اشهدوا اعتدّي</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وأنت خبيرٌ بأنّ الأصحاب يثبتون الأحكام بما هو أدنى مرتبة من هذه الروايات وأضعف سنداً، فكيف بالحسن الذي ليس في طريقه من هو خارج عن الصحيح سوى إبراهيم بن هاشم، وهو من أجلّ الأصحاب وأكبر الأعيان وحديثه من أحسن مراتب الحسن، ومع ذلك ليس لها معارض في قوّتها حتّى يرجّح عليها بشيء من وجوه المرجّحات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نقل الشيخ عن الحسن بن سماعة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إلّاكما روى ابن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وكلّ ما سوى ذلك فهو ملغى</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هذا الكلام لا يصلح للمعارضة أصلاً؛ لأنّه من قول ابن بكير، وحاله معلوم، والراوي الحسن بن سماعة شيخ الواقفيّة ووجههم، فأين هذا من حديث سنده عليّ بن إبراهيم، عن أبيه، عن ابن أبي عمير، عن حمّاد، عن الحلبي، والثلاثة الأوّل عن عمر بن أُذينة،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عدول الشيخ عن مثل ذلك مع تعلّقه في وقوع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السؤال برواية السكوني، وبوقوعه بغير العربيّة برواية حفص عن أبيه، وهما عامّيان كالسكوني، وتركه هذه الأخبار المعتبرة الأسناد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جمعه بينها وبين كلام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الأخبار على أن يكون قد تقدّم 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قوله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معنى؛ لأنّ لها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شيء أعتدّ؟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لأنّي قد طلّقتك، فالاعتبار بالطلاق لا بهذا القول، إلّا أنّه يكون هذا القول كالكاشف لها عن أنّه لزمها حكم الطلاق وكالموجب عليها ذلك ولو تجرّد ذلك من غير أن يتقدّمه لفظ الطلاق لما كان به اعتبار على ما قاله ابن سماعة</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هذا آخر كلام الشيخ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ما في هذا الجمع والحمل؛ لأنّ مرجعه إلى أنّ الطلاق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يقع إلّا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سبق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الخبرين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معطوفاً عليه، ووقوع الطلاق بكلّ واحد من الصيغتين صريحاً، فكيف يخصّ وقوعه بإحداهما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لأنّه إذا جعل كناية عن الطلاق يكون دالاً على إنشاء الطلاق به، فإذا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أعتدّ؟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غايته أنّها ما فهمت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فسؤالها عنه لا يوجب أن لا يكون له معنى مع جعل الشارع معناه الطلاق ويكون ذلك كسؤالها له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شيء طالق،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 عن وثاق الجلوس في البيت أو وثاق النكاح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فقوله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اعتدّي، يريد بذلك الطلاق</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صريح في أنّه كناية من حيث إنّه قيّد وقوع الطلاق به بإرادة الطلاق ولم يقيّد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لفظ صريح، وهذا شأن الكنايات عند من يوقع بها الطلاق؛ فإنّه يشترط فيه النيّة دون الصريح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حمله على التقيّة؛ حيث إنّه مذهب جميعالعامّة، لأنّ في الخبر ما ينافي ذلك،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يقع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حرام، أو بائن، أو بتّة، أو بتلة وخليّة، فإنّ الطلاق يقع عند المخالف بجميع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مع النيّة، فلا يمكن حمل آخره على التقيّة مع منافاة أوّله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بوقوع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وقوعه بغيره من الكنايات التي هي أوضح معنىً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المسرّحات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المفارقات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الكنايات التي هي أوضح دلالة على الطلاق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الفراق والسراح وما اشتّق منهما ومن الطلاق صريح لا كناية؛ لورودها في القرآن مراداً بها الطلاق،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وَسَرِّحُوهُنَّ سَرَاحاً جَمِيلاً</w:t>
      </w:r>
      <w:r>
        <w:rPr>
          <w:rFonts w:ascii="IRNazanin" w:hAnsi="IRNazanin" w:eastAsia="IRNazanin"/>
          <w:color w:val="111111"/>
          <w:sz w:val="28"/>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أَوْ تَسْرِيحٌ بِإِحْسَانٍ</w:t>
      </w:r>
      <w:r>
        <w:rPr>
          <w:rFonts w:ascii="IRNazanin" w:hAnsi="IRNazanin" w:eastAsia="IRNazanin"/>
          <w:color w:val="111111"/>
          <w:sz w:val="28"/>
          <w:sz w:val="28"/>
          <w:szCs w:val="28"/>
          <w:rtl w:val="true"/>
          <w:lang w:bidi="fa-IR"/>
        </w:rPr>
        <w:t>،</w:t>
      </w:r>
      <w:r>
        <w:rPr>
          <w:rStyle w:val="FootnoteAnchor"/>
          <w:rtl w:val="true"/>
        </w:rPr>
        <w:footnoteReference w:id="377"/>
      </w:r>
      <w:r>
        <w:rPr>
          <w:rFonts w:ascii="Amiri" w:hAnsi="Amiri" w:eastAsia="Amiri" w:cs="Amiri"/>
          <w:color w:val="111111"/>
          <w:sz w:val="28"/>
          <w:sz w:val="28"/>
          <w:szCs w:val="28"/>
          <w:rtl w:val="true"/>
          <w:lang w:bidi="ar-SA"/>
        </w:rPr>
        <w:t>أَوْ فَارِقُوهُنَّ بِمَعْرُوفٍ</w:t>
      </w:r>
      <w:r>
        <w:rPr>
          <w:rFonts w:ascii="IRNazanin" w:hAnsi="IRNazanin" w:eastAsia="IRNazanin"/>
          <w:color w:val="111111"/>
          <w:sz w:val="28"/>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وَإِن يَتَفَرَّقَا يُغْنِ اللهُ كُلاً مِّن سَعَتِهِ</w:t>
      </w:r>
      <w:r>
        <w:rPr>
          <w:rFonts w:ascii="IRNazanin" w:hAnsi="IRNazanin" w:eastAsia="IRNazanin"/>
          <w:color w:val="111111"/>
          <w:sz w:val="28"/>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فوقوع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 الموافقة على وقوعه بجميع هذه الألفاظ وما في معناها، وتبقى الكنايات التي لا تدخل في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إمّا مساوية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لعدمالدليل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 وبريّة وبتّة وبتلة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نكون قد أعملنا جميع الأخبار المعتبرة مؤيّداً بعموم الآيات والأخبار الدالّة على الطلاق من غير تقييد بصيغة، ولا يضرّنا مفهوم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الطلاق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في الصيغتين بطريق المطابقة، وفي غيرها بطريق الالتزام،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حمله على مجرّد التأكيد بقرينة قوله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أن يقول لها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xml:space="preserve">من غير أداة الحصر، ولا يرد على هذا حصر المبتدأ في خبره؛ لأنّ ذلك غير مطّرد كما هو محقّق في محلّه، وقد وقع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الفصيح مجرّداً عن الحصر، وتقدّم مثله في أخبار، ولو قيل بهذا القول لكان في غاية القوّة، وتوهّم أنّه خلاف الإجماع قد تكلّمنا عليه غير مرّة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ونظر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 قول ابن بكير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وقوع السهو في نسبة القول إلى ابنه مع أنّه قول الأب، أنّه قول بكير بن أعين الشيباني الذي عند بلوغ خبر موته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أنزله الله بين رسوله وأميرالمؤمنين</w:t>
      </w:r>
      <w:r>
        <w:rPr>
          <w:rFonts w:eastAsia="IRNazanin" w:cs="IRNazanin"/>
          <w:color w:val="111111"/>
          <w:sz w:val="28"/>
          <w:szCs w:val="28"/>
          <w:rtl w:val="true"/>
          <w:lang w:bidi="fa-IR"/>
        </w:rPr>
        <w:t>.</w:t>
      </w:r>
      <w:r>
        <w:rPr>
          <w:rStyle w:val="FootnoteAnchor"/>
          <w:rtl w:val="true"/>
        </w:rPr>
        <w:footnoteReference w:id="38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ينبغي من مثله في ابنه أيضاً الذي هو من أصحاب الإجماع، وقد روى عنه سبعون من المحدّثين وكثير منهم من الأجلّاء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والثقات الكبار وبعضهم من أصحاب الإجماع، كصفوان وابن أبي عمير وعبدالله بن مسكان وحسن بن محبوب وأحمد بن أبي نصر البزنطي، ومن تلامذته جعفر بن بشير الذي قال فيه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زهّاد أصحابنا وعبّادهم ونسّاكهم، روى عن الثقات ورووا عنه،</w:t>
      </w:r>
      <w:r>
        <w:rPr>
          <w:rStyle w:val="FootnoteAnchor"/>
          <w:rtl w:val="true"/>
        </w:rPr>
        <w:footnoteReference w:id="384"/>
      </w:r>
      <w:r>
        <w:rPr>
          <w:rFonts w:ascii="Amiri" w:hAnsi="Amiri" w:eastAsia="Amiri" w:cs="Amiri"/>
          <w:color w:val="111111"/>
          <w:sz w:val="28"/>
          <w:sz w:val="28"/>
          <w:szCs w:val="28"/>
          <w:rtl w:val="true"/>
          <w:lang w:bidi="ar-SA"/>
        </w:rPr>
        <w:t>فهل ينبغي لمثل الشهيد الثاني الذي هو عين الورع التعبير كذلك فيمن له هذه الجهات الموجبة للعظمة والمعروفيّة والوثاقة، فإنّ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ظاهراً في عدم وثاقته وعدم معروفيّته فلا أقلّ من الإشعار بذلك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أنّه ليس فيه إلّا أنّه فطحي المذهب،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اختصاصه بذلك بل غير واحد من المحدّثين الذين يفتى برواياتهم من الفطحيّة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لاضير في ذلك أصلاً؛ لأنّ روايتهم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قبل الأفطح وهذا غير مضرّ بعد ما كانوا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انتفاء بعض الشرائط مضرّ في بعض الحجج بالنسبة إلى السابق أيضاً، كعروض الجنون أو الفسق أو الخروج من الإيمان إلى الإسلام وغيرها في الفتيا، ففتاواه السابقة ليست بحجّة في زمن العروض وبعده، ولعلّ الدليل عليه الإجماع،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ونظيره فيه وأنّه ممّا لا ينبغي صدوره من مثله ما أتى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هدم الطلاق وإن تكرّر مأة مرّة ورواية ابن بكير فيها، فإنّه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من الأخبار ما تضمّن أنّه قال حين سئل عن هذهالمسألة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رزق الله من الرأي، ولو كان سمع ذلك من زرارة لكان يقول حين سأله الحسين بن هاشم وغيره عن ذلك وأنّه هل عندك في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شيء؟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رواية زرارة،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رواية رفاعة حتّى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رواية رفاعة تتضمّن أنّه إذا كان بينهما زوج، فقال هو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رزق الله تعالى من الرأي، فعَدَل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في رواية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الزوج وغير الزوج سواء عندي، فلمّا ألحّ عليه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رزق الله من الرأي، ومن هذه صورته، فيجوز أن يكون أسند ذلك إلى رواية زرارة؛ نصرة لمذهبه الذي كان أفتى به، وأنّه لمّا أن رأى أنّ أصحابه لا يقبلون ما يقوله برأيه أسنده إلى من رواه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عبدالله بن بكير معصوماً لا يجوز هذا عليه، بل وقع منه من العدول عن اعتقاد مذهب الحقّ إلى اعتقاد مذهب الفطحيّة ما هو معروف من مذهبه، والغلط في ذلك أعظم من إسناد فتيا الغلط فيمن يعتقد صحّته لشبهة إلى بعض أصحاب الأئمّة علیهم السلام</w:t>
      </w:r>
      <w:r>
        <w:rPr>
          <w:rFonts w:eastAsia="IRNazanin" w:cs="IRNazanin"/>
          <w:color w:val="111111"/>
          <w:sz w:val="28"/>
          <w:szCs w:val="28"/>
          <w:rtl w:val="true"/>
          <w:lang w:bidi="fa-IR"/>
        </w:rPr>
        <w:t>.</w:t>
      </w:r>
      <w:r>
        <w:rPr>
          <w:rStyle w:val="FootnoteAnchor"/>
          <w:rtl w:val="true"/>
        </w:rPr>
        <w:footnoteReference w:id="38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كلامه ما لا يخفى؛ حيث إنّ نسبة الافتراء إليه الراجعة إلى افترائين؛ افتراء على مثل زرارة وافتراء على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يعلم ذلك بأدنى الدقّة منافية لتوثيقه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الفهرست</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ولكونهمن أصحاب الإجماع الدالّ على كونه ثقة عند الكلّ وإن لم نقل بما هو المعروف فيهم من اعتبار السند المتّصل إليهم وكفاية اعتبار من كان قبلهم في الحجّيّة وعدم الاحتياج إلى اعتبار من بعدهم؛ حيث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الوثاقة هي القدر المتيقّن أو الظاهر من إجماع العصابة على تصحيح ما يصحّ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الغلط إليه في مسألة الإمامة التي هي من أعظم المسائل فوقوعه في الغلط في مسألة فرعيّة يكون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اختياره مذهب الفطحيّة لم يرتكب الغلط، بل اشتبه الأمر عليه كبعض آخر من الأصحاب، في رعاية كون الإمام أقدم سنّاً وعدم رعاية السالم بدناً؟ فهم كانوا قاصرين معذورين، وأين هذا من ارتكاب الكذب والافتراء عمداً، ولم نجد نظير هذا الكلام في غير كلمات الشيخ من الفقهاء والمحدّثين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الراوي الحسن بن محمّد بن سماعة شيخ الواقفة ووجههم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هذا من حديث سنده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الحسن تامّ وممّا لا كلام فيه، وصرّح به الشيخ والنجاشي وغيرهما،</w:t>
      </w:r>
      <w:r>
        <w:rPr>
          <w:rStyle w:val="FootnoteAnchor"/>
          <w:rtl w:val="true"/>
        </w:rPr>
        <w:footnoteReference w:id="387"/>
      </w:r>
      <w:r>
        <w:rPr>
          <w:rFonts w:ascii="Amiri" w:hAnsi="Amiri" w:eastAsia="Amiri" w:cs="Amiri"/>
          <w:color w:val="111111"/>
          <w:sz w:val="28"/>
          <w:sz w:val="28"/>
          <w:szCs w:val="28"/>
          <w:rtl w:val="true"/>
          <w:lang w:bidi="ar-SA"/>
        </w:rPr>
        <w:t>بل عن النجاشي أنّه كان يعاند في الوقف ويتعصّب، لكنّ النجاشي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الحديث، فقيهٌ، ثقةٌ</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جيّد التصانيف، نقيّ الفقه، حسن الانتقاد، وله ثلاثون كتاباً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ومع هذه الفضائل الدخيلة في حجّيّة الرواية 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ممّا يشعر بعدم قابليّة معارضة روايته من رأس لتلك الأخبار الصحيحة، ممّالا ينبغي صدوره منه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مقام المعارضة فإنّ الترجيح مع تلك الأخبار؛ لما ذكره، بناءً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بمطلق المزيّة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إيراده على الشيخ بأنّ العطف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وقوع الطلاق بكلّ واحدة من الصيغتين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اعتدّي يريد بذلك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صريح في أنّه كناية من حيث أنّه قيّد وقوع الطلاق به بإرادة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العطف ليست صراحة في وقوع الطلاق، بحيث يكون غير قابل للحمل، بل له ظهور في وقوعه بها، فإنّ المقابلة الظاهرة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صريحة في أصل الاختلاف والمقابلة بين المعطوف والمعطوف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الاختلاف في نوعي صيغة الطلاق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الاختلاف في نوع آخر وجهة أُخرى فلا صراحة لها فيه، فمن الممكن حملها على نوعين من الطلاق وهما الحاضر والغائب،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طلاق الحاضر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طلاق الغائب هو إخبار بوقوع الطلاق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يرجعان إلى نوعين من الطلاق، بل في الأخبار لشهادة على هذا الاحتمال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للعدّة أن يطلّق الرجل امرأته عند كلّ طهر، يرسل إليها أن اعتدّي، فإنّ فلاناً قدطلّقك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أملك برجعتها ما لم تنقض عدّتها</w:t>
      </w:r>
      <w:r>
        <w:rPr>
          <w:rFonts w:eastAsia="IRNazanin" w:cs="IRNazanin"/>
          <w:color w:val="111111"/>
          <w:sz w:val="28"/>
          <w:szCs w:val="28"/>
          <w:rtl w:val="true"/>
          <w:lang w:bidi="fa-IR"/>
        </w:rPr>
        <w:t>».</w:t>
      </w:r>
      <w:r>
        <w:rPr>
          <w:rStyle w:val="FootnoteAnchor"/>
          <w:rtl w:val="true"/>
        </w:rPr>
        <w:footnoteReference w:id="39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ما عن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يرسل إليها فيقول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فإنّ فلاناً قد فارقك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معنى قول الرسول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اعتدّي، فإنّ فلاناً قد فارقك؛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أنّه لا تكون فرقة إلّا بطلاق</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هذا، مع أنّ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العطف هنا بمعنى الواو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المراد من الطلاق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من الزوجيّة لا الطلاق بمعنى آخر، كالطلاق من البيت لزيارة 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المعطوف عليه والمعطوف أمر واحد وأنّ صيغة الطلاق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قضاءً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أخيراً في كون المشار إليه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كونه إشارة إلى الطلاق، خلافاً للعامّة؛ حيث ذهبوا إلى عدم اعتبار القصد في لفظ الصريح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وفى غير واحد من الروايات أنّ اشتراط النيّة في الطلاق هو في مقابلهم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توجيهه عدم إمكان الحمل على التقيّة، بكون التقيّة في الآخر منافٍ لعدمها في أوّل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التقيّة يمكن أن تحصل في آخر الحديث أو وسطه وعندوصول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كما يمكن أن تقع في أوّله، فإنّها دائرة مدار الخوف ومدار حضورهم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من عنادهم للتشيّع والذي يكون ممّن قلّ نظيره في التفريع والتحقيق والإحاطة بالمسائل الاجتماعيّة كيف أورد هذا </w:t>
      </w:r>
      <w:bookmarkStart w:id="258" w:name="pg9375_99386"/>
    </w:p>
    <w:p>
      <w:pPr>
        <w:pStyle w:val="BookText"/>
        <w:rPr/>
      </w:pPr>
      <w:bookmarkEnd w:id="2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الجواسيس والمكرّمين من شرّهم ليس لهم وقت معيّن لحضورهم، فإنّه ينافي عملهم في الحصول على المعلومات والإتيان بالوظيفة المقرّرة لهم من قبل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بالتعميم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الموافقة هو في مورد يلتفت العرف إليه بلا 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مفهوم الموافقة بالأولويّة القطعيّة، وليس الأمر هنا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لزومه صحّة الطلاق بما هو أصرح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بالموافقة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أخيراً في منع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الإجماع هو اتّفاق الكلّ إلّا أن تقوم قرينة على خلافه، وما ترى في بعض الإجماعات من خلافه من مدّعى الإجماع نفسه فإنّه قرينة صارفة، فهو إجماع حدسي لا نقلي، كيف، وقد ذكر في الانتصار</w:t>
      </w:r>
      <w:r>
        <w:rPr>
          <w:rStyle w:val="FootnoteAnchor"/>
          <w:rtl w:val="true"/>
        </w:rPr>
        <w:footnoteReference w:id="394"/>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الشيخ في الخلاف،</w:t>
      </w:r>
      <w:r>
        <w:rPr>
          <w:rStyle w:val="FootnoteAnchor"/>
          <w:rtl w:val="true"/>
        </w:rPr>
        <w:footnoteReference w:id="395"/>
      </w:r>
      <w:r>
        <w:rPr>
          <w:rFonts w:ascii="Amiri" w:hAnsi="Amiri" w:eastAsia="Amiri" w:cs="Amiri"/>
          <w:color w:val="111111"/>
          <w:sz w:val="28"/>
          <w:sz w:val="28"/>
          <w:szCs w:val="28"/>
          <w:rtl w:val="true"/>
          <w:lang w:bidi="ar-SA"/>
        </w:rPr>
        <w:t>مع أنّهما ادّعيا الإجماع على عدم الوقوع به</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416603_2870459653"/>
      <w:bookmarkStart w:id="260" w:name="_Toc94"/>
      <w:bookmarkEnd w:id="259"/>
      <w:r>
        <w:rPr>
          <w:rtl w:val="true"/>
        </w:rPr>
        <w:t>فرعٌ</w:t>
      </w:r>
      <w:r>
        <w:rPr>
          <w:rtl w:val="true"/>
        </w:rPr>
        <w:t xml:space="preserve">: </w:t>
      </w:r>
      <w:r>
        <w:rPr>
          <w:rtl w:val="true"/>
        </w:rPr>
        <w:t>في وقوع الطلاق بقوله</w:t>
      </w:r>
      <w:r>
        <w:rPr>
          <w:rtl w:val="true"/>
        </w:rPr>
        <w:t>: «</w:t>
      </w:r>
      <w:r>
        <w:rPr>
          <w:rtl w:val="true"/>
        </w:rPr>
        <w:t>نعم</w:t>
      </w:r>
      <w:r>
        <w:rPr>
          <w:rtl w:val="true"/>
        </w:rPr>
        <w:t xml:space="preserve">» </w:t>
      </w:r>
      <w:r>
        <w:rPr>
          <w:rtl w:val="true"/>
        </w:rPr>
        <w:t>وعدمه</w:t>
      </w:r>
      <w:bookmarkEnd w:id="2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الشيخ</w:t>
      </w:r>
      <w:r>
        <w:rPr>
          <w:rStyle w:val="FootnoteAnchor"/>
          <w:rtl w:val="true"/>
        </w:rPr>
        <w:footnoteReference w:id="396"/>
      </w:r>
      <w:r>
        <w:rPr>
          <w:rFonts w:ascii="Amiri" w:hAnsi="Amiri" w:eastAsia="Amiri" w:cs="Amiri"/>
          <w:color w:val="111111"/>
          <w:sz w:val="28"/>
          <w:sz w:val="28"/>
          <w:szCs w:val="28"/>
          <w:rtl w:val="true"/>
          <w:lang w:bidi="ar-SA"/>
        </w:rPr>
        <w:t>وجماعة</w:t>
      </w:r>
      <w:r>
        <w:rPr>
          <w:rStyle w:val="FootnoteAnchor"/>
          <w:rtl w:val="true"/>
        </w:rPr>
        <w:footnoteReference w:id="397"/>
      </w:r>
      <w:r>
        <w:rPr>
          <w:rFonts w:ascii="Amiri" w:hAnsi="Amiri" w:eastAsia="Amiri" w:cs="Amiri"/>
          <w:color w:val="111111"/>
          <w:sz w:val="28"/>
          <w:sz w:val="28"/>
          <w:szCs w:val="28"/>
          <w:rtl w:val="true"/>
          <w:lang w:bidi="ar-SA"/>
        </w:rPr>
        <w:t>وقوع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مختار المحقّق</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وعن بعض آخر عدمه،</w:t>
      </w:r>
      <w:r>
        <w:rPr>
          <w:rStyle w:val="FootnoteAnchor"/>
          <w:rtl w:val="true"/>
        </w:rPr>
        <w:footnoteReference w:id="399"/>
      </w:r>
      <w:r>
        <w:rPr>
          <w:rFonts w:ascii="Amiri" w:hAnsi="Amiri" w:eastAsia="Amiri" w:cs="Amiri"/>
          <w:color w:val="111111"/>
          <w:sz w:val="28"/>
          <w:sz w:val="28"/>
          <w:szCs w:val="28"/>
          <w:rtl w:val="true"/>
          <w:lang w:bidi="ar-SA"/>
        </w:rPr>
        <w:t>وهو الحقّ؛ قضاءً للروايات الحاصرة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بكير بن أعين، فعن ابن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كما روى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ويشهد شاهدي عَدل، وكلّ ما سوى ذلك فهي ملغى</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صحيحتا محمّد بن مسلم والحلبي، فعن محمّد بن مسلم أنّه سأل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أو بائنة، أو بتّة، أو بريّة، أو خليّة،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كلّه ليس بشيء، إنّما الطلاق أن يقول لها في قبل العدّة بعد ما تطهر من محيضها قبل أن يجامعها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اعتدّي، يريد بذلك الطلاق، ويشهد على ذلك رجلين عدلين</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وعن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أو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 بموثّقة السكوني، عن جعفر، عن أبيه،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طلّقت امرأتك؟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طلّقها حينئذٍ</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ظهورها في وقوع الطلاق به، بل لعلّها ناظرة إلى الإقرار بالطلاق، ولا ينافيه التقييد بالظرف الزماني للحال وهو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كونه ناظراً إلى مقام الإثبات أيضاً؛ ويشهد لهذا الاحتمال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ثلاثاً فأراد رجل أن يتزوّجها،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يدعها حتّى تحيض وتطهر، ثمّ يأتيه ومعه رجلان شاهدان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تركها ثلاثة أشهر، ثمّ خطبها إلى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عثمان بن عيسى،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وذوات الأزواج المطلّقات على غير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طلّق امرأة من هؤلاء ولي بها حاجة،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فيلقاه بعد ما طلّقها وانقضت عدّتها عند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فلانة؟ فإذن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فقد صارت تطليقة على طهر، فدعها من حين طلّقها تلك التطليقة حتّى تنقضي عدّتها، ثمّ تزوّجها وقد صارت تطليقة بائنة</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فيرجل طلّق امرأته ثلاثاً فأراد رجل أن يتزوّجها، 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تركها ثلاثة أشهر، ثمّ خطبها إلى نفسها</w:t>
      </w:r>
      <w:r>
        <w:rPr>
          <w:rFonts w:eastAsia="IRNazanin" w:cs="IRNazanin"/>
          <w:color w:val="111111"/>
          <w:sz w:val="28"/>
          <w:szCs w:val="28"/>
          <w:rtl w:val="true"/>
          <w:lang w:bidi="fa-IR"/>
        </w:rPr>
        <w:t>».</w:t>
      </w:r>
      <w:r>
        <w:rPr>
          <w:rStyle w:val="FootnoteAnchor"/>
          <w:rtl w:val="true"/>
        </w:rPr>
        <w:footnoteReference w:id="4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أُخرى لإسحاق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يريد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امرأة قد طلّقت ثلاثاً، كيف يصنع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يدعها حتّى تحيض وتطهر، ثمّ يأتي زوجها ومعه رجلان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تركها حتّى تمضي أشهر، ثمّ خطبها إلى نفسه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وهذه الروايات موردها الإقرار، والحكم بالتربّص للاحتياط والاستظهار، فلا يبعد كون موثّقة السكوني أيضاً مثلها مربوطة بمقام الإقرار، بل ذلك مقتضى سياق الأخبار والنظر إلى مجموعها من حيث المجموع، بل ولعلّه يكون من ردّ المتشابه من أخبارهم إلى المحكم منها، ففي خبر أبي حيون مولى الرضا،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إلى محكمه فقد هدي إلى 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أخبارنا محكماً كمحكم القرآن، ومتشابهاً كمتشابه القرآن، فردّوا متشابهها إلى محكمهاً ولا تتّبعوا متشابهها دون محكمها، فتضلّوا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ويشهد له أيضاً عدم ذكر الشروط الأُخرى من شهادة العدلين وكونها في طُهر غير المواقعة في تلك الموثّقة، واللازم منه وهو الاكتفاء في الطلاق بما فيها فقط من دون تلك الشرائط مخالف للضرورة من المذهب وهو كما ترى، إلّا أن يقال بكونها في مقام بيان حكم الصيغة خاصّة دون مطلق الشرائط، لكنّه لا يخفى عليك أنّ في الحمل على الإقرار والإخباردون الإنشاء وبيان حكم الصيغة لا تكلّف فيه أصلاً، فلعلّ الحمل عليه أولى، فضلاً عن كونه محتملاً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يرد على مثل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زائداً على ما مرّ في 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يذهبوا بوقوعه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طلّقت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ذهابهم إلى الوقوع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يلازم ترجيح </w:t>
      </w:r>
      <w:bookmarkStart w:id="261" w:name="pg9375_99390"/>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 طلاق أكثر من زوجة واحدة بصيغة واحدة،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زوجتاي 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زوجاتي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طلاق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على الأصل كما لا يخفى،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هو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المستفاد من النصّ صحّته بمثل ذلك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كشف اللثام على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كونه جواباً عن الاستفهام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الإخبار بها،</w:t>
      </w:r>
      <w:r>
        <w:rPr>
          <w:rStyle w:val="FootnoteAnchor"/>
          <w:rtl w:val="true"/>
        </w:rPr>
        <w:footnoteReference w:id="409"/>
      </w:r>
      <w:r>
        <w:rPr>
          <w:rFonts w:ascii="Amiri" w:hAnsi="Amiri" w:eastAsia="Amiri" w:cs="Amiri"/>
          <w:color w:val="111111"/>
          <w:sz w:val="28"/>
          <w:sz w:val="28"/>
          <w:szCs w:val="28"/>
          <w:rtl w:val="true"/>
          <w:lang w:bidi="ar-SA"/>
        </w:rPr>
        <w:t>لكنّه غير تمام؛ لاختصاص الموثّقة بالاستفهام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الروايات المستشهد بها كانت أعمّ من ذلك، لكنّها مربوطة بالإقرار كما مرّ</w:t>
      </w:r>
      <w:r>
        <w:rPr>
          <w:rFonts w:eastAsia="Amiri" w:cs="Amiri" w:ascii="Amiri" w:hAnsi="Amiri"/>
          <w:color w:val="111111"/>
          <w:sz w:val="28"/>
          <w:szCs w:val="28"/>
          <w:rtl w:val="true"/>
          <w:lang w:bidi="ar-SA"/>
        </w:rPr>
        <w:t>.</w:t>
      </w:r>
      <w:r>
        <w:rPr>
          <w:rStyle w:val="FootnoteAnchor"/>
          <w:rtl w:val="true"/>
        </w:rPr>
        <w:footnoteReference w:id="410"/>
      </w:r>
    </w:p>
    <w:p>
      <w:pPr>
        <w:pStyle w:val="Heading3"/>
        <w:numPr>
          <w:ilvl w:val="2"/>
          <w:numId w:val="1"/>
        </w:numPr>
        <w:rPr/>
      </w:pPr>
      <w:bookmarkStart w:id="262" w:name="__RefHeading___Toc5416605_2870459653"/>
      <w:bookmarkStart w:id="263" w:name="_Toc95"/>
      <w:bookmarkEnd w:id="262"/>
      <w:r>
        <w:rPr>
          <w:rtl w:val="true"/>
        </w:rPr>
        <w:t>وقوع طلاق أكثر من زوجة واحدة بصيغة واحدة</w:t>
      </w:r>
      <w:bookmarkEnd w:id="2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لإلغاء الخصوصيّة بين الزوجة الواحدة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أكثر منها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طالقان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الحصر في الأخبار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حصر الصيغة في اسم الفاعل من مادّة الطلاق وعدم الوقوع بغيره من هذه المادّة ولا بمادّة أُخرى مطلقاً؛ وذلك لأنّها وردت في مقابل العامّة القائلين بوقوعه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الصيغ، فالحصر إضافي وفي قبالهم، لا أنّه حقيقي في خصوص تلك الصيغة بجميع خصوصيّاتها من الأفراد والخطاب في المبتدأ والخبر حتّى لا يصحّ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طالقان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الحمل على الحقيقي مخالفٌ للظاهر والقرينةالحاليّة على خلافه قائمة</w:t>
      </w:r>
      <w:r>
        <w:rPr>
          <w:rFonts w:eastAsia="Amiri" w:cs="Amiri" w:ascii="Amiri" w:hAnsi="Amiri"/>
          <w:color w:val="111111"/>
          <w:sz w:val="28"/>
          <w:szCs w:val="28"/>
          <w:rtl w:val="true"/>
          <w:lang w:bidi="ar-SA"/>
        </w:rPr>
        <w:t xml:space="preserve">. </w:t>
      </w:r>
      <w:bookmarkStart w:id="264" w:name="pg9375_99391"/>
    </w:p>
    <w:p>
      <w:pPr>
        <w:pStyle w:val="BookText"/>
        <w:rPr/>
      </w:pPr>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بما يرادف الصيغة المزبورة من سائر اللغات مع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استلزامه المخالفة لما هو الواضح في الفقه من كفاية ذلك الفاعل لحاضرٍ كان أو لغائبٍ، لأصيلٍ كان أو لوكيلٍ، فهذه أيضاً قرينة أُخرى،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أحضر شاهدين عدلين وأحضر امرأتين له وهما طاهرتان من غير جماع،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اشهدا إنّ امرأتي هاتين طالق وهما طاهرتان أ يقع الطلاق؟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265" w:name="__RefHeading___Toc5416607_2870459653"/>
      <w:bookmarkStart w:id="266" w:name="_Toc96"/>
      <w:bookmarkEnd w:id="265"/>
      <w:r>
        <w:rPr>
          <w:rtl w:val="true"/>
        </w:rPr>
        <w:t>اشتراط العربیّة في الصیغة</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 في النهاية</w:t>
      </w:r>
      <w:r>
        <w:rPr>
          <w:rStyle w:val="FootnoteAnchor"/>
          <w:rtl w:val="true"/>
        </w:rPr>
        <w:footnoteReference w:id="412"/>
      </w:r>
      <w:r>
        <w:rPr>
          <w:rFonts w:ascii="IRNazanin" w:hAnsi="IRNazanin" w:eastAsia="IRNazanin"/>
          <w:color w:val="111111"/>
          <w:sz w:val="28"/>
          <w:sz w:val="28"/>
          <w:szCs w:val="28"/>
          <w:rtl w:val="true"/>
          <w:lang w:bidi="fa-IR"/>
        </w:rPr>
        <w:t>وتبعه ابن البرّاج</w:t>
      </w:r>
      <w:r>
        <w:rPr>
          <w:rStyle w:val="FootnoteAnchor"/>
          <w:rtl w:val="true"/>
        </w:rPr>
        <w:footnoteReference w:id="413"/>
      </w:r>
      <w:r>
        <w:rPr>
          <w:rFonts w:ascii="Amiri" w:hAnsi="Amiri" w:eastAsia="Amiri" w:cs="Amiri"/>
          <w:color w:val="111111"/>
          <w:sz w:val="28"/>
          <w:sz w:val="28"/>
          <w:szCs w:val="28"/>
          <w:rtl w:val="true"/>
          <w:lang w:bidi="ar-SA"/>
        </w:rPr>
        <w:t>وابن حمزة،</w:t>
      </w:r>
      <w:r>
        <w:rPr>
          <w:rStyle w:val="FootnoteAnchor"/>
          <w:rtl w:val="true"/>
        </w:rPr>
        <w:footnoteReference w:id="414"/>
      </w:r>
      <w:r>
        <w:rPr>
          <w:rFonts w:ascii="Amiri" w:hAnsi="Amiri" w:eastAsia="Amiri" w:cs="Amiri"/>
          <w:color w:val="111111"/>
          <w:sz w:val="28"/>
          <w:sz w:val="28"/>
          <w:szCs w:val="28"/>
          <w:rtl w:val="true"/>
          <w:lang w:bidi="ar-SA"/>
        </w:rPr>
        <w:t>ولكن ما في المتن هو المشهور بين الأصحاب، ويدلّ عليه الروايات الحاصرة السابقة وهو 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لغير المشهور بأنّ المقصود من الصيغ هو المعاني وهو يحصل بكلّ لفظ، وبرواية وهب بن وهب،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وفيهما ما لا يخفى، أمّا الدراية فهي اعتبار، لا اعتبار به، مع أنّه اجتهاد في مقابل النصّ، وأمّا الرواية فسندها ضعيف بوهب؛ فإنّه كذاب كان قاضياً ببغداد وجاعلاً للحديث لهم وهو أكذب البريّة، مضافاً إلى أنّه خلاف الضرورة إن أُريد </w:t>
      </w:r>
    </w:p>
    <w:p>
      <w:pPr>
        <w:pStyle w:val="BookText"/>
        <w:rPr/>
      </w:pPr>
      <w:r>
        <w:rPr>
          <w:rFonts w:ascii="Amiri" w:hAnsi="Amiri" w:eastAsia="Amiri" w:cs="Amiri"/>
          <w:color w:val="111111"/>
          <w:sz w:val="28"/>
          <w:sz w:val="28"/>
          <w:szCs w:val="28"/>
          <w:rtl w:val="true"/>
          <w:lang w:bidi="ar-SA"/>
        </w:rPr>
        <w:t>ومع العجز يصحّ،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يقع بالإشارة ولا بالكتابة مع القدرة على النطق،</w:t>
      </w:r>
    </w:p>
    <w:p>
      <w:pPr>
        <w:pStyle w:val="BookText"/>
        <w:rPr/>
      </w:pPr>
      <w:r>
        <w:rPr>
          <w:rFonts w:ascii="IRNazanin" w:hAnsi="IRNazanin" w:eastAsia="IRNazanin"/>
          <w:color w:val="111111"/>
          <w:sz w:val="28"/>
          <w:sz w:val="28"/>
          <w:szCs w:val="28"/>
          <w:rtl w:val="true"/>
          <w:lang w:bidi="fa-IR"/>
        </w:rPr>
        <w:t>من الطلاق، الطلاق الاصطلاحي؛ لاستلزامه عدم اعتبار بقيّة الشروط، وهو كما ترى،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إلّا في مقام بيان الصيغة فلا إطلاق فيها من سائر الجهات، هذا مع إمكان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فيه بالمعنى اللغوي، فتكون بياناً في مسألة الطلاق والحريّة من كلّ قيد وعبوديّة، فمراد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بيان عدم شرطيّة لغة خاصّ في حصول الحريّة والطلاق، من العبوديّة أو من المدرسة أو من العمل وأمثالها، بل يكفي في حصولها كلّ ما يدلّ عليها من كلّ لغة ولسان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وإن أبيت إلّا عن ذلك فلا أقلّ من كون الرواية ذات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في الحدائق من نكتة أُخرى، وهي أنّ الرواية ظاهرة في من لا يقدر على العربيّة؛ لأنّ الغالب في أهل كلّ لسان تعذّرهم بالنسبة إلى لغة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إنّما هو عدم إمكان العربيّة؛ لأنّ الظاهر انّ المراد منها إنّما هو أنّ أهل كلّ لسان من عربي أو عجمي أو تركي أو نحوها فله أن يطلّق بلسانه، ومن الغالب اختصاص أهل كلّ لسان بذلك اللسان لا يتجاوزونه إلى غيره، ومعرفة بعضهم لألسن متعدّدة أمر على خلاف الغالب لا يحمل عليه الإطلاق</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ولا يجب التوكيل وإن أمكن؛ قضاءً للأصل ولإطلاقات أدلّة الطلاق، ولزوم العربيّة للمختار هو للدليل الخاصّ كما مرّ</w:t>
      </w:r>
      <w:r>
        <w:rPr>
          <w:rFonts w:eastAsia="Amiri" w:cs="Amiri" w:ascii="Amiri" w:hAnsi="Amiri"/>
          <w:color w:val="111111"/>
          <w:sz w:val="28"/>
          <w:szCs w:val="28"/>
          <w:rtl w:val="true"/>
          <w:lang w:bidi="ar-SA"/>
        </w:rPr>
        <w:t xml:space="preserve">. </w:t>
      </w:r>
      <w:bookmarkStart w:id="267" w:name="pg9375_99393"/>
    </w:p>
    <w:p>
      <w:pPr>
        <w:pStyle w:val="BookText"/>
        <w:rPr/>
      </w:pPr>
      <w:bookmarkEnd w:id="267"/>
      <w:r>
        <w:rPr>
          <w:rFonts w:ascii="Amiri" w:hAnsi="Amiri" w:eastAsia="Amiri" w:cs="Amiri"/>
          <w:color w:val="111111"/>
          <w:sz w:val="28"/>
          <w:sz w:val="28"/>
          <w:szCs w:val="28"/>
          <w:rtl w:val="true"/>
          <w:lang w:bidi="ar-SA"/>
        </w:rPr>
        <w:t>ومع العجز يصحّ إيقاعه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ذلك عدم الوجوب في الأخرس؛ فإنّه لا إشارة في أخبار طلاقه إلى مسألة التوكيل، بل طلاقه يقع بالإشارة المقدورة له كغيره من عقوده وإيقاعاته، فكما أنّ التوكيل غير واجب له بل يطلّق بما يقدر عليه فكذلك ما نحن فيه وهو العاجز</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416609_2870459653"/>
      <w:bookmarkStart w:id="269" w:name="_Toc97"/>
      <w:bookmarkEnd w:id="268"/>
      <w:r>
        <w:rPr>
          <w:rtl w:val="true"/>
        </w:rPr>
        <w:t>وقوع الطلاق بالإشارة والکتابة</w:t>
      </w:r>
      <w:bookmarkEnd w:id="2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الإشارة لا إشكال ولا خلاف في عدم الوقوع بها مع القدرة على النطق للروايات الحاصرة لعدم اعتبارها في الإنشاء عند العقلاء، بعد ما كان بناؤهم على لزوم الإنشاء والإظهار في العقود والإيقاعات، فإنشاء البيع أو الوصيّة أو العتق بالإشارة مع القدرة على النطق ليس بإنشاء عندهم أصلاً، ومن المحتمل كون النكتة هو وجود الإبهام في الإشارة طبعاً فيكون موجباً للنزاع ونحوه، وكيف كان، فلعلّ عدم البناء وعدم التحقّق كان منشأ لاتّفاق الأصحاب وعدم الإشكال عندهم في عدم الصحّة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الكتابة فكذلك مع كونه حاضراً؛ وذلك للروايات وللإجماع على عدم الكفاية، وأمّا القادر الغائب ففيه الخلاف، فعن الأكثر بل عن المشهور عدم الوقوع وكونه كالحاضر وهو مختار الشيخ في الخلاف</w:t>
      </w:r>
      <w:r>
        <w:rPr>
          <w:rStyle w:val="FootnoteAnchor"/>
          <w:rtl w:val="true"/>
        </w:rPr>
        <w:footnoteReference w:id="418"/>
      </w:r>
      <w:r>
        <w:rPr>
          <w:rFonts w:ascii="IRNazanin" w:hAnsi="IRNazanin" w:eastAsia="IRNazanin"/>
          <w:color w:val="111111"/>
          <w:sz w:val="28"/>
          <w:sz w:val="28"/>
          <w:szCs w:val="28"/>
          <w:rtl w:val="true"/>
          <w:lang w:bidi="fa-IR"/>
        </w:rPr>
        <w:t>والمبسوط</w:t>
      </w:r>
      <w:r>
        <w:rPr>
          <w:rStyle w:val="FootnoteAnchor"/>
          <w:rtl w:val="true"/>
        </w:rPr>
        <w:footnoteReference w:id="419"/>
      </w:r>
      <w:r>
        <w:rPr>
          <w:rFonts w:ascii="Amiri" w:hAnsi="Amiri" w:eastAsia="Amiri" w:cs="Amiri"/>
          <w:color w:val="111111"/>
          <w:sz w:val="28"/>
          <w:sz w:val="28"/>
          <w:szCs w:val="28"/>
          <w:rtl w:val="true"/>
          <w:lang w:bidi="ar-SA"/>
        </w:rPr>
        <w:t>على المحكيّ عنهما،</w:t>
      </w:r>
      <w:r>
        <w:rPr>
          <w:rStyle w:val="FootnoteAnchor"/>
          <w:rtl w:val="true"/>
        </w:rPr>
        <w:footnoteReference w:id="420"/>
      </w:r>
      <w:r>
        <w:rPr>
          <w:rFonts w:ascii="Amiri" w:hAnsi="Amiri" w:eastAsia="Amiri" w:cs="Amiri"/>
          <w:color w:val="111111"/>
          <w:sz w:val="28"/>
          <w:sz w:val="28"/>
          <w:szCs w:val="28"/>
          <w:rtl w:val="true"/>
          <w:lang w:bidi="ar-SA"/>
        </w:rPr>
        <w:t>بل عنه الإجماع في الأوّل بل في الثاني أيضاً،وعن النهاية</w:t>
      </w:r>
      <w:r>
        <w:rPr>
          <w:rStyle w:val="FootnoteAnchor"/>
          <w:rtl w:val="true"/>
        </w:rPr>
        <w:footnoteReference w:id="421"/>
      </w:r>
      <w:r>
        <w:rPr>
          <w:rFonts w:ascii="IRNazanin" w:hAnsi="IRNazanin" w:eastAsia="IRNazanin"/>
          <w:color w:val="111111"/>
          <w:sz w:val="28"/>
          <w:sz w:val="28"/>
          <w:szCs w:val="28"/>
          <w:rtl w:val="true"/>
          <w:lang w:bidi="fa-IR"/>
        </w:rPr>
        <w:t>واتباعه الوقوع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ويستدلّ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الأصل واستصحاب حكم الزوجيّة إلى أن يثبت المزيل، وبأنّ الأسباب يتساوى فيه الحاضر والغائب ومن ثمّ استوياً في وقوعه باللفظ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الحاصرة، وبصحيحة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كتب بطلاق امرأته أو بعتق غلامه، ثمّ بدأ له فمحاه،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بطلاق ولا عتاق حتّى يتكلّم به</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وبمضمرته،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كتب إلى امرأته بطلاقها، أو كتب بعتق مملوكه ولم ينطق به لسانه؟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حتّى ينطق به</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ولا يخفى أنّ مقتضى الإطلاق بترك الاستفصال هو عدم الفرق بين القادر الحاضر والغائب، وهما دليلان آخران للفرع السابق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لغير المشهور بصحيحة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يا فلان إلى امرأتي بطلاقها، أو أكتب إلى عبدي بعتقه، يكون ذلك طلاقاً أو عتقاً؟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طلاقاً ولا عتقاً حتّى ينطق به لسانه، أو يخطّه بيده وهو يريد الطلاق أو العتق، ويكون ذلك منه بالأهلّة والشهود يكون غائباً عن أهله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العلّامة في المختلف بالحمل على حال الاضطرار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على حالة الاضطرار وتكون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لا للتخيير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مختصّة بالغائب، والرواية الأُولى مطلقة، والمقيّد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والحضور لا تأثير لهما في السببيّة، فإنّا نعلم أنّ اللفظ لمّا كان سبباً في البينونة استوى إيقاعه من الغائب والحاضر، وكذا الكتابة لو كانت سبباً؛ لتساوى الحالان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روايتنا ترجيحاً بسبب موافقة الأصل وتأيّدها بالنظر والشهرة في العمل</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وأورد عليه في المسالك بوجوهٍ، دونك عبارته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الرواية صريحة في أن المطلّق يقدر على التلفّظ،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أُكتب يا فلان، إلى امرأتي بطلاقها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فلا وجه لحمله على حالة الاضطرار؛ لأنّ من قدر على هذا اللفظ قدر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العذر بفقد شرط آخر؛ لأنّ الشرائط معتبرة في الكتابة كاللفظ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ففي هذه الروايةترجيح على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حسنة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سندها، وبأنّها مقيّدة بالنيّة والغيبة وتلك مطلقة فيهما، فجاز كون منعه من وقوع الطلاق لعدم النيّة بالكتابة، أو لعدم العلم بالنيّة، أو تحمل على حالة الحضور؛ جمعاً على أنّه مع ثبوت المرجّح لا ضرورة إلى الجميع</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الحديث على نقل التهذيب</w:t>
      </w:r>
      <w:r>
        <w:rPr>
          <w:rStyle w:val="FootnoteAnchor"/>
          <w:rtl w:val="true"/>
        </w:rPr>
        <w:footnoteReference w:id="427"/>
      </w:r>
      <w:r>
        <w:rPr>
          <w:rFonts w:ascii="Amiri" w:hAnsi="Amiri" w:eastAsia="Amiri" w:cs="Amiri"/>
          <w:color w:val="111111"/>
          <w:sz w:val="28"/>
          <w:sz w:val="28"/>
          <w:szCs w:val="28"/>
          <w:rtl w:val="true"/>
          <w:lang w:bidi="ar-SA"/>
        </w:rPr>
        <w:t>ونقل الوافي</w:t>
      </w:r>
      <w:r>
        <w:rPr>
          <w:rStyle w:val="FootnoteAnchor"/>
          <w:rtl w:val="true"/>
        </w:rPr>
        <w:footnoteReference w:id="428"/>
      </w:r>
      <w:r>
        <w:rPr>
          <w:rFonts w:ascii="IRNazanin" w:hAnsi="IRNazanin" w:eastAsia="IRNazanin"/>
          <w:color w:val="111111"/>
          <w:sz w:val="28"/>
          <w:sz w:val="28"/>
          <w:szCs w:val="28"/>
          <w:rtl w:val="true"/>
          <w:lang w:bidi="fa-IR"/>
        </w:rPr>
        <w:t>عن الكتب الثلاثة، وكذا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في قدرة المطلّق على التلفّظ وإن كان السؤال صريحاً فيه كما بيّن وجهه، 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طلاق ولا عتق حتّى ينطق به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فيه الكلّيّة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بيان الضابطة وهي عدم الطلاق والعتق إلّا مع الغاية المذكورة التي تكون خبراً للفعل الناقص ولا قرينة في الحديث على اختصاص الجواب بمورد السؤال والمورد غير مخصّص ولا مقيّد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نقل الوسائل وكون الاسم الضمير ونصب لفظتي الطلاق والعتق خبراً للفعل الناقص فالصراحة تامّة لمكان الضمير، كما بيّنه، لكنّ الشأن في ذلك كما أنّ الصراحة على ما في هامش الوسائل عن الكافي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بطلاق ولا عتاق</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واضحة، كما أنّ ترجيحه ما عن الثمالي على ما عن زرارة بالصحّة غير تمامٍ على مختارنا في إبراهيم بن هاشم، كما لا يخفى، فلا ترجيح لصحيح الثمالي على صحيحة زرارة؛ فإنّهما مثلان، بل احتمال الترجيح بالعكس؛ لثبوت الشهرة والإعراض عن صحيحة الثمالي، بحيث تصير ممّا لا ريب في بطلانه؛ ودون إثبات ذلكخرط القتاد، فإنّه كيف يكون كذلك مع عمل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430"/>
      </w:r>
      <w:r>
        <w:rPr>
          <w:rFonts w:ascii="Amiri" w:hAnsi="Amiri" w:eastAsia="Amiri" w:cs="Amiri"/>
          <w:color w:val="111111"/>
          <w:sz w:val="28"/>
          <w:sz w:val="28"/>
          <w:szCs w:val="28"/>
          <w:rtl w:val="true"/>
          <w:lang w:bidi="ar-SA"/>
        </w:rPr>
        <w:t xml:space="preserve">وتبعيّة تابعيه له أو جملة منهم في ذلك؟ فالتفصيل في المسألة؛ جمعاً بينهما بحمل المطلق على المقيّد يكون قويّاً، واحتمال القول بكفاية الكتابة مطلقاً من دون اختصاص بالغائب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بحمل صحيحة زرارة على عدم القصد؛ لما في صحيحة الثمالي من التقييد بالغائب حمل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ويتأيّد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بدأ له فمحاه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وقع التقييد به فيها، فكذلك التقييد بالغائب، فلابدّ من رعاية القيدين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الظاهر بدواً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يخطّه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كفاية الوكالة في الكتابة، لكن من المحتمل قويّاً كون تلك الجملة في قبال ما وقع في السؤال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أُكتب يا فلان، إلى امرأتي بطلاقها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أُكتب إلى عبدي بعتقه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المراد من تلك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تحقّق الطلاق والإخبار به؛ أي ما يسمّى في الفارسيّة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إنشاء أصلاً، والمستفاد منها اعتبار الإنشاء والخطّ بيده كناية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الطلاق المدّعى وقوعه بالكتابة يدخل في عموم الطلاق والأصل فيه الصحّة، وممّا يؤيّد الصحّة أنّ المقصود بالعبارة هي الدلالة على ما في النفس، والكتابة أحد الخطابين كالكلام، والإنسان يعبّر عمّا في نفسه بالكتابة كما يعبّر بالعبارة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أقصر مرتبةً من اللفظ، وأقرب إلى الاحتمال، ومن ثمّ منع من وقوع الطلاق بها للحاضر، لأنّه مع الحضور لا حاجة إلى الكتابة بخلاف الغيبة، للعادة الغالبة بها فيها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على تقدير القول بوقوعه بها يعتبر القصد بها إلى الطلاق وحضور شاهدين يريان الكتابة، والظاهر اشتراط رؤيته حال الكتابة لا بعدها لأنّ ابتدائها هو القائم مقام اللفظ لا استدامتها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تعلم النيّة بإقراره، ولو شكّ فيها فالأصل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فتكون الكتابة كالكناية، ومنثمّ ردّها الأصحاب مطلقاً اطّراداً للقاعدة مع أنّهم نقضوها في مواضع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تقديم الكتابة لمن يعرفها على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الغائب بين البعيد بمسافة القصر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شموله للغائب عن المجلس، لعموم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 الغيبة عرفاً التي تكون مناطاً في طلاق الغائب للأهلّة والشهور للنصّ على ذلك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الكتابة للكلام المعتبر في صحّة الطلاق،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يكتب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علّقه بشرط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كتابي فأنت طالق، فكتعليق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الحدائق من الإشكال في اشتراط الكلام المعتبر في صحّة الطلاق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تعيّن هذه الصيغة بمقتضى الدليل إنّما هو بالنسبة إلى التلفّظ بالطلاق، وأمّا أحاديث الكتابة فهي مطلقة وتخصيصها يحتاج إلى دليل، وكما خرج عن أخبار وجوب اللفظ بهذا الخبر فليخرج عنها أيضاً بالعمل بإطلاق هذه الأخبار من إيقاع الكتابة بأيّ لفظ من هذه المادّة؛ عملاً بإطلاق الأخبار المذكورة، والتقييد إنّما ثبت في العبارة اللفظيّة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في هذه الأخبار من تلك الجهة، بل تكون في مقام بيان كفاية الكتابة في مقابل عدمها وليست في مقام بيان تمام شرائط الصيغة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المسألة إجماعيّة، ويدلّ عليها الروايات الواردة في الأخرس، لكن وقع الخلاف في أنّ الكتابة مقدّمة على الإشارة في الأخرسأم 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الروايات،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أحمد بن محمّد بن أبي نصر أنّه سأل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الرجل تكون عنده المرأة يصمت ولا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أخرس هو؟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ويعلم منه بغض لامرأته وكراهة لها أ يجوز أن يطلّق عنه وليّه؟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يكتب ويشهد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يكتب ولا يسمع، كيف يطلّقها؟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بالذي يعرف به من أفعاله، مثل ما ذكرت من كراهته وبغضه لها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الخرساء؟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يلفّ قناعها على رأسها ويجذبه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السكوني المضمرة،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 الأخرس أن يأخذ مقنعتها ويضعها على رأسها ويعتزلها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إسماعيل بن مراد،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أخرس كتب في الأرض بطلاق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في قبل الطهر بشهود وفهم عنه كما يفهم عن مثله ويريد الطلاق جاز طلاقه على السنّة</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الأخرس أن يأخذ مقنعتها ويضعها على رأسها ثمّ يعتزلها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الأقوال في المسألة، فقيل بتقدّم الكتابة، وقيل بلزوم الجمع، وقيل بالتأخّر، ولكنّ المستفاد منها أنّ المقدّم هو الأصل، وهو الإشارة، فإنّها المذكورة فيها، ولا دليل على تقديم الكتابة إلّا صحيحة ابن أبي نصر، ولا دلالة فيها على اللزوم؛ لكون الترتيب ذكريّاً</w:t>
      </w:r>
      <w:r>
        <w:rPr>
          <w:rFonts w:eastAsia="Amiri" w:cs="Amiri" w:ascii="Amiri" w:hAnsi="Amiri"/>
          <w:color w:val="111111"/>
          <w:sz w:val="28"/>
          <w:szCs w:val="28"/>
          <w:rtl w:val="true"/>
          <w:lang w:bidi="ar-SA"/>
        </w:rPr>
        <w:t xml:space="preserve">. </w:t>
      </w:r>
      <w:bookmarkStart w:id="270" w:name="pg9375_99400"/>
    </w:p>
    <w:p>
      <w:pPr>
        <w:pStyle w:val="BookText"/>
        <w:rPr/>
      </w:pPr>
      <w:bookmarkEnd w:id="2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في ذكر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 ابتداءً الإشعار على ذلك لا الظهور كما لا يخفى، فالأحوط الأولى هو تقديم الكتابة</w:t>
      </w:r>
      <w:r>
        <w:rPr>
          <w:rFonts w:eastAsia="IRNazanin" w:cs="IRNazanin"/>
          <w:color w:val="111111"/>
          <w:sz w:val="28"/>
          <w:szCs w:val="28"/>
          <w:rtl w:val="true"/>
          <w:lang w:bidi="fa-IR"/>
        </w:rPr>
        <w:t>.</w:t>
      </w:r>
    </w:p>
    <w:p>
      <w:pPr>
        <w:pStyle w:val="Heading3"/>
        <w:numPr>
          <w:ilvl w:val="2"/>
          <w:numId w:val="1"/>
        </w:numPr>
        <w:rPr/>
      </w:pPr>
      <w:bookmarkStart w:id="271" w:name="__RefHeading___Toc5416611_2870459653"/>
      <w:bookmarkStart w:id="272" w:name="_Toc98"/>
      <w:bookmarkEnd w:id="271"/>
      <w:r>
        <w:rPr>
          <w:rtl w:val="true"/>
        </w:rPr>
        <w:t>فرعٌ</w:t>
      </w:r>
      <w:r>
        <w:rPr>
          <w:rtl w:val="true"/>
        </w:rPr>
        <w:t xml:space="preserve">: </w:t>
      </w:r>
      <w:r>
        <w:rPr>
          <w:rtl w:val="true"/>
        </w:rPr>
        <w:t>تفويض الزوج أمر الطلاق إلی المرأة</w:t>
      </w:r>
      <w:bookmarkEnd w:id="272"/>
    </w:p>
    <w:p>
      <w:pPr>
        <w:pStyle w:val="Heading4"/>
        <w:numPr>
          <w:ilvl w:val="3"/>
          <w:numId w:val="1"/>
        </w:numPr>
        <w:rPr/>
      </w:pPr>
      <w:bookmarkStart w:id="273" w:name="__RefHeading___Toc5416613_2870459653"/>
      <w:bookmarkStart w:id="274" w:name="_Toc99"/>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خيّرها وقصد الطلاق، فإن اختارته أو سكتت ولو لحظة، فلا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اختارت نفسها في الحال،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الفرقة بائنة،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رجعيّة،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له، وعليه الأكثر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ولا يخفى أنّ توكيله لها إن شاءت ليس محلاً للبحث ومورداً للنزاع في المقام وإن كان ذلك جائزاً عند من جوّز وكالة المرأة فيه ولم يشترط المقارنة بين الإيجاب والقبول كغيره من الوكالات، وكان الفرض عليها حينئذٍ إيقاعه بلفظ الطلاق المعهود، كما أنّ تخيير الزوج الزوجة في اختيار البقاء أو طلاقه لها خارج عن محلّ النزاع وليس بأزيد من الوعد وصحّته ضروريّة، بل تعبير الصحّة في أمثاله ممّا يرجع إلى مثل المقاولة والمشاورة ولا يكون عقداً ولا إيقاعاً، ليس في محلّه كما لا يخفی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محلّ للنزاع هو تفويض الزوج أمر الطلاق إلى المرأة وتخييرها في نفسها ناوياً به الطلاق ووقوع الطلاق لو اختارت نفسها وعدمه إن اختارت الزوج أو البقاء، فيكون ذلك بمنزلة تمليكه لها نفسها وجعله الأمربيدها، فالعامة متّفقون على وقوعه بالاختيار وأصحابنا مختلفون فيه، فذهب جماعة، منهم ابن الجنيد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أبي عقيل</w:t>
      </w:r>
      <w:r>
        <w:rPr>
          <w:rStyle w:val="FootnoteAnchor"/>
          <w:rtl w:val="true"/>
        </w:rPr>
        <w:footnoteReference w:id="438"/>
      </w:r>
      <w:r>
        <w:rPr>
          <w:rFonts w:ascii="Amiri" w:hAnsi="Amiri" w:eastAsia="Amiri" w:cs="Amiri"/>
          <w:color w:val="111111"/>
          <w:sz w:val="28"/>
          <w:sz w:val="28"/>
          <w:szCs w:val="28"/>
          <w:rtl w:val="true"/>
          <w:lang w:bidi="ar-SA"/>
        </w:rPr>
        <w:t>والسيّد المرتضى</w:t>
      </w:r>
      <w:r>
        <w:rPr>
          <w:rStyle w:val="FootnoteAnchor"/>
          <w:rtl w:val="true"/>
        </w:rPr>
        <w:footnoteReference w:id="439"/>
      </w:r>
      <w:r>
        <w:rPr>
          <w:rFonts w:ascii="Amiri" w:hAnsi="Amiri" w:eastAsia="Amiri" w:cs="Amiri"/>
          <w:color w:val="111111"/>
          <w:sz w:val="28"/>
          <w:sz w:val="28"/>
          <w:szCs w:val="28"/>
          <w:rtl w:val="true"/>
          <w:lang w:bidi="ar-SA"/>
        </w:rPr>
        <w:t>وظاهر ابني بابويه</w:t>
      </w:r>
      <w:r>
        <w:rPr>
          <w:rStyle w:val="FootnoteAnchor"/>
          <w:rtl w:val="true"/>
        </w:rPr>
        <w:footnoteReference w:id="440"/>
      </w:r>
      <w:r>
        <w:rPr>
          <w:rFonts w:ascii="Amiri" w:hAnsi="Amiri" w:eastAsia="Amiri" w:cs="Amiri"/>
          <w:color w:val="111111"/>
          <w:sz w:val="28"/>
          <w:sz w:val="28"/>
          <w:szCs w:val="28"/>
          <w:rtl w:val="true"/>
          <w:lang w:bidi="ar-SA"/>
        </w:rPr>
        <w:t>إلى وقوعه به، وذهب الشيخ</w:t>
      </w:r>
      <w:r>
        <w:rPr>
          <w:rStyle w:val="FootnoteAnchor"/>
          <w:rtl w:val="true"/>
        </w:rPr>
        <w:footnoteReference w:id="441"/>
      </w:r>
      <w:r>
        <w:rPr>
          <w:rFonts w:ascii="IRNazanin" w:hAnsi="IRNazanin" w:eastAsia="IRNazanin"/>
          <w:color w:val="111111"/>
          <w:sz w:val="28"/>
          <w:sz w:val="28"/>
          <w:szCs w:val="28"/>
          <w:rtl w:val="true"/>
          <w:lang w:bidi="fa-IR"/>
        </w:rPr>
        <w:t>ومن تبعه والمشهور إلى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القائلين بالوقوع اختلفوا في أنّه هل يقع طلاقاً رجعيّاً أو بائناً؟ وهل الاتّصال في الاختيار شرط أم لا؟ والأصل في المسألة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وقبل التعرّض لسائر الأدلّة نتكلّم حول هذه الآية الشريفة، فاعلم أنّ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في تفسير هذه الآية بعض النكات التي لا ينبغي ترك نقلها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بعضهنّ كانت لا ترتضي ما في عيشتهنّ في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الضيق والضنك، فاشتكت إليه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تخييرهنّ بين السراح والبقاء في نفس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أصل كلّي، وهو المسؤوليّة العظيمة تجاه المنزلة الرفيعة</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النكات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يكون من الآية مربوطةً بالبحث، أنّها على تسليم دلالتها، قضيّة شخصيّة تخصّ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وزوجاته، وأين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والمقام معه وإرادة الله ورسوله والدار الآخرة وتحمّل المشاقّ وضيق المعيشة أو الفراق وحرمان السعادة الأُخرويّة والوصول إلى سهولة المعيشة وراحتها الدنيويّة؟ فهل الإلغاء في مثل هذه القضيّة إلغاءً لخصوصيّة النور المطلق للظلمة المطلقة أو للنور الجزئي؟ هذا مضافاً إلى أنّ الدلالة ممنوعة؛ حيث إنّ تخييره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تخييراً عن مشورة ساذجة وأنّه يطلّقهنّ بعد اختيارهنّ المفارقة وإرادة حياة الدنيا، كما يظهر ذلك من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وَأُسَرِّحْكُنَّ سَرَاحاً جَمِيلاً</w:t>
      </w:r>
      <w:r>
        <w:rPr>
          <w:rFonts w:ascii="IRNazanin" w:hAnsi="IRNazanin" w:eastAsia="IRNazanin"/>
          <w:color w:val="111111"/>
          <w:sz w:val="28"/>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كما يدلّ عليه غير واحد من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445"/>
      </w:r>
      <w:r>
        <w:rPr>
          <w:rFonts w:ascii="Amiri" w:hAnsi="Amiri" w:eastAsia="Amiri" w:cs="Amiri"/>
          <w:color w:val="111111"/>
          <w:sz w:val="28"/>
          <w:sz w:val="28"/>
          <w:szCs w:val="28"/>
          <w:rtl w:val="true"/>
          <w:lang w:bidi="ar-SA"/>
        </w:rPr>
        <w:t>خروج مثله عن محلّ النزاع، بل عن تعبير 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وجوب الوفاء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فما نقله صاحب الوسائل في الباب المنعقد له تسع عشرة، وعنوان الباب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أنّ من خيّر امرأته لم يقع بها طلاق بمجرّد التخيير وإن اختارت نفسها، فإن وكّلها في طلاق نفسها ففعلت وقع مع الشرائط</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نظره ممّا يدلّ على الجواز من تلك الأخبار عشر منها، وعلى عدمه تسع، لكن لا يخفى أنّ الروايتين منها وهما مرسلة هارون بن مسلم</w:t>
      </w:r>
      <w:r>
        <w:rPr>
          <w:rStyle w:val="FootnoteAnchor"/>
          <w:rtl w:val="true"/>
        </w:rPr>
        <w:footnoteReference w:id="447"/>
      </w:r>
      <w:r>
        <w:rPr>
          <w:rFonts w:ascii="Amiri" w:hAnsi="Amiri" w:eastAsia="Amiri" w:cs="Amiri"/>
          <w:color w:val="111111"/>
          <w:sz w:val="28"/>
          <w:sz w:val="28"/>
          <w:szCs w:val="28"/>
          <w:rtl w:val="true"/>
          <w:lang w:bidi="ar-SA"/>
        </w:rPr>
        <w:t xml:space="preserve">وخبر إبراهيم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محرز</w:t>
      </w:r>
      <w:r>
        <w:rPr>
          <w:rStyle w:val="FootnoteAnchor"/>
          <w:rtl w:val="true"/>
        </w:rPr>
        <w:footnoteReference w:id="448"/>
      </w:r>
      <w:r>
        <w:rPr>
          <w:rFonts w:ascii="Amiri" w:hAnsi="Amiri" w:eastAsia="Amiri" w:cs="Amiri"/>
          <w:color w:val="111111"/>
          <w:sz w:val="28"/>
          <w:sz w:val="28"/>
          <w:szCs w:val="28"/>
          <w:rtl w:val="true"/>
          <w:lang w:bidi="ar-SA"/>
        </w:rPr>
        <w:t>لا ارتباط لهما بمحلّ البحث أصلاً، وإنّما تدلّان على عدم صحّة إيكال الزوج الأمر والاختيار إلى الزوجة؛ بأن يكون تمام ما للزوج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بيدك،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هذا،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9"/>
      </w:r>
      <w:r>
        <w:rPr>
          <w:rFonts w:ascii="Amiri" w:hAnsi="Amiri" w:eastAsia="Amiri" w:cs="Amiri"/>
          <w:color w:val="111111"/>
          <w:sz w:val="28"/>
          <w:sz w:val="28"/>
          <w:szCs w:val="28"/>
          <w:rtl w:val="true"/>
          <w:lang w:bidi="ar-SA"/>
        </w:rPr>
        <w:t>وهذا كالنصّ فيما قلناه، ومثله السابق عليه، إلّا أنّه</w:t>
      </w:r>
      <w:r>
        <w:rPr>
          <w:rStyle w:val="FootnoteAnchor"/>
          <w:rtl w:val="true"/>
        </w:rPr>
        <w:footnoteReference w:id="450"/>
      </w:r>
      <w:r>
        <w:rPr>
          <w:rFonts w:ascii="IRNazanin" w:hAnsi="IRNazanin" w:eastAsia="IRNazanin"/>
          <w:color w:val="111111"/>
          <w:sz w:val="28"/>
          <w:sz w:val="28"/>
          <w:szCs w:val="28"/>
          <w:rtl w:val="true"/>
          <w:lang w:bidi="fa-IR"/>
        </w:rPr>
        <w:t>مربوط باشتراط ذلك في تحقّق النكاح، كما يظهر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يجز 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في النكاح المشروط فيه، لا النكاح اللاحق وإن كان محتملاً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في أخبار الجواز اختلاف من حيث اشتراط البينونة والطلاق بكون الاختيار في المجلس وقبل التفرّق وعدم اشتراطه بذلك، بل يحصل الطلاق بالاختيار بعد التفرّق أيضاً، كما أنّ فيها الاختلاف من جهة كون الطلاق الحاصل بالتخيير طلاقاً رجعيّاً أو بائناً، لكنّها مشتركة في الدلالة على الجواز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التهذيب</w:t>
      </w:r>
      <w:r>
        <w:rPr>
          <w:rStyle w:val="FootnoteAnchor"/>
          <w:rtl w:val="true"/>
        </w:rPr>
        <w:footnoteReference w:id="451"/>
      </w:r>
      <w:r>
        <w:rPr>
          <w:rFonts w:ascii="Amiri" w:hAnsi="Amiri" w:eastAsia="Amiri" w:cs="Amiri"/>
          <w:color w:val="111111"/>
          <w:sz w:val="28"/>
          <w:sz w:val="28"/>
          <w:szCs w:val="28"/>
          <w:rtl w:val="true"/>
          <w:lang w:bidi="ar-SA"/>
        </w:rPr>
        <w:t>ذكر ستّاً من الأُولى واستدلّ بها على الجواز وذكر أنّه أورد طرفاً من الأخبار الدالّة على الوقوع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على طائفتين، منها ما يدلّ على الوقوع، ومنها على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الثانية،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الخيار،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وما ذاك؟ إنّما ذاك شيء كان 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5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إذا خيّر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الخيرة لنا، ليس لأحد، وإنّما خيّر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عائشة، فاخترن الله ورسوله، ولم يكن لهنّ أن يخترن غير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أباك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نساءه، فاخترن الله ورسوله، فلم يمسكهنّ على طلاق، ولو اخترن أنفسهنّ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حديث كان يرويه أبي، عن عائشة، وما للناس والخيار، إنّما هذا شيء خصّ الله به رسوله</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عيص بن القاسم،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خيّر امرأته، فاختارت نفسها، بانت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هذا شيء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أمر بذلك ففعل، ولو اخترن أنفسهنّ لطلّقهنّ، وهو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لِّأَزْوَاجِكَ إِن كُنتُنَّ تُرِدْنَ الْحَيَاةَ الدُّنْيَا وَزِينَتَهَا فَتَعَالَيْنَ أُمَتِّعْكُنَّ وَأُسَرِّحْكُنَّ سَرَاحاً جَمِيلاً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ومن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من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هارون بن مسلم،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تقولفي رجل جعل أمر امرأته بيدها؟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الأمر من ليس أهله، وخالف السنّة، ولم يجز النكاح</w:t>
      </w:r>
      <w:r>
        <w:rPr>
          <w:rFonts w:eastAsia="IRNazanin" w:cs="IRNazanin"/>
          <w:color w:val="111111"/>
          <w:sz w:val="28"/>
          <w:szCs w:val="28"/>
          <w:rtl w:val="true"/>
          <w:lang w:bidi="fa-IR"/>
        </w:rPr>
        <w:t>».</w:t>
      </w:r>
      <w:r>
        <w:rPr>
          <w:rStyle w:val="FootnoteAnchor"/>
          <w:rtl w:val="true"/>
        </w:rPr>
        <w:footnoteReference w:id="45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جعله الولاية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عليه ما عن إبراهيم بن محرز،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بيدك؟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يكون هذا، والله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الرِّجَالُ قَوَّامُونَ عَلَى النِّسَاء</w:t>
      </w:r>
      <w:r>
        <w:rPr>
          <w:rFonts w:ascii="IRNazanin" w:hAnsi="IRNazanin" w:eastAsia="IRNazanin"/>
          <w:color w:val="111111"/>
          <w:sz w:val="28"/>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ليس هذا بشيء</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ومن المحتمل كونهما رواية واحدة من مروان بن مسلم، عن إبراهيم بن محرز، كما يظهر من المراجعة إلى السند وما في النسخة والمتن، والأمر في عدم الارتباط مع اتّحادهما أوضح، وقد مضى الكلام</w:t>
      </w:r>
      <w:r>
        <w:rPr>
          <w:rStyle w:val="FootnoteAnchor"/>
          <w:rtl w:val="true"/>
        </w:rPr>
        <w:footnoteReference w:id="460"/>
      </w:r>
      <w:r>
        <w:rPr>
          <w:rFonts w:ascii="Amiri" w:hAnsi="Amiri" w:eastAsia="Amiri" w:cs="Amiri"/>
          <w:color w:val="111111"/>
          <w:sz w:val="28"/>
          <w:sz w:val="28"/>
          <w:szCs w:val="28"/>
          <w:rtl w:val="true"/>
          <w:lang w:bidi="ar-SA"/>
        </w:rPr>
        <w:t>فيهما أيضاً،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للنساء والتخيير، إنّما ذلك شيء خصّ الله به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في المقنع،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والتخيير، إنّما ذلك شيء خصّ الله به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عليّ بن جعفر، عن أخيه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أحببت أن تبيني، فلم يقل شيئاً حتّىافترقا، ما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 وهي امرأته</w:t>
      </w:r>
      <w:r>
        <w:rPr>
          <w:rFonts w:eastAsia="IRNazanin" w:cs="IRNazanin"/>
          <w:color w:val="111111"/>
          <w:sz w:val="28"/>
          <w:szCs w:val="28"/>
          <w:rtl w:val="true"/>
          <w:lang w:bidi="fa-IR"/>
        </w:rPr>
        <w:t>».</w:t>
      </w:r>
      <w:r>
        <w:rPr>
          <w:rStyle w:val="FootnoteAnchor"/>
          <w:rtl w:val="true"/>
        </w:rPr>
        <w:footnoteReference w:id="4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الباقية</w:t>
      </w:r>
      <w:r>
        <w:rPr>
          <w:rStyle w:val="FootnoteAnchor"/>
          <w:rtl w:val="true"/>
        </w:rPr>
        <w:footnoteReference w:id="464"/>
      </w:r>
      <w:r>
        <w:rPr>
          <w:rFonts w:ascii="Amiri" w:hAnsi="Amiri" w:eastAsia="Amiri" w:cs="Amiri"/>
          <w:color w:val="111111"/>
          <w:sz w:val="28"/>
          <w:sz w:val="28"/>
          <w:szCs w:val="28"/>
          <w:rtl w:val="true"/>
          <w:lang w:bidi="ar-SA"/>
        </w:rPr>
        <w:t xml:space="preserve">من ذلك الباب في الوسائل وهي عشرة من الطائفة؛ أي الدالّة على الجواز، دلالتها ظاهرة واضحة، فالتعارض بين الطائفتين ثابت، وجَمَع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بأنّ الأولى تحمل على التقيّة،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روي من جواز الخيار إلى النساء واختلاف أحكامه؛ لأنّ منهم من جعله تطليقة بائنة، ومنهم من جعله تطليقة يملك معها الرجعة، ومنهم من جعله تطليقة إذا اتّبع بطلاق، ومنهم من جعله كذلك وإن لم يتبع بطلاق، ومنهم من جعله كذلك إذا اختارت نفسها قبل أن تقوم من مجلسها، ومنهم من جعله كذلك في جميع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فيها كلّها أن نحملها على ضرب من التقيّة؛ لأنّ الخيار موافق لمذاهب العامّة، وإنّما حملناه على ذلك لما قد ثبت من صحّة العقد، فلا يجوز العدول عنه إلّا بطريقة معلومة، وجميع هذه الأخبار لا يمكن العمل عليها؛ لأنّها متضادّة الأحكام، وليس بأن نعمل على بعضها أولى من أن نعمل على البعض الآخر؛ لتساويها في الطرق، على أنّا إن عملنا على شيء منها احتجنا أن نطرح الأخبار التي قد قدّمناها في أنّ الخيار غير واقع، وإنّما ذلك شيء كان يختصّ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عملنا على ما قلناه كان لهذه وجهٌ، وهو خروجها مخرج التقيّة، وجه يجوز أن تردّ الأخبار لأجله</w:t>
      </w:r>
      <w:r>
        <w:rPr>
          <w:rFonts w:eastAsia="IRNazanin" w:cs="IRNazanin"/>
          <w:color w:val="111111"/>
          <w:sz w:val="28"/>
          <w:szCs w:val="28"/>
          <w:rtl w:val="true"/>
          <w:lang w:bidi="fa-IR"/>
        </w:rPr>
        <w:t>.</w:t>
      </w:r>
      <w:r>
        <w:rPr>
          <w:rStyle w:val="FootnoteAnchor"/>
          <w:rtl w:val="true"/>
        </w:rPr>
        <w:footnoteReference w:id="4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فيما قال، فإنّ الأخبار الدالّة على الجواز المعارضة للدالّة على خلافها هي مطروحة؛ لكونها موافقة للعامّة والترجيح للمخالف لهم، فإنّ الرشد في خلافهم،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بلوالأخير من المرجّحات المنصوصة ذكراً ورتبةً، والأوّل منها هو الموافقة للكتاب، كما حقّق في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المراد من التعليل بأنّ الرشد في خلافهم احتمالات ووجوه، ذكرها الشيخ الأعظم في بحث التعادل والتراجيح من خاتمة رسائله،</w:t>
      </w:r>
      <w:r>
        <w:rPr>
          <w:rStyle w:val="FootnoteAnchor"/>
          <w:rtl w:val="true"/>
        </w:rPr>
        <w:footnoteReference w:id="466"/>
      </w:r>
      <w:r>
        <w:rPr>
          <w:rFonts w:ascii="Amiri" w:hAnsi="Amiri" w:eastAsia="Amiri" w:cs="Amiri"/>
          <w:color w:val="111111"/>
          <w:sz w:val="28"/>
          <w:sz w:val="28"/>
          <w:szCs w:val="28"/>
          <w:rtl w:val="true"/>
          <w:lang w:bidi="ar-SA"/>
        </w:rPr>
        <w:t>أحدها التقيّة، وهو المعروف في الألسنة والمصرّح به في كلام شيخ الطائفة في المقام وغيره، لكنّها أعمّ مطلق من موارد الترجيح بالمخالفة على كونها هي العلّة، وأعمّ من وجه على عدم العلّيّة، كما لا يخفى؛ لأنّه يمكن أن يكون الخبر مطروحاً للمخالفة، مع عدم التقيّة أيضاً، كما يمكن الطرح للتقيّة، مع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w:t>
      </w:r>
      <w:r>
        <w:rPr>
          <w:rStyle w:val="FootnoteAnchor"/>
          <w:rtl w:val="true"/>
        </w:rPr>
        <w:footnoteReference w:id="467"/>
      </w:r>
      <w:r>
        <w:rPr>
          <w:rFonts w:ascii="Amiri" w:hAnsi="Amiri" w:eastAsia="Amiri" w:cs="Amiri"/>
          <w:color w:val="111111"/>
          <w:sz w:val="28"/>
          <w:sz w:val="28"/>
          <w:szCs w:val="28"/>
          <w:rtl w:val="true"/>
          <w:lang w:bidi="ar-SA"/>
        </w:rPr>
        <w:t>قد صرّح بذلك في غير موضع من كتابه وإن كان للتأمّل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مختار المشهور كما مرّ،</w:t>
      </w:r>
      <w:r>
        <w:rPr>
          <w:rStyle w:val="FootnoteAnchor"/>
          <w:rtl w:val="true"/>
        </w:rPr>
        <w:footnoteReference w:id="468"/>
      </w:r>
      <w:r>
        <w:rPr>
          <w:rFonts w:ascii="Amiri" w:hAnsi="Amiri" w:eastAsia="Amiri" w:cs="Amiri"/>
          <w:color w:val="111111"/>
          <w:sz w:val="28"/>
          <w:sz w:val="28"/>
          <w:szCs w:val="28"/>
          <w:rtl w:val="true"/>
          <w:lang w:bidi="ar-SA"/>
        </w:rPr>
        <w:t xml:space="preserve">ولكن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كلام يظهر منه الميل إلى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اتّفق علماء الإسلام ممّن عدا الأصحاب على جواز تفويض الزوج أمر الطلاق إلى المرأة وتخييرها في نفسها ناوياً به الطلاق ووقوع الطلاق لو اختارت نفسها، وكون ذلك بمنزلة توكيلها في الطلاق، وجعل التخيير كناية عنه أو تمليكاً لها نفسها، والأصل فيه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نسائه بين المقام معه وبين مفارقته؛ لما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النَّبِيُّ قُللِّأَزْوَاجِكَ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الآیة والتي بعدها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الأصحاب، فاختلفوا فذهب جماعة؛ منهم ابن الجنيد وابن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w:t>
      </w:r>
      <w:r>
        <w:rPr>
          <w:rStyle w:val="FootnoteAnchor"/>
          <w:rtl w:val="true"/>
        </w:rPr>
        <w:footnoteReference w:id="470"/>
      </w:r>
      <w:r>
        <w:rPr>
          <w:rFonts w:ascii="Amiri" w:hAnsi="Amiri" w:eastAsia="Amiri" w:cs="Amiri"/>
          <w:color w:val="111111"/>
          <w:sz w:val="28"/>
          <w:sz w:val="28"/>
          <w:szCs w:val="28"/>
          <w:rtl w:val="true"/>
          <w:lang w:bidi="ar-SA"/>
        </w:rPr>
        <w:t>والسيّد المرتضى</w:t>
      </w:r>
      <w:r>
        <w:rPr>
          <w:rStyle w:val="FootnoteAnchor"/>
          <w:rtl w:val="true"/>
        </w:rPr>
        <w:footnoteReference w:id="471"/>
      </w:r>
      <w:r>
        <w:rPr>
          <w:rFonts w:ascii="Amiri" w:hAnsi="Amiri" w:eastAsia="Amiri" w:cs="Amiri"/>
          <w:color w:val="111111"/>
          <w:sz w:val="28"/>
          <w:sz w:val="28"/>
          <w:szCs w:val="28"/>
          <w:rtl w:val="true"/>
          <w:lang w:bidi="ar-SA"/>
        </w:rPr>
        <w:t>وظاهر ابني بابويه</w:t>
      </w:r>
      <w:r>
        <w:rPr>
          <w:rStyle w:val="FootnoteAnchor"/>
          <w:rtl w:val="true"/>
        </w:rPr>
        <w:footnoteReference w:id="472"/>
      </w:r>
      <w:r>
        <w:rPr>
          <w:rFonts w:ascii="Amiri" w:hAnsi="Amiri" w:eastAsia="Amiri" w:cs="Amiri"/>
          <w:color w:val="111111"/>
          <w:sz w:val="28"/>
          <w:sz w:val="28"/>
          <w:szCs w:val="28"/>
          <w:rtl w:val="true"/>
          <w:lang w:bidi="ar-SA"/>
        </w:rPr>
        <w:t xml:space="preserve">إلى وقوعه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اختارت نفسها بعد تخييره لها على الفور مع اجتماع شرائط الطلاق من الاستبراء وسماع الشاهدين ذلك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ومنهم الشيخ</w:t>
      </w:r>
      <w:r>
        <w:rPr>
          <w:rStyle w:val="FootnoteAnchor"/>
          <w:rtl w:val="true"/>
        </w:rPr>
        <w:footnoteReference w:id="473"/>
      </w:r>
      <w:r>
        <w:rPr>
          <w:rFonts w:ascii="IRNazanin" w:hAnsi="IRNazanin" w:eastAsia="IRNazanin"/>
          <w:color w:val="111111"/>
          <w:sz w:val="28"/>
          <w:sz w:val="28"/>
          <w:szCs w:val="28"/>
          <w:rtl w:val="true"/>
          <w:lang w:bidi="fa-IR"/>
        </w:rPr>
        <w:t>والمتأخّرون</w:t>
      </w:r>
      <w:r>
        <w:rPr>
          <w:rStyle w:val="FootnoteAnchor"/>
          <w:rtl w:val="true"/>
        </w:rPr>
        <w:footnoteReference w:id="474"/>
      </w:r>
      <w:r>
        <w:rPr>
          <w:rFonts w:ascii="Amiri" w:hAnsi="Amiri" w:eastAsia="Amiri" w:cs="Amiri"/>
          <w:color w:val="111111"/>
          <w:sz w:val="28"/>
          <w:sz w:val="28"/>
          <w:szCs w:val="28"/>
          <w:rtl w:val="true"/>
          <w:lang w:bidi="ar-SA"/>
        </w:rPr>
        <w:t>إلى عدم وقوعه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التردّد فيه إن لم يكن ميله إلى الأوّل؛ لأنّه نسب الحكم بعدم صحّته إلى الأكثر؛ ساكتاً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الخلاف اختلاف الروايات الدالّة على القولين إلّا أنّ أكثرها وأوضحها سنداً ما دلّ على الوقوع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الشيخ في التهذيب منها ستّة أخبار أكثرها من الموثّق، وفيها الحسن والصحيح، وذكر أنّه ذكر طرفاً من الأخبار الدالّة على الوقوع به، فمنها صحيحة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المخيّرة تبين من ساعتها من غير طلاق ولا ميراث بينهما، لأنّ العصمة قد بانت منها ساعة كان ذلك منها ومن الزوج</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وموثّقة محمّد بن مسلم وزرارة،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خيار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طهر من غير جماع بشهود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ورواية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خيّر امرأته،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الخيار لهما ما داما في مجلسهما، فإذا تفرّقا فلا خيار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4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وحجّة المانع أربع روايات، بعضها ضعيف السند وبعضها من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رواية العيص بن القاسم،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خيّر امرأته فاختارت نفسها، بانت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هذا شيء كان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أمر بذلك ففعل، ولو اخترن أنفسهنّ لطلّقن، وهو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لِّأَزْوَاجِكَ إِن كُنتُنَّ تُرِدْنَ الْحَيَاةَ الدُّنْيَا وَزِينَتَهَا فَتَعَالَيْنَ أُمَتِّعْكُنَّ وَأُسَرِّحْكُنَّ سَرَاحاً جَمِيلاً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أباك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نساءه فاخترن الله ورسوله فلم يمسكهنّ على طلاق ولواخترن أنفسهنّ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حديث كان يرويه أبي، عن عائشة، وما للناس والخيار، إنّما هذا شيء خصّ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وأجاب المانعون عن الأخبار الدالّة على الوقوع بحملها على التقيّة، ولو نظروا إلى أنّها أكثر وأوضح سنداً وأظهر دلالة لكان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واضح، والثاني، أنّ فيها الصحيح أو الحسن والموثّق وليس فيها ضعيف بخلاف أخبار المنع، فإنّ فيها الضعيف والمرسل والمجهول، وأمّا الثالث، فلأنّ نفي البينونة في الأوّل أعمّ من نفي الوقوع؛ لجواز وقوعه رجعيّاً، فلا دلالة له على منعه مطلقاً، فإذا حملت أخبار الوقوع على كونه رجعيّاً لم يتعارض على تقدير أن تكون مكافئة، فكيف وحالها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العلّامة في المختلف</w:t>
      </w:r>
      <w:r>
        <w:rPr>
          <w:rStyle w:val="FootnoteAnchor"/>
          <w:rtl w:val="true"/>
        </w:rPr>
        <w:footnoteReference w:id="481"/>
      </w:r>
      <w:r>
        <w:rPr>
          <w:rFonts w:ascii="Amiri" w:hAnsi="Amiri" w:eastAsia="Amiri" w:cs="Amiri"/>
          <w:color w:val="111111"/>
          <w:sz w:val="28"/>
          <w:sz w:val="28"/>
          <w:szCs w:val="28"/>
          <w:rtl w:val="true"/>
          <w:lang w:bidi="ar-SA"/>
        </w:rPr>
        <w:t>لأخبار الوقوع على ما إذا طلّقت بعد التخيير فغير سديد؛ لأنّ ذلك يقتضي كون تخييرها وكالة، ومعها لا يشترط فيه وقوعه في المجلس ولا على الفور، خلاف ما دلّت عليه تلك الأخبار، وهذا واضح</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ونقلناه بتمامه لما فيه من تحرير محلّ النزاع وبيان الأصل فيه وغيره من الفوائد،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الثلاثة هي مزايا غير منصوصة والترجيح بها إنّما يكون مع عدم المنصوصين؛ قضاءً لإطلاق أدلّتهما مع إطلاقدليل الترتيب أيضاً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أصل المسألة، وأمّا فروعها فنحيلها على المسالك</w:t>
      </w:r>
      <w:r>
        <w:rPr>
          <w:rStyle w:val="FootnoteAnchor"/>
          <w:rtl w:val="true"/>
        </w:rPr>
        <w:footnoteReference w:id="483"/>
      </w:r>
      <w:bookmarkStart w:id="275" w:name="pg9375_99411"/>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والجواهر،</w:t>
      </w:r>
      <w:r>
        <w:rPr>
          <w:rStyle w:val="FootnoteAnchor"/>
          <w:rtl w:val="true"/>
        </w:rPr>
        <w:footnoteReference w:id="484"/>
      </w:r>
      <w:r>
        <w:rPr>
          <w:rFonts w:ascii="IRNazanin" w:hAnsi="IRNazanin" w:eastAsia="IRNazanin"/>
          <w:color w:val="111111"/>
          <w:sz w:val="28"/>
          <w:sz w:val="28"/>
          <w:szCs w:val="28"/>
          <w:rtl w:val="true"/>
          <w:lang w:bidi="fa-IR"/>
        </w:rPr>
        <w:t>وما نتعرّض لها؛ لفساد الأصل</w:t>
      </w:r>
      <w:r>
        <w:rPr>
          <w:rFonts w:eastAsia="IRNazanin" w:cs="IRNazanin"/>
          <w:color w:val="111111"/>
          <w:sz w:val="28"/>
          <w:szCs w:val="28"/>
          <w:rtl w:val="true"/>
          <w:lang w:bidi="fa-IR"/>
        </w:rPr>
        <w:t>.</w:t>
      </w:r>
    </w:p>
    <w:p>
      <w:pPr>
        <w:pStyle w:val="Heading4"/>
        <w:numPr>
          <w:ilvl w:val="3"/>
          <w:numId w:val="1"/>
        </w:numPr>
        <w:rPr/>
      </w:pPr>
      <w:bookmarkStart w:id="276" w:name="__RefHeading___Toc5416615_2870459653"/>
      <w:bookmarkStart w:id="277" w:name="_Toc100"/>
      <w:bookmarkEnd w:id="276"/>
      <w:r>
        <w:rPr>
          <w:rtl w:val="true"/>
        </w:rPr>
        <w:t>تنبيهٌ</w:t>
      </w:r>
      <w:bookmarkEnd w:id="277"/>
    </w:p>
    <w:p>
      <w:pPr>
        <w:pStyle w:val="BookText"/>
        <w:rPr/>
      </w:pPr>
      <w:r>
        <w:rPr>
          <w:rFonts w:ascii="IRNazanin" w:hAnsi="IRNazanin" w:eastAsia="IRNazanin"/>
          <w:color w:val="111111"/>
          <w:sz w:val="28"/>
          <w:sz w:val="28"/>
          <w:szCs w:val="28"/>
          <w:rtl w:val="true"/>
          <w:lang w:bidi="fa-IR"/>
        </w:rPr>
        <w:t>قد رأيت ما مرّ آنفاً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أباك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حديث كان يرويه أبي، عن عائشة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الجواهر فيما أورده ثالثاً على احتمال كون شرطيّة الاتّصال بين التخيير والاختيار مبنيّاً على أنّ ذلك؛ أي التخيير عقد تمليك أو توكيل، فعلى الأوّل يعتبر الاتّصال كما في غيره من العقود، بخلاف الثاني؛ ردّاً على الشهيد الثاني بصحّة التخيير،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الغريب بعد ذلك كلّه ميل الشهيد الثاني إلى القول المزبور؛ لهذه الأخبار التي قد عرفت حالها وما يعارضها وقوّة خروجها مخرج التقيّة، بل قد عرفت التصريح في بعضها بأنّ 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عن عائشة</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وذكر في بيان الأخبار المعتبرة الدالّة على 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ما هذا لفظه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صريح في الردّ على مالك، القائل بأنّ المخيّرة على طلقة إذا اختارت زوجها، وفي أنّ الحديث الذي يرويه أُبيّ بن كعب، عنعائشة من أكاذيبها، وافتراآتها</w:t>
      </w:r>
      <w:r>
        <w:rPr>
          <w:rFonts w:eastAsia="Amiri" w:cs="Amiri" w:ascii="Amiri" w:hAnsi="Amiri"/>
          <w:color w:val="111111"/>
          <w:sz w:val="28"/>
          <w:szCs w:val="28"/>
          <w:rtl w:val="true"/>
          <w:lang w:bidi="ar-SA"/>
        </w:rPr>
        <w:t>.</w:t>
      </w:r>
      <w:r>
        <w:rPr>
          <w:rStyle w:val="FootnoteAnchor"/>
          <w:rtl w:val="true"/>
        </w:rPr>
        <w:footnoteReference w:id="486"/>
      </w:r>
      <w:bookmarkStart w:id="278" w:name="pg9375_99412"/>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أن يوكّل غيره في طلاق زوجته بالمباشرة أو بتوكيل غيره؛ سواء كان الزوج حاضراً أو غائباً، بل وكذا له أن يوكّل زوجته فيه بنفسها أو بالتوكيل، لكن لا ينبغي ترك الاحتياط بعدم توكيلها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نسبته الرواية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مع أنّ ما في كتب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كتب الفقه على ما استقصيناه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دلالة صدر الرواية وإلّا يلزم تكذيب محمّد بن مسلم من 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تغفل وكن على دقّة في النظر إلى الرواية حتّى فيما كان النظر إليها من مثل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279" w:name="__RefHeading___Toc5416617_2870459653"/>
      <w:bookmarkStart w:id="280" w:name="_Toc101"/>
      <w:bookmarkEnd w:id="279"/>
      <w:r>
        <w:rPr>
          <w:rtl w:val="true"/>
        </w:rPr>
        <w:t>جواز الوکالة في الطلاق</w:t>
      </w:r>
      <w:bookmarkEnd w:id="2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جواز الوكالة في الطلاق كغيره من الإيقاعات والعقود التي لا يعتبر فيها المباشرة ممّا لا كلام فيه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 المستفيضة الواردة في فروعها بعد الفراغ عن صحّة الأصل، كما أنّ جواز توكيل الزوج الغائب، عليه الإجماع وصرّح به في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الوكالة في الطلاق للغائب إجماعاً</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وفي الجواهر نسبه إلى قسميه،</w:t>
      </w:r>
      <w:r>
        <w:rPr>
          <w:rStyle w:val="FootnoteAnchor"/>
          <w:rtl w:val="true"/>
        </w:rPr>
        <w:footnoteReference w:id="488"/>
      </w:r>
      <w:r>
        <w:rPr>
          <w:rFonts w:ascii="Amiri" w:hAnsi="Amiri" w:eastAsia="Amiri" w:cs="Amiri"/>
          <w:color w:val="111111"/>
          <w:sz w:val="28"/>
          <w:sz w:val="28"/>
          <w:szCs w:val="28"/>
          <w:rtl w:val="true"/>
          <w:lang w:bidi="ar-SA"/>
        </w:rPr>
        <w:t>وإنّما الكلام والخلاف في الحاضر، فعن الشيخ في النهاية</w:t>
      </w:r>
      <w:r>
        <w:rPr>
          <w:rStyle w:val="FootnoteAnchor"/>
          <w:rtl w:val="true"/>
        </w:rPr>
        <w:footnoteReference w:id="489"/>
      </w:r>
      <w:r>
        <w:rPr>
          <w:rFonts w:ascii="IRNazanin" w:hAnsi="IRNazanin" w:eastAsia="IRNazanin"/>
          <w:color w:val="111111"/>
          <w:sz w:val="28"/>
          <w:sz w:val="28"/>
          <w:szCs w:val="28"/>
          <w:rtl w:val="true"/>
          <w:lang w:bidi="fa-IR"/>
        </w:rPr>
        <w:t>والمبسوط</w:t>
      </w:r>
      <w:r>
        <w:rPr>
          <w:rStyle w:val="FootnoteAnchor"/>
          <w:rtl w:val="true"/>
        </w:rPr>
        <w:footnoteReference w:id="490"/>
      </w:r>
      <w:r>
        <w:rPr>
          <w:rFonts w:ascii="IRNazanin" w:hAnsi="IRNazanin" w:eastAsia="IRNazanin"/>
          <w:color w:val="111111"/>
          <w:sz w:val="28"/>
          <w:sz w:val="28"/>
          <w:szCs w:val="28"/>
          <w:rtl w:val="true"/>
          <w:lang w:bidi="fa-IR"/>
        </w:rPr>
        <w:t>وأتباعه</w:t>
      </w:r>
      <w:r>
        <w:rPr>
          <w:rStyle w:val="FootnoteAnchor"/>
          <w:rtl w:val="true"/>
        </w:rPr>
        <w:footnoteReference w:id="491"/>
      </w:r>
      <w:r>
        <w:rPr>
          <w:rFonts w:ascii="Amiri" w:hAnsi="Amiri" w:eastAsia="Amiri" w:cs="Amiri"/>
          <w:color w:val="111111"/>
          <w:sz w:val="28"/>
          <w:sz w:val="28"/>
          <w:szCs w:val="28"/>
          <w:rtl w:val="true"/>
          <w:lang w:bidi="ar-SA"/>
        </w:rPr>
        <w:t>عدم الجواز، بل عنه نسبته في المبسوط</w:t>
      </w:r>
      <w:r>
        <w:rPr>
          <w:rStyle w:val="FootnoteAnchor"/>
          <w:rtl w:val="true"/>
        </w:rPr>
        <w:footnoteReference w:id="492"/>
      </w:r>
      <w:r>
        <w:rPr>
          <w:rFonts w:ascii="IRNazanin" w:hAnsi="IRNazanin" w:eastAsia="IRNazanin"/>
          <w:color w:val="111111"/>
          <w:sz w:val="28"/>
          <w:sz w:val="28"/>
          <w:szCs w:val="28"/>
          <w:rtl w:val="true"/>
          <w:lang w:bidi="fa-IR"/>
        </w:rPr>
        <w:t xml:space="preserve">إلى أصحابنا،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المشهور، الجواز وهو المنصور؛ لإطلاق أدلّة الوكالة فيما لا غرض للشارع في اعتبار المباشرة فيه كالعقود والإيقاعات التي منها الطلاق، وإطلاق صحيحة سعيد الأعرج،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أمر امرأته إلى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قد جعلت أمر فلانة إلى فلان، فيطلّقها أ يجوز ذلك للرجل؟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التي فيها ترك الاستفصال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الشيخ ومن تبعه هو الجمع بين خبر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الوكالة في الطلاق</w:t>
      </w:r>
      <w:r>
        <w:rPr>
          <w:rFonts w:eastAsia="IRNazanin" w:cs="IRNazanin"/>
          <w:color w:val="111111"/>
          <w:sz w:val="28"/>
          <w:szCs w:val="28"/>
          <w:rtl w:val="true"/>
          <w:lang w:bidi="fa-IR"/>
        </w:rPr>
        <w:t>».</w:t>
      </w:r>
      <w:r>
        <w:rPr>
          <w:rStyle w:val="FootnoteAnchor"/>
          <w:rtl w:val="true"/>
        </w:rPr>
        <w:footnoteReference w:id="494"/>
      </w:r>
      <w:r>
        <w:rPr>
          <w:rFonts w:ascii="Amiri" w:hAnsi="Amiri" w:eastAsia="Amiri" w:cs="Amiri"/>
          <w:color w:val="111111"/>
          <w:sz w:val="28"/>
          <w:sz w:val="28"/>
          <w:szCs w:val="28"/>
          <w:rtl w:val="true"/>
          <w:lang w:bidi="ar-SA"/>
        </w:rPr>
        <w:t>والأخبار الدالّة على الجواز التي منها صحيحة الأعرج على الحاضر وتلك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الشاهد له، أنّ الترجيح لمثل صحيحة الأعرج، فإنّ صحّتها معلومة، وأمّا خبر زرارة، فإنّه على أحد سنديه على وثاقة جعفر بن سماعة موثّق، وعلى السند الآخر وإن كان على وثاقة معلّى بن محمّد صحيحاً، لكنّ الوثاقة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إلّا أنّه شيخ الإجازة، ولذلك وقع الخلاف فيه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الاستدلال على ذلك بظهور نصوص حصر الطلاق الصحيح في قول الرجل لامرأته في قُبُل العدّة بعد ما تطهر من حيضها قبل أن يجامعها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أنّها مساقة سوق التعريفالملحوظ قيديّة كلّ ما يذكر فيه، وحينئذٍ فمن ذلك، المباشرة المزبورة المعلوم انتفاء اعتبارها في الغائب؛ مؤيّداً بخبر زرارة، بل لعلّ ذلك هو الوجه فيما يحكى عن الشيخ</w:t>
      </w:r>
      <w:r>
        <w:rPr>
          <w:rStyle w:val="FootnoteAnchor"/>
          <w:rtl w:val="true"/>
        </w:rPr>
        <w:footnoteReference w:id="495"/>
      </w:r>
      <w:r>
        <w:rPr>
          <w:rFonts w:ascii="IRNazanin" w:hAnsi="IRNazanin" w:eastAsia="IRNazanin"/>
          <w:color w:val="111111"/>
          <w:sz w:val="28"/>
          <w:sz w:val="28"/>
          <w:szCs w:val="28"/>
          <w:rtl w:val="true"/>
          <w:lang w:bidi="fa-IR"/>
        </w:rPr>
        <w:t xml:space="preserve">من اعتبار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عن البلد وإن حكي عنه</w:t>
      </w:r>
      <w:r>
        <w:rPr>
          <w:rStyle w:val="FootnoteAnchor"/>
          <w:rtl w:val="true"/>
        </w:rPr>
        <w:footnoteReference w:id="496"/>
      </w:r>
      <w:r>
        <w:rPr>
          <w:rFonts w:ascii="Amiri" w:hAnsi="Amiri" w:eastAsia="Amiri" w:cs="Amiri"/>
          <w:color w:val="111111"/>
          <w:sz w:val="28"/>
          <w:sz w:val="28"/>
          <w:szCs w:val="28"/>
          <w:rtl w:val="true"/>
          <w:lang w:bidi="ar-SA"/>
        </w:rPr>
        <w:t>الاكتفاء بالغيبة عن المجلس، لكنّه خلاف ما صرّح به؛ لأنّه المتيقّن من عدم اعتبار المباشرة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يدفع ذلك بمنع الظنّ ولو للشهرة العظيمة باستفادة اعتبار المباشرة من ذلك، خصوصاً بعد سوقها في إرادة بيان عدم الاجتزاء بالكناية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ولذا لم يعتبر في الصيغة، الخطاب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ورودها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فالاحتياط لا ينبغي تركه؛ لأنّ أمر الفرج شديد</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ثمّ إنّه هل يصحّ توكيل الزوجة أم لا؟ فعن الشيخ</w:t>
      </w:r>
      <w:r>
        <w:rPr>
          <w:rStyle w:val="FootnoteAnchor"/>
          <w:rtl w:val="true"/>
        </w:rPr>
        <w:footnoteReference w:id="498"/>
      </w:r>
      <w:r>
        <w:rPr>
          <w:rFonts w:ascii="IRNazanin" w:hAnsi="IRNazanin" w:eastAsia="IRNazanin"/>
          <w:color w:val="111111"/>
          <w:sz w:val="28"/>
          <w:sz w:val="28"/>
          <w:szCs w:val="28"/>
          <w:rtl w:val="true"/>
          <w:lang w:bidi="fa-IR"/>
        </w:rPr>
        <w:t>أنّه لا يصحّ ولو في حال الغيبة؛ لظهور تلك النصوص في غيره، لما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استناده في المنع إلى أنّ القابل لا يكون فاعلاً، وظاهر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w:t>
      </w:r>
      <w:r>
        <w:rPr>
          <w:rStyle w:val="FootnoteAnchor"/>
          <w:rtl w:val="true"/>
        </w:rPr>
        <w:footnoteReference w:id="49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وكلّها كما ترى، فإنّ المغايرة بين القابل والفاعل يكفي فيها الاعتبار وهما مختلفان بالحيثيّة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والاختلاف اعتباراً وحيثيّة كافٍ في العقود المركبّة من الإيجاب والقبول فضلاً عن الإيقاع الذي هو ليس إلّا من طرف واحد، وأمّا النبويّ ففيه ما لا يخفى من أنّ التوكيل من جانبه لا ينافي كون الطلاق بيده، بل يكون مؤيّداً له، حيث إنّ التوكيل ليس إلّا منقبل من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إطلاق أدلّة الوكالة فيما لا غرض للشارع في اعتبار المباشرة كما يشمل غير الزوجة على تسليم الدلالة فكذلك الزوجة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يوكّلها على أنّه لو طال سفره أزيد من ثلاثة شهور مثلاً أو سامح في إنفاقها أزيد من شهر مثلاً طلّقت نفسها، لكن بشرط أن يكون الشرط قيداً للموكّل فيه، لا تعليقاً في الوكالة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صيغة الطلاق التنجيز، فلو علّقه على شرط بطل؛ سواء كان ممّا يحتمل وقوعه،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ممّا يُتيقّن حصوله،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في الاستدلال على المشهور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فعل يقبل النيابة، والمحلّ قابل، فجاز، كما لو وكّل غيرها من النساء، أو توكّلت في طلاق غيرها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ولعلّه يرجع إلى ما ذكرنا أو إلى إلغاء الخصوصيّة من النصوص المدّعى ظهورها في الاختصاص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ظهر ممّا ذكر أنّ الحقّ ما في المتن الذي هو المشهور، كما قد ظهر منه أيضاً عدم تماميّة ما في الكفاية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وكّلها في طلاق نفسها ففي صحّته قولان، والأدلّة من الجانبين محلّ البحث</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المؤذن بالتوقّف، ومثله المحدّث الكاشاني في المفاتيح</w:t>
      </w:r>
      <w:r>
        <w:rPr>
          <w:rStyle w:val="FootnoteAnchor"/>
          <w:rtl w:val="true"/>
        </w:rPr>
        <w:footnoteReference w:id="502"/>
      </w:r>
      <w:r>
        <w:rPr>
          <w:rFonts w:ascii="Amiri" w:hAnsi="Amiri" w:eastAsia="Amiri" w:cs="Amiri"/>
          <w:color w:val="111111"/>
          <w:sz w:val="28"/>
          <w:sz w:val="28"/>
          <w:szCs w:val="28"/>
          <w:rtl w:val="true"/>
          <w:lang w:bidi="ar-SA"/>
        </w:rPr>
        <w:t>على المحكيّ عنه، حيث إنّه اقتصر على نقل القولين من غير ترجيح، وقد ظهر أيضاً وجه الاحتياط</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فإنّ إطلاقات الوكالة وعموماتها وكذا أدلّة العقود دالّة على الجواز، فيما كان الشرط قيداً للموكّل فيه كغيره من الشروطوالقيود فيه كالتعليق في غيرها من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التعليق في الوكالة نفسها يوجب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جواز تعليقه على ما يكون معلّقاً عليه في الواقع،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فلانة زوجتي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عالماً بأنّها زوجته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التنجيز ومبطليّة التعليق من دون الفرق بين الصفة، وهي الأمر المعلوم الحصول والشرط وهو المشكوك الحصول، هو قول مشهور على ما في الشرائع، بل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فيه على مخالفٍ منّا</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بل عن الانتصار</w:t>
      </w:r>
      <w:r>
        <w:rPr>
          <w:rStyle w:val="FootnoteAnchor"/>
          <w:rtl w:val="true"/>
        </w:rPr>
        <w:footnoteReference w:id="504"/>
      </w:r>
      <w:r>
        <w:rPr>
          <w:rFonts w:ascii="Amiri" w:hAnsi="Amiri" w:eastAsia="Amiri" w:cs="Amiri"/>
          <w:color w:val="111111"/>
          <w:sz w:val="28"/>
          <w:sz w:val="28"/>
          <w:szCs w:val="28"/>
          <w:rtl w:val="true"/>
          <w:lang w:bidi="ar-SA"/>
        </w:rPr>
        <w:t>والإيضاح</w:t>
      </w:r>
      <w:r>
        <w:rPr>
          <w:rStyle w:val="FootnoteAnchor"/>
          <w:rtl w:val="true"/>
        </w:rPr>
        <w:footnoteReference w:id="505"/>
      </w:r>
      <w:r>
        <w:rPr>
          <w:rFonts w:ascii="Amiri" w:hAnsi="Amiri" w:eastAsia="Amiri" w:cs="Amiri"/>
          <w:color w:val="111111"/>
          <w:sz w:val="28"/>
          <w:sz w:val="28"/>
          <w:szCs w:val="28"/>
          <w:rtl w:val="true"/>
          <w:lang w:bidi="ar-SA"/>
        </w:rPr>
        <w:t>والتنقيح</w:t>
      </w:r>
      <w:r>
        <w:rPr>
          <w:rStyle w:val="FootnoteAnchor"/>
          <w:rtl w:val="true"/>
        </w:rPr>
        <w:footnoteReference w:id="506"/>
      </w:r>
      <w:r>
        <w:rPr>
          <w:rFonts w:ascii="Amiri" w:hAnsi="Amiri" w:eastAsia="Amiri" w:cs="Amiri"/>
          <w:color w:val="111111"/>
          <w:sz w:val="28"/>
          <w:sz w:val="28"/>
          <w:szCs w:val="28"/>
          <w:rtl w:val="true"/>
          <w:lang w:bidi="ar-SA"/>
        </w:rPr>
        <w:t>والروضة</w:t>
      </w:r>
      <w:r>
        <w:rPr>
          <w:rStyle w:val="FootnoteAnchor"/>
          <w:rtl w:val="true"/>
        </w:rPr>
        <w:footnoteReference w:id="507"/>
      </w:r>
      <w:r>
        <w:rPr>
          <w:rFonts w:ascii="IRNazanin" w:hAnsi="IRNazanin" w:eastAsia="IRNazanin"/>
          <w:color w:val="111111"/>
          <w:sz w:val="28"/>
          <w:sz w:val="28"/>
          <w:szCs w:val="28"/>
          <w:rtl w:val="true"/>
          <w:lang w:bidi="fa-IR"/>
        </w:rPr>
        <w:t>والسرائر</w:t>
      </w:r>
      <w:r>
        <w:rPr>
          <w:rStyle w:val="FootnoteAnchor"/>
          <w:rtl w:val="true"/>
        </w:rPr>
        <w:footnoteReference w:id="508"/>
      </w:r>
      <w:r>
        <w:rPr>
          <w:rFonts w:ascii="Amiri" w:hAnsi="Amiri" w:eastAsia="Amiri" w:cs="Amiri"/>
          <w:color w:val="111111"/>
          <w:sz w:val="28"/>
          <w:sz w:val="28"/>
          <w:szCs w:val="28"/>
          <w:rtl w:val="true"/>
          <w:lang w:bidi="ar-SA"/>
        </w:rPr>
        <w:t>وغيرها</w:t>
      </w:r>
      <w:r>
        <w:rPr>
          <w:rStyle w:val="FootnoteAnchor"/>
          <w:rtl w:val="true"/>
        </w:rPr>
        <w:footnoteReference w:id="509"/>
      </w:r>
      <w:r>
        <w:rPr>
          <w:rFonts w:ascii="Amiri" w:hAnsi="Amiri" w:eastAsia="Amiri" w:cs="Amiri"/>
          <w:color w:val="111111"/>
          <w:sz w:val="28"/>
          <w:sz w:val="28"/>
          <w:szCs w:val="28"/>
          <w:rtl w:val="true"/>
          <w:lang w:bidi="ar-SA"/>
        </w:rPr>
        <w:t>الإجماع عليه، لكنّ العامّة قد أطبقوا على الجواز هنا واستدلّ لاشتراطه بوجوه مشتركة بين باب الإيقاع والطلاق وبقيّة الأبواب من العقود، وبوجوهٍ مختصّة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والمشتركة كلّها درائيّة، كما أنّ المختصّة ليست رواية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القول بأنّه لا نصّ على الحكم في المسألة ليس بجزافٍ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الوجوه المشتركة، فنذكر هنا أربعة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والإنشاء سببٌ شرعاً فكما أنّ انفكاك المسبّب العقلي عن السبب العقلي غير ممكن ومحال فكذا الشرعي منه والتعليق مستلزم لذلككما لا 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جعل الإنشاء سبباً فجعل السبب مع الشرط خلاف جعله ويكون مستلزماً لمشرعيّة المعلّق بالكسر وللدخالة في أمر التشريع، مع أنّه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إلّا لله يقصّ الحقّ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كذلك في الحقيقة من الشروط المخالفة للكتاب والسنّة والمحلّلة حراماً، ضرورة أنّه بعد ظهور الأدلّة في ترتّب الأثر على السبب الذي هو الصيغة فاشتراط تأخّره إلى حصول المعلّق عليه مخالف لذلك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هو الإيجاد وهو دائر بين الوجود والعدم فالتعليق والترديد فيه غير متصوّر وغير قابل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الظاهر كون أكثر هذه الوجوه متّخذة من العامّة، فكيف أطبقوا على الجواز هنا مع أنّ الطلاق أولى من العقود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المختصّة، فهي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w:t>
      </w:r>
      <w:r>
        <w:rPr>
          <w:rStyle w:val="FootnoteAnchor"/>
          <w:rtl w:val="true"/>
        </w:rPr>
        <w:footnoteReference w:id="510"/>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الحاصرة، حيث كانت تدلّ بالحصر على الوقوع بصيغة خاصّة وتكون الصيغة مع القيد خارجة عنها، وظهور موثّقة حسن بن سماعة، 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الطلاق إلّا كما روى بكير بن أعين أن يقول لها وهي طاهر من غير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ويشهد شاهدين عدلين، وكلّ ما سوى ذلك فهو ملغى</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هذا كلّه مع أنّ عدم الصحّة موافق لأصالة بقاء النكاح وأحكامه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الوجوه الأربعة الأُولى ما لا يخفى، بل الوجهين الآخرينأيضاً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تلك الوجوه متّخذة من الأُمور الواقعيّة ومربوطة بها، والباب باب الاعتبار الذي يكون تمام قوامه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والمقايسة غير صحيحة، ولذا لا مانع في الجمع بين الأضداد في الاعتباريّات ويكون ممكناً، بل هو واقع في 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المتوضّأ بالماء المشكوك طهارته، فإنّه محكوم ببقاء الحدث وطهارة البدن؛ للأصل فيهما مع ما بينهما من التضادّ كما هو واضح</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وأمّا الإجماع، فغير مستفاد من عبارة الشيخ،</w:t>
      </w:r>
      <w:r>
        <w:rPr>
          <w:rStyle w:val="FootnoteAnchor"/>
          <w:rtl w:val="true"/>
        </w:rPr>
        <w:footnoteReference w:id="513"/>
      </w:r>
      <w:r>
        <w:rPr>
          <w:rFonts w:ascii="IRNazanin" w:hAnsi="IRNazanin" w:eastAsia="IRNazanin"/>
          <w:color w:val="111111"/>
          <w:sz w:val="28"/>
          <w:sz w:val="28"/>
          <w:szCs w:val="28"/>
          <w:rtl w:val="true"/>
          <w:lang w:bidi="fa-IR"/>
        </w:rPr>
        <w:t>بل المستفاد منه هو عدم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الروايات،</w:t>
      </w:r>
      <w:r>
        <w:rPr>
          <w:rStyle w:val="FootnoteAnchor"/>
          <w:rtl w:val="true"/>
        </w:rPr>
        <w:footnoteReference w:id="514"/>
      </w:r>
      <w:r>
        <w:rPr>
          <w:rFonts w:ascii="Amiri" w:hAnsi="Amiri" w:eastAsia="Amiri" w:cs="Amiri"/>
          <w:color w:val="111111"/>
          <w:sz w:val="28"/>
          <w:sz w:val="28"/>
          <w:szCs w:val="28"/>
          <w:rtl w:val="true"/>
          <w:lang w:bidi="ar-SA"/>
        </w:rPr>
        <w:t>فالحصر في غير الموثّقة منها إضافي وناظر إلى نفي ما عليه العامّة من الوقوع بمثل أنت خليّة وبريّة وغيرهما من الكنايات وأمثالها، لا حقيقي كما لا يخفى، 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الحصر موجب للوقوع مع الشرط مثل ما لا 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الموثّقة،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فيها وإن كان من ألفاظ العموم، لكنّه كغيره من ألفاظ العموم يكون موضوعاً لتكثير تاليه والعموم فيه، لا أنّه للعموم بنفسه كالجمع المحلّى بالألف واللام، فعمومه تابع للتالي سعة وضيقاً، ولمّا أنّ التالي في الموثّقة؛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فمن المحتمل فيه أن يكون إطلاقه كالحصر في غيرها ناظراً إلى ذلك؛ لاحتمال كونه في مقام البيان بالنسبة إليها لا البيان المطلق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على ذلك مورد السؤال، فتكون الموثّقة كغيرها ناظرة إلىكلمات العامّة، وإن أبيت عن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البيان هو البيان على الإطلاق لا الإضافة فنقول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أقلّ من الانصراف إلى غير المعلّق فإنّه الرائج والدائر في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حيث كانوا يجوّزون الطلاق مع التعليق فيمكن أن يكون الحصر فيها ناظراً إلى هذا القول منهم كغيره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الشهيد الثاني إلى صحّة التعليق؛</w:t>
      </w:r>
      <w:r>
        <w:rPr>
          <w:rStyle w:val="FootnoteAnchor"/>
          <w:rtl w:val="true"/>
        </w:rPr>
        <w:footnoteReference w:id="516"/>
      </w:r>
      <w:r>
        <w:rPr>
          <w:rFonts w:ascii="Amiri" w:hAnsi="Amiri" w:eastAsia="Amiri" w:cs="Amiri"/>
          <w:color w:val="111111"/>
          <w:sz w:val="28"/>
          <w:sz w:val="28"/>
          <w:szCs w:val="28"/>
          <w:rtl w:val="true"/>
          <w:lang w:bidi="ar-SA"/>
        </w:rPr>
        <w:t>محتجّاً بعمومات الطلاق وبوقوعه في الظهار ونحوه ممّا ثبت في الأدلّة مؤيّداً له بأنّ في تعليقه حكمة لا تحصل في المنجّز، فإنّ المرأة قد تخالف الرجل في بعض مقاصده، فتفعل ما يكرهه، وتمتنع ممّا يرغب فيه، ويكره الرجل طلاقها من حيث إنّه أبغض المباحات إلى الله تعالى شأنه، ومن حيث إنّه يرجو موافقتها، فيحتاج إلى تعليق الطلاق بفعل ما يكرهه أو ترك ما يريده؛ فإمّا أن تمتنع وتفعل فيحصل غرضه، أو تخالف فتكون هي المختارة للطلاق</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وبما في الجواهر من الخبر العامّي عن عبدالرحمن بن عوف،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دعتني أُمّي إلى قريب لها فراودتني في المهر،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نكحتها فهي طالق، ثمّ سألت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قبل النكاح</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بالعمومات المراد منها الإطلاقات صحيحٌ، وادّعاء الانصراف كما في الحدائق</w:t>
      </w:r>
      <w:r>
        <w:rPr>
          <w:rStyle w:val="FootnoteAnchor"/>
          <w:rtl w:val="true"/>
        </w:rPr>
        <w:footnoteReference w:id="519"/>
      </w:r>
      <w:r>
        <w:rPr>
          <w:rFonts w:ascii="Amiri" w:hAnsi="Amiri" w:eastAsia="Amiri" w:cs="Amiri"/>
          <w:color w:val="111111"/>
          <w:sz w:val="28"/>
          <w:sz w:val="28"/>
          <w:szCs w:val="28"/>
          <w:rtl w:val="true"/>
          <w:lang w:bidi="ar-SA"/>
        </w:rPr>
        <w:t xml:space="preserve">غير وجيهٍ، لكن شبهة دلالة الروايات الحاصرة والموثّقة على </w:t>
      </w:r>
      <w:bookmarkStart w:id="281" w:name="pg9375_99420"/>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کرّر صیغة الطلاق ثلاثاً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طالق، هي طالق، هي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تخلّل رجعة في البین قاصداً تعدّده تقع واحدة ولغت الأُخريان،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طالق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يقع الثلاث قطعاً، والأقوى وقوع واحدة كالصورة السابقة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خلافه وكذا عدم الخلاف المدّعى وعدم نقل الخلاف حتّى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تمنع عن الأخذ بها وعن إسراء الحكم من مثل الظهار إلى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الحكمة المذكورة، فضعف التأييد بمثلها ممّا لا يخفى على مذهب الإماميّة، والجواب بنفي الطلاق قبل النكاح وعدم الجواب ببطلان التعليق كما يمكن أن يكون لما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جهة أولويّة التعليل بمثل الذاتي عن التعليل بمثل العرضي وإن كان هو أيضاً موجبا للبطلان فالحقّ أنّ التعليق هنا أيضاً مخلّ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يخفى أنّ مقتضى الاستدلال للتنجيز بمثل عدم إمكان تأخّر المسبّب عن السبب عدم البطلان فيما كان التعليق على شرط في الحال دون الاستقبال، بلا فرق بين الأُمور الدخيلة في الطلاق وغيرها، وبين ما كان معلوم الحصول أو مشكوكه، بل الدخيلة خارجة أيضاً عن الاستدلال بالدخالة في الجعل وبالمخالفة للكتاب والسنّة کما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كلّه يعلم أنّ غيره هو القدر المتيقّن من الإجماع وعدم الخلاف واكتفى في المتن بالأوّل احتياطاً لأهميّة الطلاق</w:t>
      </w:r>
      <w:r>
        <w:rPr>
          <w:rFonts w:eastAsia="IRNazanin" w:cs="IRNazanin"/>
          <w:color w:val="111111"/>
          <w:sz w:val="28"/>
          <w:szCs w:val="28"/>
          <w:rtl w:val="true"/>
          <w:lang w:bidi="fa-IR"/>
        </w:rPr>
        <w:t>.</w:t>
      </w:r>
    </w:p>
    <w:p>
      <w:pPr>
        <w:pStyle w:val="Heading3"/>
        <w:numPr>
          <w:ilvl w:val="2"/>
          <w:numId w:val="1"/>
        </w:numPr>
        <w:rPr/>
      </w:pPr>
      <w:bookmarkStart w:id="282" w:name="__RefHeading___Toc5416619_2870459653"/>
      <w:bookmarkStart w:id="283" w:name="_Toc102"/>
      <w:bookmarkEnd w:id="282"/>
      <w:r>
        <w:rPr>
          <w:rtl w:val="true"/>
        </w:rPr>
        <w:t>حکم الطلاق ثلاثاً</w:t>
      </w:r>
      <w:bookmarkEnd w:id="28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ويدلّ عليه معتبرة إسحاق بن عمّار، إن لم تكنصحيحة</w:t>
      </w:r>
      <w:r>
        <w:rPr>
          <w:rStyle w:val="FootnoteAnchor"/>
          <w:rtl w:val="true"/>
        </w:rPr>
        <w:footnoteReference w:id="520"/>
      </w:r>
      <w:r>
        <w:rPr>
          <w:rFonts w:ascii="IRNazanin" w:hAnsi="IRNazanin" w:eastAsia="IRNazanin"/>
          <w:color w:val="111111"/>
          <w:sz w:val="28"/>
          <w:sz w:val="28"/>
          <w:szCs w:val="28"/>
          <w:rtl w:val="true"/>
          <w:lang w:bidi="fa-IR"/>
        </w:rPr>
        <w:t xml:space="preserve">فقد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الشيخ رحمه الله عن محمّد بن أحمد بن يحيى، عن الحسن بن موسى الخشّاب، عن غياث بن كلوب بن فيهس البجلي، عن إسحاق بن عمّار الصيرفي، عن جعفر،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قبل أن يدخل بها ثلاثاً في كلمة واحدة فقد بانت منه ولا ميراث بينهما ولا رجعة ولا تحلّ له حتّى تنكح زوجاً غيره،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طالق، هي طالق، هي طالق، فقد بانت منه بالأُولى، وهو خاطب من الخطّاب إن شاءت نكحته نكاحاً جديداً وإن شاءت لم تفعل</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وهذا لا كلام فيه إذا كان بلا رجوع بينهما وإلّا يأتي البحث فيه، وإنّما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في مجلس واحد فإنّه محلّ خلاف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العامّة فهم متّفقون على وقوع الثلاث مطلقاً مفصّلاً كان أو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مقامان؛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مفصّلة؛ أي مكرّرة من دون الرجوع بينها،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خلاف في صحّة الواحدة منها دون الثلاثة، ويدلّ عليه رواية إسحاق بن عمّار الصيرفي كما مرّ</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فعن المرتضى في الانتصار</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في الجواهر أنّهلم يتحقّقه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وابني عقيل</w:t>
      </w:r>
      <w:r>
        <w:rPr>
          <w:rStyle w:val="FootnoteAnchor"/>
          <w:rtl w:val="true"/>
        </w:rPr>
        <w:footnoteReference w:id="525"/>
      </w:r>
      <w:r>
        <w:rPr>
          <w:rFonts w:ascii="Amiri" w:hAnsi="Amiri" w:eastAsia="Amiri" w:cs="Amiri"/>
          <w:color w:val="111111"/>
          <w:sz w:val="28"/>
          <w:sz w:val="28"/>
          <w:szCs w:val="28"/>
          <w:rtl w:val="true"/>
          <w:lang w:bidi="ar-SA"/>
        </w:rPr>
        <w:t xml:space="preserve">وحمزة </w:t>
      </w:r>
      <w:r>
        <w:rPr>
          <w:rStyle w:val="FootnoteAnchor"/>
          <w:rtl w:val="true"/>
        </w:rPr>
        <w:footnoteReference w:id="526"/>
      </w:r>
      <w:r>
        <w:rPr>
          <w:rFonts w:ascii="Amiri" w:hAnsi="Amiri" w:eastAsia="Amiri" w:cs="Amiri"/>
          <w:color w:val="111111"/>
          <w:sz w:val="28"/>
          <w:sz w:val="28"/>
          <w:szCs w:val="28"/>
          <w:rtl w:val="true"/>
          <w:lang w:bidi="ar-SA"/>
        </w:rPr>
        <w:t>وسلّار</w:t>
      </w:r>
      <w:r>
        <w:rPr>
          <w:rStyle w:val="FootnoteAnchor"/>
          <w:rtl w:val="true"/>
        </w:rPr>
        <w:footnoteReference w:id="527"/>
      </w:r>
      <w:r>
        <w:rPr>
          <w:rFonts w:ascii="Amiri" w:hAnsi="Amiri" w:eastAsia="Amiri" w:cs="Amiri"/>
          <w:color w:val="111111"/>
          <w:sz w:val="28"/>
          <w:sz w:val="28"/>
          <w:szCs w:val="28"/>
          <w:rtl w:val="true"/>
          <w:lang w:bidi="ar-SA"/>
        </w:rPr>
        <w:t>ويحيى بن سعيد،</w:t>
      </w:r>
      <w:r>
        <w:rPr>
          <w:rStyle w:val="FootnoteAnchor"/>
          <w:rtl w:val="true"/>
        </w:rPr>
        <w:footnoteReference w:id="528"/>
      </w:r>
      <w:r>
        <w:rPr>
          <w:rFonts w:ascii="Amiri" w:hAnsi="Amiri" w:eastAsia="Amiri" w:cs="Amiri"/>
          <w:color w:val="111111"/>
          <w:sz w:val="28"/>
          <w:sz w:val="28"/>
          <w:szCs w:val="28"/>
          <w:rtl w:val="true"/>
          <w:lang w:bidi="ar-SA"/>
        </w:rPr>
        <w:t>البطلان من رأسٍ والمشهور بين الأصحاب عن المرتضى في الناصريّات</w:t>
      </w:r>
      <w:r>
        <w:rPr>
          <w:rStyle w:val="FootnoteAnchor"/>
          <w:rtl w:val="true"/>
        </w:rPr>
        <w:footnoteReference w:id="529"/>
      </w:r>
      <w:r>
        <w:rPr>
          <w:rFonts w:ascii="Amiri" w:hAnsi="Amiri" w:eastAsia="Amiri" w:cs="Amiri"/>
          <w:color w:val="111111"/>
          <w:sz w:val="28"/>
          <w:sz w:val="28"/>
          <w:szCs w:val="28"/>
          <w:rtl w:val="true"/>
          <w:lang w:bidi="ar-SA"/>
        </w:rPr>
        <w:t>ما يشعر بالإجماع عليه وكذا ما عن الخلاف،</w:t>
      </w:r>
      <w:r>
        <w:rPr>
          <w:rStyle w:val="FootnoteAnchor"/>
          <w:rtl w:val="true"/>
        </w:rPr>
        <w:footnoteReference w:id="530"/>
      </w:r>
      <w:r>
        <w:rPr>
          <w:rFonts w:ascii="Amiri" w:hAnsi="Amiri" w:eastAsia="Amiri" w:cs="Amiri"/>
          <w:color w:val="111111"/>
          <w:sz w:val="28"/>
          <w:sz w:val="28"/>
          <w:szCs w:val="28"/>
          <w:rtl w:val="true"/>
          <w:lang w:bidi="ar-SA"/>
        </w:rPr>
        <w:t>بل المحكيّ عن العلّامة في نهج الحقّ</w:t>
      </w:r>
      <w:r>
        <w:rPr>
          <w:rStyle w:val="FootnoteAnchor"/>
          <w:rtl w:val="true"/>
        </w:rPr>
        <w:footnoteReference w:id="531"/>
      </w:r>
      <w:r>
        <w:rPr>
          <w:rFonts w:ascii="Amiri" w:hAnsi="Amiri" w:eastAsia="Amiri" w:cs="Amiri"/>
          <w:color w:val="111111"/>
          <w:sz w:val="28"/>
          <w:sz w:val="28"/>
          <w:szCs w:val="28"/>
          <w:rtl w:val="true"/>
          <w:lang w:bidi="ar-SA"/>
        </w:rPr>
        <w:t>ذلك صريحاً أنّه يقع طلقة واحدة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طالق ويلغو الثلاث التالي له وليس محلّ البحث ما أُريد من الصيغة ثلاثاً بل محلّه هو أنّ الصيغة استعملت في معناها ولكن أُريد أنّه ثلاث مرّات مثل ما أُريد من تقييد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عدد الليالي والدهور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 في القضيّة هو اختلاف الروايات وإلّا فالبطلان من رأس ممّا لا إشكال فيه ولا كلام ظاهراً حتّى من العامّة، حيث إنّه لم يعلم بعدُ كونه من الأغلاط أو المجاز حتّى يقع البحث عن صحّة الصيغة بذلك النحو من المجاز</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فمورد البحث هو تعدّد الدالّ والمدلول بمعنى استعمال لفظ الطلاق في معناه واستعمال التالي؛ أي ثلاثاً في معناه أيضاً فإنّه المناسب مع التفريع على الشرط الثالث في مثل القواعد وهو عدم تعقّب الصيغة بمايبطلها </w:t>
      </w:r>
      <w:r>
        <w:rPr>
          <w:rStyle w:val="FootnoteAnchor"/>
          <w:rtl w:val="true"/>
        </w:rPr>
        <w:footnoteReference w:id="532"/>
      </w:r>
      <w:r>
        <w:rPr>
          <w:rFonts w:ascii="Amiri" w:hAnsi="Amiri" w:eastAsia="Amiri" w:cs="Amiri"/>
          <w:color w:val="111111"/>
          <w:sz w:val="28"/>
          <w:sz w:val="28"/>
          <w:szCs w:val="28"/>
          <w:rtl w:val="true"/>
          <w:lang w:bidi="ar-SA"/>
        </w:rPr>
        <w:t>ومع عنوانه في مقابل اعتبار الصراحة أو اعتبار الدلالة ولو بالمجاز والكناية دون وحدة المدلول وتعدّد الدالّ كما هو ظاهر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في هذه المسألة والخروج من الروايات مشكل جدّاً ولابدّ إلّا من الاستعانة بالله وذلك للاختلاف في الاستنباط من مثل صاحبي الرياض</w:t>
      </w:r>
      <w:r>
        <w:rPr>
          <w:rStyle w:val="FootnoteAnchor"/>
          <w:rtl w:val="true"/>
        </w:rPr>
        <w:footnoteReference w:id="533"/>
      </w:r>
      <w:r>
        <w:rPr>
          <w:rFonts w:ascii="IRNazanin" w:hAnsi="IRNazanin" w:eastAsia="IRNazanin"/>
          <w:color w:val="111111"/>
          <w:sz w:val="28"/>
          <w:sz w:val="28"/>
          <w:szCs w:val="28"/>
          <w:rtl w:val="true"/>
          <w:lang w:bidi="fa-IR"/>
        </w:rPr>
        <w:t>والجواهر،</w:t>
      </w:r>
      <w:r>
        <w:rPr>
          <w:rStyle w:val="FootnoteAnchor"/>
          <w:rtl w:val="true"/>
        </w:rPr>
        <w:footnoteReference w:id="534"/>
      </w:r>
      <w:r>
        <w:rPr>
          <w:rFonts w:ascii="IRNazanin" w:hAnsi="IRNazanin" w:eastAsia="IRNazanin"/>
          <w:color w:val="111111"/>
          <w:sz w:val="28"/>
          <w:sz w:val="28"/>
          <w:szCs w:val="28"/>
          <w:rtl w:val="true"/>
          <w:lang w:bidi="fa-IR"/>
        </w:rPr>
        <w:t>فالسيّد يرى دلالة الأخبار على المشهور والجواهر ذهب إلى دلالتها على غير المشهور، ولكلٍّ منهما شأن ومقام خاصّ من الفقاهة والكتابة في الفقه، فترجيح قول أحدهما على الآخر صعب ومحتاج إلى إمعان النظر والدقّة والإحاطة بأخبار الباب أكثر من غالب المسائل، ولما في الأخبار من الدلالة على شدّه التقيّة، بحيث يصرّح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الأُموي باختلافه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فعنه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ثلاثاً في مقعد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فأراه قد لزمه، وأمّا أبي فكان يرى ذلك واحدة</w:t>
      </w:r>
      <w:r>
        <w:rPr>
          <w:rFonts w:eastAsia="IRNazanin" w:cs="IRNazanin"/>
          <w:color w:val="111111"/>
          <w:sz w:val="28"/>
          <w:szCs w:val="28"/>
          <w:rtl w:val="true"/>
          <w:lang w:bidi="fa-IR"/>
        </w:rPr>
        <w:t>».</w:t>
      </w:r>
      <w:r>
        <w:rPr>
          <w:rStyle w:val="FootnoteAnchor"/>
          <w:rtl w:val="true"/>
        </w:rPr>
        <w:footnoteReference w:id="53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والرواية بحيث يبيّن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الحكم مع الإبهام، والاختلاف بالقول بالأقوال الثلاثة كما يظهر ممّا رواه أبو أيّوب الخزّاز، فعنه،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فجاء رجل فسأله عن رجل طلّق امرأته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جاء رجل آخر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آخرفقال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نظر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يرى أنّ من طلّق امرأته ثلاثاً حرمت عليه، وأنا أرى أنّ من طلّق امرأته ثلاثاً على السنّة فقد بانت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 ورجل طلّق امرأته ثلاثاً وهي على طهر فإنّما هي واحدة، ورجل طلّق امرأته ثلاثاً على غير طهر فليس بشيء</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ونحوه خبري موسى بن أشيم، فعنه،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رجل طلّق امرأته ثلاثاً في مجلس؟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في مجلسي إذ دخل عليه رجل فسأله عن رجل طلّق امرأته ثلاثاً في مجلس؟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الثلاث إلى واحدة، فقد وقعت واحدة، ولا يردّ ما فوق الثلاث إلى الثلاث ولا إلى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فنحن كذلك إذ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طلّق امرأته ثلاثاً في مجلس؟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ثلاثاً بانت منه فلم تحلّ له 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فأظلم عليّ البيت وتحيّرت من جوابه في مجلس واحد بثلاثة أجوبة مختلفة في مسألة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شككت؟ ودّ الشيطان أنّك شككت، إذا طلّق الرجل امرأته على غير طهر ولغير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واحدة فليس طلاقه بطلاق، وإذا طلّق الرجل امرأته ثلاثاً وهي على طهر من غير جماع بشاهدين عدلين فقد وقعت واحدة وبطلت الثنتان، ولا يردّ ما فوق الواحدة إلى الثلاث، ولا إلى الواحدة، وإذا طلّق الرجل امرأته ثلاثاً على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بانت منه، ولا تحلّ له حتّى تنكح زوجاً غيره، فلا تشكّنّ يا ابن أشيم،ففي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الحقّ</w:t>
      </w:r>
      <w:r>
        <w:rPr>
          <w:rFonts w:eastAsia="IRNazanin" w:cs="IRNazanin"/>
          <w:color w:val="111111"/>
          <w:sz w:val="28"/>
          <w:szCs w:val="28"/>
          <w:rtl w:val="true"/>
          <w:lang w:bidi="fa-IR"/>
        </w:rPr>
        <w:t>».</w:t>
      </w:r>
      <w:r>
        <w:rPr>
          <w:rStyle w:val="FootnoteAnchor"/>
          <w:rtl w:val="true"/>
        </w:rPr>
        <w:footnoteReference w:id="5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خبره الآخر مع اختصار واختلاف يسير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فيها من بيان الحكم على قاعدة الإلزام في بعض المواضع دون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محمّد بن سعيد،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فأراه قد لزمه</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ولما فيها من الاختلاف في الردّ إلى الكتاب والسنّة في المسألة في أنّ البطلان من رأس مخالف له أو صحّة الواحدة وبطلان الزائد كما يظهر ذلك في بيان الأخبار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وللإشكال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الروايات هل الظاهر منه الطلاق الثلاث المفصّلة أو الأعمّ منها ومن المرسلة ولو من جهة ترك الاستفصال؟</w:t>
      </w:r>
    </w:p>
    <w:p>
      <w:pPr>
        <w:pStyle w:val="BookText"/>
        <w:rPr/>
      </w:pPr>
      <w:r>
        <w:rPr>
          <w:rFonts w:ascii="Amiri" w:hAnsi="Amiri" w:eastAsia="Amiri" w:cs="Amiri"/>
          <w:color w:val="111111"/>
          <w:sz w:val="28"/>
          <w:sz w:val="28"/>
          <w:szCs w:val="28"/>
          <w:rtl w:val="true"/>
          <w:lang w:bidi="ar-SA"/>
        </w:rPr>
        <w:t>فالمسألة من هذه الجهات العديدة مشكلة جدّاً، وقبل الورود في الروايات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هي صحّة الواحدة وبطلان البقيّة؛ لتماميّة الأركان من وجود المقتضي وعدم المانع،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فيها اللغويّة وليس الباب باب العبارة المركبّة حتّى يكون الزائد موجباً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لغويّته موجبة لبطلانها وعدم الجدوى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الروايات الحاصرة هو البطلان وقد مرّ</w:t>
      </w:r>
      <w:r>
        <w:rPr>
          <w:rStyle w:val="FootnoteAnchor"/>
          <w:rtl w:val="true"/>
        </w:rPr>
        <w:footnoteReference w:id="540"/>
      </w:r>
      <w:r>
        <w:rPr>
          <w:rFonts w:ascii="Amiri" w:hAnsi="Amiri" w:eastAsia="Amiri" w:cs="Amiri"/>
          <w:color w:val="111111"/>
          <w:sz w:val="28"/>
          <w:sz w:val="28"/>
          <w:szCs w:val="28"/>
          <w:rtl w:val="true"/>
          <w:lang w:bidi="ar-SA"/>
        </w:rPr>
        <w:t>أنّ الحصر إضافي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الباب، فهي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كالنصّ بل بعضها نصّ في الاختصاص بمورد البحث وهي أربعة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الحسين بن محمّد، عن معلّى بن محمّد، عن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عليّ، عن سماعة بن مهران، عن الكلبي النسّابة، وهو الحسن بن علوان،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أما تقرأ سورة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w:t>
      </w:r>
      <w:r>
        <w:rPr>
          <w:rFonts w:ascii="IRNazanin" w:hAnsi="IRNazanin" w:eastAsia="IRNazanin"/>
          <w:color w:val="111111"/>
          <w:sz w:val="28"/>
          <w:sz w:val="28"/>
          <w:szCs w:val="28"/>
          <w:rtl w:val="true"/>
          <w:lang w:bidi="fa-IR"/>
        </w:rPr>
        <w:t>،</w:t>
      </w:r>
      <w:r>
        <w:rPr>
          <w:rStyle w:val="FootnoteAnchor"/>
          <w:rtl w:val="true"/>
        </w:rPr>
        <w:footnoteReference w:id="5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ترى هاهنا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إلى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على طهر من غير جماع بشاهدين مقبولين</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والرواية غير خالية من الإجمال بالنسبة إلى حكم المسألة حيث لم يبيّنه صريحاً، بل اكتفى في البيان بالردّ إلى الكتاب والسنّة، وروايات الردّ إليهما في الباب على طائفتين، إحداهما دالّة على البطلان بالأسر وثانيتهما على بطلان الأخيرين فقط،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صدرها شهادة على البطلان من رأس؛ حيث إنّ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بعدد نجوم السماء إلى الكتاب ظاهر في أنّه لمّا لم يكن الطلاق كذلك في القرآن فليس بمشروع ويكون باطلاً، فمثله الطلاق ثلاثاً المردود إليه أيضاً، لعدم الطلاق كذلك في الكتاب، فهو أيضاً باطلٌ كعدد نجوم السماء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ما في ذيل الرواية من الإشعار على البطلان أيضاً؛ لما فيها الإشارة من حيث الوقوع ثلاثاً في غير طهر والردّ إلى الكتاب والبطلان لهذه الجهة ظاهرٌ، ويشهد على ذلك 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طلّق امرأته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ثلاثاً في مجلس وهي حائض فليس بشيء، وقد 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ابن عمر إذ طلّق امرأته ثلاثاً وهي حائض، فأبطل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الطلاق،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خالف كتاب الله والسنّة ردّ إلى كتاب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في عدّة</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وإلّا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طلاق إلّا في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يصير مرتبطاً بمورد السؤال ويكون لطفاً محضاً وهو غير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إسحاق بن عمّار الصيرفي، عن جعفر،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قبل أن يدخل بها ثلاثاً في كلمة واحدة فقد بانت منه ولا ميراث بينهما ولا رجعة ولا تحلّ له حتّى تنكح زوجاً غيره،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طالق، هي طالق، هي طالق فقد بانت منه بالأُولى، وهو خاطب من الخطّاب إن شاءت نكحته نكاحا جديداً، وإن شاءت لم تفعل</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وصدرها المربوط بما نحن فيه شاذّ؛ لاتّفاق الأصحاب على خلافه فإنّهم بين قائل ببطلان الثلاث المرسلة من رأس وبين قائل بصحّة الواحدة دون الثلاثة ولا قائل بصحّة الثلاثة والاحتياج إلى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مذهب العامّة فيكون من باب التقيّة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عليّ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عبدالله بن محمّد إلى أبي‌الحسن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ثلاثاً بكلمة واحدة على طهر بغير جماع بشاهدين أنّه يلزمه تطليقة واحدة، فوقّع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يلزم الطلاق، ويردّ إلى الكتاب والسنّة إن شاء الله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دلالته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البطلان من رأس الذي هو خلاف المشهور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هارون بن خارجة،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ابتليت فطلّقت أهلي ثلاثاً في دفعة، فسألت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بشيء، وإنّ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أرضى حتّى تسأل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إلى أهلك فليس عليك شيء</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بالرجوع إلى أهله، البطلان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صحّة الواحدة منها غير بعيدة، والشاهد عليه الأمر بالرجوع ونفي الشيء عنه، فإنّ الرجوع في أخبار الطلاق إن لم يكن ظاهراً في الرجوع عنه فلا أقلّ من انصرافه إليه، كما أنّ نفي الشيء لعلّه إشارة إلى عدم الحرمة من جهة عدم الاحتياج إلى المحلّل، فإنّ الرجوع مع الاحتياج إليه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مكاتبة عبدالله بن محمّد هي أوضح دلالة في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وقوع الطلاق الواحد في الطلاق ثلاثاً من دون تقييد بالإرسال أو التفصيل وهي مستفيضة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ومحمّد بن عليّ الحلبي وعمر بن حنظلة، جميعاً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ثلاثاً في غير عدّة إنكانت على طهر فواحدة، وإن لم تكن على طهر فليس بشيء</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غير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إذا لم يكن للعدّة بأن يرجع في العدّة ويجامع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طلّق امرأته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ثلاثاً في مجلس واحد وهي طاهر؟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الذي يطلّق في حال طهر في مجلس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واحدة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شهاب بن عبد ربّه،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ثلاثاً في مقعد،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إلى السنّة، فإذا مضت ثلاثة أشهر أو ثلاثة قروء فقد بانت منه بواحدة</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عمرو بن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إذا طلّق امرأته مرّة أو مأة مرّة فإنّما هي واحدة وقد كان يبلغنا عنك وعن آبائك أنّهم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مرّة أو مأة مرّة فإنّما هي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كما بلغكم</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إلى غيرها من الروايات، فراجع إن شئت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البطلان جميعاً، وموردها مورد الطائفة الثانية، فلا فرق بينهما مورداً وإنّما الفرق في الحكم، فهذه دالّة على خلافالمشهور وتلك دالّة على المشهور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ثلاثاً في مجلس فليس بشيء، من خالف كتاب الله عزّ وجلّ ردّ إلى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ابن عمر</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شيئيّة الثلاثة لا شيئيّة أصل الطلاق، وعليه فلا دلالة للصحيحة على البطلان من رأس بل دالّة على صحّة الواحدة وبطلان الزيادة فالشيئيّة المنفيّة محتملة الأمرين؛ أصل الطلاق ووقوعه ثلاثاً، ومع الاحتمال لا يتمّ الاستدلال، وذكر طلاق ابن عمر أيضاً ليس شاهداً على البطلان من رأس وإنّ الطلاق كذلك كان في حال الحيض، فإنّ روايات طلاقه أيضاً على نحوين فبعضها دالّة على الصحّة وآخر على البطلان فالرواية غير خالية عن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زياد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تشهد لمن طلّق ثلاثاً في مجلس واحد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وهذا لا يدلّ على أكثر من الحرمة؛ حيث إنّ نهيه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تحمّل الشهادة أو عن أدائها لادلالة فيه على أزيد من الحرمة وهي إنّما تكون ناشئة من أنّ الشهادة على الطلاق ثلاثاً شهادة على أمر مبدع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ذلك المبدع باطلٌ من رأس أو بالنسبة إلى الأزيد من واحد فلا دلالة للخبر عليه كما لا يخفى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الحديث ناظر إلى الحكم التكليفي للشهادة على المورد لا الحكم الوضعي للمورد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واغتنم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عمر بن حنظلة،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في مجلس واحد فإنّهنّ ذوات أزواج</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فإنّهنّ ذوات أزواج</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ودلالة الخبرين على البطلان من رأس من حيث التعليل بأنّهنّ ذوات أزواج واضحة، فإنّه شامل لما قبل العدّة وبعدها، وذات الزوجيّة بعد العدّة ملازمة للبطلان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المطلّق شيعيّاً وإلّا فهو إمّا شاذّ؛ لمخالفته لقاعدة الإلزام وإمّا يكون محمولاً على استحباب ترك الزواج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يبعّد كونه من الشيعة استبعاد وقوعه ثلاثاً من جانب رجل شيعي، وشهادة ما عن جعفر بن سماعة أنّه سئل عن امرأة طلّقت على غير السنّة، أ لي أن أتزوّجها؟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تعلم أنّ عليّ بن حنظلة روى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على غير السنّة فإنّهن ذوات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رواية ابن أبي حمزة أوسع على الناس، روى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أنفسهموتزوّجوهنّ فلا بأس بذلك</w:t>
      </w:r>
      <w:r>
        <w:rPr>
          <w:rFonts w:eastAsia="IRNazanin" w:cs="IRNazanin"/>
          <w:color w:val="111111"/>
          <w:sz w:val="28"/>
          <w:szCs w:val="28"/>
          <w:rtl w:val="true"/>
          <w:lang w:bidi="fa-IR"/>
        </w:rPr>
        <w:t>».</w:t>
      </w:r>
      <w:r>
        <w:rPr>
          <w:rStyle w:val="FootnoteAnchor"/>
          <w:rtl w:val="true"/>
        </w:rPr>
        <w:footnoteReference w:id="55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هذه الروايات على تقدير تماميّة الدلالة فالتعارض بينها والطائفة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من جانب وبين الطائفة الثانية من جانب آخر واضح وكلتاهما مخالفتان للعامّة، فلا ترجيح لأحدهما على الآخر من هذه الجهة، كما لا ترجيح من جهة موافقة الكتاب أيضاً؛ لسكوتها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أخبار الباب من بيان الموافقة والمخالفة فليس حجّة على الترجيح؛ لأنّه المورد للتعارض فلا تغفل، مع ما بينهما من التعارض في نفس ذلك الأمر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الشهرة مرجّحة فهو وإلّا فيستقرّ التعارض وتؤخذ الثانية؛ لأنّها أكثر رواية وأوضح سنداً وأظهر دلالة، فلها مزيّة على غيرها وكلّ مزيّة موجبة للترجيح وإن كانت غير منصوصة كما حقّقناه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الترجيح للثانية؛ إمّا بالشهرة وإمّا بغيرها من المزايا الغير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المراد من الطلاق ثلاثاً المورد للطائفتين الأخيرتين الثلاث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بكون المراد منه المفصّلة وأنّه الظاهر والمتبادر منه فإنّ القول بأنّه سبّح عشراً غير صادق إلّا مع التسبيح عشر مرّات مفصّلة دونه مرسلة، فإنّه وإن لم يحصل الفرق في التعارض والترجيح أيضاً إلّا أنّهما خارجتان عن محلّ البحث وتبقى الطائفة الأُولى بلا معارض، كما أنّه على القول بشمولهما لكلتا الصورتين فالتعارض بين الطائفة الأُولى والثانية على نحو العموم والخصوص مطلقاً، فهي تتقيّد بالأُولى والنتيجة هي البطلان من رأس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الوجه على تسليم العموميّة في الثانية ثانياً وبظهورها في الاختصاص بالمفصّلة أوّلاً جعل صاحب الجواهر غير المشهور أقوى وأرجح بحسب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559"/>
      </w:r>
      <w:r>
        <w:rPr>
          <w:rFonts w:ascii="Amiri" w:hAnsi="Amiri" w:eastAsia="Amiri" w:cs="Amiri"/>
          <w:color w:val="111111"/>
          <w:sz w:val="28"/>
          <w:sz w:val="28"/>
          <w:szCs w:val="28"/>
          <w:rtl w:val="true"/>
          <w:lang w:bidi="ar-SA"/>
        </w:rPr>
        <w:t>فمقتضى القاعدة على هذا ظاهر ولا كلام فيه، ولكنّ الكلام هو في إمكان الاستناد والتخصيص والتقييد، مع أنّه ليس في أخبارها ما يكون تامّة الدلالة إلّا المكاتبة هنا، فعلينا أن نرجع مرّة أُخرى إلى روايات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 الكلبي النسّابة،</w:t>
      </w:r>
      <w:r>
        <w:rPr>
          <w:rStyle w:val="FootnoteAnchor"/>
          <w:rtl w:val="true"/>
        </w:rPr>
        <w:footnoteReference w:id="560"/>
      </w:r>
      <w:r>
        <w:rPr>
          <w:rFonts w:ascii="IRNazanin" w:hAnsi="IRNazanin" w:eastAsia="IRNazanin"/>
          <w:color w:val="111111"/>
          <w:sz w:val="28"/>
          <w:sz w:val="28"/>
          <w:szCs w:val="28"/>
          <w:rtl w:val="true"/>
          <w:lang w:bidi="fa-IR"/>
        </w:rPr>
        <w:t>فهي قاصرة الدلالة على البطلان،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مراده بيان البطلان وأنّ مورد الثاني كالأوّل، فكان ينبغي أن يجيب بمثل سابقه لا أن يغيّر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احتمال البطلان من جهة فقد بعض الشرائط؛ حيث إنّه يشير إلى الطلاق ثلاثاً في حال الحيض بنقل طلاق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طلاق ابن عمر على نحوين كما مرّ،</w:t>
      </w:r>
      <w:r>
        <w:rPr>
          <w:rStyle w:val="FootnoteAnchor"/>
          <w:rtl w:val="true"/>
        </w:rPr>
        <w:footnoteReference w:id="561"/>
      </w:r>
      <w:r>
        <w:rPr>
          <w:rFonts w:ascii="Amiri" w:hAnsi="Amiri" w:eastAsia="Amiri" w:cs="Amiri"/>
          <w:color w:val="111111"/>
          <w:sz w:val="28"/>
          <w:sz w:val="28"/>
          <w:szCs w:val="28"/>
          <w:rtl w:val="true"/>
          <w:lang w:bidi="ar-SA"/>
        </w:rPr>
        <w:t>فيأتي الاحتمال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موثّقة إسحاق بن عمّار الصيرفي،</w:t>
      </w:r>
      <w:r>
        <w:rPr>
          <w:rStyle w:val="FootnoteAnchor"/>
          <w:rtl w:val="true"/>
        </w:rPr>
        <w:footnoteReference w:id="562"/>
      </w:r>
      <w:r>
        <w:rPr>
          <w:rFonts w:ascii="Amiri" w:hAnsi="Amiri" w:eastAsia="Amiri" w:cs="Amiri"/>
          <w:color w:val="111111"/>
          <w:sz w:val="28"/>
          <w:sz w:val="28"/>
          <w:szCs w:val="28"/>
          <w:rtl w:val="true"/>
          <w:lang w:bidi="ar-SA"/>
        </w:rPr>
        <w:t>فهي شاذّة مخالفة للإجماع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المكاتبة،</w:t>
      </w:r>
      <w:r>
        <w:rPr>
          <w:rStyle w:val="FootnoteAnchor"/>
          <w:rtl w:val="true"/>
        </w:rPr>
        <w:footnoteReference w:id="563"/>
      </w:r>
      <w:r>
        <w:rPr>
          <w:rFonts w:ascii="Amiri" w:hAnsi="Amiri" w:eastAsia="Amiri" w:cs="Amiri"/>
          <w:color w:val="111111"/>
          <w:sz w:val="28"/>
          <w:sz w:val="28"/>
          <w:szCs w:val="28"/>
          <w:rtl w:val="true"/>
          <w:lang w:bidi="ar-SA"/>
        </w:rPr>
        <w:t>فدلالتها جيّدة، وما حكاه في الرياض عن بعض الأجلّةمن حمل الطلاق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الثلاث لا الواحدة وتأييده ذلك الحمل بما فيه من الردّ إلى الكتاب بملاحظة ما قدّمه من تفسيره الردّ إلى الواحدة فغير تامّ؛ للمخالفة للظاهر جدّاً واعترف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 فراجع</w:t>
      </w:r>
      <w:r>
        <w:rPr>
          <w:rFonts w:eastAsia="Amiri" w:cs="Amiri" w:ascii="Amiri" w:hAnsi="Amiri"/>
          <w:color w:val="111111"/>
          <w:sz w:val="28"/>
          <w:szCs w:val="28"/>
          <w:rtl w:val="true"/>
          <w:lang w:bidi="ar-SA"/>
        </w:rPr>
        <w:t>.</w:t>
      </w:r>
      <w:r>
        <w:rPr>
          <w:rStyle w:val="FootnoteAnchor"/>
          <w:rtl w:val="true"/>
        </w:rPr>
        <w:footnoteReference w:id="564"/>
      </w:r>
      <w:bookmarkStart w:id="284" w:name="pg9375_99434"/>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هارون بن خارجة،</w:t>
      </w:r>
      <w:r>
        <w:rPr>
          <w:rStyle w:val="FootnoteAnchor"/>
          <w:rtl w:val="true"/>
        </w:rPr>
        <w:footnoteReference w:id="565"/>
      </w:r>
      <w:r>
        <w:rPr>
          <w:rFonts w:ascii="Amiri" w:hAnsi="Amiri" w:eastAsia="Amiri" w:cs="Amiri"/>
          <w:color w:val="111111"/>
          <w:sz w:val="28"/>
          <w:sz w:val="28"/>
          <w:szCs w:val="28"/>
          <w:rtl w:val="true"/>
          <w:lang w:bidi="ar-SA"/>
        </w:rPr>
        <w:t>في دلالتها إشكال كما مرّ،</w:t>
      </w:r>
      <w:r>
        <w:rPr>
          <w:rStyle w:val="FootnoteAnchor"/>
          <w:rtl w:val="true"/>
        </w:rPr>
        <w:footnoteReference w:id="566"/>
      </w:r>
      <w:r>
        <w:rPr>
          <w:rFonts w:ascii="Amiri" w:hAnsi="Amiri" w:eastAsia="Amiri" w:cs="Amiri"/>
          <w:color w:val="111111"/>
          <w:sz w:val="28"/>
          <w:sz w:val="28"/>
          <w:szCs w:val="28"/>
          <w:rtl w:val="true"/>
          <w:lang w:bidi="ar-SA"/>
        </w:rPr>
        <w:t>فلم يبق ما يصلح للتقييد إلّا مكاتبة عبدالرحمن بن محمّد، وتقييد تلك الروايات الكثيرة بهذه المكاتبة وإن كان موافقاً للصناعة ولكنّه مشكلٌ بل ممنوعٌ، مضافاً إلى أنّ فيها نسبة السهو إلى الأصحاب وهذا أمر بعيدٌ؛ فهذه كلّها توجب الشكّ في حجّيتها وفي عدم قابليّتها للتقييد، فما هو المشهور لا سيّما بين المتأخّرين هو المنصور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416621_2870459653"/>
      <w:bookmarkStart w:id="286" w:name="_Toc103"/>
      <w:bookmarkEnd w:id="285"/>
      <w:r>
        <w:rPr>
          <w:rtl w:val="true"/>
        </w:rPr>
        <w:t>فرعٌ</w:t>
      </w:r>
      <w:bookmarkEnd w:id="28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صحيحاً بلا إشكال؛ لأنّه علّق على أمر واقعي صحيح، ولكنّه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للبدعة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يقصد الملحوق بالقيد من أوّل الأمر على نحو وحدة المدلول وكون القيد قرينة وقد يقصد المطلّق منه لكن يقيّده ثانياً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الأخير يقع صحيحاً والقيد لغو، وعلى الأوّل فهو باطل كما عليه المشهور بل لا خلاف فيه؛ لأنّ الصحيح لم يرد وما أُريد فليس بصحيح، ومثل ذلك ما لو عقّبه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تعقيب الصيغة بقيودِ أمثالها من الزيادات فإن كان بمثل التقييد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عدد الليالي والدهور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 بيانه،</w:t>
      </w:r>
      <w:r>
        <w:rPr>
          <w:rStyle w:val="FootnoteAnchor"/>
          <w:rtl w:val="true"/>
        </w:rPr>
        <w:footnoteReference w:id="567"/>
      </w:r>
      <w:r>
        <w:rPr>
          <w:rFonts w:ascii="Amiri" w:hAnsi="Amiri" w:eastAsia="Amiri" w:cs="Amiri"/>
          <w:color w:val="111111"/>
          <w:sz w:val="28"/>
          <w:sz w:val="28"/>
          <w:szCs w:val="28"/>
          <w:rtl w:val="true"/>
          <w:lang w:bidi="ar-SA"/>
        </w:rPr>
        <w:t>فالطلاق صحيحٌ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القيد بنحو تعدّد الدال والمدلول فهو صحيحٌ وإلّا فباطل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من العامّة؛ ممّن يعتقد وقوع الثلاث بثلاث مرسلة أو مكرّرة، وأوقعه بأحد النحوين أُلزم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ويدلّ عليه الأخبار العامّة والخاصّة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عبدالرحمن البصري،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على غير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يتزوّج هذه المرأة لا تترك بغير زوج</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عليّ بن أبي حمزة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على غير السنّة أ يتزوّجها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 وتزوّجوهنّ فلا بأس بذلك</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ومن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عبد الأعلى،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مستخفّاً بالطلاق ألزمته ذلك</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طلّق امرأته ثلاثاً في مجلس واحد فقد بانت منه</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حفص بن البختري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ثلاثاً فأراد رجل أن يتزوّجها، كيف يصنع؟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تركها ثلاثة أشهر، ثمّ خطبها إلى نفسها</w:t>
      </w:r>
      <w:r>
        <w:rPr>
          <w:rFonts w:eastAsia="IRNazanin" w:cs="IRNazanin"/>
          <w:color w:val="111111"/>
          <w:sz w:val="28"/>
          <w:szCs w:val="28"/>
          <w:rtl w:val="true"/>
          <w:lang w:bidi="fa-IR"/>
        </w:rPr>
        <w:t>».</w:t>
      </w:r>
      <w:r>
        <w:rPr>
          <w:rStyle w:val="FootnoteAnchor"/>
          <w:rtl w:val="true"/>
        </w:rPr>
        <w:footnoteReference w:id="57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ما عن إسحاق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يريد تزويج امرأة قد طلّقت ثلاثاً، كيف يصنع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يدعها حتّى تحيض وتطهر، ثمّ يأتي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زوجها ومعه رجلان،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طلّقت فلانة؟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تركها حتّى تمضي ثلاثة أشهر، ثمّ خطبها إلى نفسه</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ولكن تعارضها الروايات الأُخرى الدالّة على أنّ المطلّقات كذلك ذوات أزواج، وهي ما مرّ</w:t>
      </w:r>
      <w:r>
        <w:rPr>
          <w:rStyle w:val="FootnoteAnchor"/>
          <w:rtl w:val="true"/>
        </w:rPr>
        <w:footnoteReference w:id="574"/>
      </w:r>
      <w:r>
        <w:rPr>
          <w:rFonts w:ascii="IRNazanin" w:hAnsi="IRNazanin" w:eastAsia="IRNazanin"/>
          <w:color w:val="111111"/>
          <w:sz w:val="28"/>
          <w:sz w:val="28"/>
          <w:szCs w:val="28"/>
          <w:rtl w:val="true"/>
          <w:lang w:bidi="fa-IR"/>
        </w:rPr>
        <w:t>عن ابن حنظلة،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في مجلس واحد فإنّهنّ ذوات أزواج</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فإنّهنّ ذوات أزواج</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إلى المأمون،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طلّقت امرأة بعد العدّة ثلاث مرّات لم تحلّ لزوجها حتّى تنكح زوجاً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تزويج المطلّقات ثلاثاً في موضع واحد فإنّهنّ ذوات أزواج</w:t>
      </w:r>
      <w:r>
        <w:rPr>
          <w:rFonts w:eastAsia="IRNazanin" w:cs="IRNazanin"/>
          <w:color w:val="111111"/>
          <w:sz w:val="28"/>
          <w:szCs w:val="28"/>
          <w:rtl w:val="true"/>
          <w:lang w:bidi="fa-IR"/>
        </w:rPr>
        <w:t>».</w:t>
      </w:r>
      <w:r>
        <w:rPr>
          <w:rStyle w:val="FootnoteAnchor"/>
          <w:rtl w:val="true"/>
        </w:rPr>
        <w:footnoteReference w:id="57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رفع التعارض بترجيح أخبار الجواز بما فيها من السعة والسهولة، والترجيح بالسهولة والسعة، مع أنّه مقتضى الأصل، وعدّهاصاحب الحدائق في مقدّمات الحدائق</w:t>
      </w:r>
      <w:r>
        <w:rPr>
          <w:rStyle w:val="FootnoteAnchor"/>
          <w:rtl w:val="true"/>
        </w:rPr>
        <w:footnoteReference w:id="578"/>
      </w:r>
      <w:r>
        <w:rPr>
          <w:rFonts w:ascii="Amiri" w:hAnsi="Amiri" w:eastAsia="Amiri" w:cs="Amiri"/>
          <w:color w:val="111111"/>
          <w:sz w:val="28"/>
          <w:sz w:val="28"/>
          <w:szCs w:val="28"/>
          <w:rtl w:val="true"/>
          <w:lang w:bidi="ar-SA"/>
        </w:rPr>
        <w:t>من المرجّحات، واختاره الفقيه</w:t>
      </w:r>
      <w:r>
        <w:rPr>
          <w:rStyle w:val="FootnoteAnchor"/>
          <w:rtl w:val="true"/>
        </w:rPr>
        <w:footnoteReference w:id="579"/>
      </w:r>
      <w:r>
        <w:rPr>
          <w:rFonts w:ascii="Amiri" w:hAnsi="Amiri" w:eastAsia="Amiri" w:cs="Amiri"/>
          <w:color w:val="111111"/>
          <w:sz w:val="28"/>
          <w:sz w:val="28"/>
          <w:szCs w:val="28"/>
          <w:rtl w:val="true"/>
          <w:lang w:bidi="ar-SA"/>
        </w:rPr>
        <w:t xml:space="preserve">كما يظهر للمراجع، واحتمله </w:t>
      </w:r>
    </w:p>
    <w:p>
      <w:pPr>
        <w:pStyle w:val="BookText"/>
        <w:rPr/>
      </w:pPr>
      <w:r>
        <w:rPr>
          <w:rFonts w:ascii="IRNazanin" w:hAnsi="IRNazanin" w:eastAsia="IRNazanin"/>
          <w:color w:val="111111"/>
          <w:sz w:val="28"/>
          <w:sz w:val="28"/>
          <w:szCs w:val="28"/>
          <w:rtl w:val="true"/>
          <w:lang w:bidi="fa-IR"/>
        </w:rPr>
        <w:t>سواء کانت المرأة شیعیةً أو مخالفةً، ونرتّب نحن علیها آثار المطلّقة ثلاثاً، فلو رجع إلیها نحكم ببطلانه إلّا إذا كانت الرجعة في مورد صحيحة عندهم، فنتزوّج بها</w:t>
      </w:r>
    </w:p>
    <w:p>
      <w:pPr>
        <w:pStyle w:val="BookText"/>
        <w:rPr/>
      </w:pPr>
      <w:r>
        <w:rPr>
          <w:rFonts w:ascii="IRNazanin" w:hAnsi="IRNazanin" w:eastAsia="IRNazanin"/>
          <w:color w:val="111111"/>
          <w:sz w:val="28"/>
          <w:sz w:val="28"/>
          <w:szCs w:val="28"/>
          <w:rtl w:val="true"/>
          <w:lang w:bidi="fa-IR"/>
        </w:rPr>
        <w:t>صاحب الجواهر</w:t>
      </w:r>
      <w:r>
        <w:rPr>
          <w:rStyle w:val="FootnoteAnchor"/>
          <w:rtl w:val="true"/>
        </w:rPr>
        <w:footnoteReference w:id="580"/>
      </w:r>
      <w:r>
        <w:rPr>
          <w:rFonts w:ascii="Amiri" w:hAnsi="Amiri" w:eastAsia="Amiri" w:cs="Amiri"/>
          <w:color w:val="111111"/>
          <w:sz w:val="28"/>
          <w:sz w:val="28"/>
          <w:szCs w:val="28"/>
          <w:rtl w:val="true"/>
          <w:lang w:bidi="ar-SA"/>
        </w:rPr>
        <w:t>في مسألة مواسعة القضاء ومضايقته، ويشهد له ما عن جعفر بن سماعة،</w:t>
      </w:r>
      <w:r>
        <w:rPr>
          <w:rStyle w:val="FootnoteAnchor"/>
          <w:rtl w:val="true"/>
        </w:rPr>
        <w:footnoteReference w:id="581"/>
      </w:r>
      <w:r>
        <w:rPr>
          <w:rFonts w:ascii="Amiri" w:hAnsi="Amiri" w:eastAsia="Amiri" w:cs="Amiri"/>
          <w:color w:val="111111"/>
          <w:sz w:val="28"/>
          <w:sz w:val="28"/>
          <w:szCs w:val="28"/>
          <w:rtl w:val="true"/>
          <w:lang w:bidi="ar-SA"/>
        </w:rPr>
        <w:t>فإنّ الظاهر ترجيحه ما عن ابن حمزة على ما عن ابن حنظلة بالأوسعيّة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يمكن أيضاً بحمل الأخبار المانعة على ما كان المطلّق شيعيّاً والمجوّزة على ما كان من العامّة، ويشهد له ما عن عبدالله بن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أخ زوّجته ابنتي وهو يشرب الشراب ويكثر ذكر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 إخوانك فلا شيء عليه، وإن كان من هؤلاء فأبنها منه فإنّه عنى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قد 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والمطلّقات ثلاثاً في مجلس فإنّهنّ ذوات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من إخوانكم لا من هؤلاء، إنّه من دان بدين قوم لزمته أحكامهم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وفي الحدائق الجمع بوجهين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الجواز على أصل الرخصة وأخبار المنع على الأصل والأفضليّة، واستشهد له مضافاً إلى ما عن‌سماعة بما عن شعيب الحدّاد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مواليك يقرؤك السلام وقد أراد أن يتزوّج امرأة وقد وافقته وأعجبه بعض شأنها، وقد كان لها زوج فطلّقها على غير السنّة، وقد كره أن يقدم على تزويجها حتّى يستأمرك فتكون أنت تأمره،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الفرج، وأمر الفرج </w:t>
      </w:r>
    </w:p>
    <w:p>
      <w:pPr>
        <w:pStyle w:val="BookText"/>
        <w:rPr/>
      </w:pPr>
      <w:r>
        <w:rPr>
          <w:rFonts w:ascii="Amiri" w:hAnsi="Amiri" w:eastAsia="Amiri" w:cs="Amiri"/>
          <w:color w:val="111111"/>
          <w:sz w:val="28"/>
          <w:sz w:val="28"/>
          <w:szCs w:val="28"/>
          <w:rtl w:val="true"/>
          <w:lang w:bidi="ar-SA"/>
        </w:rPr>
        <w:t>في غير ذلك بعد انقضاء عدّتها، وكذلك الزوجة إذا كانت شيعيّةً جاز لها التزويج بالغير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 ومنه يكون الولد، ونحن نحتاط فلا يتزوّجها</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الظاهر أنّ هذا المنع على وجه الأفضليّة، فالاحتياط هنا مستحبّ وإن جاز التزويج رخصة بالأخبار المتقدّمة</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كذلك بعيدٌ، بل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وفي الأخبار المانعة التعليل بأنّهنّ ذوات أزواج، وما عن ابن سماعة فقد عرفت ارتباطه بالترجيح لا بالجمع، وأمّا ما عن شعيب الحدّاد فمن المحتمل أن يكون بياناً في أمر شخصي لا حكم كلّي كما يشهد له قوله في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يستأمرك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نحتاط، فلا يتزوّجها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سننقله في بيان عدم الفرق في الحكم بين أن تكون المرأة مخالفةً أو 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الروايات المانعة كلّها مطروحة؛ لأنّها في ظاهرها خلاف الإجماع أو المشهور، فليست بحجّة ويكون من الشاذّ النادر؛ لأنّ الطلاق ثلاثاً إن كان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على صحّة الواحد منها وإن كان مرسلاً، فالمشهور على صحّة الواحد أيضاً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w:t>
      </w:r>
      <w:r>
        <w:rPr>
          <w:rStyle w:val="FootnoteAnchor"/>
          <w:rtl w:val="true"/>
        </w:rPr>
        <w:footnoteReference w:id="585"/>
      </w:r>
      <w:r>
        <w:rPr>
          <w:rFonts w:ascii="Amiri" w:hAnsi="Amiri" w:eastAsia="Amiri" w:cs="Amiri"/>
          <w:color w:val="111111"/>
          <w:sz w:val="28"/>
          <w:sz w:val="28"/>
          <w:szCs w:val="28"/>
          <w:rtl w:val="true"/>
          <w:lang w:bidi="ar-SA"/>
        </w:rPr>
        <w:t>احتمال التفصيل بينهما؛ جمعاً بين الروايات المتعارضة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في ذلك بين الطلاق ثلاثاً وغيره ممّا هو صحيح عندهم فاسد عندنا، كالطلاق المعلّق، والحلف به، وفي طُهر المواقعة والحيض، وبغير شاهدين، فنحكم بصحّته إذا وقع من المخالف القائل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واستشكل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الجمع تبرّعي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ينافيه خبر إبراهيم بن محمّد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بعض أصحابنا فأتاني الجواب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فهمت ما ذكرت من أمر ابنتك وزوجها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حنثه بطلاقها غير مرّة فانظر فإن كان ممّن يتولّانا ويقول بقولنا فلا طلاق عليه، لأنّه لم يأت أمراً جهله، وإن كان ممّن لا يتولّانا ولا يقول بقولنا فاختلعها منه فإنّه إنّما نوى الفراق بعينه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والأخبار التي تكون بعضها واردة في الطلاق في مثل غير العدّة وبعضها في مطلّق الطلاق لغير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عبدالرحمن بن أبي عبدالله البصري، وقد وثّقه النجاشي والعلّامة</w:t>
      </w:r>
      <w:r>
        <w:rPr>
          <w:rStyle w:val="FootnoteAnchor"/>
          <w:rtl w:val="true"/>
        </w:rPr>
        <w:footnoteReference w:id="587"/>
      </w:r>
      <w:r>
        <w:rPr>
          <w:rFonts w:ascii="IRNazanin" w:hAnsi="IRNazanin" w:eastAsia="IRNazanin"/>
          <w:color w:val="111111"/>
          <w:sz w:val="28"/>
          <w:sz w:val="28"/>
          <w:szCs w:val="28"/>
          <w:rtl w:val="true"/>
          <w:lang w:bidi="fa-IR"/>
        </w:rPr>
        <w:t>وابن داود،</w:t>
      </w:r>
      <w:r>
        <w:rPr>
          <w:rStyle w:val="FootnoteAnchor"/>
          <w:rtl w:val="true"/>
        </w:rPr>
        <w:footnoteReference w:id="588"/>
      </w:r>
      <w:r>
        <w:rPr>
          <w:rFonts w:ascii="Amiri" w:hAnsi="Amiri" w:eastAsia="Amiri" w:cs="Amiri"/>
          <w:color w:val="111111"/>
          <w:sz w:val="28"/>
          <w:sz w:val="28"/>
          <w:szCs w:val="28"/>
          <w:rtl w:val="true"/>
          <w:lang w:bidi="ar-SA"/>
        </w:rPr>
        <w:t>لكن توثيق النجاشي في ترجمة حفيده إسماعيل بن همّام بن عبدالرحمن بن أبي عبدالله</w:t>
      </w:r>
      <w:r>
        <w:rPr>
          <w:rStyle w:val="FootnoteAnchor"/>
          <w:rtl w:val="true"/>
        </w:rPr>
        <w:footnoteReference w:id="589"/>
      </w:r>
      <w:r>
        <w:rPr>
          <w:rFonts w:ascii="Amiri" w:hAnsi="Amiri" w:eastAsia="Amiri" w:cs="Amiri"/>
          <w:color w:val="111111"/>
          <w:sz w:val="28"/>
          <w:sz w:val="28"/>
          <w:szCs w:val="28"/>
          <w:rtl w:val="true"/>
          <w:lang w:bidi="ar-SA"/>
        </w:rPr>
        <w:t>وقد مرّت الرواية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لغير عدّة ثمّ </w:t>
      </w:r>
    </w:p>
    <w:p>
      <w:pPr>
        <w:pStyle w:val="BookText"/>
        <w:rPr/>
      </w:pPr>
      <w:r>
        <w:rPr>
          <w:rFonts w:ascii="Amiri" w:hAnsi="Amiri" w:eastAsia="Amiri" w:cs="Amiri"/>
          <w:color w:val="111111"/>
          <w:sz w:val="28"/>
          <w:sz w:val="28"/>
          <w:szCs w:val="28"/>
          <w:rtl w:val="true"/>
          <w:lang w:bidi="ar-SA"/>
        </w:rPr>
        <w:t xml:space="preserve">وهذا الحكم جارٍ في غير الطلاق أيضاً، فنأخذ بالعول والتعصيب منهم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بطلانهما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لا يسع هذا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عنها حتّى انقضت عدّتها، هل يصلح لي أن أتزوّجها؟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تترك المرأة بغير زوج</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عليّ بن أبي حمزة أنّه سأل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المطلّقة على غير السنّة أ يتزوّجها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ألزموهم من ذلك ما ألزموه أنفسهم، وتزوّجوهنّ فلا بأس بذلك</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 المسألة هو من موارد قاعدة الإلزام المعتبرة فتوىً ونصّاً مع كون غير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للنصّ الخاصّ أيضاً</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قلنا في بداية القول في الصيغة أنّ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Style w:val="FootnoteAnchor"/>
          <w:rtl w:val="true"/>
        </w:rPr>
        <w:footnoteReference w:id="594"/>
      </w:r>
      <w:r>
        <w:rPr>
          <w:rFonts w:ascii="Amiri" w:hAnsi="Amiri" w:eastAsia="Amiri" w:cs="Amiri"/>
          <w:color w:val="111111"/>
          <w:sz w:val="28"/>
          <w:sz w:val="28"/>
          <w:szCs w:val="28"/>
          <w:rtl w:val="true"/>
          <w:lang w:bidi="ar-SA"/>
        </w:rPr>
        <w:t>ذكر شروطاً خمسة فيها، وإلى هنا قد مرّت ثلاثة من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الطلاق في محلّه، فلا يصحّ طلاق جزء من الزوجة بلا إشكال، وعليه الإجماع، كما أنّه لا يصحّ وقوعه على الرجل؛ للحصر في أخبار الطلاق بلا خلاف ولا كلام، وصاحب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متعرّضله، فمن أرادها فليراجع</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الإنشاء في الصيغة، ولا كلام فيه أيضاً وشرطيّته واضحة، والطلاق هو كغيره من العقود والإيقاعات</w:t>
      </w:r>
      <w:r>
        <w:rPr>
          <w:rFonts w:eastAsia="Amiri" w:cs="Amiri" w:ascii="Amiri" w:hAnsi="Amiri"/>
          <w:color w:val="111111"/>
          <w:sz w:val="28"/>
          <w:szCs w:val="28"/>
          <w:rtl w:val="true"/>
          <w:lang w:bidi="ar-SA"/>
        </w:rPr>
        <w:t xml:space="preserve">. </w:t>
      </w:r>
      <w:bookmarkStart w:id="287" w:name="pg9375_99441"/>
    </w:p>
    <w:p>
      <w:pPr>
        <w:pStyle w:val="Heading3"/>
        <w:numPr>
          <w:ilvl w:val="2"/>
          <w:numId w:val="1"/>
        </w:numPr>
        <w:rPr/>
      </w:pPr>
      <w:bookmarkStart w:id="288" w:name="__RefHeading___Toc5416623_2870459653"/>
      <w:bookmarkStart w:id="289" w:name="_Toc104"/>
      <w:bookmarkEnd w:id="287"/>
      <w:bookmarkEnd w:id="288"/>
      <w:r>
        <w:rPr>
          <w:rtl w:val="true"/>
        </w:rPr>
        <w:t>الإشهاد في الطلاق</w:t>
      </w:r>
      <w:bookmarkEnd w:id="289"/>
    </w:p>
    <w:p>
      <w:pPr>
        <w:pStyle w:val="Heading4"/>
        <w:numPr>
          <w:ilvl w:val="3"/>
          <w:numId w:val="1"/>
        </w:numPr>
        <w:rPr/>
      </w:pPr>
      <w:bookmarkStart w:id="290" w:name="__RefHeading___Toc5416625_2870459653"/>
      <w:bookmarkStart w:id="291" w:name="_Toc105"/>
      <w:bookmarkEnd w:id="290"/>
      <w:r>
        <w:rPr>
          <w:rtl w:val="true"/>
        </w:rPr>
        <w:t>اشارة</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الإشهاد؛ بمعنى إيقاعه بحضور شاهدين عدلين ذكرين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5416627_2870459653"/>
      <w:bookmarkStart w:id="293" w:name="_Toc106"/>
      <w:bookmarkEnd w:id="292"/>
      <w:r>
        <w:rPr>
          <w:rtl w:val="true"/>
        </w:rPr>
        <w:t>اشتراط الإشهاد في الطلاق</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محصّلاً ومنقولاً، بل في الجواهر</w:t>
      </w:r>
      <w:r>
        <w:rPr>
          <w:rStyle w:val="FootnoteAnchor"/>
          <w:rtl w:val="true"/>
        </w:rPr>
        <w:footnoteReference w:id="596"/>
      </w:r>
      <w:r>
        <w:rPr>
          <w:rFonts w:ascii="Amiri" w:hAnsi="Amiri" w:eastAsia="Amiri" w:cs="Amiri"/>
          <w:color w:val="111111"/>
          <w:sz w:val="28"/>
          <w:sz w:val="28"/>
          <w:szCs w:val="28"/>
          <w:rtl w:val="true"/>
          <w:lang w:bidi="ar-SA"/>
        </w:rPr>
        <w:t>أنّ المحكيّ منهما مستفيض، بل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59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 بدواً بمعونة الأخبار هو تعلّق الأمر بالإقامة بصدر الآية لا الإمساك والمفارقة، فإنّ الظاهر اللفظي أنّ العناية في الكلام إلى الصدر، وهذا مضافاً إلى القرينة الحاليّة؛ لأنّ عدم تعلّقه بالمفارقة واضحٌ، فلابدّ من تعلّقه إمّا بالإمساك أو بالطلاق وتعلّقه بالأوّل خلاف الظاهر؛ لأنّه بعض جواب الجملة الشرطيّة، فيبقى تعلّقه بأصل الطلاق، ومقتضىالأخبار ذلك أيضاً، ففي 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طلّقت امرأتي بعد ما طهرت من محيضها قبل أن أُجامعها،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أشهدت رجلين ذوي عَدل كما أمرك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فإنّ طلاقك لیس بشيء</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وفي صحیحة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بعد ما غشيها بشهادة عدلين؟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طلاق السنّة؟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يطلّقها إذا طهرت من حيضها قبل أن يغشيها بشاهدين عدلين، كما قال الله عزّ وجلّ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خالف ذلك ردّ إلى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على طهر من غير جماع بشاهد وامرأتين،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في الطلاق، وقد تجوز شهادتهنّ مع غيرهنّ في الدم إذا حضرنه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أشهد رجلين ناصبيين على الطلاق أ يكون طلاقاً؟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على الفطرة أُجيزت شهادته على الطلاق بعد أن يعرف منه خير</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وأمّا السنّة، فمستفيضة بل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المقرونة بالاستدلال بالكتاب كالمذكورين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طلّقها للعدّة أكثر من واحدة فليس الفضل على الواحدة بطلاق، وإن طلّقها للعدّة بغيرشاهدي عَدل فليس طلاقه بطلاق، ولا يجوز فيه شهادة النساء</w:t>
      </w:r>
      <w:r>
        <w:rPr>
          <w:rFonts w:eastAsia="IRNazanin" w:cs="IRNazanin"/>
          <w:color w:val="111111"/>
          <w:sz w:val="28"/>
          <w:szCs w:val="28"/>
          <w:rtl w:val="true"/>
          <w:lang w:bidi="fa-IR"/>
        </w:rPr>
        <w:t>».</w:t>
      </w:r>
      <w:r>
        <w:rPr>
          <w:rStyle w:val="FootnoteAnchor"/>
          <w:rtl w:val="true"/>
        </w:rPr>
        <w:footnoteReference w:id="600"/>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الصباح الكناني،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طلّق بغير </w:t>
      </w:r>
      <w:bookmarkStart w:id="294" w:name="pg9375_99443"/>
    </w:p>
    <w:p>
      <w:pPr>
        <w:pStyle w:val="BookText"/>
        <w:rPr/>
      </w:pPr>
      <w:bookmarkEnd w:id="2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شهود فليس بشيء</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ومحمّد بن مسلم ومن معهما من الرواة وهم بكير وبريد وفضيل وإسماعيل الأزرق ومعمّر بن يحيى،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طلّقها في استقبال عدّتها طاهراً من غير جماع ولم يشهد على ذلك رجلين عدلين فليس طلاقه إيّاها بطلاق</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فيه أصلاً عند الإماميّة، بل هو من ضروريّات فقه المذهب بل نفسه، وإنّما الكلام في كيفيّة الإشهاد، ففيها احتمالات أربعة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5416629_2870459653"/>
      <w:bookmarkStart w:id="296" w:name="_Toc107"/>
      <w:bookmarkEnd w:id="295"/>
      <w:r>
        <w:rPr>
          <w:rtl w:val="true"/>
        </w:rPr>
        <w:t>كيفيّة الإشهاد واشتراط المعرفة وعدمه</w:t>
      </w:r>
      <w:bookmarkEnd w:id="29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العدلين عند الصيغة وإن لم يعلما المطلّق والمطلّقة، فضلاً عن معرفتهما، مثل ما إذا قال شخص عند جماعة من المؤمنين مع العلم بأنّ فيهما العدلين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فالسامع لا يدري أنّ المجري للصيغة هو المطلّق أو الوكيل منه أو الحاكم عليه، فضلاً عن المعرفة به وبالزوجة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فيهما العلم فضلاً عن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حضورهما ومعرفتهما لهما، بحيث يمكن لهما الشهادة فيما بعد وقبول شهادتهما، فيعتبر تحقّق بقيّة الشرائط فيهما مضافة إلى العدالة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العلم في الجملة، مثل العلم بأنّ المطلّق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والمطلّقة هند وإن لم يكونا معروفين لهما من حيث الأب والطائفة، فضلاً عن غيرهما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المعرفة وعدم اعتبار غير العدالة من سائر شرائط الشهادة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صاحب المدارك</w:t>
      </w:r>
      <w:r>
        <w:rPr>
          <w:rStyle w:val="FootnoteAnchor"/>
          <w:rtl w:val="true"/>
        </w:rPr>
        <w:footnoteReference w:id="603"/>
      </w:r>
      <w:r>
        <w:rPr>
          <w:rFonts w:ascii="Amiri" w:hAnsi="Amiri" w:eastAsia="Amiri" w:cs="Amiri"/>
          <w:color w:val="111111"/>
          <w:sz w:val="28"/>
          <w:sz w:val="28"/>
          <w:szCs w:val="28"/>
          <w:rtl w:val="true"/>
          <w:lang w:bidi="ar-SA"/>
        </w:rPr>
        <w:t>اعتبار المعرفة على نحو يمكن لهما الشهادة وهو الاحتمال الثاني، وظاهرالرياض</w:t>
      </w:r>
      <w:r>
        <w:rPr>
          <w:rStyle w:val="FootnoteAnchor"/>
          <w:rtl w:val="true"/>
        </w:rPr>
        <w:footnoteReference w:id="604"/>
      </w:r>
      <w:r>
        <w:rPr>
          <w:rFonts w:ascii="IRNazanin" w:hAnsi="IRNazanin" w:eastAsia="IRNazanin"/>
          <w:color w:val="111111"/>
          <w:sz w:val="28"/>
          <w:sz w:val="28"/>
          <w:szCs w:val="28"/>
          <w:rtl w:val="true"/>
          <w:lang w:bidi="fa-IR"/>
        </w:rPr>
        <w:t>والحدائق</w:t>
      </w:r>
      <w:r>
        <w:rPr>
          <w:rStyle w:val="FootnoteAnchor"/>
          <w:rtl w:val="true"/>
        </w:rPr>
        <w:footnoteReference w:id="605"/>
      </w:r>
      <w:r>
        <w:rPr>
          <w:rFonts w:ascii="Amiri" w:hAnsi="Amiri" w:eastAsia="Amiri" w:cs="Amiri"/>
          <w:color w:val="111111"/>
          <w:sz w:val="28"/>
          <w:sz w:val="28"/>
          <w:szCs w:val="28"/>
          <w:rtl w:val="true"/>
          <w:lang w:bidi="ar-SA"/>
        </w:rPr>
        <w:t>من إيرادهما على المدارك، كفاية العلم في الجملة، والظاهر من الجواهر بل صريحه الأوّل وهو كفاية حضور العدلين،</w:t>
      </w:r>
      <w:r>
        <w:rPr>
          <w:rStyle w:val="FootnoteAnchor"/>
          <w:rtl w:val="true"/>
        </w:rPr>
        <w:footnoteReference w:id="606"/>
      </w:r>
      <w:r>
        <w:rPr>
          <w:rFonts w:ascii="Amiri" w:hAnsi="Amiri" w:eastAsia="Amiri" w:cs="Amiri"/>
          <w:color w:val="111111"/>
          <w:sz w:val="28"/>
          <w:sz w:val="28"/>
          <w:szCs w:val="28"/>
          <w:rtl w:val="true"/>
          <w:lang w:bidi="ar-SA"/>
        </w:rPr>
        <w:t>وهو الظاهر من تفسير الإشهاد بحضور العدلين وسماعهما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فالظاهر منها الثاني؛ أمّا الكتاب، فبالقرينة الداخليّة والشهادة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الداخليّة،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الشَّهَادَةَ لِلّه</w:t>
      </w:r>
      <w:r>
        <w:rPr>
          <w:rStyle w:val="FootnoteAnchor"/>
          <w:rtl w:val="true"/>
        </w:rPr>
        <w:footnoteReference w:id="607"/>
      </w:r>
      <w:r>
        <w:rPr>
          <w:rFonts w:ascii="IRNazanin" w:hAnsi="IRNazanin" w:eastAsia="IRNazanin"/>
          <w:color w:val="111111"/>
          <w:sz w:val="28"/>
          <w:sz w:val="28"/>
          <w:szCs w:val="28"/>
          <w:rtl w:val="true"/>
          <w:lang w:bidi="fa-IR"/>
        </w:rPr>
        <w:t>بعد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وَأَشْهِدُوا ذَوَيْ عَدْلٍ مِّنكُمْ</w:t>
      </w:r>
      <w:r>
        <w:rPr>
          <w:rFonts w:ascii="IRNazanin" w:hAnsi="IRNazanin" w:eastAsia="IRNazanin"/>
          <w:color w:val="111111"/>
          <w:sz w:val="28"/>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فإنّ الظاهر من أمره تعالى بالإقامة لله بعد إيجاب الإشهاد أنّه يكون للإقامة وإلّا فإن كان الإشهاد واجباً لا لذلك فلا يحصل الارتباط بينهما كما لا يخفى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الخارجيّة، فإنّ الشهادة المأمور بها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للأداء حين الحاجة إليها بمناسبة الحكم والموضوع؛ فلابدّ منالمعرفة على التفصيل، فكونها لمحض الخصوصيّة والموضوعيّة في التحمّل من دون الطريقيّة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للأداء مخالفٌ للظاهر جدّاً، بل لا نظير له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أمثال ذلك في الشرع والقانون محتاجة إلى الصراحة والنصوصيّة في الأدلّة وإلى الكثرة فيها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حرمة العمل بالقياس التي ترجع إلى محض تعبّد خاصّ كيف بيّنها الشارع وأظهرها، بحيث إنّ الشيعة تعرف بتركها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السنّة، الدالّة فكذلك على الشرطيّة أيضاً؛ قضاءً للشرطيّة وعدم التعبّد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المدارك كلام يكون قريباً ممّا ذكرناه،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الظاهر من اشتراط الإشهاد أنّه لابدّ من حضور شاهدين يسمعان الطلاق، بحيث يتحقّق معه الشهادة بوقوعه، وإنّما يحصل ذلك مع العلم بالمطلّقة على وجه يشهد العدلان بوقوع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بين أهل زماننا من الاكتفاء بمجرّد سماع العدلين صيغة الطلاق، وإن لم يعلما المطلّق والمطلّقة بوجهٍ، بعيدٌ جدّاً، بل الظاهر أنّه لا أصل له في المذهب، فإنّ النصّ والفتوى متطابقان على اعتبار الإشهاد، ومجرّد سماع صيغة لا يعرف قائلها لا يسمّى إشهاداً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باعتبار علم الشهود بالمطلّقة،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609"/>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طلّق ولم يشهد شاهدين ممّن ظاهره الإسلام كان طلاقه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الطلاق فينبغي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طالقأو يشير إلى المرأة بعد أن يكون العلم قد سبق بها من الشهود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مضافاً إلى ما ذكرناه من عدم تحقّق الإشهاد بدون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بالمطلّقة، ما رواه الكليني عن محمّد بن 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صاحب العسكر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تزوّجت أربع نسوة لم أسأل عن أسمائهن، ثمّ إنّي أردت طلاق إحداهنّ وتزويج امرأة أُخرى،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 علامة إن كانت بواحدة منهنّ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فلانة التي بها علامة كذا وكذا هي طالق، ثمّ تزوّج الأُخرى إذا انقضت العدّة</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ولا يخفى أنّه ليس في أصل كلام الشيخ بأزيد ممّا في الأدلّة من لزوم الإشهاد، فكيف يكون صريحاً فيما ذكره،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أراد الطلاق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لنسبة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الصراحة إليه،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شرائط الطلاق واعتبار علم المطلّق وكذلك علم الشاهدين في الجملة لا على التفصيل، بحيث تتحقّق الشهادة به، فإنّ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أزيد من العلم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المستدلّ بها، فهي ناظرة إلى لزوم تعيين المطلّقة في مقابل الإبهام لا معرفتها بعينها تفصيلاً المعتبرة في الشهادة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في بعض الأخبار من الإشعار والشهادة لذلك الظهور ويكون مؤيّداً 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أحمد بن محمّد بن أبي نصر،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 علىطهر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جماع بشاهد وامرأتين؟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شهادة النساء في الطلاق، وقد تجوز شهادتهنّ مع غيرهنّ في الدم إذا حضرنه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فإنّ جواز الشهادة بمعنى نفوذها مربوط بمقام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جواز التحمّل هو بمعنى الإباحة لهنّ مطلقاً ولا تفصيل فيه أصلاً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حمران،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خلع ولا تخيير ولا مباراة إلّا على طهر من المرأة من غير جماع وشاهدين يعرفان الرجل ويريان المرأة ويحضران التخيير، وإقرار المرأة أنّها على طهر من غير جماع يوم خيّرها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إقرار المرأة هاهنا؟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يشهد الشاهدان عليها بذلك للرجل حذار أن يأتي بعدُ، فيدّعي أنّه خيّرها وهي طامث فيشهدان عليها بما سمعا منها </w:t>
      </w:r>
      <w:r>
        <w:rPr>
          <w:rFonts w:eastAsia="IRNazanin" w:cs="IRNazanin"/>
          <w:color w:val="111111"/>
          <w:sz w:val="28"/>
          <w:szCs w:val="28"/>
          <w:rtl w:val="true"/>
          <w:lang w:bidi="fa-IR"/>
        </w:rPr>
        <w:t>...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نعم، يمكن أن يكون اعتبار الشاهد في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الشهادة على الإقرار، بل وفي صدره إشعار بذلك؛ حيث خصّ الحكم ببعض أقسام الطلاق كالخلع والمباراة مع أنّ شهادة العدلين شرط في مطلّق الطلاق، فلعلّ اعتبار المعرفة في خصوص تلك الأقسام يكون لذلك، حيث إنّ الطلاق فيها يكون شبيهاً بالعقد ومرتبطاً بالزوجين كما لا يخفى، دون الطلاق الساذج، فإنّ المعتبر فيه فعلاً وقولاً الزوج ولا دخالة للزوجة فيه، فلا حذر إلّا من حيث الطهر المبيّن حكمه في الذيل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عدم كون الخبر معمولاً به عند الأصحاب ويكون معرضاً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حيث عدم اختصاص الشرطيّة عندهم بالأقسام المذكورة فيه، بل الشهادة شرط عندهم في مطلّق الطلاق، ومن حيث عدم صحّة التخيير عندهم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الإعراض من حيث التخيير إعراض عن بعض الرواية وهو غير موجب لسقوطها عن الحجيّة رأساً حتّى فيما لا إعراض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لكنّه في مورد يمكن التفكيك في الرواية بين الحكمين، وهذا بخلاف ما نحن فيه ممّا يكون الاستثناء واحداً، مثل ما كان الخبر واحداً والمبتدأ متعدّداً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اليسع،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على سنّة وعلى طهر من غير جماع إلّا ببيّنة، ولو أنّ رجلاً طلّق على سنّة وعلى طهر من غير جماع ولم يشهد لم يكن طلاقه طلاقاً</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ومثله ما مرّ عن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6"/>
      </w:r>
      <w:r>
        <w:rPr>
          <w:rFonts w:ascii="Amiri" w:hAnsi="Amiri" w:eastAsia="Amiri" w:cs="Amiri"/>
          <w:color w:val="111111"/>
          <w:sz w:val="28"/>
          <w:sz w:val="28"/>
          <w:szCs w:val="28"/>
          <w:rtl w:val="true"/>
          <w:lang w:bidi="ar-SA"/>
        </w:rPr>
        <w:t>حيث عبّر فيهما بالبيّنة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ذكرناه أنّه لا ينبغي الإشكال بحسب الأدلّة في لزوم المعرفة على نحوٍ من المعرفة التفصيليّة، والإيراد على مثل السيّد السند بأنّ اعتبار المعرفة خلاف الإطلاق فقد ظهر بطلانه ولا يفيده ما مرّ، ثمّعلى تسليم عدم الدلالة فلا دليل على ما ذهب إليه صاحب الحدائق</w:t>
      </w:r>
      <w:r>
        <w:rPr>
          <w:rStyle w:val="FootnoteAnchor"/>
          <w:rtl w:val="true"/>
        </w:rPr>
        <w:footnoteReference w:id="617"/>
      </w:r>
      <w:r>
        <w:rPr>
          <w:rFonts w:ascii="Amiri" w:hAnsi="Amiri" w:eastAsia="Amiri" w:cs="Amiri"/>
          <w:color w:val="111111"/>
          <w:sz w:val="28"/>
          <w:sz w:val="28"/>
          <w:szCs w:val="28"/>
          <w:rtl w:val="true"/>
          <w:lang w:bidi="ar-SA"/>
        </w:rPr>
        <w:t>من لزوم العلم في الجملة؛ لعدم الدليل عليه بعد ظهور شرطيّة الشهادة في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يعتبر أن يكون الطلاق على المعيّنة في مقابل المبهمة، وعليه، يصحّ الطلاق بقول المطلّق في مقابل العدلين المعيّنين أو الموجودين في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لتماميّة شرائط الطلاق مع أنّه لا علم للشاهدين بالمطلّقة أصلاً، وهذا هو مختار الجواهر،</w:t>
      </w:r>
      <w:r>
        <w:rPr>
          <w:rStyle w:val="FootnoteAnchor"/>
          <w:rtl w:val="true"/>
        </w:rPr>
        <w:footnoteReference w:id="618"/>
      </w:r>
      <w:r>
        <w:rPr>
          <w:rFonts w:ascii="Amiri" w:hAnsi="Amiri" w:eastAsia="Amiri" w:cs="Amiri"/>
          <w:color w:val="111111"/>
          <w:sz w:val="28"/>
          <w:sz w:val="28"/>
          <w:szCs w:val="28"/>
          <w:rtl w:val="true"/>
          <w:lang w:bidi="ar-SA"/>
        </w:rPr>
        <w:t>فالمعتبر عليه أصل الحضور والاستماع وهو الحقّ المعروف وإن كان مخالفاً للقاعدة ولظاهر الأدلّة كما عرفت؛ وذلك للدلالة عليه في أخبار فروع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عدم اللزوم بروايات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أربع نسوة في عقدة واحدة أو قال في مجلس واحد ومهورهنّ مختلفة؛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له ولهنّ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إن هو خرج إلى بعض البلدان فطلّق واحدة من الأربع وأشهد على طلاقها قوماً من أهل تلك البلاد وهم لا يعرفون المرأة، ثمّ تزوّج امرأة من أهل تلك البلاد بعد انقضاء عدّة المطلّقة، ثمّ مات بعد ما دخل بها كيف يقسم ميراثه؟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ولد، فإنّ للمرأة التي تزوّجها أخيراً من أهل تلك البلاد ربع ثمن ما ترك، وإن عرفت التي طلّقت من الأربع بعينها ونسبها فلا شيء لها من الميراث وعليها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ويقتسمن الثلاثة النسوة ثلاثة أرباع ثمن ما ترك وعليهنّ العدّة، وإن لم تعرف التي طلّقت من الأربع قسمن النسوة ثلاثة أرباع ثمن ما ترك بينهنّ جميعاً، وعليهنّ جميعاً العدّة</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ودلالتها واضحة، بل صريحة في صحّة طلاق من لم يعرفها الشهود لشخصها، والصحّة كذلك غير منافية لاعتبار التعيين المقابل للإبهام،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w:t>
      </w:r>
      <w:r>
        <w:rPr>
          <w:rStyle w:val="FootnoteAnchor"/>
          <w:rtl w:val="true"/>
        </w:rPr>
        <w:footnoteReference w:id="620"/>
      </w:r>
      <w:r>
        <w:rPr>
          <w:rFonts w:ascii="IRNazanin" w:hAnsi="IRNazanin" w:eastAsia="IRNazanin"/>
          <w:color w:val="111111"/>
          <w:sz w:val="28"/>
          <w:sz w:val="28"/>
          <w:szCs w:val="28"/>
          <w:rtl w:val="true"/>
          <w:lang w:bidi="fa-IR"/>
        </w:rPr>
        <w:t>والجواهر</w:t>
      </w:r>
      <w:r>
        <w:rPr>
          <w:rStyle w:val="FootnoteAnchor"/>
          <w:rtl w:val="true"/>
        </w:rPr>
        <w:footnoteReference w:id="621"/>
      </w:r>
      <w:r>
        <w:rPr>
          <w:rFonts w:ascii="Amiri" w:hAnsi="Amiri" w:eastAsia="Amiri" w:cs="Amiri"/>
          <w:color w:val="111111"/>
          <w:sz w:val="28"/>
          <w:sz w:val="28"/>
          <w:szCs w:val="28"/>
          <w:rtl w:val="true"/>
          <w:lang w:bidi="ar-SA"/>
        </w:rPr>
        <w:t>من عدم منافاة الاشتباه المذكور في الذيل لشرطيّة اعتبار التعيين، لجواز أن يكون القوم الذين طلّق بحضورهم قد نسوا الاسم الذي سمّاها به، فلا وجه له؛ لأنّ عدم المعرفة والاشتباه في الذيل يكون في بلد الإرث وأهله غير أهل بلد القسمة، فلا منافاة من رأسٍ، لا أنّها مدفوعة بموضوع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كانت له امرأة طهرت من محيضها فجاء إلى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يقع عليها الطلاق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22"/>
      </w:r>
      <w:r>
        <w:rPr>
          <w:rFonts w:ascii="Amiri" w:hAnsi="Amiri" w:eastAsia="Amiri" w:cs="Amiri"/>
          <w:color w:val="111111"/>
          <w:sz w:val="28"/>
          <w:sz w:val="28"/>
          <w:szCs w:val="28"/>
          <w:rtl w:val="true"/>
          <w:lang w:bidi="ar-SA"/>
        </w:rPr>
        <w:t>مع أنّ الظاهر من طبع الجماعة عدم معرفتهم لها، وإن أبيت من الظهور ففي ترك الاستفصال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صفوان،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طهرت امرأته من حيضها،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وقوم يسمعون كلامه ولم يقل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 يقع الطلاق عليها؟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هذه شهادة</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أحمد بن أشيم،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وذكر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فتترك معلّقة؟</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لا يشترط المعرفة بما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يسمعان الإنشاء؛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 أم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اجتماعهما حين سماع الإنشاء، فلو شهد أحدهما وسمع في مجلس، ثمّ كرّر اللفظ وسمع الآخر بانفراده، لم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قيد السماع محمولٌ على الغالب، وإلّا فيكفي الرؤية في مثل إشارة الأخرس وكتابة العاجز أو الغائب؛ لأنّ المعتبر في الطلاق هو الإشهاد عليه، يختلف باختلاف الطلاق، فإن كان بالقول فالإشهاد عليه بالاستماع، وإن كان بمثل الكتابة فالإشهاد عليه بالرؤية،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الأصل لصدق الشهادة والإشهاد بمحض الاستماع وإن لم يعرف الشاهد بذلك، بل وإن لم يلتفت الفاعل باستماع الشاهد وشهادته، كما لا يخفى، ولصحيحتي أحمد بن أبي نصر وصفوان، ولمضمرة ابن أشيم وقد مرّت كلّها آنفاً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ثمّ إنّ الظاهر عدم كفاية السماع من وراء مثل الجدار مع غفلة المطلّق وجهله؛ لأنّ الظاهر من الإشهاد قصد إيقاع الطلاق عند حضورهما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غير مختصّ بالسماع هكذا، بل يشمل كلّ مورد لم يلتفت المطلّق إلى حضورهما أو زعم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هناك فرق بين الإشهاد وشهادة الشاهد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الفتاوى، بل الظاهر اتّفاقهم عليه؛ لظاهر الكتاب والسنّة، فإنّ الظاهر من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ذَوَيْ عَدْلٍ مِّنكُمْ</w:t>
      </w:r>
      <w:r>
        <w:rPr>
          <w:rStyle w:val="FootnoteAnchor"/>
          <w:rtl w:val="true"/>
        </w:rPr>
        <w:footnoteReference w:id="626"/>
      </w:r>
      <w:r>
        <w:rPr>
          <w:rFonts w:ascii="Amiri" w:hAnsi="Amiri" w:eastAsia="Amiri" w:cs="Amiri"/>
          <w:color w:val="111111"/>
          <w:sz w:val="28"/>
          <w:sz w:val="28"/>
          <w:szCs w:val="28"/>
          <w:rtl w:val="true"/>
          <w:lang w:bidi="ar-SA"/>
        </w:rPr>
        <w:t>حضورهما عند الطلاق وشهادتهما له، ولمّا أنّ الطلاق واحد فحضورها ليس إلّا بالاجتماع وإلّا فيكون حضور أحدهما عنده دون الآخر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ولصحيح أحمد بن محمّد بن أبي نصر الصريح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على طهر من غير جماع وأشهد اليوم رجلاً ثمّ مكث خمسة أيّام ثمّ أشهد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أن يشهدا جميعاً</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ولا تعارضه صحيحة ابن بزيع،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تفريق الشاهدين في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وتعتدّ من أوّل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حتّى يشهدا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8"/>
      </w:r>
      <w:r>
        <w:rPr>
          <w:rFonts w:ascii="Amiri" w:hAnsi="Amiri" w:eastAsia="Amiri" w:cs="Amiri"/>
          <w:color w:val="111111"/>
          <w:sz w:val="28"/>
          <w:sz w:val="28"/>
          <w:szCs w:val="28"/>
          <w:rtl w:val="true"/>
          <w:lang w:bidi="ar-SA"/>
        </w:rPr>
        <w:t>لأنّة المحمول بقرينة ما في آخره على إرادة التفريق في الأداء لا في حضور الإنشاء، فالمراد من الاعتداد من أوّل الشاهدين هو الاعتداد من أوّل شهادة الشاهدين؛ لأنّه يكون قد وقع بهما، فإذا شهد أوّلهما بوقتٍ كان الآخر شاهداً به كذلك وإن تأخّر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شهادتهما على أمر واحد فلابدّ إلّا من اعتداد المرأة بما شهد به الأوّل من الزمان؛ لأنّه زمانهما، فذكره وبيانه توضيح لأمر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يكون لدفع توهّم أنّ زمان الاعتداد بعد أداء الثاني، حيث إنّ الحجّة تتمّ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عدّة الوفاة من أوّل زمان العلم بها أو الحجّة عليها، لا من نفس زمان الفوت، فكذلك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وتعتدّ من أوّل الشاهدين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دفعاً لذلك التوهّم وأنّ عدّة الطلاق من زمان وقوعه لا من زمان العلم، خلافاً لعدّة الوفاة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المعتبر حضورهما حين الطلاق ولا اعتناء بشهادتهما قبله أو بعده بلا إشكال ولا خلاف، فإنّ الإشهاد الواقع على الطلاق السابق إشهاد على الإخبار به؛ كما أنّ </w:t>
      </w:r>
    </w:p>
    <w:p>
      <w:pPr>
        <w:pStyle w:val="BookText"/>
        <w:rPr/>
      </w:pPr>
      <w:r>
        <w:rPr>
          <w:rFonts w:ascii="Amiri" w:hAnsi="Amiri" w:eastAsia="Amiri" w:cs="Amiri"/>
          <w:color w:val="111111"/>
          <w:sz w:val="28"/>
          <w:sz w:val="28"/>
          <w:szCs w:val="28"/>
          <w:rtl w:val="true"/>
          <w:lang w:bidi="ar-SA"/>
        </w:rPr>
        <w:t>نعم، لو شهدا بإقراره بالطلاق لم يعتبر اجتماعهما، لا في تحمّل الشهادة ولا في أدائها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بشهادة النساء وسماعهنّ، لا منفردات ولا منضمّات بالرجال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على الطلاق المستقبل إشهاد على الوعد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شيء منهما إشهاداً على الطلاق المعتبر كتاباً وسنّة وإجماعاً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يظهر أنّ ما في مضمر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طهر،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طلاق إلّا بالشهود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طلّقها ولم يشهد ثمّ أشهد بعد ذلك بأيّام متى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اليوم الذي أشهد فيه على الطلاق</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من الإشهاد بعد الطلاق بأيّام، محمولٌ على الإشهاد مع الطلاق ثانياً، وإلّا فهو مطروحٌ بالمخالفة للكتاب والسنّة مع أنّه معرضٌ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 لإطلاق أدلّة الشهادة والبيّنة، ولعدم الدليل على اعتباره</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الكتاب والسنّة والفتاوى اعتبار كونهما ذَكَرين، كما في الجواهر،</w:t>
      </w:r>
      <w:r>
        <w:rPr>
          <w:rStyle w:val="FootnoteAnchor"/>
          <w:rtl w:val="true"/>
        </w:rPr>
        <w:footnoteReference w:id="631"/>
      </w:r>
      <w:r>
        <w:rPr>
          <w:rFonts w:ascii="Amiri" w:hAnsi="Amiri" w:eastAsia="Amiri" w:cs="Amiri"/>
          <w:color w:val="111111"/>
          <w:sz w:val="28"/>
          <w:sz w:val="28"/>
          <w:szCs w:val="28"/>
          <w:rtl w:val="true"/>
          <w:lang w:bidi="ar-SA"/>
        </w:rPr>
        <w:t>فلا عبرة بحضور النساء بل ولا الخناثي في إنشاء الطلاق، لا منفردات ولا منضمّات إلى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صريح صحيح ابن أبي‌نصر،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تجوز شهادة النساء في الطلاق، وقد تجوز شهادتهنّ مع غيرهنّ في الدم إذا حضرنه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شهادة النساء في النكاح؟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إذا كان معهنّ رجل،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أُجيزها في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مع الرجل في الدين؟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شهادة القابلة في الولادة،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في المنفوس، والعذرة</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وخبر داود بن الحصين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وفي الجواهر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الاتّفاق عليه، وما عن ابني أبي عقيل والجنيد،</w:t>
      </w:r>
      <w:r>
        <w:rPr>
          <w:rStyle w:val="FootnoteAnchor"/>
          <w:rtl w:val="true"/>
        </w:rPr>
        <w:footnoteReference w:id="636"/>
      </w:r>
      <w:r>
        <w:rPr>
          <w:rFonts w:ascii="Amiri" w:hAnsi="Amiri" w:eastAsia="Amiri" w:cs="Amiri"/>
          <w:color w:val="111111"/>
          <w:sz w:val="28"/>
          <w:sz w:val="28"/>
          <w:szCs w:val="28"/>
          <w:rtl w:val="true"/>
          <w:lang w:bidi="ar-SA"/>
        </w:rPr>
        <w:t>بل والشيخ في المبسوط</w:t>
      </w:r>
      <w:r>
        <w:rPr>
          <w:rStyle w:val="FootnoteAnchor"/>
          <w:rtl w:val="true"/>
        </w:rPr>
        <w:footnoteReference w:id="637"/>
      </w:r>
      <w:r>
        <w:rPr>
          <w:rFonts w:ascii="Amiri" w:hAnsi="Amiri" w:eastAsia="Amiri" w:cs="Amiri"/>
          <w:color w:val="111111"/>
          <w:sz w:val="28"/>
          <w:sz w:val="28"/>
          <w:szCs w:val="28"/>
          <w:rtl w:val="true"/>
          <w:lang w:bidi="ar-SA"/>
        </w:rPr>
        <w:t>من قبول شهادتهنّ مع الرجال محمولٌ على ثبوته بذلك بعد إيقاعه بشهادة الذكرين، فلا خلاف حينئذٍ في المسألة</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المناقشة في مثل ظاهر الكتاب على الشرطيّة؛ لإشعار الوصف بالعدل، بل الظهور على أنّه المناط والمعيار من دون فرق بين الرجل والمرأة، كالوصف الواقع في غير واحد من الآياتوالأخبار، ومع عدم الظهور فلا أقلّ من إلغاء الخصوصيّة المعتبرة في أمثال المقام، بل وفي الروايات الدالّة على الشرطيّة من حيث السؤال ومن حيث عدم الإشارة إلى دلالة الكتاب لشهادة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الوكيل عن الزوج لا يكتفي به مع عَدل آخر في الشاهدين، كما لا يكتفي بالموكّل مع عَدل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ذلك كما لا يخفى، والأمر سهلٌ بعد النصوص الصريحة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يعتبر الشياع في الطلاق أيضاً ولا العلم به وإن توهّم بعض الناس الاكتفاء بالعلم؛ معلّلاً بأنّه ليس بعد العلم من شيء إلّا أنّه كما ترى، ضرورة عدم مدخليّة العلم بوقوعه في صحّته وإنّما المعتبر حضور الشاهدين وسماعهما، بل ومثلهما الطلاق عند معصوم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الباب غير باب الشهادة والإمامة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كون المخاطب للإشهاد هو المطلّق، فلابدّ من خروج العدلين عن المطلّق، والوكيل وإن لم يكن مطلّقاً بالحقيقة لكنّه مطلّق بالنيابة، وكأنّ النائب والوكيل هو المنوب عنه والموكّل، والظاهر المنساق من الأدلّة الأعمّ من الزوج والوكيل كأعمّيّته منه ومن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بعد اعترافه بخروجهما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هو الزوج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وكيله ففي الاكتفاء به عن أحدهما وجهان؛ من تحقّق اثنين خارجين عن المطلّق، ومن أنّ الوكيل نائب عن الزوج، فهو بحكم المطلّق، فلابدّ من اثنين خارجين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أعني الزوج والوكيل، خارج؛ لأنّ اللفظ لا يقوم باثنين، فأيّهما اعتبر اعتبرت شهادة الآخر</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قائم بهما بالاعتبارين، فلابدّ من شهادة غيرهما، ومنذلك يعلم عدم الاكتفاء بالموكّل مع عَدل آخر، ويعلم منه ما في القواعد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بالعدل في هذا المقام ما هو المراد به في غيره؛ ممّا رتّب عليه بعض الأحكام، كما مرّ في كتاب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أحدهما الزوج ففي صحّة إيقاع الوكيل إشكال، فإن قلنا به لم يثبت</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الوکیل وکان الزوج أحد الشاهدین فالظاهر عدم کفایته؛ لأنّه هو المطلّق واقعاً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 هنا ما في غيره هو الأشهر، بل المشهور، بل يظهر من الجواهر</w:t>
      </w:r>
      <w:r>
        <w:rPr>
          <w:rStyle w:val="FootnoteAnchor"/>
          <w:rtl w:val="true"/>
        </w:rPr>
        <w:footnoteReference w:id="641"/>
      </w:r>
      <w:r>
        <w:rPr>
          <w:rFonts w:ascii="Amiri" w:hAnsi="Amiri" w:eastAsia="Amiri" w:cs="Amiri"/>
          <w:color w:val="111111"/>
          <w:sz w:val="28"/>
          <w:sz w:val="28"/>
          <w:szCs w:val="28"/>
          <w:rtl w:val="true"/>
          <w:lang w:bidi="ar-SA"/>
        </w:rPr>
        <w:t>في المقام عدم الخلاف في ذلك، والاقتصار هنا على الإسلام منسوب إلى الشيخ في النهاية وتابعه جماعة منهم القطب الراوندي</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والمشهور هو المنصور؛ حيث إنّ العدالة المعتبرة هنا هي المعتبرة في غيره، فالمراد منهما واحد ولا وجه للفرق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يظهر من دلالة الصحيحين المستدلّ بهما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المرام للسيّد السند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بالاكتفاء بالإسلام للشيخ في النهاية،</w:t>
      </w:r>
      <w:r>
        <w:rPr>
          <w:rStyle w:val="FootnoteAnchor"/>
          <w:rtl w:val="true"/>
        </w:rPr>
        <w:footnoteReference w:id="643"/>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طلّق ولم يشهد شاهدين ممّن ظاهره الإسلام كان طلاقه غير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 بمحضر من رجلين مسلمين ولم يقل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إشهدا وقع طلاقه وجاز لهما أن يشهدا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ذلكجماعة منهم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مستندهم في ذلك إطلاق الأمر بإشهاد رجلين في كثير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لكنّ المطلق يحمل على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رواه ابن بابويه في الصحيح عن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وأشهد شاهدين ناصبيين،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ولد على الفطرة وعرف بالصلاح في نفسه جازت شهادته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وما رواه الكليني، عن عليّ بن إبراهيم، عن أبيه،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بعد ما غشيها بشهادة عدلين؟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طلاق السنّة؟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يطلقّها إذا طهرت من حيضها قبل أن يغشاها بشهادة عدلين، كما قال الله عزّ وجلّ في كتابه، فإن خالف ذلك ردّ إلى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على طهر من غير جماع بشاهد وامرأتين؟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شهادة النساء في الطلاق، وقد تجوز شهادتهنّ مع غيرهنّ في الدم إذا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أشهد رجلين ناصبيين على الطلاق أ يكون طلاقاً؟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على الفطرة أُجيزت شهادته على الطلاق بعد أن يعرف منه خيراً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هذه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الرواية واضحة الإسناد والدلالة على الاكتفاء بشهادة المسلم في الطلاق،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تعرف منه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لأنّ الخير قد يعرف من المؤمن وغيره، وهو نكرة في سياق الإثبات لا تقتضي العموم، فلا ينافيه مع معرفة الخير منه بالذي أظهر من الشهادتين والصلاة والصيام وغيرهما من أركان الإسلام، أن يعلم منه ما يخالف الاعتقاد الصحيح؛ لصدق معرفة الخير منه معه، 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تصديره باشتراط شهادة عدلين ثمّ الاكتفاء فيه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العدالة هي الإسلام، فإذا اُضيف إلى ذلك أن لا يظهر فسقٌ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تقريب الاستدلال بصحيحي البزنطي</w:t>
      </w:r>
      <w:r>
        <w:rPr>
          <w:rStyle w:val="FootnoteAnchor"/>
          <w:rtl w:val="true"/>
        </w:rPr>
        <w:footnoteReference w:id="647"/>
      </w:r>
      <w:r>
        <w:rPr>
          <w:rFonts w:ascii="Amiri" w:hAnsi="Amiri" w:eastAsia="Amiri" w:cs="Amiri"/>
          <w:color w:val="111111"/>
          <w:sz w:val="28"/>
          <w:sz w:val="28"/>
          <w:szCs w:val="28"/>
          <w:rtl w:val="true"/>
          <w:lang w:bidi="ar-SA"/>
        </w:rPr>
        <w:t>وابن مغيرة</w:t>
      </w:r>
      <w:r>
        <w:rPr>
          <w:rStyle w:val="FootnoteAnchor"/>
          <w:rtl w:val="true"/>
        </w:rPr>
        <w:footnoteReference w:id="648"/>
      </w:r>
      <w:r>
        <w:rPr>
          <w:rFonts w:ascii="Amiri" w:hAnsi="Amiri" w:eastAsia="Amiri" w:cs="Amiri"/>
          <w:color w:val="111111"/>
          <w:sz w:val="28"/>
          <w:sz w:val="28"/>
          <w:szCs w:val="28"/>
          <w:rtl w:val="true"/>
          <w:lang w:bidi="ar-SA"/>
        </w:rPr>
        <w:t>بأنّ السؤال فيهما عن الناصبي وخروج المورد مستهجن والمورد من المسلمين ولو من ناصبيهم،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الناصبي كافر؛ لأنّه كافر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لا يخفى عليك ما في الاستدلال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نهاية المرام، حيث قال بعد ذلك النقل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من نظر؛ إذ المتبادر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من هذا الشخص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منه الخير خاصّة، وكذا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منه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معروفاً بهذا الوصف ممتازاً به، فيكون في الروايتين دلالة على تحقّق العدالة المعتبرة فيالشهادة؛ بأن يظهر من حال الشخص، الخير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والصلاح دون الفسق والعصيان، ومن أعظم أنواع الفسق الخروج عن الإيمان كما هو واضح</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المراد من معرفة الخير فيه والصلاح في نفسه هو المؤمن العدل، حيث إنّه إن كان المراد منه الإسلام والاكتفاء به لا ينبغي بل لا يصحّ التعبير عنه بتلك الجملات بل يكتفي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لأنّهما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التعبير بما يدلّ على العدالة يكون للتقيّة في الجواب بالتعبير الجامع بينها وبين بيان الحقّ الذي لا زال كانوا يستعملونه، حتّى قال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لأحمد بن أبي نصر الناقل للصحيح الأوّل معلّماً له في تركه الجواب بمثله الجامع لبيان الواقع بلسان التقيّة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تحسن أن تقول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لأنّ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ردّ السائل إلى ضابطة كلّيّة غير شاملة للمورد بحسب الواقع وإن كانت قابلة للتطبيق عليه أيضاً،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يجب بالبطلان صريحاً، بل أجاب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يشمل الذيل الدالّ على لزوم كونه ذي صلاح وخير، الناصبي الذي أنجس وأخبث من الكلب ولا خير فيه أصلاً ومثل الإسلام والشهادتين والصلاة والصيام منه شرّ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ويكون سبباً لترويج أنّ النصب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أن يقال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منأهل الخير والصلاح لا سيّما الصلاح في نفسه، فإنّه لا يعرف الصلاح ولا الخير من الناصبي أصلاً؟</w:t>
      </w:r>
      <w:r>
        <w:rPr>
          <w:rFonts w:eastAsia="IRNazanin" w:cs="IRNazanin"/>
          <w:color w:val="111111"/>
          <w:sz w:val="28"/>
          <w:szCs w:val="28"/>
          <w:rtl w:val="true"/>
          <w:lang w:bidi="fa-IR"/>
        </w:rPr>
        <w:t>!</w:t>
      </w:r>
      <w:r>
        <w:rPr>
          <w:rStyle w:val="FootnoteAnchor"/>
          <w:rtl w:val="true"/>
        </w:rPr>
        <w:footnoteReference w:id="65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صاحب الجواهر، حيث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فيراد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كون الجملات من الكلمات الجامعة بين التقيّة وبيان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الخير فيه والصلاح في نفسه المؤمن العدل الذي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الفطرة أيضاً، لا الناصب الذي هو كافر إجماعاً، بل ولا مطلق المخالف الذي هو الشرّ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المسالك</w:t>
      </w:r>
      <w:r>
        <w:rPr>
          <w:rStyle w:val="FootnoteAnchor"/>
          <w:rtl w:val="true"/>
        </w:rPr>
        <w:footnoteReference w:id="652"/>
      </w:r>
      <w:r>
        <w:rPr>
          <w:rFonts w:ascii="Amiri" w:hAnsi="Amiri" w:eastAsia="Amiri" w:cs="Amiri"/>
          <w:color w:val="111111"/>
          <w:sz w:val="28"/>
          <w:sz w:val="28"/>
          <w:szCs w:val="28"/>
          <w:rtl w:val="true"/>
          <w:lang w:bidi="ar-SA"/>
        </w:rPr>
        <w:t>من الميل إلى القول المزبور واضح الفساد، ونحوه قد وقع له في كتاب الشهادات، وقد ذكرنا هناك ما عليه، ومن العجيب موافقة سبطه له هنا على ذلك في المحكيّ عن شرحه على النافع، ولعلّه لقرب مزاجه من مزاجه باعتبار تولّده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عذر للكاشاني في مفاتيحه؛</w:t>
      </w:r>
      <w:r>
        <w:rPr>
          <w:rStyle w:val="FootnoteAnchor"/>
          <w:rtl w:val="true"/>
        </w:rPr>
        <w:footnoteReference w:id="653"/>
      </w:r>
      <w:r>
        <w:rPr>
          <w:rFonts w:ascii="Amiri" w:hAnsi="Amiri" w:eastAsia="Amiri" w:cs="Amiri"/>
          <w:color w:val="111111"/>
          <w:sz w:val="28"/>
          <w:sz w:val="28"/>
          <w:szCs w:val="28"/>
          <w:rtl w:val="true"/>
          <w:lang w:bidi="ar-SA"/>
        </w:rPr>
        <w:t>سواء قالوا بعدم اعتبار العدالة في شاهدي الطلاق أو قالوا بأنّها فيه مجرّد الإسلام، فإنّ الأمرين كما ترى</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نعم، حكاية موافقة السبط لجدّه الشهيد الذي اعتذر عنه غير صحيحة، وظاهر عبارته بل صراحته في الموافقة للمشهور، فإنّه بعد الإيراد على جدّه بما نقلناه،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الروايتان مع صحّتهما سالمتان من المعارض فيتّجه العمل بهما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ومن المعلوم كون مراده عدم المعارض لهما في الدلالة على اعتبار العدالة المشهورة، كيف لا يكون كذلك وقد أورد على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مشابهة عبارته هذه لعبارة جدّه أوقعت الحاكي في السهو وعذر الجواهر واضح بعد الحكاية</w:t>
      </w:r>
      <w:r>
        <w:rPr>
          <w:rFonts w:eastAsia="Amiri" w:cs="Amiri" w:ascii="Amiri" w:hAnsi="Amiri"/>
          <w:color w:val="111111"/>
          <w:sz w:val="28"/>
          <w:szCs w:val="28"/>
          <w:rtl w:val="true"/>
          <w:lang w:bidi="ar-SA"/>
        </w:rPr>
        <w:t xml:space="preserve">. </w:t>
      </w:r>
      <w:bookmarkStart w:id="297" w:name="pg9375_99461"/>
    </w:p>
    <w:p>
      <w:pPr>
        <w:pStyle w:val="BookText"/>
        <w:rPr/>
      </w:pPr>
      <w:bookmarkEnd w:id="2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الشاهدان عادلين في اعتقاد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 كان أو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وفاسقين في الواقع، يشكل ترتيب آثار الطلاق الصحيح لمن يطلّع على فسقهما، وكذلك إذا كانا عادلين في اعتقاد الوكيل دون الموكّل، فإنّه يشكل جواز ترتيب آثار الصحّة عليه، بل الأمر فيه أشكل من سابقه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416631_2870459653"/>
      <w:bookmarkStart w:id="299" w:name="_Toc108"/>
      <w:bookmarkEnd w:id="298"/>
      <w:r>
        <w:rPr>
          <w:rtl w:val="true"/>
        </w:rPr>
        <w:t>عدالة المشترطة في الطلاق شرطاً واقعياً أو ظاهریاً؟</w:t>
      </w:r>
      <w:bookmarkEnd w:id="2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البحث عن هذه المسألة ينبغي الكلام في مسألة أُخرى معروفة بين أهل الفضل وهي أنّ العدالة المشترطة في الطلاق هل تكون شرطاً واقعيّاً ملازماً لبطلان الطلاق عند انكشاف عدمها كما هو ظاهر الألفاظ، فإنّها موضوعة للمعاني الواقعيّة ونفس الأمر لا المحرزة منها خلافاً للمحكيّ عن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أو شرطاً ظاهرياً كباب الجماعة؛ فإحراز العدالة شرط لا نفسها المستلزم لعدم البطلان مع انكشاف العدم، حيث إنّ عدمها غير موجب لعدم الشرط فإنّ الشرط كان موجوداً من جهة أنّ العدالة بعد ما كانت بمعنى ملكة التقوى والمروّة فلابدّ من شرطيّة الإحراز وإلّا فلا يطّلع عليه إلّا الله تعالى وفي الشاهدين لو اعتبر الواقع في حقّ غيرهما لزم التكليف بما لا يطاق؟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وجهان، أقواهما الأوّل وما في الثاني من الجهة فغير تامّة وإن استدلّ بها المسالك</w:t>
      </w:r>
      <w:r>
        <w:rPr>
          <w:rStyle w:val="FootnoteAnchor"/>
          <w:rtl w:val="true"/>
        </w:rPr>
        <w:footnoteReference w:id="657"/>
      </w:r>
      <w:r>
        <w:rPr>
          <w:rFonts w:ascii="Amiri" w:hAnsi="Amiri" w:eastAsia="Amiri" w:cs="Amiri"/>
          <w:color w:val="111111"/>
          <w:sz w:val="28"/>
          <w:sz w:val="28"/>
          <w:szCs w:val="28"/>
          <w:rtl w:val="true"/>
          <w:lang w:bidi="ar-SA"/>
        </w:rPr>
        <w:t>واختاره لكفاية الأمارة الشرعيّة للاطّلاع كغيرها منالأوصاف والموضوعات الباطنيّة، والأمارة والإحراز طريق إثبات الشرط لا نفس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انكشاف الخلاف في الأمارة غير موجب للبطلان على المختار من الإجزاء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الأمارات كبعض الأُصول الشرعيّة كما حقّقناه في محلّه، فإنّ الظاهر من الأمر باتّباع الأمارات وعدم الإلزام بالاحتياط هو الإجزاء، تبعاً للمحقّق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مع أنّ عدم الإجزاء والحكم بالبطلان مستلزم لمحاذير لا تناسب الشريعة السمحة السهلة كما أنّه مستلزم لمحاذير خاصّة في الطلاق؛ لأنّ الأمارة غير رافعة للاحتمال، فالمرأة المطلّقة تكون متردّدة ومتزلزلة في صحّة طلاقها دائماً فلا تكون مطمئنة بصحّة تزويجها ثانياً؛ لأنّه مع انكشاف الخلاف تكون محرّمة أبديّة على الثاني مع الدخول وأولادها أولاد شبهة ولا ترث منه وعليها الرجوع إلى الأوّل ومثلها الزوج أيضاً بالنسبة إلى الخامسة وأولادها وبالنسبة إلى مسألة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ذكرناه عدم الثمرة العمليّة بين مختار المسالك في المسألة ومختارنا فيها بضميمة المختار في مسألة الإجزاء وإنّما الثمرة هي علميّة مبنائيّة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تلك المسألة ولنرجع إلى مسألة المتن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أنّ العدالة إنّما هي حسن الظاهر فقط فلا محلّ لفروع المسألة لعدم معقوليّة كشف الخلاف حينئذٍ، لا للوكيل ولا للموكّل ولا للآخر إلّا على بعض فروضه، 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الملكة الرادعة عن المعاصي فمنشأ الإشكال أنّ عدالة الشاهدين شرط للمطلّق أو الطلاق؟ فعلى الأوّل يصحّ للمطلع على فسقهما ترتيب آثار الصحّة بعد ما كان الشاهدان عادلين في اعتقاد المطلّق لتحقّق الشرط واطّلاع غيره على الفسق غير مرتبط بالشرط، وعلى الثاني، فلا يصحّ ذلك لعدم تحقّق الشرط عند المطلع لاواقعاً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مثل العدالة في الجماعة من أنّها شرط الاقتداء للمأمومين أو شرط الجماعة؟ فعلى الأوّل يجوز لمن لا يرى لنفسه العدالة، الإمامة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القول بالصحّة للمطّلع أيضاً وأنّ الشرط شرط للمطلّق غير بعيد، بل وجيهٌ؛ قضاءً لظاهر مثل الكتاب والسنّة، فإنّ المأمور بإشهاد العدلين هو المطلّق، فهو المكلّف بالإحراز وبإشهادهما دون غيره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الفرع الثاني وهو ما إذا كانا عادلين في اعتقاد الوكيل دون الموكّل فعدم جواز ترتيب الموكّل آثار الصحّة لا يخلو من قوّة؛ لكون المطلّق حقيقةً المأمور بالإشهاد هو الموكّل وإلّا فالوكيل ليس بمطلّق، بل هو مجرٍ لصيغة الطلاق خاصّة</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9375_99465"/>
      <w:bookmarkStart w:id="301" w:name="pg9375_99465"/>
      <w:bookmarkEnd w:id="301"/>
    </w:p>
    <w:p>
      <w:pPr>
        <w:pStyle w:val="Heading2"/>
        <w:numPr>
          <w:ilvl w:val="1"/>
          <w:numId w:val="1"/>
        </w:numPr>
        <w:rPr/>
      </w:pPr>
      <w:bookmarkStart w:id="302" w:name="pg9375_99465"/>
      <w:bookmarkStart w:id="303" w:name="__RefHeading___Toc5416633_2870459653"/>
      <w:bookmarkStart w:id="304" w:name="_Toc109"/>
      <w:bookmarkEnd w:id="302"/>
      <w:bookmarkEnd w:id="303"/>
      <w:r>
        <w:rPr>
          <w:rtl w:val="true"/>
        </w:rPr>
        <w:t>القول في أقسام الطلاق</w:t>
      </w:r>
      <w:bookmarkEnd w:id="304"/>
    </w:p>
    <w:p>
      <w:pPr>
        <w:pStyle w:val="Heading3"/>
        <w:numPr>
          <w:ilvl w:val="2"/>
          <w:numId w:val="1"/>
        </w:numPr>
        <w:rPr/>
      </w:pPr>
      <w:bookmarkStart w:id="305" w:name="__RefHeading___Toc5416635_2870459653"/>
      <w:bookmarkStart w:id="306" w:name="_Toc110"/>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الطلاق نوعان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بدعيّ وسنيّ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الجامع للشرائط المتقدّمة، وهو على أقسام فاسدة عندنا صحيحة عند غيرنا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416637_2870459653"/>
      <w:bookmarkStart w:id="308" w:name="_Toc111"/>
      <w:bookmarkEnd w:id="307"/>
      <w:r>
        <w:rPr>
          <w:rtl w:val="true"/>
        </w:rPr>
        <w:t>تقسیم الطلاق إلی الواجب والمکروه والمستحبّ والحرام</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تقسيم آخر غير ما في المتن، ينبغي التعرّض له وهو التقسيم من حيث حكمه التكليفي،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إمّا واجب أو مكروه أو مستحبّ أو حرام، كما يظهر من المسالك</w:t>
      </w:r>
      <w:r>
        <w:rPr>
          <w:rStyle w:val="FootnoteAnchor"/>
          <w:rtl w:val="true"/>
        </w:rPr>
        <w:footnoteReference w:id="658"/>
      </w:r>
      <w:r>
        <w:rPr>
          <w:rFonts w:ascii="Amiri" w:hAnsi="Amiri" w:eastAsia="Amiri" w:cs="Amiri"/>
          <w:color w:val="111111"/>
          <w:sz w:val="28"/>
          <w:sz w:val="28"/>
          <w:szCs w:val="28"/>
          <w:rtl w:val="true"/>
          <w:lang w:bidi="ar-SA"/>
        </w:rPr>
        <w:t>وغيره،</w:t>
      </w:r>
      <w:r>
        <w:rPr>
          <w:rStyle w:val="FootnoteAnchor"/>
          <w:rtl w:val="true"/>
        </w:rPr>
        <w:footnoteReference w:id="659"/>
      </w:r>
      <w:r>
        <w:rPr>
          <w:rFonts w:ascii="IRNazanin" w:hAnsi="IRNazanin" w:eastAsia="IRNazanin"/>
          <w:color w:val="111111"/>
          <w:sz w:val="28"/>
          <w:sz w:val="28"/>
          <w:szCs w:val="28"/>
          <w:rtl w:val="true"/>
          <w:lang w:bidi="fa-IR"/>
        </w:rPr>
        <w:t>فالواجب تخييراً، كطلاق المولی والمُظاهر، فإنّه يؤمر المولى والمظاهر بعد المدّة بالفيء أو الطلاق، وتعييناً، كالطلاق مع الشقاق وعدم حصول الاتّفاق أو مع الريبة الظاهرة؛ بأن لا تكون عفيفة يخاف منها إفساد الفراش</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عدّ الطلاق فيهما مستحبّاً،</w:t>
      </w:r>
      <w:r>
        <w:rPr>
          <w:rStyle w:val="FootnoteAnchor"/>
          <w:rtl w:val="true"/>
        </w:rPr>
        <w:footnoteReference w:id="660"/>
      </w:r>
      <w:r>
        <w:rPr>
          <w:rFonts w:ascii="IRNazanin" w:hAnsi="IRNazanin" w:eastAsia="IRNazanin"/>
          <w:color w:val="111111"/>
          <w:sz w:val="28"/>
          <w:sz w:val="28"/>
          <w:szCs w:val="28"/>
          <w:rtl w:val="true"/>
          <w:lang w:bidi="fa-IR"/>
        </w:rPr>
        <w:t xml:space="preserve">والمكروه هو الطلاق مع وجود الالتیام، </w:t>
      </w:r>
      <w:bookmarkStart w:id="309" w:name="pg9375_99466"/>
    </w:p>
    <w:p>
      <w:pPr>
        <w:pStyle w:val="BookText"/>
        <w:rPr/>
      </w:pPr>
      <w:bookmarkEnd w:id="3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ممّا أحلّه الله أبغض إليه من الطلاق وأنّ الله عزّوجلّ يبغض المطلاق الذوّاق</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والمحرّم، كطلاقها في ليلة لها حقّ القسم، على ما في كشف اللثام، وطلاق الحائض بعد الدخول مع حضور الزوج أو مع غيبته دون المدّة المشترطة، وكذا النفساء أو في طهر قاربها فيه، وطلاق الثلاث من غير رجعة بينها، على ما في الشرائع</w:t>
      </w:r>
      <w:r>
        <w:rPr>
          <w:rStyle w:val="FootnoteAnchor"/>
          <w:rtl w:val="true"/>
        </w:rPr>
        <w:footnoteReference w:id="66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Heading3"/>
        <w:numPr>
          <w:ilvl w:val="2"/>
          <w:numId w:val="1"/>
        </w:numPr>
        <w:rPr/>
      </w:pPr>
      <w:bookmarkStart w:id="310" w:name="__RefHeading___Toc5416639_2870459653"/>
      <w:bookmarkStart w:id="311" w:name="_Toc112"/>
      <w:bookmarkEnd w:id="310"/>
      <w:r>
        <w:rPr>
          <w:rtl w:val="true"/>
        </w:rPr>
        <w:t>أسباب تحریم الطلاق المحرّم</w:t>
      </w:r>
      <w:bookmarkEnd w:id="311"/>
    </w:p>
    <w:p>
      <w:pPr>
        <w:pStyle w:val="BookText"/>
        <w:rPr/>
      </w:pPr>
      <w:r>
        <w:rPr>
          <w:rFonts w:ascii="Amiri" w:hAnsi="Amiri" w:eastAsia="Amiri" w:cs="Amiri"/>
          <w:color w:val="111111"/>
          <w:sz w:val="28"/>
          <w:sz w:val="28"/>
          <w:szCs w:val="28"/>
          <w:rtl w:val="true"/>
          <w:lang w:bidi="ar-SA"/>
        </w:rPr>
        <w:t xml:space="preserve">ولا يخفى أنّ أسباب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كشف اللثام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أربعة، وعلى المعروف وما في غيره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بعد بيان القسمين من الثلاثة،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سببان للتحريم عند جميع العلماء، وثالثها طلاقها أزيد من واحدة بغير رجعة متخلّلة بين الطلقات، أعمّ من إيقاعها بلفظ واحد أو 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هذا النوع مختصّ بمذهبنا</w:t>
      </w:r>
      <w:r>
        <w:rPr>
          <w:rFonts w:eastAsia="Amiri" w:cs="Amiri" w:ascii="Amiri" w:hAnsi="Amiri"/>
          <w:color w:val="111111"/>
          <w:sz w:val="28"/>
          <w:szCs w:val="28"/>
          <w:rtl w:val="true"/>
          <w:lang w:bidi="ar-SA"/>
        </w:rPr>
        <w:t>.</w:t>
      </w:r>
      <w:r>
        <w:rPr>
          <w:rStyle w:val="FootnoteAnchor"/>
          <w:rtl w:val="true"/>
        </w:rPr>
        <w:footnoteReference w:id="66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أنّه لا دليل على حرمة الثلاثة الأخيرة المعروفة إلّا إجماع المسالك، وإلّا فالمستفاد من الأدلّة، الكتاب والسنّة والفتاوى، ليس بأزيدمن البطلان</w:t>
      </w:r>
      <w:r>
        <w:rPr>
          <w:rFonts w:eastAsia="Amiri" w:cs="Amiri" w:ascii="Amiri" w:hAnsi="Amiri"/>
          <w:color w:val="111111"/>
          <w:sz w:val="28"/>
          <w:szCs w:val="28"/>
          <w:rtl w:val="true"/>
          <w:lang w:bidi="ar-SA"/>
        </w:rPr>
        <w:t xml:space="preserve">. </w:t>
      </w:r>
      <w:bookmarkStart w:id="312" w:name="pg9375_99467"/>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5416641_2870459653"/>
      <w:bookmarkStart w:id="314" w:name="_Toc113"/>
      <w:bookmarkEnd w:id="313"/>
      <w:r>
        <w:rPr>
          <w:rtl w:val="true"/>
        </w:rPr>
        <w:t>الردّ علی أدلّة الطلاق المحرّم</w:t>
      </w:r>
      <w:bookmarkEnd w:id="314"/>
    </w:p>
    <w:p>
      <w:pPr>
        <w:pStyle w:val="BookText"/>
        <w:rPr/>
      </w:pPr>
      <w:r>
        <w:rPr>
          <w:rFonts w:ascii="Amiri" w:hAnsi="Amiri" w:eastAsia="Amiri" w:cs="Amiri"/>
          <w:color w:val="111111"/>
          <w:sz w:val="28"/>
          <w:sz w:val="28"/>
          <w:szCs w:val="28"/>
          <w:rtl w:val="true"/>
          <w:lang w:bidi="ar-SA"/>
        </w:rPr>
        <w:t xml:space="preserve">وأمّا الاستدلال له بالنهي فهو كما ترى، فإنّه لو سلّم وجوده، لا يدلّ على أزيد من الإرشاد إلى البطلان؛ لأنّ النواهي المتعلّقة بالعناوين المقصودة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أزيد من الإرشاد إلى البطلان وأنّ المقصود غير حاصل، فكأنّ القائل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يطلّق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بيعاً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لأنّك لا تصل إلى مقصودك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في الأوامر والنواهي المتعلّقة بالأجزاء والشرائط، فإنّها إرشاد إلى الشرطيّة والجزئيّة والمانعيّة، فكأنّ الآمر 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هذا الأمر في المركّب ليحصل لك المركّب المأمور له، والناهي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وإلّا لا يحصل المركّب</w:t>
      </w:r>
    </w:p>
    <w:p>
      <w:pPr>
        <w:pStyle w:val="BookText"/>
        <w:rPr/>
      </w:pPr>
      <w:r>
        <w:rPr>
          <w:rFonts w:ascii="Amiri" w:hAnsi="Amiri" w:eastAsia="Amiri" w:cs="Amiri"/>
          <w:color w:val="111111"/>
          <w:sz w:val="28"/>
          <w:sz w:val="28"/>
          <w:szCs w:val="28"/>
          <w:rtl w:val="true"/>
          <w:lang w:bidi="ar-SA"/>
        </w:rPr>
        <w:t>هذا، مع عدم النهي عن الثلاثة لا سيّما الثلاث، في الأخبار أصلاً وإنّما الموجود فيها النهي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طلاقها بطلاق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الطلاق على غير السنّة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كلّه أنّ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البطلان بقرينة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لقائلٍ الاستدلال على ذلك بالروايات المنقولة في مقدّمات الطلاق من الوسائل،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على الوالي تأديب الناس وجبرهم بالسوط والسيف على موافقة الطلاق للسنّة وترك مخالفتها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والله‌لو ملكت من أمر الناس شيئاً لأقمتهم بالسيف والسوط حتّى يطلّقوا للعدّة كما أمر الله عزّوجلّ</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معمّر بن وشيكة،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الناس في الطلاق إلّا بالسيف، ولو وليّتهم لرددتهم فيه إلى كتاب الله عزّوجلّ</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ولّيت الناس لعلّمتهم كيف ينبغي لهم أن يطلّقوا، ثمّ لم اُوت برجل قد خالف إلّا أوجعت ظهره، ومن طلّق على غير السنّة ردّ إلى كتاب الله وإن رغم أنفه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ولا يخفى أنّ الظاهر منها كون السيف والسوط والإيجاع للبدعة وللتخلّف عن السنّة والشرع والتولّي عنهما، وذلك غير محلّ البحث، فإنّ الحرمة من هذه الجهة معلومة، وإنّما البحث في الحرمة من حيث هي؛ أي مثل حرمة الطلاق من حيث إنّه في الحيض أو في الطهر مع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صاحب الجواهر في عبارته المزجيّة بكلام الشرائع،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محرّم عندنا بعنوان الشرعيّة وعدمها مع عدمه، إذ التلفّظ بالصيغة من حيث كونه كذلك لا دليل على حرمته حتّى في الثلاثة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نعم، فيه أنّه كيف لم يتعرّض للاستدلال على الحرمة بما في المسالك من إجماع العلماء والنسبة إلى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كشف اللثام</w:t>
      </w:r>
      <w:r>
        <w:rPr>
          <w:rStyle w:val="FootnoteAnchor"/>
          <w:rtl w:val="true"/>
        </w:rPr>
        <w:footnoteReference w:id="670"/>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يسري إلى مقارنه الوجودي وهو الطلاق في محلّ البحث كما حقّقناه في محلّه، فافهم واغتنم</w:t>
      </w:r>
      <w:r>
        <w:rPr>
          <w:rFonts w:eastAsia="Amiri" w:cs="Amiri" w:ascii="Amiri" w:hAnsi="Amiri"/>
          <w:color w:val="111111"/>
          <w:sz w:val="28"/>
          <w:szCs w:val="28"/>
          <w:rtl w:val="true"/>
          <w:lang w:bidi="ar-SA"/>
        </w:rPr>
        <w:t xml:space="preserve">. </w:t>
      </w:r>
      <w:bookmarkStart w:id="315" w:name="pg9375_99469"/>
    </w:p>
    <w:p>
      <w:pPr>
        <w:pStyle w:val="BookText"/>
        <w:rPr/>
      </w:pPr>
      <w:bookmarkEnd w:id="31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5416643_2870459653"/>
      <w:bookmarkStart w:id="317" w:name="_Toc114"/>
      <w:bookmarkEnd w:id="316"/>
      <w:r>
        <w:rPr>
          <w:rtl w:val="true"/>
        </w:rPr>
        <w:t>تقسیم الطلاق إلی البدعيّ والسنّي</w:t>
      </w:r>
      <w:bookmarkEnd w:id="317"/>
    </w:p>
    <w:p>
      <w:pPr>
        <w:pStyle w:val="BookText"/>
        <w:rPr/>
      </w:pPr>
      <w:r>
        <w:rPr>
          <w:rFonts w:ascii="Amiri" w:hAnsi="Amiri" w:eastAsia="Amiri" w:cs="Amiri"/>
          <w:color w:val="111111"/>
          <w:sz w:val="28"/>
          <w:sz w:val="28"/>
          <w:szCs w:val="28"/>
          <w:rtl w:val="true"/>
          <w:lang w:bidi="ar-SA"/>
        </w:rPr>
        <w:t>هذا كلّه في التقسيم غير ما في المتن، وأمّا ما فيه من التقسيم إلى البدعيّ والسنّي فتقسيم معروف رائج، لكن تفسيره البدعيّ بغير الجامع خلاف المعروف، فإنّ المعروف في البدعيّ هو الطلاقات الثلاثة الأخيرة، والتفسيران موردان لإشكالٍ مشترك ومختصّ، أمّا المشترك هو عدم المناسبة بين البدعيّ وتفسيره، لأعميّة المفسّر من المفسّر عنه من جهة عدم اعتبار البدعة فيه، فإنّ الطلاق في الحيض بدعيّ على التفسير، وإن لم يقصد البدعة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 بالمباينة مفهوماً؛ لعدم أخذ قيد البدعة في تلك الطلقات، وأمّا البدعيّة فيها باعتبار اختصاصها بما كانت بدعة؛ حيث إنّ الحرمة فيها تكون بعنوان الشرعيّة، كما صرّح به الجواهر،</w:t>
      </w:r>
      <w:r>
        <w:rPr>
          <w:rStyle w:val="FootnoteAnchor"/>
          <w:rtl w:val="true"/>
        </w:rPr>
        <w:footnoteReference w:id="671"/>
      </w:r>
      <w:r>
        <w:rPr>
          <w:rFonts w:ascii="Amiri" w:hAnsi="Amiri" w:eastAsia="Amiri" w:cs="Amiri"/>
          <w:color w:val="111111"/>
          <w:sz w:val="28"/>
          <w:sz w:val="28"/>
          <w:szCs w:val="28"/>
          <w:rtl w:val="true"/>
          <w:lang w:bidi="ar-SA"/>
        </w:rPr>
        <w:t>ففيه أنّه لا وجه لتفسيره بالأقسام الثلاثة، بل كان المعيّن التفسير بكلّ طلاق فاقدٍ للشرائط المأتي به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دلالة للمتن على ذلك؛ لعدم الحكم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المختصّ، ففي المتن أنّه خلاف الاصطلاح، وأمّا في المعروف ففيه أنّه لا حرمة للطلقات الثلاثة بما هي كما مرّ،</w:t>
      </w:r>
      <w:r>
        <w:rPr>
          <w:rStyle w:val="FootnoteAnchor"/>
          <w:rtl w:val="true"/>
        </w:rPr>
        <w:footnoteReference w:id="672"/>
      </w:r>
      <w:r>
        <w:rPr>
          <w:rFonts w:ascii="Amiri" w:hAnsi="Amiri" w:eastAsia="Amiri" w:cs="Amiri"/>
          <w:color w:val="111111"/>
          <w:sz w:val="28"/>
          <w:sz w:val="28"/>
          <w:szCs w:val="28"/>
          <w:rtl w:val="true"/>
          <w:lang w:bidi="ar-SA"/>
        </w:rPr>
        <w:t>والحرمة من حيث الشريعة والبدعة فهي أعمّ منها، فما وجه الاختصاص؟</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لدفع بعض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التسمية والاصطلاح سهلٌ</w:t>
      </w:r>
      <w:r>
        <w:rPr>
          <w:rFonts w:eastAsia="Amiri" w:cs="Amiri" w:ascii="Amiri" w:hAnsi="Amiri"/>
          <w:color w:val="111111"/>
          <w:sz w:val="28"/>
          <w:szCs w:val="28"/>
          <w:rtl w:val="true"/>
          <w:lang w:bidi="ar-SA"/>
        </w:rPr>
        <w:t xml:space="preserve">. </w:t>
      </w:r>
      <w:bookmarkStart w:id="318" w:name="pg9375_99470"/>
    </w:p>
    <w:p>
      <w:pPr>
        <w:pStyle w:val="BookText"/>
        <w:rPr/>
      </w:pPr>
      <w:bookmarkEnd w:id="318"/>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الشرائط في مذهبنا، وهو قسمان بائن ورجعي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فالبائن ما ليس للزوج الرجوع إليها بعده؛ سواء كانت لها عدّة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5416645_2870459653"/>
      <w:bookmarkStart w:id="320" w:name="_Toc115"/>
      <w:bookmarkEnd w:id="319"/>
      <w:r>
        <w:rPr>
          <w:rtl w:val="true"/>
        </w:rPr>
        <w:t>معنیً آخر للطلاق السنّي بالنظر إلی النصوص والفتاوی</w:t>
      </w:r>
      <w:bookmarkEnd w:id="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للسنّي معنىً آخر أخصّ من ذلك في النصوص والفتاوى، وهو طلاقها بالطلاق الرجعي وعدم الرجوع في العدّة حتّى تنقضي المدّة، والفتاوى تعمّ البائن أيضاً، ونسب الشهيد</w:t>
      </w:r>
      <w:r>
        <w:rPr>
          <w:rStyle w:val="FootnoteAnchor"/>
          <w:rtl w:val="true"/>
        </w:rPr>
        <w:footnoteReference w:id="673"/>
      </w:r>
      <w:r>
        <w:rPr>
          <w:rFonts w:ascii="IRNazanin" w:hAnsi="IRNazanin" w:eastAsia="IRNazanin"/>
          <w:color w:val="111111"/>
          <w:sz w:val="28"/>
          <w:sz w:val="28"/>
          <w:szCs w:val="28"/>
          <w:rtl w:val="true"/>
          <w:lang w:bidi="fa-IR"/>
        </w:rPr>
        <w:t>هذا المعنى إلى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والأصل في ذلك 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السنّة يطلّقها تطليقة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على طهر من غير جماع بشهادة 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يدعها حتّى تمضي أقراؤها، فإذا مضت أقراؤها فقد بانت منه وهو خاطب من الخطّاب، إن شاءت نكحته وإن شاءت فلا، وإن أراد أن يراجعها أشهد على رجعتها قبل أن تمضي أقراؤها فتكون عنده على التطليقة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الطَّلَاقُ مَرَّتَانِ فَإِمْسَاكٌ بِمَعْرُوفٍ أَوْ تَسْرِيحٌ بِإِحْسَانٍ</w:t>
      </w:r>
      <w:r>
        <w:rPr>
          <w:rFonts w:ascii="IRNazanin" w:hAnsi="IRNazanin" w:eastAsia="IRNazanin"/>
          <w:color w:val="111111"/>
          <w:sz w:val="28"/>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 xml:space="preserve">التطليقة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التسريح بإحسان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لا يكون على السنّة، أو طلاق على العدّة فليس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طلاق السنّة وطلاق العدّة،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طلاق السنّة، فإذا أراد الرجل أن يطلّق </w:t>
      </w:r>
      <w:bookmarkStart w:id="321" w:name="pg9375_99471"/>
    </w:p>
    <w:p>
      <w:pPr>
        <w:pStyle w:val="BookText"/>
        <w:rPr/>
      </w:pPr>
      <w:bookmarkEnd w:id="321"/>
      <w:r>
        <w:rPr>
          <w:rFonts w:ascii="Amiri" w:hAnsi="Amiri" w:eastAsia="Amiri" w:cs="Amiri"/>
          <w:color w:val="111111"/>
          <w:sz w:val="28"/>
          <w:sz w:val="28"/>
          <w:szCs w:val="28"/>
          <w:rtl w:val="true"/>
          <w:lang w:bidi="ar-SA"/>
        </w:rPr>
        <w:t>وهو 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الطلاق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امرأته فلینتظر بها حتّى تطمث وتطهر، فإذا خرجت من طمثها طلّقها تطليقة من غير جماع، ويُشهد شاهدين على ذلك، ثمّ يدعها حتّى تطمث طمثتين فتنقضي عدّتها بثلاث حيض، وقد بانت منه، ويكون خاطباً من الخطّاب، إن شاءت تزوّجته، وإن شاءت لم تزوّجه، وعليه نفقتها والسكنى ما دامت في عدّتها، وهما يتوارثان حتّى تنقضي عدّتها </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إلى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الفتاوى ليستفاد من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اختلاف في معنى طلاق العدّة نصّاً وفتوىً، وهو الطلاق الرجعي مع الرجوع في العدّة والوطئ فيها، وهو يوجب الحرمة أبداً بعد التاسعة، وتقسيم الطلاق الصحيح إلى السنّي والعدّي غير جامع؛ لأنّه لا يشمل الطلاق الرجعي الذي يرجع بلا وطئ، مع أنّه أيضاً صحيحٌ</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5416647_2870459653"/>
      <w:bookmarkStart w:id="323" w:name="_Toc116"/>
      <w:bookmarkEnd w:id="322"/>
      <w:r>
        <w:rPr>
          <w:rtl w:val="true"/>
        </w:rPr>
        <w:t>الطلاق قبل الدخول</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لاخلاف فيه نصّاً وفتوىً كما في صريح الجواهر</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الأوّل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بكراً، ثمّ طلّقها قبل أن يدخل بها ثلاث تطليقات كلّ شهر تطليقة،قال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 في التطليقة الأُولی، واثنتان فضل، وهو خاطب يتزوّجها متى شاءت وشاء بمهر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يراجعها إذا طلّقها تطليقة قبل أن تمضي 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كان يكون له أن يراجعها لو كان دخل بها أوّلاً، فأمّا قبل أن يدخل بها فلا رجعة له عليها، قد بانت منه ساعة طلّقها</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قبل أن يدخل بها تطليقةً واحدة فقد بانت منه وتزوّج من ساعتها إن شاءت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إلى غيرهما من الأحاديث</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وهذا في الجملة لا كلام فيه، وإنّما الكلام في أنّ الدخول المعتبر عدمه، هو الدخول مطلقاً؛ قبلاً أو دبراً أو المقيّد بالقبل؟ فمقتضى ظاهر النصوص وفتاوى الأصحاب هو الأوّل، إلّا أن يقال بانصراف الإطلاق إلى القبل؛ للتعارف والكثرة، وأنّه المانع أيضاً، للشمول بترك الاستفصال</w:t>
      </w:r>
    </w:p>
    <w:p>
      <w:pPr>
        <w:pStyle w:val="BookText"/>
        <w:rPr/>
      </w:pPr>
      <w:r>
        <w:rPr>
          <w:rFonts w:ascii="Amiri" w:hAnsi="Amiri" w:eastAsia="Amiri" w:cs="Amiri"/>
          <w:color w:val="111111"/>
          <w:sz w:val="28"/>
          <w:sz w:val="28"/>
          <w:szCs w:val="28"/>
          <w:rtl w:val="true"/>
          <w:lang w:bidi="ar-SA"/>
        </w:rPr>
        <w:t>وبذلك يظهر عدم تماميّة ما استدلّ به الجواهر لذلك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المسّ والإدخال والدخول والمواقعة والتقاء الختانين إن فسّر بالتحاذي، وإمكان سبق المني فيه إلى الرحم، وكونه أحد المأتيين</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التماميّة موقوفة على عدم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التقاء الختانين إن لم يكن بمفهومه دليلاً على العدم والتقيّد فلا أقلّ من عدم الدلالةوالتفسير بما ذكره كما ترى، واستدلاله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بالوجهين الأخيرين فليس بأزيد من الإشعار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بظاهر صحيحتي عبدالله بن سنان</w:t>
      </w:r>
      <w:r>
        <w:rPr>
          <w:rStyle w:val="FootnoteAnchor"/>
          <w:rtl w:val="true"/>
        </w:rPr>
        <w:footnoteReference w:id="683"/>
      </w:r>
      <w:r>
        <w:rPr>
          <w:rFonts w:ascii="Amiri" w:hAnsi="Amiri" w:eastAsia="Amiri" w:cs="Amiri"/>
          <w:color w:val="111111"/>
          <w:sz w:val="28"/>
          <w:sz w:val="28"/>
          <w:szCs w:val="28"/>
          <w:rtl w:val="true"/>
          <w:lang w:bidi="ar-SA"/>
        </w:rPr>
        <w:t>المعتضد بنسبة السيّد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العموم إلى قطع الأصحاب، وأنّ الفهم شاهد على عدم الانصراف فغير تمام؛ وذلك لأنّ ما في أحدهما من قول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ملامسة النساء هي الإيقاع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 إلّا تفسير الملامسة بالإيقاع، وهو كالدخول وغيره مشترك في احتمال الانصراف، وعموميّة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غير مانعة من انصراف المفسِّر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ما في ثانيهما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والمهر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السائل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واقعها في الفرج ولم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أيضاً إلّا التعبير بالإدخال والمواقعه في الفرج الذي فيه احتمال الانصراف، كالمسّ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العدّة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فالحصر فيه إضافي بالنسبة إلى مثل الخلوة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الظاهر أنّه ليس فيهما أزيد ممّا في غيرهما من أخبار العدّة والمهر، وأمّا نسبة السيّد، فلعلّها تكون مستندة إلى إطلاق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اقتصار العلّامة في التحرير</w:t>
      </w:r>
      <w:r>
        <w:rPr>
          <w:rStyle w:val="FootnoteAnchor"/>
          <w:rtl w:val="true"/>
        </w:rPr>
        <w:footnoteReference w:id="686"/>
      </w:r>
      <w:r>
        <w:rPr>
          <w:rFonts w:ascii="Amiri" w:hAnsi="Amiri" w:eastAsia="Amiri" w:cs="Amiri"/>
          <w:color w:val="111111"/>
          <w:sz w:val="28"/>
          <w:sz w:val="28"/>
          <w:szCs w:val="28"/>
          <w:rtl w:val="true"/>
          <w:lang w:bidi="ar-SA"/>
        </w:rPr>
        <w:t>بالدخول في القبل ممّا يشعر بالخلاف، وتوقّف الحدائق</w:t>
      </w:r>
      <w:r>
        <w:rPr>
          <w:rStyle w:val="FootnoteAnchor"/>
          <w:rtl w:val="true"/>
        </w:rPr>
        <w:footnoteReference w:id="687"/>
      </w:r>
      <w:r>
        <w:rPr>
          <w:rFonts w:ascii="Amiri" w:hAnsi="Amiri" w:eastAsia="Amiri" w:cs="Amiri"/>
          <w:color w:val="111111"/>
          <w:sz w:val="28"/>
          <w:sz w:val="28"/>
          <w:szCs w:val="28"/>
          <w:rtl w:val="true"/>
          <w:lang w:bidi="ar-SA"/>
        </w:rPr>
        <w:t>وتبعيّة الرياض</w:t>
      </w:r>
      <w:r>
        <w:rPr>
          <w:rStyle w:val="FootnoteAnchor"/>
          <w:rtl w:val="true"/>
        </w:rPr>
        <w:footnoteReference w:id="688"/>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يوهن النسبة،وبوهنها يقوي احتمال الانصراف</w:t>
      </w:r>
      <w:r>
        <w:rPr>
          <w:rFonts w:eastAsia="Amiri" w:cs="Amiri" w:ascii="Amiri" w:hAnsi="Amiri"/>
          <w:color w:val="111111"/>
          <w:sz w:val="28"/>
          <w:szCs w:val="28"/>
          <w:rtl w:val="true"/>
          <w:lang w:bidi="ar-SA"/>
        </w:rPr>
        <w:t xml:space="preserve">. </w:t>
      </w:r>
      <w:bookmarkStart w:id="324" w:name="pg9375_99474"/>
    </w:p>
    <w:p>
      <w:pPr>
        <w:pStyle w:val="BookText"/>
        <w:rPr/>
      </w:pPr>
      <w:bookmarkEnd w:id="32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الصغيرة؛ أي من لم تبلغ التسع وإن 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5416649_2870459653"/>
      <w:bookmarkStart w:id="326" w:name="_Toc117"/>
      <w:bookmarkEnd w:id="325"/>
      <w:r>
        <w:rPr>
          <w:rtl w:val="true"/>
        </w:rPr>
        <w:t>طلاق الصغیرة</w:t>
      </w:r>
      <w:bookmarkEnd w:id="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عثمان،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التي قد يئست من المحيض، والتي لا يحيض مثلها،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عدّة</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جميل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الصبيّة التي لم تبلغ، ولا يحمل مثلها،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عدّة، وإن دخل بها</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وكذا مرسلته الأُخرى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الصبيّة التي لم تبلغ، ولا يحمل مثلها، وقد كان دخل بها، والمرأة التي قد يئست من المحيض وارتفع حيضها فلا يلد مثلها،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عليهما عدّة، وإن دخل بهما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تحض،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لها أقلّ من تسع سنين، والتي لم يدخل بها، والتي قد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لها خمسون سنة</w:t>
      </w:r>
      <w:r>
        <w:rPr>
          <w:rFonts w:eastAsia="IRNazanin" w:cs="IRNazanin"/>
          <w:color w:val="111111"/>
          <w:sz w:val="28"/>
          <w:szCs w:val="28"/>
          <w:rtl w:val="true"/>
          <w:lang w:bidi="fa-IR"/>
        </w:rPr>
        <w:t>».</w:t>
      </w:r>
      <w:r>
        <w:rPr>
          <w:rStyle w:val="FootnoteAnchor"/>
          <w:rtl w:val="true"/>
        </w:rPr>
        <w:footnoteReference w:id="69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تلك الأخبار، كما لا كلام ولا بحث في أصل المسألة فكذلك في العموميّة للدخول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 بها؛ للأمن من اختلاط المائين</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وإنّما البحث والكلام في أنّ الحدّ هل هو عدم البلوغ وعدم الحمل أو عدم الوصول إلى التسع؟ فالمشهور هو الأخير، فإن جعلناه حدّا للبلوغ أيضاً، كما هو المعروف بل المشهور أيضاً، فالأخبار متّفقة ولا تعارض بينها؛ لعدم إمكان الحمل قبل البلوغ الذي هو التسع، ولكن إن جعلنا الحدّ ثلاث عشرة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ويؤمل أن يستقرّ عليه المذهب، فالتعارض موجود؛ حيث إنّ الدالّ من الأخبار على عدم العدّة قبل التسع دالّ بمفهوم الحدّ على العدّة بعده، مع أنّه غير بالغ وغير قابل للحمل فيكون معارضاً للدالّ منها على عدمها مع عدم القابليّة للحمل وعدم البلوغ</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الظاهر منع التعارض أيضاً؛ لأنّه على المختار في حدّ البلوغ السِنّي، فالملاك هو عدم البلوغ وعدم إمكان الحمل فيها كما عليه السيّد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لا هما وقبل التسع، والموضوع في صحيحة عبدالرحمن بن الحجّاج عدم الحيض في من مثلها لا تحيض من جهة عدم البلوغ، ولا نظر فيها بدواً إلى السنّ أصلاً، وإنّما أجاب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 والتسع بعد سؤال السائل عن الحدّ للموضوع الظاهر في كونه بياناً لحدّ يكون عدم الحيض فيه معلوماً وهو فيما قبل التسع، فالصحيحة ساكتة عمّا بعد التسع، فلابدّ فيه من إحراز الموضوع؛ أي كونها لا تحيض ومثلها لا تحيض؛ يعني عدم القابليّة للحيض بعدم البلوغ، فالمستفاد من النصوص الواردة أنّالملاك في الصغيرة هو عدم الحيض أو عدم البلوغ، وما في صحيحة عبدالرحمن </w:t>
      </w:r>
      <w:bookmarkStart w:id="327" w:name="pg9375_99476"/>
    </w:p>
    <w:p>
      <w:pPr>
        <w:pStyle w:val="BookText"/>
        <w:rPr/>
      </w:pPr>
      <w:bookmarkEnd w:id="32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اليائسة،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 ليست لها عدّة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إضافة تسع سنين ففي بيان أقلّ الحدّ، والصحيحة هي الموجبة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الصغيرة في عبارات الأصحاب بما في المتن، وغير خفي أنّه على كون الحدّ في البلوغ تسع سنين، فالتفسير في المتن صحيحٌ، وأمّا على ما اخترناه في المسألة فغير تمامٍ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416651_2870459653"/>
      <w:bookmarkStart w:id="329" w:name="_Toc118"/>
      <w:bookmarkEnd w:id="328"/>
      <w:r>
        <w:rPr>
          <w:rtl w:val="true"/>
        </w:rPr>
        <w:t>طلاق الیائسة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على الثالث كالأوّلين دالّة ولا كلام فيه، وإنّما الكلام في المراد من اليائسة، وفيها أقوال ثلاثة،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القرشيّة، بل هي والنبطيّة وغيرها بالخمسين في الغير والستّين في القرشيّة والملحقة بها، وهو مقتضى الجمع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التفصيل بين العبادات، فالخمسون والعدّة فالستّون فليس بأزيد من احتمال جمعٍ في الأخبار، وهو جمع بلا شاهد ويكون تبرعيّاً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الاختلاف هو الروايات، فإنّها أيضاً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الخمسين مطلقاً، وهي صحيحة عبد الرحمن بن الحجّاج، كما مرّت آنفاً</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عنه،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التي قد يئست من المحيض خمسون سنة</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عن أحمد بن محمّد بن أبي نصر،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قد يئست من المحيض حدّها خمسون سنة</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الستّين مطلقاً، وهي ما عن عبدالرحمن بن الحجّاج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قد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تكون 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بلغت ستّين سنة فقد يئست من المحيض، ومثلها لا تحيض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قد يئست من المحيض، ومثلها لا تحيض؟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ستّين سنة فقد يئست من المحيض، ومثلها لا تحيض</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التفصيل بين القرشيّة وغيرها، وهي مرسلة ابن أبي عمير، عن بعض أصحابنا،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المرأة خمسين سنة لم تر حمرة إلّا أن تكون امرأة من قريش</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إذا بلغت خمسين سنة لم ترحمرة إلّا أن تكون امرأة من قريش</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ومرسلته الأُخرى التي تكون مثل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إذا بلغت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خمسين سنة لم تر حمرة إلّا أن تكون امرأة من قريش، وهو حدّ المرأة التي تيأس من المحيض</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وما عن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تيأس المرأة إذا بلغت خمسين سنة إلّا أن تكون امرأة من قريش، فإنّه روي أنّها ترى دم الحيض إلى ستّين سنة</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وما عن المفيد في المقنعة،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القرشيّة من النساء والنبطيّة تريان الدم إلى ستّين سنة</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فالأخبار المفصّلة خمسة،</w:t>
      </w:r>
      <w:r>
        <w:rPr>
          <w:rStyle w:val="FootnoteAnchor"/>
          <w:rtl w:val="true"/>
        </w:rPr>
        <w:footnoteReference w:id="705"/>
      </w:r>
      <w:r>
        <w:rPr>
          <w:rFonts w:ascii="Amiri" w:hAnsi="Amiri" w:eastAsia="Amiri" w:cs="Amiri"/>
          <w:color w:val="111111"/>
          <w:sz w:val="28"/>
          <w:sz w:val="28"/>
          <w:szCs w:val="28"/>
          <w:rtl w:val="true"/>
          <w:lang w:bidi="ar-SA"/>
        </w:rPr>
        <w:t>وهذه الطائفة المفصّلة طريق للجمع بين الطائفتين الأوليين بحمل المطلّق من كلّ منهما على المقيّد فيها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عليه بأنّ المرسلة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تصريح فيهابالستّين، كما أنّها ليست صريحة في الحيض، وبأنّ البقيّة لإرسالها غير قابلة للاعتماد ورفع اليد عن المطلقات والشهرة الجابرة غير موجودة، فإنّ الأقوال في المسألة ثلاثة وأنّ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الخمسين مطلقاً هو المحكيّ عن السرائر،</w:t>
      </w:r>
      <w:r>
        <w:rPr>
          <w:rStyle w:val="FootnoteAnchor"/>
          <w:rtl w:val="true"/>
        </w:rPr>
        <w:footnoteReference w:id="706"/>
      </w:r>
      <w:r>
        <w:rPr>
          <w:rFonts w:ascii="IRNazanin" w:hAnsi="IRNazanin" w:eastAsia="IRNazanin"/>
          <w:color w:val="111111"/>
          <w:sz w:val="28"/>
          <w:sz w:val="28"/>
          <w:szCs w:val="28"/>
          <w:rtl w:val="true"/>
          <w:lang w:bidi="fa-IR"/>
        </w:rPr>
        <w:t>وطلاق الشرائع،</w:t>
      </w:r>
      <w:r>
        <w:rPr>
          <w:rStyle w:val="FootnoteAnchor"/>
          <w:rtl w:val="true"/>
        </w:rPr>
        <w:footnoteReference w:id="707"/>
      </w:r>
      <w:r>
        <w:rPr>
          <w:rFonts w:ascii="Amiri" w:hAnsi="Amiri" w:eastAsia="Amiri" w:cs="Amiri"/>
          <w:color w:val="111111"/>
          <w:sz w:val="28"/>
          <w:sz w:val="28"/>
          <w:szCs w:val="28"/>
          <w:rtl w:val="true"/>
          <w:lang w:bidi="ar-SA"/>
        </w:rPr>
        <w:t>والمدارك،</w:t>
      </w:r>
      <w:r>
        <w:rPr>
          <w:rStyle w:val="FootnoteAnchor"/>
          <w:rtl w:val="true"/>
        </w:rPr>
        <w:footnoteReference w:id="708"/>
      </w:r>
      <w:r>
        <w:rPr>
          <w:rFonts w:ascii="IRNazanin" w:hAnsi="IRNazanin" w:eastAsia="IRNazanin"/>
          <w:color w:val="111111"/>
          <w:sz w:val="28"/>
          <w:sz w:val="28"/>
          <w:szCs w:val="28"/>
          <w:rtl w:val="true"/>
          <w:lang w:bidi="fa-IR"/>
        </w:rPr>
        <w:t>والجمل لابن البرّاج،</w:t>
      </w:r>
      <w:r>
        <w:rPr>
          <w:rStyle w:val="FootnoteAnchor"/>
          <w:rtl w:val="true"/>
        </w:rPr>
        <w:footnoteReference w:id="709"/>
      </w:r>
      <w:r>
        <w:rPr>
          <w:rFonts w:ascii="Amiri" w:hAnsi="Amiri" w:eastAsia="Amiri" w:cs="Amiri"/>
          <w:color w:val="111111"/>
          <w:sz w:val="28"/>
          <w:sz w:val="28"/>
          <w:szCs w:val="28"/>
          <w:rtl w:val="true"/>
          <w:lang w:bidi="ar-SA"/>
        </w:rPr>
        <w:t>والنهاية،</w:t>
      </w:r>
      <w:r>
        <w:rPr>
          <w:rStyle w:val="FootnoteAnchor"/>
          <w:rtl w:val="true"/>
        </w:rPr>
        <w:footnoteReference w:id="710"/>
      </w:r>
      <w:r>
        <w:rPr>
          <w:rFonts w:ascii="Amiri" w:hAnsi="Amiri" w:eastAsia="Amiri" w:cs="Amiri"/>
          <w:color w:val="111111"/>
          <w:sz w:val="28"/>
          <w:sz w:val="28"/>
          <w:szCs w:val="28"/>
          <w:rtl w:val="true"/>
          <w:lang w:bidi="ar-SA"/>
        </w:rPr>
        <w:t>وربّما مال إليه النافع</w:t>
      </w:r>
      <w:r>
        <w:rPr>
          <w:rStyle w:val="FootnoteAnchor"/>
          <w:rtl w:val="true"/>
        </w:rPr>
        <w:footnoteReference w:id="711"/>
      </w:r>
      <w:r>
        <w:rPr>
          <w:rFonts w:ascii="IRNazanin" w:hAnsi="IRNazanin" w:eastAsia="IRNazanin"/>
          <w:color w:val="111111"/>
          <w:sz w:val="28"/>
          <w:sz w:val="28"/>
          <w:szCs w:val="28"/>
          <w:rtl w:val="true"/>
          <w:lang w:bidi="fa-IR"/>
        </w:rPr>
        <w:t>والمنتهى</w:t>
      </w:r>
      <w:r>
        <w:rPr>
          <w:rStyle w:val="FootnoteAnchor"/>
          <w:rtl w:val="true"/>
        </w:rPr>
        <w:footnoteReference w:id="712"/>
      </w:r>
      <w:r>
        <w:rPr>
          <w:rFonts w:ascii="Amiri" w:hAnsi="Amiri" w:eastAsia="Amiri" w:cs="Amiri"/>
          <w:color w:val="111111"/>
          <w:sz w:val="28"/>
          <w:sz w:val="28"/>
          <w:szCs w:val="28"/>
          <w:rtl w:val="true"/>
          <w:lang w:bidi="ar-SA"/>
        </w:rPr>
        <w:t>كما قيل، وأنّ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أئمّة الفقه والحديث له قولان فى كتبه،</w:t>
      </w:r>
      <w:r>
        <w:rPr>
          <w:rStyle w:val="FootnoteAnchor"/>
          <w:rtl w:val="true"/>
        </w:rPr>
        <w:footnoteReference w:id="713"/>
      </w:r>
      <w:r>
        <w:rPr>
          <w:rFonts w:ascii="Amiri" w:hAnsi="Amiri" w:eastAsia="Amiri" w:cs="Amiri"/>
          <w:color w:val="111111"/>
          <w:sz w:val="28"/>
          <w:sz w:val="28"/>
          <w:szCs w:val="28"/>
          <w:rtl w:val="true"/>
          <w:lang w:bidi="ar-SA"/>
        </w:rPr>
        <w:t>فمع عدم عمله وعدم عمل غيره بها كيف يمكن جبر الضعف في السند، مدفوعٌ</w:t>
      </w:r>
      <w:r>
        <w:rPr>
          <w:rStyle w:val="FootnoteAnchor"/>
          <w:rtl w:val="true"/>
        </w:rPr>
        <w:footnoteReference w:id="714"/>
      </w:r>
      <w:r>
        <w:rPr>
          <w:rFonts w:ascii="Amiri" w:hAnsi="Amiri" w:eastAsia="Amiri" w:cs="Amiri"/>
          <w:color w:val="111111"/>
          <w:sz w:val="28"/>
          <w:sz w:val="28"/>
          <w:szCs w:val="28"/>
          <w:rtl w:val="true"/>
          <w:lang w:bidi="ar-SA"/>
        </w:rPr>
        <w:t>بأنّ عدم الصراحة في الستّين غير مضرّ بعد عدم القائل بغيره، مع أنّ الشهرة موافقة بل قرينة عليه، وأمّا عدم الصراحة في الحيض فلا ريب في ظهور الرواية بذلك، وهو كافٍ في المطلوب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بقيّة الأخبار، فهي وإن كانت مرسلة إلّا أنّ المرسلة الأُخرى للصدوق</w:t>
      </w:r>
      <w:r>
        <w:rPr>
          <w:rStyle w:val="FootnoteAnchor"/>
          <w:rtl w:val="true"/>
        </w:rPr>
        <w:footnoteReference w:id="715"/>
      </w:r>
      <w:r>
        <w:rPr>
          <w:rFonts w:ascii="Amiri" w:hAnsi="Amiri" w:eastAsia="Amiri" w:cs="Amiri"/>
          <w:color w:val="111111"/>
          <w:sz w:val="28"/>
          <w:sz w:val="28"/>
          <w:szCs w:val="28"/>
          <w:rtl w:val="true"/>
          <w:lang w:bidi="ar-SA"/>
        </w:rPr>
        <w:t xml:space="preserve">التي كانت النسبة فيها جزميّة اعتبارها وعدم كونها بِأدْوَنَ من مراسيل ابن أبي عمير، غير خالٍ من الوجه، بل القوّة؛ حيث إنّ النسبة كذلك كاشفة عن اعتبار السند عنده، وهو بمنزلة مثل توثيق النجاشيوالشيخ من علماء الرجال؛ لأنّ الظاهر استناده إلى الحسّ والحدس القريب منه، وليس حال الصدوق كحال مثل </w:t>
      </w:r>
      <w:bookmarkStart w:id="330" w:name="pg9375_99480"/>
    </w:p>
    <w:p>
      <w:pPr>
        <w:pStyle w:val="BookText"/>
        <w:rPr/>
      </w:pPr>
      <w:bookmarkEnd w:id="330"/>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والمباراة مع عدم رجوع الزوجة فيما بذلت، وإلّا كانت له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الثالث إذا وقع منه رجوعان إلى الزوجة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الأوّل والثاني وبين الثاني والثالث،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الذي كان أهل الاجتهاد والدراية الخارجة عنهما ممّن لا يكون نظره فى السند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إطلاق أخبار الستّين وقاعدة الإمكان، بل واستصحاب القابليّة مقتضية للستّين في القرشيّة والنبطيّة وغيرهما خارج عن الإطلاق والقاعدة بأخبار الخمسين وتلك الأخبار مقيّدة بغيرهما بالإجماع على عدم الستّين في غيرهما وبمرسلتي ابن أبي عمير والصدوق، فالنتيجة هي التفصيل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خروج النبطيّة ليس إلّا بالإجماع ومرسل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شاهد التفصيل هو الرواية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المسألة وتمامه في كتاب الطهارة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416653_2870459653"/>
      <w:bookmarkStart w:id="332" w:name="_Toc119"/>
      <w:bookmarkEnd w:id="331"/>
      <w:r>
        <w:rPr>
          <w:rtl w:val="true"/>
        </w:rPr>
        <w:t>طلاق الخلع والمباراة</w:t>
      </w:r>
      <w:bookmarkEnd w:id="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الطلاقين بائنين، وأنّ لها الرجوع فيما بذلت إجماعي، وعليه النصوص كما يأتي الكلام فيه</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ولا فرق بينهما في الأحكام، وإنّما الفرق بينهما في أنّ الخلع مع كراهة الزوجة والمباراة مع الكراهة من الزوجين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يأتي الكلام فيه،</w:t>
      </w:r>
      <w:r>
        <w:rPr>
          <w:rStyle w:val="FootnoteAnchor"/>
          <w:rtl w:val="true"/>
        </w:rPr>
        <w:footnoteReference w:id="717"/>
      </w:r>
      <w:r>
        <w:rPr>
          <w:rFonts w:ascii="IRNazanin" w:hAnsi="IRNazanin" w:eastAsia="IRNazanin"/>
          <w:color w:val="111111"/>
          <w:sz w:val="28"/>
          <w:sz w:val="28"/>
          <w:szCs w:val="28"/>
          <w:rtl w:val="true"/>
          <w:lang w:bidi="fa-IR"/>
        </w:rPr>
        <w:t>والأخبار علیه مستفیضة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بعقد جديد بعد خروجها عن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ثلاثاً مع تخلّل رجعتين حرمت عليه ولو بعقد جديد، ولا تحلّ له إلّا بعد أن تنكح زوجاً غيره، ثمّ فارقها بموت أو طلاق وانقضت عدّتها، وحينئذٍ جاز للأوّل نكاحها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استیفاء العدّة بعد طلاق الأوّل أو الثاني هادم ما تقدّم من الطلاق وسیأتي البحث عنها في المسألة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لا یخفی أنّ طلاق الحاکم ولایة علی الممتنع في حکم البائن ظاهراً، فلیس للزوج الرجوع فیه؛ قضاءً لما في الأخبار</w:t>
      </w:r>
      <w:r>
        <w:rPr>
          <w:rStyle w:val="FootnoteAnchor"/>
          <w:rtl w:val="true"/>
        </w:rPr>
        <w:footnoteReference w:id="718"/>
      </w:r>
      <w:r>
        <w:rPr>
          <w:rFonts w:ascii="IRNazanin" w:hAnsi="IRNazanin" w:eastAsia="IRNazanin"/>
          <w:color w:val="111111"/>
          <w:sz w:val="28"/>
          <w:sz w:val="28"/>
          <w:szCs w:val="28"/>
          <w:rtl w:val="true"/>
          <w:lang w:bidi="fa-IR"/>
        </w:rPr>
        <w:t>من التعبیر بالمفارقة، ولما في جواز الرجوع له من الکَرّ علی ما فرّ،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فقاعدة نفي الجرح، کما کانت مقتضیة للطلاق فکذلك تکون مقتضیة لعدم جواز الرجوع له،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أيضاً لا إشکال فیه نصّاً وفتویً، وما في هذه المسألة والمسألة الآتیة من الحاجة إلی نکاح الغیر، المعبّر عنه بالمحلّل مختصّ بالسادس من أقسام البائن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في الجملة إجماع علماء الإسلام، بل هو من ضروریّات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 الکتاب والسنّة، وأخبارها مستفیضة إن لم تکن متواترة</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نعم، الشيعة متفرّدة بلزوم تخلّل الرجعتين، كما ذكره المتن وعليه إجماعهم ونصوصهم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العامّة فليس ذلك شرطاً عندهم، بل يقع الثلاثة مرسلةً، فضلاً عن كونها </w:t>
      </w:r>
      <w:bookmarkStart w:id="333" w:name="pg9375_99482"/>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حرّة إذا استكمل الطلاق ثلاثاً مع تخلّل رجعتين في البين حرمت على المطلّق حتّى تنكح زوجاً غيره؛ سواءٌ واقعها بعد كلّ رجعة وطلّقها في طهر آخر غير طهر المواقعة، وهذا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العدّة، أو لم يواقعها، وسواءٌ وقع كلّ طلاق في طهر أو وقع الجميع في طهر واحد، فلو طلّقها مع الشرائط، ثمّ راجعها، ثمّ طلّقها، ثمّ راجعها، ثمّ طلّقها في مجلس واحد حرمت عليه، فضلاً عمّا إذا طلّقها، ثمّ راجعها، ثمّ تركها حتّى حاضت وطهرت ثمّ طلّقها،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الجديد بحكم الرجوع في الطلاق، فلو طلّقها ثلاثاً بينها عقدان مستأنفان، حرمت عليه حتّى تنكح زوجاً غيره؛ سواء لم تكن لها عدّة، كما إذا طلّقها قبل الدخول، أو كانت ذات عدّة وعقد عليها بعد انقضاء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مفصّلة مع عدم الرجوع، وقد مضى الكلام فيهما</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المسألة زائداً على ما في السابقة هو عموميّة الحكم في الحاجة إلى المحلّل لجميع أقسام الطلاق العدّي ثلاثاً، كما عليه ظاهر الأصحاب وصراحة الروايات، بل ومقتضى إطلاقه شمول الحكم لغير الأقسام الثلاثة في المتن من المطلّقة بالتطليق الثالث</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5416655_2870459653"/>
      <w:bookmarkStart w:id="335" w:name="_Toc120"/>
      <w:bookmarkEnd w:id="334"/>
      <w:r>
        <w:rPr>
          <w:rtl w:val="true"/>
        </w:rPr>
        <w:t>قولان في مسألة استيفاء العدّة، هل هو هادم لتحريم الثلاثة أم لا؟</w:t>
      </w:r>
      <w:bookmarkEnd w:id="335"/>
    </w:p>
    <w:p>
      <w:pPr>
        <w:pStyle w:val="Heading4"/>
        <w:numPr>
          <w:ilvl w:val="3"/>
          <w:numId w:val="1"/>
        </w:numPr>
        <w:rPr/>
      </w:pPr>
      <w:bookmarkStart w:id="336" w:name="__RefHeading___Toc5416657_2870459653"/>
      <w:bookmarkStart w:id="337" w:name="_Toc121"/>
      <w:bookmarkEnd w:id="336"/>
      <w:r>
        <w:rPr>
          <w:rtl w:val="true"/>
        </w:rPr>
        <w:t>اشارة</w:t>
      </w:r>
      <w:bookmarkEnd w:id="33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والمسألة الخامسة هما ناظرتان إلى اختلاف الأصحاب فيأنّ استيفاء العدّة هادم لتحريم الثلاثة أم لا؛ أي أنّ المطلِّق إذا لم يراجع في العدّة، بل تركها حتّى تخرج، ثمّ تزوّجها بعقد جديد، وهكذا ثانياً وثالثاً، لا تحرم عليه </w:t>
      </w:r>
      <w:bookmarkStart w:id="338" w:name="pg9375_99483"/>
    </w:p>
    <w:p>
      <w:pPr>
        <w:pStyle w:val="BookText"/>
        <w:rPr/>
      </w:pPr>
      <w:bookmarkEnd w:id="3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تنكح زوجاً غيره، أم أنّ استيفاء العدّة لا تأثير له ولا يهدم الطلاق ولا التحريم، فيحتاج إلى المحلّل بعد الطلقة الثالثة؟ وجهان، بل قولان</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416659_2870459653"/>
      <w:bookmarkStart w:id="340" w:name="_Toc122"/>
      <w:bookmarkEnd w:id="339"/>
      <w:r>
        <w:rPr>
          <w:rtl w:val="true"/>
        </w:rPr>
        <w:t>القائلون بالقول الأوّل</w:t>
      </w:r>
      <w:bookmarkEnd w:id="340"/>
    </w:p>
    <w:p>
      <w:pPr>
        <w:pStyle w:val="BookText"/>
        <w:rPr/>
      </w:pPr>
      <w:r>
        <w:rPr>
          <w:rFonts w:ascii="Amiri" w:hAnsi="Amiri" w:eastAsia="Amiri" w:cs="Amiri"/>
          <w:color w:val="111111"/>
          <w:sz w:val="28"/>
          <w:sz w:val="28"/>
          <w:szCs w:val="28"/>
          <w:rtl w:val="true"/>
          <w:lang w:bidi="ar-SA"/>
        </w:rPr>
        <w:t>إلى هذا القول ذهب الصدوق في الفقيه والمقنع</w:t>
      </w:r>
      <w:r>
        <w:rPr>
          <w:rStyle w:val="FootnoteAnchor"/>
          <w:rtl w:val="true"/>
        </w:rPr>
        <w:footnoteReference w:id="721"/>
      </w:r>
      <w:r>
        <w:rPr>
          <w:rFonts w:ascii="Amiri" w:hAnsi="Amiri" w:eastAsia="Amiri" w:cs="Amiri"/>
          <w:color w:val="111111"/>
          <w:sz w:val="28"/>
          <w:sz w:val="28"/>
          <w:szCs w:val="28"/>
          <w:rtl w:val="true"/>
          <w:lang w:bidi="ar-SA"/>
        </w:rPr>
        <w:t>والهداية،</w:t>
      </w:r>
      <w:r>
        <w:rPr>
          <w:rStyle w:val="FootnoteAnchor"/>
          <w:rtl w:val="true"/>
        </w:rPr>
        <w:footnoteReference w:id="722"/>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طلاق السنّة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له أن يتزوّجها بعد ذلك، وسمّي طلاق السنّة طلاق الهدم، متى استوفت قرؤوها وتزوّجها ثانية هدم الطلاق الأوّل</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والمفيد في المقنعة</w:t>
      </w:r>
      <w:r>
        <w:rPr>
          <w:rStyle w:val="FootnoteAnchor"/>
          <w:rtl w:val="true"/>
        </w:rPr>
        <w:footnoteReference w:id="724"/>
      </w:r>
      <w:r>
        <w:rPr>
          <w:rFonts w:ascii="Amiri" w:hAnsi="Amiri" w:eastAsia="Amiri" w:cs="Amiri"/>
          <w:color w:val="111111"/>
          <w:sz w:val="28"/>
          <w:sz w:val="28"/>
          <w:szCs w:val="28"/>
          <w:rtl w:val="true"/>
          <w:lang w:bidi="ar-SA"/>
        </w:rPr>
        <w:t>والمسائل الطوسيّة و أحكام النساء</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ففي المسائل الطوسيّة سأل الشيخ الطوسي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يقول سيّدنا الشيخ الجليل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 وكبّت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طلّق امرأته تطليقة واحدة بشهادة رجلين مسلمين عدلين ولم يراجعها حتّى قضت عدّتها وملكت نفسها، ثمّ خطبها فأجابت فراجعها، هل تكون قد بانت منه بواحدة، أو يكون قد هدم العقدالثاني ما مضى من الطلاق؟ </w:t>
      </w:r>
      <w:bookmarkStart w:id="341" w:name="pg9375_99484"/>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 نكاحها بعد انقضاء عدّتها، انهدمت التطليقة الأُوَلة</w:t>
      </w:r>
    </w:p>
    <w:p>
      <w:pPr>
        <w:pStyle w:val="BookText"/>
        <w:rPr/>
      </w:pPr>
      <w:r>
        <w:rPr>
          <w:rFonts w:ascii="Amiri" w:hAnsi="Amiri" w:eastAsia="Amiri" w:cs="Amiri"/>
          <w:color w:val="111111"/>
          <w:sz w:val="28"/>
          <w:sz w:val="28"/>
          <w:szCs w:val="28"/>
          <w:rtl w:val="true"/>
          <w:lang w:bidi="ar-SA"/>
        </w:rPr>
        <w:t>وحصلت معه على حكم نكاح لم يكن قبله عقد له ولا طلاق</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والديلمي في المراسم، حيث ذكر بعد تقسيم الطلاق بطلاق العدّة وطلاق السنّة، وذكر في العِدّي أنّه بعد التطليقة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بانت منه، ويستقبل العدّة، ولا تحلّ له حتّى تنكح زوجاً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وتَرَك تلك العبارة في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الترك، عدم التحريم وعدم الحاجة إلى المحلّل في السنّي، وإلّا فلا وجه لتخصيص العدّي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وفي الكافي ما يلوح منه اختياره؛ حيث عقد في كتاب الطلاق من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يهدم الطلاق وما لا يهدم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وأورد فيه الروایتن لمعلّى بن خنيس</w:t>
      </w:r>
      <w:r>
        <w:rPr>
          <w:rStyle w:val="FootnoteAnchor"/>
          <w:rtl w:val="true"/>
        </w:rPr>
        <w:footnoteReference w:id="729"/>
      </w:r>
      <w:r>
        <w:rPr>
          <w:rFonts w:ascii="Amiri" w:hAnsi="Amiri" w:eastAsia="Amiri" w:cs="Amiri"/>
          <w:color w:val="111111"/>
          <w:sz w:val="28"/>
          <w:sz w:val="28"/>
          <w:szCs w:val="28"/>
          <w:rtl w:val="true"/>
          <w:lang w:bidi="ar-SA"/>
        </w:rPr>
        <w:t>اللتين تدلّان على هدم الطلاق السابق بعقد جديد بعد العدّة، وأنّه لا يحرم عليه أبداً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5416661_2870459653"/>
      <w:bookmarkStart w:id="343" w:name="_Toc123"/>
      <w:bookmarkEnd w:id="342"/>
      <w:r>
        <w:rPr>
          <w:rtl w:val="true"/>
        </w:rPr>
        <w:t>القائلون بالقول الثاني والاستدلال عليه</w:t>
      </w:r>
      <w:bookmarkEnd w:id="343"/>
    </w:p>
    <w:p>
      <w:pPr>
        <w:pStyle w:val="BookText"/>
        <w:rPr/>
      </w:pPr>
      <w:r>
        <w:rPr>
          <w:rFonts w:ascii="Amiri" w:hAnsi="Amiri" w:eastAsia="Amiri" w:cs="Amiri"/>
          <w:color w:val="111111"/>
          <w:sz w:val="28"/>
          <w:sz w:val="28"/>
          <w:szCs w:val="28"/>
          <w:rtl w:val="true"/>
          <w:lang w:bidi="ar-SA"/>
        </w:rPr>
        <w:t>وإلى القول الثاني؛ أي عدم الهدم، ذهب سائر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بالكتاب والإجماع والسنّة، كما يظهر من الجواهر، حيث قال بعد نقل خلاف ابن بكير والصدوق ما هذا لفظه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سبقهما الإجماع ولحقهما، بل يمكن دعوى تواتر النصوص </w:t>
      </w:r>
      <w:bookmarkStart w:id="344" w:name="pg9375_99485"/>
    </w:p>
    <w:p>
      <w:pPr>
        <w:pStyle w:val="BookText"/>
        <w:rPr/>
      </w:pPr>
      <w:bookmarkEnd w:id="3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بالخصوص خلافها، منها ما تقدّم في تفسير السنّي والعدّي، فضلاً عن إطلاق الكتاب والسنّة</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وقال الشهيد الثاني في مسالك الأفهام في ذيل كلام الشرائع،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طلّقها فخرجت من العدّة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الطلاق المعبّر عنه بطلاق السنّة بالمعنى الأخصّ، وهو يشارك طلاق العدّة في تحريم الثالثة إلى أن تنكح زوجاً غيره، ويفارقه في أنّ هذا لا يحرم مؤبّداً مطلقاً، أمّا الثاني، فهو محلّ وفاقٍ، ولا يوجد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فيدلّ عليه عموم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والظاهر أنّ مراده بالعموم هو الإطلاق </w:t>
      </w:r>
      <w:r>
        <w:rPr>
          <w:rFonts w:eastAsia="IRNazanin" w:cs="IRNazanin"/>
          <w:color w:val="111111"/>
          <w:sz w:val="28"/>
          <w:szCs w:val="28"/>
          <w:rtl w:val="true"/>
          <w:lang w:bidi="fa-IR"/>
        </w:rPr>
        <w:t>.</w:t>
      </w:r>
    </w:p>
    <w:p>
      <w:pPr>
        <w:pStyle w:val="Heading4"/>
        <w:numPr>
          <w:ilvl w:val="3"/>
          <w:numId w:val="1"/>
        </w:numPr>
        <w:rPr/>
      </w:pPr>
      <w:bookmarkStart w:id="345" w:name="__RefHeading___Toc5416663_2870459653"/>
      <w:bookmarkStart w:id="346" w:name="_Toc124"/>
      <w:bookmarkEnd w:id="345"/>
      <w:r>
        <w:rPr>
          <w:rtl w:val="true"/>
        </w:rPr>
        <w:t>الردّ على الاستدلال بالكتاب والإجماع</w:t>
      </w:r>
      <w:bookmarkEnd w:id="3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بالكتاب،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مربوطة بالطلاق الذي رجع فيه الزوج، فلا يمكن التمسّك بإطلاقها؛ وذلك لأنّ الآية إمّا مفسّرة لبيان ما في الآية السابقة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بِإِحْسَانٍ،كما عليه صاحب الميزان، أو تكون لبيان الطلقة الثالثة من التطليقتين التي ذكر في السابقة، فتكونالآية إمّا تابعة للسابقة أو بيان لبعض أحكامها، فلا إطلاق فيها إلّا أن يكون السابقة مطلّقة،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فننقل الكلام إلى الآية السابقة وهي الطَّلَاقُ مَرَّتَانِ،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الاستغراق؛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تكونا للعهد أفادتا الاستغراق، فيكون المعنى حصر كلّ طلاق في مرّتين، وهذا باطل إجماعاً، فلابدّ من أن يكون متعلّق بما قبله؛ وذلك لأنّ الله تعالى بيّن في الآية الأُولى أنّ حقّ المراجعة ثابت للزوج، ولم يذكر أنّ ذلك الحقّ ثابت دائماً أو إلى غاية معيّنة، فكان ذلك كالمجمل المفتقر إلى المبيّن، فبيّن في الآية اللاحقة أنّ ذلك الطلاق الذي ثبت فيه الرجعة للزوج، هو مرّتان، وأمّا بعد الثالث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الطَّلَاقُ مَرَّتَانِ؛ أي الطلاق الذي يملك فيه الرجعة مرّتان </w:t>
      </w:r>
      <w:r>
        <w:rPr>
          <w:rFonts w:eastAsia="Amiri" w:cs="Amiri" w:ascii="Amiri" w:hAnsi="Amiri"/>
          <w:color w:val="111111"/>
          <w:sz w:val="28"/>
          <w:szCs w:val="28"/>
          <w:rtl w:val="true"/>
          <w:lang w:bidi="ar-SA"/>
        </w:rPr>
        <w:t>...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بالطلاق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مَرَّتَانِالطلاق الذي يجوز فيه الرجعة، ولذا أردفه بقوله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الثالث فالطلاق الذي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بتسريحها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بينها وبين البينونة وتركها بعد كلّ من التطليقتين الأُوليين حتّى تبين بانقضاء العدّة، وإن كان الأظهر أنّه التطليقة الثالثة، كما هو ظاهر الإطلاق فيتفريع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قوله تعالى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بياناً تفصيليّاً للتسريح بعد البيان الإجمالي</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فظهر أنّه لا يمكن إحراز كونها في مقام بيان حكم الطلقة الثالثة مطلقاً حتّى في طلاق السنّة، والإطلاق فرع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فمضافاً إلى مخالفة الصدوق والمفيد والسلّار، هو مدركي، كما يظهر بالرجوع إلى عبائر الأصحاب في 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فهي على طوائف مختلفة متعارضة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يدلّ على أنّ الطلاق الذي يحتاج إلى المحلّل هو العِدّي لا السنّي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أو موثّقته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لا تحلّ لزوجها حتّى تنكح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التي تطلّق، ثمّ تراجع، ثمّ تطلّق ثمّ تراجع، ثمّ تطلّق، وهي التي لا تحلّ له حتّى تنكح زوجاً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بالجماع، وإلّا فإنّما هي واحدة</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أُخرى لأبي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لا تحلّ لزوجها حتّى تنكح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هيالتي تطلّق، ثمّ تراجع، ثمّ تطلّق، ثمّ تراجع، ثمّ تطلّق الثالثة، فهي التي لا تحلّ لزوجها حتّى تنكح زوجاً غيره، ويذوق عسيلتها</w:t>
      </w:r>
      <w:r>
        <w:rPr>
          <w:rFonts w:eastAsia="IRNazanin" w:cs="IRNazanin"/>
          <w:color w:val="111111"/>
          <w:sz w:val="28"/>
          <w:szCs w:val="28"/>
          <w:rtl w:val="true"/>
          <w:lang w:bidi="fa-IR"/>
        </w:rPr>
        <w:t>».</w:t>
      </w:r>
      <w:r>
        <w:rPr>
          <w:rStyle w:val="FootnoteAnchor"/>
          <w:rtl w:val="true"/>
        </w:rPr>
        <w:footnoteReference w:id="73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ظاهرهما من جهة كون السؤال عن الموارد المحتاجة إلى المحلّل حصر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المرأة في من تطلّق، ثمّ تراجع، وهكذا، وأكّد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بتكراره وهي التي لا تحلّ حتّى تنكح زوجاً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معلّى بن خنيس،</w:t>
      </w:r>
      <w:r>
        <w:rPr>
          <w:rStyle w:val="FootnoteAnchor"/>
          <w:rtl w:val="true"/>
        </w:rPr>
        <w:footnoteReference w:id="737"/>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امرأته، ثمّ لم يراجعها حتّى حاضت ثلاث حيض، ثمّ تزوّجها، ثمّ طلّقها فتركها حتّى حاضت ثلاث حيض من غير أن يراجعها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يتزوّجها أبداً ما لم يراجع ويمسّ</w:t>
      </w:r>
      <w:r>
        <w:rPr>
          <w:rFonts w:eastAsia="IRNazanin" w:cs="IRNazanin"/>
          <w:color w:val="111111"/>
          <w:sz w:val="28"/>
          <w:szCs w:val="28"/>
          <w:rtl w:val="true"/>
          <w:lang w:bidi="fa-IR"/>
        </w:rPr>
        <w:t>».</w:t>
      </w:r>
      <w:r>
        <w:rPr>
          <w:rStyle w:val="FootnoteAnchor"/>
          <w:rtl w:val="true"/>
        </w:rPr>
        <w:footnoteReference w:id="73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أُخرى له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ثمّ لم يراجعها حتّى حاضت ثلاث حيض، ثمّ تزوّجها، ثمّ طلّقها فتركها حتّى حاضت ثلاث حيض، ثمّ تزوّجها، ثمّ طلّقها من غير أن يراجعها، ثمّ تركها حتّى حاضت ثلاث 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يتزوّجها أبداً ما لم يراجع ويمسّ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بكير وأصحابه يقولون هذا، فأخبرني عبدالله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قلته من قبل رواية رفاعة، روى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يهدم ما مضى،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رفاعة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ثمّ تزوّجها رجل، ثمّ طلّقها، ثمّ تزوّجهاالأوّل، إنّ ذلك يهدم الطلاق الأوّل</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بكير وأصحابه يقولون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ابن أبي عمير، بقرينة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عبدالله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ابن أبي عمير هذه الرواية عن عبدالله بن المغيرة، عن شعيب الحدّاد، عن المعلّى بن خنيس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ثالثة لأبي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الطلاق الذي لا تحلّ له حتّى تنكح زوجاً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أخبرك بما صنعت أنا بامرأة كانت عندي، وأردت أن أُطلّقها، فتركتها حتّى إذا طمثت وطهرت، طلّقتها من غير جماع، وأشهدت على ذلك شاهدين، ثمّ تركتها حتّى إذا كادت أن تنقضي عدّتها راجعتها، ودخلت بها، وتركتها حتّى طمثت وطهرت، ثمّ طلّقتها على طهر من غير جماع بشاهدين، ثمّ تركتها حتّى إذا كان قبل أن تنقضي عدّتها راجعتها، ودخلت بها حتّى إذا طمثت وطهرت طلّقتها على طهر من غير جماع بشهود، وإنّما فعلت ذلك بها، أنّه لم يكن لي بها حاجة</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فهذه الرواية تدلّ على عدم مصداق آخر للطلاق الذي لا تحلّ له حتّى تنكح زوجاً غيره بدلالة عرفيّة؛ حيث إن كان له مصداق آخر ولم يذكره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منه الإغراء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 فإنّها مؤيّدة لما سبق ولما يأتي، فإنّها مشعرة لما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طلّق الرجل امرأته فليطلّق على طهر بغير جماع بشهود، فإن تزوّجها بعد ذلك فهي عنده على ثلاث وبطلت التطليقة الأُولی، وإن طلّقها اثنتين، ثمّ كفّ عنها حتّى تمضي الحيضة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بانت منه بثنتين وهو خاطب من الخطّاب، فإن تزوّجها بعد ذلك فهي عنده على ثلاث تطليقات، وبطلت الاثنتان، فإن طلّقها ثلاث تطليقات على العدّة</w:t>
      </w:r>
      <w:r>
        <w:rPr>
          <w:rStyle w:val="FootnoteAnchor"/>
          <w:rtl w:val="true"/>
        </w:rPr>
        <w:footnoteReference w:id="741"/>
      </w:r>
      <w:r>
        <w:rPr>
          <w:rFonts w:ascii="Amiri" w:hAnsi="Amiri" w:eastAsia="Amiri" w:cs="Amiri"/>
          <w:color w:val="111111"/>
          <w:sz w:val="28"/>
          <w:sz w:val="28"/>
          <w:szCs w:val="28"/>
          <w:rtl w:val="true"/>
          <w:lang w:bidi="ar-SA"/>
        </w:rPr>
        <w:t>لم تحلّ له حتّى تنكح زوجاً غيره</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يطلّقها تطليقة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طهر من غير جماع بشهادة شاهدين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يدعها حتّى تمضي أقراؤها، فإذا مضت أقراؤها فقد بانت منه، وهو خاطب من الخطّاب، إن شاءت نكحته، وإن شاءت فلا، وإن أراد أن يراجعها أشهد على رجعتها قبل أن تمضي أقراؤها، فتكون عنده على التطليقة الماضية</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فالبقاء على التطليقة الماضية مشروط بالمراجعة خاصّة كما هو الظاهر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المشايخ عن الحسن بن زياد،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كيف يطلّق الرجل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يطلّقها في طهر قبل عدّتها من غير جماع بشهود، فإن طلّقها واحدة، ثمّ تركها حتّى يخلو أجلها فقد بانت منه وهو خاطب من الخطّاب، فإن راجعها فهي عنده على تطليقة ماضية وبقي تطليقتان، فإن طلّقها الثانية،ثمّ تركها حتّى يخلو أجلها فقد بانت منه، وإن هو أشهد على رجعتها قبل أن يخلو أجلها فهي عنده على تطليقتين ماضيتين وبقت واحدة، فإن طلّقها الثالثة فقد بانت منه، ولا تحلّ له حتّى تنكح زوجاً غيره، وهي ترث وتورث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له عليها رجعة من التطليقتين الأولتين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فيظهر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على التطليقة الماضية، أو التطليقتين الماضيتين في من يراجع في العدّة دون من تركها حتّى يخلو أجلها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طلاق السنّة هو أنّه إذا اراد الرجل أن يطلّق امرأته تربّص بها حتّى تحيض وتطهر، ثمّ يطلّقها في قبل عدّتها بشاهدين عدلين في موقف واحد بلفظة واحدة، فإن أشهد على الطلاق رجلاً، وأشهد بعد ذلك الثاني لم يجز ذلك الطلاق إلّا أن يشهدهما جميعاً في مجلس واحد، فإذا مضت لها ثلاثة أطهار فقد بانت منه، وهو خاطب من الخطّاب، والأمر إليها، إن شاءت تزوّجته، وإن شاءت فلا، فإن تزوّجها بعد ذلك تزوّجها بمهر جديد، فإن أراد طلاقها طلّقها للسنّة على ما وصفت، ومتى طلّقها طلاق السنّة فجائز له أن يتزوّجها بعد ذلك، وسمّي طلاق السنّة طلاق الهدم متى استوفت قروؤها، وتزوّجها ثانية هدم الطلاق الأوّل، وكلّ طلاق خالف طلاق السنّة فهو باطل، ومن طلّق امرأته للسنّة فله أن يراجعها ما لم تنقض عدّتها، فإذا انقضت عدّتها بانت منه وكان خاطباً من الخطّاب، ولا تجوز شهادة النساء في الطلاق، وعلى المطلّق للسنّة نفقة المرأة والسكنی ما دامت في عدّتها، وهما يتوارثان حتّى تنقضي العدّة</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الكافي في الصحيح عن عليّ بن رئاب، عن زرارة، عن أبي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طلاق لا يكون على السنّة، أو طلاق على العدّة فليس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طلاق السنّة وطلاق العدّة،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طلاق السنّة، فإذا أراد الرجل أن يطلّق امرأته فلينتظر بها حتّى تطمث وتطهر، فإذا خرجت من طمثها طلّقها تطليقة من غير جماع، ويشهد شاهدين على ذلك، ثمّ يدعها حتّى تطمث طمثتين، فتنقضي عدّتها بثلاث حيض، وقد بانت منه ويكون خاطباً من الخطّاب، إن شاءت تزوّجته، وإن شاءت لم تتزوّجه، وعليه نفقتها والسكنی ما دامت في عدّتها، وهما يتوارثان حتّى تنقضي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طلاق العدّة،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فَطَلِّقُوهُنَّ لِعِدَّتِهِنَّ وَأَحْصُوا الْعِدَّةَ، فإذا أراد الرجل منكم أن يطلّق امرأته طلاق العدّة فلينتظر بها حتّى تحيض وتخرج من حيضها، ثمّ يطلّقها تطليقة من غير جماع، ويشهد شاهدين عدلين، ويراجعها من يومه ذلك إن أحبّ، أو بعد ذلك بأيّام، أو قبل أن تحيض، ويشهد على رجعتها ويواقعها، ويكون معها حتّى تحيض، فإذا حاضت وخرجت من حيضها طلّقها تطليقة أُخرى من غير جماع، ويُشهد على ذلك، ثمّ يراجعها أيضاً متى شاء قبل أن تحيض، ويشهد على رجعتها ويواقعها، وتكون معه إلى أن تحيض الحيضة الثالثة، فإذا خرجت من حيضها الثالثة طلّقها التطليقة الثالثة بغير جماع، ويشهد على ذلك، فإذا فعل ذلك فقد بانت منه، ولا تحلّ له حتّى تنكح زوجاً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ممّن لا تحيض،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هذه تطلّقطلاق السنّة</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والصحيحة وإن كان بعض فقراته لا يخلو من تأمّل، ولكنّها ظاهرة في احتياج الطلاق العدّي إلى المحلّل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الذي يحبّه الله والذي يطلّق الفقيه وهو العدل بين المرأة والرجل أن يطلّقها في استقبال الطهر بشهادة شاهدين وإرادة من القلب، ثمّ يتركها حتّى يمضي ثلاثة قروء، فإذا رأت الدم في أوّل قطرة من الثالثة وهو آخر القروء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الأقراء هي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بانت منه وهي أملك بنفسها، فإن شاءت تزوّجت وحلّت له بلا زوج، فإن فعل هذا بها مأة مرّةٍ هدم ما قبله وحلّت بلا زوج، وإن راجعها قبل أن تملك نفسها، ثمّ طلّقها ثلاث مرّاتٍ يراجعها ويطلّقها لم تحلّ له إلّا بزوج</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قال الشيخ في التهذيب بعد نقل هذه الموثّقة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آكد شبهةً من جميع ما تقدّم من الروايات؛ لأنّها لا تحتمل شيئاً ممّا قلناه؛ لكونها مصرّحَة خالية من وجوه الاحتمال إلّا أنّ طريقها عبدالله بن بكير؛ وقد قدّمنا من الأخبار ما تضمّن أنّه قال حين سئل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رزق الله من الرأي ولو كان سمع ذلك من زرارة لكان يقول حين سأله الحسين بن هاشم وغيره عن ذلك، وأنّه هل عندك في ذلك شيء؟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رواية زرارة،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رفاعة، حتّى 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رفاعة تتضمّن أنّه إذا كان بينهما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ذلك هذا ممّا رزق الله تعالى من الرأي فعَدَل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في رواية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الزوج وغير الزوج سواء عندي، فلمّا ألَحّ عليه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رزق الله من الرأي، ومن هذه صورته، فيجوز أن يكون أسند ذلك إلى رواية زرارة نصرة لمذهبه الذي كان أفتى به، وأنّه لمّا أن رأي أنّ أصحابه لا يقبلون ما يقوله برأيه اَسنَده، إلى من رواه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عبدالله بن بكير معصوماً لا يجوز هذا عليه، بل وقع منه من لعدول عن اعتقاد مذهب الحقّ إلى اعتقاد مذهب الفطحيّة ما هو معروف من مذهبه، والغلط في ذلك أعظم من إسناد فتيا الغلط فيمن يعتقد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ولكن يرد عليه ما ذكره جمع من الأساطين إنّ هذا القدح العظيم في ابن بكير ينافي ما صرّح به في فهرسته من توثيقه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وما رواه الكشّي من الإجماع على تصحيح ما يصحّ عنه</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ويوجب عدم جواز العمل برواياته مع أنّهم متّفقون على العمل بها، بل ترجيحها على غيرها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لو كان الخبر منحصراً في خبر ابن بكير لكان لجوابه وجهٌ، ولكن عرفت دلالة أخبار أُخرى لم يكن ابن بكير في طريقها ودلالتها العرفيّة واضحة وهي تكفي للحجيّة، ولو صحّت تأويلاته في هذه الأخبارلخرج أكثر الأدلّة عن كونها أدلّة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رفاعة،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حتّى بانت منه، وانقضت عدّتها، ثمّ تزوّجت زوجاً آخر فطلّقها أيضاً، ثمّ تزوّجت زوجها الأوّل، أ يهدم ذلك الطلاق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طلّقها زوجها، ثمّ تركها حتّى تبين، ثمّ تزوّجها، فإنّما هي على طلاق مستأنف،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الحسين بن هاشم أنّه سأل ابن بكير عنها فأجابه بهذا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رفاعة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بينهما زوج،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وغير زوج عندي سواء،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ممّا رزق الله عزّوجلّ من الرأي، 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نأخذ بقول ابن بكير، فإنّ الرواية إذا كان بينهما زوج</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طلاق السنّي كالعدّي في احتياجه إلى المحلّل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الرجل أن يطلّق امرأته يدعها إن كان قد دخل بها حتّى تحيض ثمّ تطهر، فإذا طهرت طلّقهاواحدة بشهادة شاهدين، ثمّ يتركها حتّى تعتدَّ ثلاثة قروءٍ، فإذا مضى ثلاثة قروء فقد بانت منه بواحدة، وكان زوجها خاطباً من الخطّاب، إن شاءت تزوّجته، وإن شاءت لم تفعل، فإن تزوّجها بمهر جديد كانت عنده على اثنتين باقيتين، وقد مضت الواحدة، فإن هو طلّقها واحدة أُخرى على طهر من غير جماع بشهادة شاهدين، ثمّ تركها حتّى تمضي أقراؤها، فإذا مضت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أقراءها من قبل أن يراجعها فقد بانت منه باثنتين، وملكت أمرها وحلّت للأزواج، وكان زوجها خاطباً من الخطّاب، إن شاءت تزوّجته، وإن شاءت لم تفعل، فإن هو تزوّجها تزويجاً جديداً بمهر جديد كانت معه بواحدة باقية، وقد مضت ثنتان، فإن أراد أن يطلّقها طلاقاً لا تحلّ له حتّى تنكح زوجاً غيره، تركها حتّى إذا حاضت وطهرت، أشهد على طلاقها تطليقة واحدة، ثمّ لا تحلّ له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طلاق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يدعها حتّى تحيض وتطهر، ثمّ يطلّقها بشهادة شاهدين، ثمّ يراجعها ويواقعها، ثمّ ينتظر بها الطهر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حاضت وطهر أشهد الشاهدين على التطليقة الثالثة، ثمّ لا تحلّ له حتّى تنكح زوجاً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من حيث الدلالة تامّة، إلّا أنّ الشأن في سندها، فإنّ في سندها، جهالة وترديد من ابن هاشم فيمن نقل عنه من أنّه ابن أبي عمير أو غيره في التهذيبين أو ابن أبي نجران أو غيره في الكافي، والأمر فيه وفي هذا الاختلاف سهلٌ؛ للاتّحاد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والغير مجهول من رأس، لا من حيث الوثاقة وعدمها فقط، وضعف السند كذلك أوضح من الشمس وأبين من الأمس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ودونك سندها في التهذيب والاستبصار؛</w:t>
      </w:r>
      <w:r>
        <w:rPr>
          <w:rStyle w:val="FootnoteAnchor"/>
          <w:rtl w:val="true"/>
        </w:rPr>
        <w:footnoteReference w:id="753"/>
      </w:r>
      <w:r>
        <w:rPr>
          <w:rFonts w:ascii="Amiri" w:hAnsi="Amiri" w:eastAsia="Amiri" w:cs="Amiri"/>
          <w:color w:val="111111"/>
          <w:sz w:val="28"/>
          <w:sz w:val="28"/>
          <w:szCs w:val="28"/>
          <w:rtl w:val="true"/>
          <w:lang w:bidi="ar-SA"/>
        </w:rPr>
        <w:t xml:space="preserve">محمّد بن يعقوب، عن عليّبن إبراهيم، عن أبيه، عن ابن أبي عمير أو غيره، عن ابن مسكان، عن أبي بصير،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Style w:val="FootnoteAnchor"/>
          <w:rtl w:val="true"/>
        </w:rPr>
        <w:footnoteReference w:id="754"/>
      </w:r>
      <w:r>
        <w:rPr>
          <w:rFonts w:ascii="IRNazanin" w:hAnsi="IRNazanin" w:eastAsia="IRNazanin"/>
          <w:color w:val="111111"/>
          <w:sz w:val="28"/>
          <w:sz w:val="28"/>
          <w:szCs w:val="28"/>
          <w:rtl w:val="true"/>
          <w:lang w:bidi="fa-IR"/>
        </w:rPr>
        <w:t>عليّ بن إبراهيم، عن أبيه، عن ابن أبي نجران أو غيره، عن ابن مسكان،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تطليقة، ثمّ يراجعها بعد انقضاء عدّتها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طلّقها الثالثة لم تحلّ له حتّى تنكح زوجاً غيره، فإذا تزوّجها غيره ولم يدخل بها وطلّقها أو مات عنها لم تحلّ لزوجها الأوّل حتّى يذوق الآخر عسيلتها</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الفضلاء السبعة سماعاً من أبي جعفر، ومن ابنه بعد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بصفة ما قالوا وإن لم أحفظ حروفه، غير أنّه لم يسقط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عمربن أُذينة الراوي عن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الطلاق الذي أمر الله به في كتابه وسنّة نبيّه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حاضت المرأة وطهرت من حيضها، أشهد رجلين عدلين قبل أن يجامعها على تطليقة، ثمّ هو أحقّ برجعتها ما لم تمض لها ثلاثة قروء، فإن راجعها كانت عنده على تطليقتين، وإن مضت ثلاثة قروء قبل أن يراجعها فهي أملك بنفسها، فإن أراد أن يخطبها مع الخطّاب خطبها، فإن تزوّجها كانت عنده على تطليقتين، وما خلا هذا فليس بطلاق</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التي رواها الشيخ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الرجل الطلاق طلّقها في قبل عدّتها من غير 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طلّقها واحدة، ثمّ تركها حتّى يخلو أجلها أو بعده، فهي عنده على تطليقة، فإن طلّقها الثانية، وشاء أن يخطبها مع الخطّاب، إن كان تركها حتّى خلا أجلها، وإن شاء راجعها قبل أن ينقضي أجلها، فإن فعل فهي عنده على تطليقتين، فإن طلّقها ثلاثاً فلا تحلّ له حتّى تنكح زوجاً غيره، وهي ترث وتورث ما دامت في التطليقتين الأولتين</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بإطلاقها على عدم الفرق بين طلاق العِدّي وطلاق السنّي في الاحتياج إلى المحلّل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صحيحة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المطلّقة التطليقة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 زوجاً غيره، ويذوق عسيلتها</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يدلّ على أنّ المرأة غير المدخول بها تحرم على الزوج في الثالثة ويحتاج إلى المحلّل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طلّقها زوجها ثلاثاً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تنكحزوجاً غيره</w:t>
      </w:r>
      <w:r>
        <w:rPr>
          <w:rFonts w:eastAsia="IRNazanin" w:cs="IRNazanin"/>
          <w:color w:val="111111"/>
          <w:sz w:val="28"/>
          <w:szCs w:val="28"/>
          <w:rtl w:val="true"/>
          <w:lang w:bidi="fa-IR"/>
        </w:rPr>
        <w:t>».</w:t>
      </w:r>
      <w:r>
        <w:rPr>
          <w:rStyle w:val="FootnoteAnchor"/>
          <w:rtl w:val="true"/>
        </w:rPr>
        <w:footnoteReference w:id="75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جميل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 المرأة التي لم يدخل بها بانت بتطليقة واحدة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طربال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تطليقة قبل أن يدخل بها، وأشهد على ذلك، وأعلمها؟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بانت منه ساعة طلّقها، وهو خاطب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ثمّ طلّقها تطليقة أُخرى قبل أن يدخل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بانت منه ساعة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تزوّجها من ساعته أيضاً، ثمّ طلّقها تطليقة؟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بانت منه، ولا تحلّ له حتّى تنكح زوجاً غيره</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إسماعيل بن بزيع،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البكر إذا طلّقت ثلاث مرّات وتزوّجت من غير نكاح فقد بانت منه، ولا تحلّ لزوجها حتّى تنكح زوجاً غيره</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قبل أن يدخل بها فليس عليها عدّة تَزَوَّج من ساعتها إن شاءت وتُبينُها تطليقةٌ واحدة، وإن كان فرض لها مهراً فلها نصف مافرض</w:t>
      </w:r>
      <w:r>
        <w:rPr>
          <w:rFonts w:eastAsia="IRNazanin" w:cs="IRNazanin"/>
          <w:color w:val="111111"/>
          <w:sz w:val="28"/>
          <w:szCs w:val="28"/>
          <w:rtl w:val="true"/>
          <w:lang w:bidi="fa-IR"/>
        </w:rPr>
        <w:t>».</w:t>
      </w:r>
      <w:r>
        <w:rPr>
          <w:rStyle w:val="FootnoteAnchor"/>
          <w:rtl w:val="true"/>
        </w:rPr>
        <w:footnoteReference w:id="76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ثمّ طلّقها قبل أن يدخل بها فليس عليها عدّة، وتزوّج متى شاءت من ساعتها، وتبينها تطليقة واحدة</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موثّقتا الحلبي ومحمّد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ثمّ تركها حتّى انقضت عدّتها، ثمّ تزوّجها، ثمّ طلّقها من غير أن يدخل بها، ثمّ تزوّجها، ثمّ طلّقها من قبل أن يدخل بها حتّى فعل ذلك بها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 زوجاً غيره</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قال الشيخ بعد نقل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الرابعة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الأخبار دالّة على ماقلناه من أنّ من طلّق امرأته ثلاثاً للسنّة لا تحلّ له حتّى تنكح زوجاً غيره؛ لأنّ طلاق العدّة لا يتأتّى في البكر وغير المدخول بها على ما بيّنّاه</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 غير مربوطة بما قلنا؛ لأنّ الفارق في طلاق العدّة والسنّة في استيفاء العدّة وعدمها، ومعلوم أن من لاعدّة لها لا يمكنها استيفاء العدّة، والكلام كما قلنا في أوّل البحث في أنّ استيفاءالعدّة هادم لتحريم الثلاثة أم لا؟ وفي مورد هذه الروايات منتفٍ بانتفاء الموضوع، كما لا يخفى، فوقع التعارض بين الطائفة الأُولی والثانية، بل والثالثة، ولا يمكن ترجيح الطائفة الثانية والثالثة بموافقتها مع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ascii="IRNazanin" w:hAnsi="IRNazanin" w:eastAsia="IRNazanin"/>
          <w:color w:val="111111"/>
          <w:sz w:val="28"/>
          <w:sz w:val="28"/>
          <w:szCs w:val="28"/>
          <w:rtl w:val="true"/>
          <w:lang w:bidi="fa-IR"/>
        </w:rPr>
        <w:t>،</w:t>
      </w:r>
      <w:r>
        <w:rPr>
          <w:rStyle w:val="FootnoteAnchor"/>
          <w:rtl w:val="true"/>
        </w:rPr>
        <w:footnoteReference w:id="767"/>
      </w:r>
      <w:r>
        <w:rPr>
          <w:rFonts w:ascii="Amiri" w:hAnsi="Amiri" w:eastAsia="Amiri" w:cs="Amiri"/>
          <w:color w:val="111111"/>
          <w:sz w:val="28"/>
          <w:sz w:val="28"/>
          <w:szCs w:val="28"/>
          <w:rtl w:val="true"/>
          <w:lang w:bidi="ar-SA"/>
        </w:rPr>
        <w:t>كما في المسالك؛ لما مرّ من أنّها ظاهرة في طلاق العدّي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لا يمكن ترجيحهما بمخالفة العامّة، كما ذكره صاحب الحدائق؛</w:t>
      </w:r>
      <w:r>
        <w:rPr>
          <w:rStyle w:val="FootnoteAnchor"/>
          <w:rtl w:val="true"/>
        </w:rPr>
        <w:footnoteReference w:id="768"/>
      </w:r>
      <w:r>
        <w:rPr>
          <w:rFonts w:ascii="Amiri" w:hAnsi="Amiri" w:eastAsia="Amiri" w:cs="Amiri"/>
          <w:color w:val="111111"/>
          <w:sz w:val="28"/>
          <w:sz w:val="28"/>
          <w:szCs w:val="28"/>
          <w:rtl w:val="true"/>
          <w:lang w:bidi="ar-SA"/>
        </w:rPr>
        <w:t xml:space="preserve">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العامّة يحكمون بالبينونة الكبرى بعد التطليقة الثالثة، وإن كان التطليقات غير رجعي، كما في الهداية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الطلاق بائناً دون الثلاث فله أن يتزوّج في العدّة وبعد انقضائها؛ لأنّ حلّ المحلّية باقٍ، لأنّ زواله معلّق بالطلقة الثالثة فينعدم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الطلاق ثلاثاً في الحرّة أو ثنتين في الأمة لم تحلّ له حتّى تنكح زوجاً غيره نكاحاً صحيحاً</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وقال في شرح كنز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وينكح مبانته في العدّة وبعدها؛ أي له أن يتزوّج التي أبانها بما دون الثلاث إذا كانت حرّة، وبالواحدة إن كانت أمة في العدّة وبعد انقضائها؛ لأنّ الحلّ الأصلي باقٍ ما لم يتكامل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المبانة بالثلاث لو حرّة وبالثنتين لو أمة حتّى يطأها غيره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وفي الموسوعة الفقهيّة الكويتيّة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الرجعي والبائن؛ الطلاق الرجعي هو ما يجوز معه للزوج ردّ زوجته في عدّتها من غير استئناف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والبائن هو رفع النكاح في الحال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والطلاق البائن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بينونة صغرى، وبائن بينونة كبرى، فأمّا البائن بينونة صغرى، فيكون بالطلقة البائنة الواحدةوبالطلقتين البائنتين فإذا كان الطلاق ثلاثاً كانت البينونة به كبرى مطلقاً؛ سواء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كلّ من الثلاث بائناً أم رجعيّاً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طلّق الزوج زوجته رجعيّاً حلّ له العود إليها في العدّة بالرجعة دون عقد جديد، فإذا مضت العدّة عاد إليها بعقد جديد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طلّق زوجته طلقة بائنة واحدة أو اثنتين جاز له العود إليها في العدّة وبعدها، ولكن ليس بالرجعة وإنّما بعقد جديد، فإذا طلّقها ثلاثاً كانت البينونة كبرى ولم يحلّ له العود إليها حتّى تنقضي عدّتها وتتزوّج من غيره، ويدخل بها، ثمّ تبين منه بموت، أو فرقة وتنقضي عدّتها، فإن حصل ذلك حلّ له العود إليها بعقد جديد</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وأمّا تزويج الغير فيما بين التطليقات، هل يهدم الطليقة أو التطليقتين أم لا؟ فهو محلّ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الرجل امرأته واحدة أو اثنتين، فانقضت عدّتها ونكحت زوجاً غيره، ثمّ أصابها، ثمّ طلّقها، أو مات عنها، فانقضت عدّتها فنكحت الزوج الأوّل، فهي عنده على ما بقي من الطلاق يهدم الزوج الثاني الثلاث ولا يهدم الواحدة ولا 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هذا قول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خالفنا في بعض هذا بعض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الزوج ثلاثاً هدم واحدة واثنتين واحتجّ بقول ابن عمر وابن عبّاس </w:t>
      </w:r>
      <w:r>
        <w:rPr>
          <w:rFonts w:eastAsia="Amiri" w:cs="Amiri" w:ascii="Amiri" w:hAnsi="Amiri"/>
          <w:color w:val="111111"/>
          <w:sz w:val="28"/>
          <w:szCs w:val="28"/>
          <w:rtl w:val="true"/>
          <w:lang w:bidi="ar-SA"/>
        </w:rPr>
        <w:t>...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المغني لابن قدامة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 زوجته أقلّ من ثلاث، فقضت العدّة، ثمّ تزوّجت غيره، ثمّ أصابها، ثمّ طلّقها، أو مات عنها وقضت العدّة، ثمّ تزوّجها الأوّل، فهي عنده على ما بقي من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إذا بانت زوجته منه، ثمّ تزوّجها لم يخلّ من ثلاثة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تنكح غيره ويصيبها، ثمّ يتزوّجها الأوّل، فهذه ترجع إليه على طلاق ثلاث بإجماع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دون الثلاث، ثمّ تعود إليه برجعة أو نكاح جديد قبل زوج ثانٍ، فهذه ترجع إليه على ما بقي من طلاقها، بغير خلاف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دون الثلاث، فقضت عدّتها، ثمّ نكحت غيره، ثمّ تزوّجها الأوّل، فعن أحمد فيها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إليه على ما بقي من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الأكابر من أصحاب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والرواية الثانية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ترجع إليه على طلاق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ابن عمر وابن عبّاس </w:t>
      </w:r>
      <w:r>
        <w:rPr>
          <w:rFonts w:eastAsia="Amiri" w:cs="Amiri" w:ascii="Amiri" w:hAnsi="Amiri"/>
          <w:color w:val="111111"/>
          <w:sz w:val="28"/>
          <w:szCs w:val="28"/>
          <w:rtl w:val="true"/>
          <w:lang w:bidi="ar-SA"/>
        </w:rPr>
        <w:t>...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فظهر ممّا نقلناه أنّهم متّفقون على أنّ بعد الطلّقة الثالثة لم تحلّ له حتّى تنكح زوجاً غيره؛ سواء كان الطلاق رجعيّاً أو بائناً، وإنّما الخلاف بينهم في الهدم بين التطليقات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الروايات التي تدلّ على جواز النكاح بعد استيفاء العدّة، من دون حاجة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ثلاثاً إذا نكحت زوجاً آخر وفارقها بموت أو طلاق حلّت للزوج الأوّل وجاز له العقد عليها بعد انقضاء عدّتها من الثاني، فإذا طلّقها ثلاثاً حرمت أيضاً حتّى تنكح زوجاً آخر وإن كان ذلك الزوج هو الثاني في الثلاثة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تحرم عليه بعد كلّ طلاق ثالث، وتحلّ بنكاح الغير بعده وإن طلّقت 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طلّقت تسعاً طلاق العدّة بالتفسير الذي أشرنا إليه حرمت عليه أبداً، وذلك بأن طلّقها ثمّ راجعها ثمّ واقعها ثمّ طلّقها في طهر آخر ثمّ راجعها ثمّ واقعها ثمّ طلّقها في طهر آخر، فإذا حلّت للمطلّق بنكاح زوج آخر وعقد عليها</w:t>
      </w:r>
    </w:p>
    <w:p>
      <w:pPr>
        <w:pStyle w:val="BookText"/>
        <w:rPr/>
      </w:pPr>
      <w:r>
        <w:rPr>
          <w:rFonts w:ascii="Amiri" w:hAnsi="Amiri" w:eastAsia="Amiri" w:cs="Amiri"/>
          <w:color w:val="111111"/>
          <w:sz w:val="28"/>
          <w:sz w:val="28"/>
          <w:szCs w:val="28"/>
          <w:rtl w:val="true"/>
          <w:lang w:bidi="ar-SA"/>
        </w:rPr>
        <w:t>إلى المحلّل، موافقة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والموافقة مع الكتاب مقدّمة على سائر المرجّحات حتّى المخالفة مع العامّة، وإن أبيت عن ذلك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الترجيح للطائفة الأُولی التي تدلّ على عدم الحاجة إلى المحلّل؛ لكونها مخالفة للعامّة على ما ظهر ممّا مرّ نقلها من كتبهم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وترجيح الروايات المعارضة بموافقتها مع الشهرة،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إن كان ما بين المتأخّرين، فلا دليل على الترجيح بها، كما حقّق في محلّه، حيث إنّ ماعندهم من الوجوه المرجّحة معلومة لنا، وليست قابلة للترجيح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منها الشهرة بين أصحاب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والقدماء،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غير ثابتة لنا مع اختلاف أخبارهم المعدّة لبيان فتواهم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اللتيا واللتي؛ قد ظهر ممّا ذكرناه كون الأقوى هو ما عليه الصدوق والمفيد والديلمي من عدم الاحتياج إلى المحلّل في السنّي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طلّقها كالثلاثة الأُولى ثمّ حلّت بمحلّل ثمّ عقد عليها ثمّ طلّقها ثلاثاً كالأُوليين حرمت عليه أبداً، ويعتبر 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تخلّل رجعتين، فلا يكفي وقوع عقدين مستأنفين ولارجعة وعقد مستأنف في البين، الثاني وقوع المواقعة بعد كلّ رجعة، فطلاق العدّة مركّب من ثلاث 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رجعيّة، وواحدة بائنة، فإذا وقعت ثلاثة منه حتّى كملت تسع طلقات حرمت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والأحوط الاجتناب عن المطلّقة تسعاً مطلقاً وإن لم تكن الجميع طلاق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العدّي بجميع أقسامه وطلاق من لم یدخل بها يحتاج إلی المحلّل بعد التطلیقة الثالثة کما مضی البحث عنه في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كلام فيه، وأمّا الحرمة الأبديّة بعد التاسعة فاشترطوا فيه شرطين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العدّة في الطلاق الثاني والثالث، فيحصل ستّة رجوعات، فلا تحصل الحرمة الأبديّة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الدخول، فالحرمة الأبديّة في الطلاق العدّي لا غيره، وأصل الحكم مع قطع النظر عن الشرطين إجماعي ولا كلام ولا إشكال فيه، وعليه الروايات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الذي يطلّق ثمّ يراجع ثمّ يطلّق ثمّ يراجع ثمّ يطلّق؟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له حتّى تنكح زوجاً غيره فيتزوّجها رجل آخر فيطلّقها على السنّة، ثمّ ترجع إلى زوجها الأوّل فيطلّقها ثلاث مرّات وتنكح زوجاً غيره فيطلّقها ثلاث مرّات على السنّة، ثمّ تنكح فتلك التي لا تحلّ له أبداً، والملاعنة لاتحلّ له أبداً</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وداود بن سرحان،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يطلّق الطلاق الذي لا تحلّ له حتّى تنكح زوجاً غيره ثلاث مرّات وتزوّج ثلاث مرّات لا تحلّ له أبداً</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روایات التي 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مربوطة بطلاق العدّي؛ لمکان الصلة والموصول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محمّد بن سنان، عن الرضا فيما كتب إليه في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الطلاق ثلاثاً، لما فيه من المهلة فيما بين الواحدة إلى الثلاث لرغبة تحدث أو سكون غضبه إن كان ويكون ذلك تخويفاً وتأديباً للنساء وزجراً لهنّ عن معصية أزواجهنّ، فاستحقّت المرأة الفرقة والمباينة لدخولها فيما لا ينبغي من معصية زوجها، وعلّة تحريم المرأة بعد تسع تطليقات فلا تحلّ له أبداً، عقوبةً لئلّا يتلاعب بالطلاق، فلا يستضعف المرأة ويكون ناظراً في أُموره متيقّظاً معتبراً وليكون ذلك مؤيساً لهما عن الاجتماع بعد تسع تطليقات</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وإبراهيم بن عبد الحميد،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فتزوّجت، ثمّ طلّقها فتزوّجها الأوّل، ثمّ طلّقها فتزوّجت رجلاً، ثمّ طلّقها، فإذا طلّقها على هذا ثلاثاً لم تحلّ له أبداً</w:t>
      </w:r>
      <w:r>
        <w:rPr>
          <w:rFonts w:eastAsia="IRNazanin" w:cs="IRNazanin"/>
          <w:color w:val="111111"/>
          <w:sz w:val="28"/>
          <w:szCs w:val="28"/>
          <w:rtl w:val="true"/>
          <w:lang w:bidi="fa-IR"/>
        </w:rPr>
        <w:t>».</w:t>
      </w:r>
      <w:r>
        <w:rPr>
          <w:rStyle w:val="FootnoteAnchor"/>
          <w:rtl w:val="true"/>
        </w:rPr>
        <w:footnoteReference w:id="77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دلالته مخدوشٌ؛ فإنّه بظاهره تدلّ علی حرمة الأبدیّة بعد التطلیقة الثالثة،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تزوّجت برجلٍ آخر في بین التطلیقات، وهذا مخالفٌ لجلّ أخبار الباب والمتسالم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والإشکال في اعتبار کون الطلاق عدّیاً بالمعنی المعروف المعتبر فیه الشرطان المذکوران، فإنّ روایات الباب شاملة لصورة الدخول وعدمه، بل زعموا أنّ غیر خبر أبي بصير من الأربعة المنقولة مطلقة بالنسبة إلی الرجوع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منّا</w:t>
      </w:r>
      <w:r>
        <w:rPr>
          <w:rStyle w:val="FootnoteAnchor"/>
          <w:rtl w:val="true"/>
        </w:rPr>
        <w:footnoteReference w:id="779"/>
      </w:r>
      <w:r>
        <w:rPr>
          <w:rFonts w:ascii="IRNazanin" w:hAnsi="IRNazanin" w:eastAsia="IRNazanin"/>
          <w:color w:val="111111"/>
          <w:sz w:val="28"/>
          <w:sz w:val="28"/>
          <w:szCs w:val="28"/>
          <w:rtl w:val="true"/>
          <w:lang w:bidi="fa-IR"/>
        </w:rPr>
        <w:t>عدم دلالة صحیحة زرارة وداود بن سرحان علی ذلك، وکذا خبر جمیل، بل ومکاتبة محمّد بن سنان بقرینة، وإن کان ذیلها مطلقة بالنسبة إلی الطلاق العدّي والسنّي، ولکن بقرینة صدرها کانت مربوطة بالطلاق العدّي؛ لمکان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الذیل أیضاً إلی العدّي منهما، فإن أبیت عن الانصراف فلا أقلّ من کونه محتملاً، فلا یمکن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أبي بصیر نصّ في تخلّل الرجوع الموجب لصدق العدّي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واعتبار الدخول فیه؛ لما ورد في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في صحیحة أبي بصیر أو تفسیر الرجعة بالمسّ، کما في حسنة معلّی بن خنیس، اللتان مرّ نقلهما، وما زعموا صار منشأ إشكال صاحب الحدائق،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المسألة بقيت في قالب الإشكال؛ لعدم حضور ما يحصل به الجمع بين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ذكرنا من هذا الكلام أشرنا فيماقدّمنا في القسم الثالث والرابع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ينبغي التنبيه عليه، فإنّ مقتضى ما ذكره السيّد السند</w:t>
      </w:r>
      <w:r>
        <w:rPr>
          <w:rStyle w:val="FootnoteAnchor"/>
          <w:rtl w:val="true"/>
        </w:rPr>
        <w:footnoteReference w:id="780"/>
      </w:r>
      <w:r>
        <w:rPr>
          <w:rFonts w:ascii="Amiri" w:hAnsi="Amiri" w:eastAsia="Amiri" w:cs="Amiri"/>
          <w:color w:val="111111"/>
          <w:sz w:val="28"/>
          <w:sz w:val="28"/>
          <w:szCs w:val="28"/>
          <w:rtl w:val="true"/>
          <w:lang w:bidi="ar-SA"/>
        </w:rPr>
        <w:t xml:space="preserve">من الأخبار المذكورة التحريم بالتسع مؤبّداً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العدّي والسنّي بالمعنى الأخصّ جميعاً، والأصحاب إنّما أثبتوا التحريم بذلك في العدّي خاصّة وصرّحوا بنفيه في السنّي</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إلّا أنّه مع ذلك كلّه فاعتبار العدّي في التسع هوالحقّ الحقيق القابل للتصديق؛ لعدم وجود خبر صحیح یدلّ علی الحرمة الأبدیّة في الطلاق السنّي، وللإجماع، والصحيحة علی تمامیّة دلالتها، غير معتبرة؛ وذلك لإعراض الأصحاب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الجواهر</w:t>
      </w:r>
      <w:r>
        <w:rPr>
          <w:rStyle w:val="FootnoteAnchor"/>
          <w:rtl w:val="true"/>
        </w:rPr>
        <w:footnoteReference w:id="7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يتأيّد الإجماع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مفهوم القيد المرويّ عن الخصال في تعداد المحرّمات بالسنّة،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وتزويج الرجل امرأة قد طلّقها للعدّة تسع تطليقات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ومن مفهوم الشرط</w:t>
      </w:r>
      <w:r>
        <w:rPr>
          <w:rStyle w:val="FootnoteAnchor"/>
          <w:rtl w:val="true"/>
        </w:rPr>
        <w:footnoteReference w:id="784"/>
      </w:r>
      <w:r>
        <w:rPr>
          <w:rFonts w:ascii="Amiri" w:hAnsi="Amiri" w:eastAsia="Amiri" w:cs="Amiri"/>
          <w:color w:val="111111"/>
          <w:sz w:val="28"/>
          <w:sz w:val="28"/>
          <w:szCs w:val="28"/>
          <w:rtl w:val="true"/>
          <w:lang w:bidi="ar-SA"/>
        </w:rPr>
        <w:t>فيما ذكره عليّ بن إبراهيم في تفسيره، مصرّحاً في آخره بأنّ هذه هي التي لا تحلّ لزوجها الأوّل أبداً</w:t>
      </w:r>
      <w:r>
        <w:rPr>
          <w:rFonts w:eastAsia="Amiri" w:cs="Amiri" w:ascii="Amiri" w:hAnsi="Amiri"/>
          <w:color w:val="111111"/>
          <w:sz w:val="28"/>
          <w:szCs w:val="28"/>
          <w:rtl w:val="true"/>
          <w:lang w:bidi="ar-SA"/>
        </w:rPr>
        <w:t>.</w:t>
      </w:r>
      <w:r>
        <w:rPr>
          <w:rStyle w:val="FootnoteAnchor"/>
          <w:rtl w:val="true"/>
        </w:rPr>
        <w:footnoteReference w:id="78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خبر معلّى بن خنيس،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ثمّ لم يراجعها حتّى حاضت ثلاث حيض، ثمّ تزوّجها، ثمّ طلّقهافتركها حتّى حاضت ثلاث حيض، ثمّ تزوّجها، ثمّ طلّقها من غير أن يراجع، ثمّ تركها حتّى حاضت ثلاث 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أن يتزوّجها أبداً ما لم يراجع ويمسّ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7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التحريم الطلقات الثلاث إذا لم تنكح في البين زوجاً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تزوّجت للغير انهدم حكم ما سبق وتكون كأنّها غير مطلّقة، ويتوقّف التحريم على إيقاع ثلاث طلقات مستأنفة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الموثّق الذي رواه ابن بكير دليلاً له،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فعل هذا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يشير إلى 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مأة مرّة هدم ما قبله وحلّت له بلا زوج</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ومن الروايات المصرّحة بالفرق في الحكم بين السنّي والعدّي</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ولا ثمرة لهذا التقسيم إلّا في الحرمة الأبديّة، وإلّا فهما في بقيّة الأحكام مشتركان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مرّ في المسألة الثالثة أنّ الثمرة غير منحصرة في الحرمة الأبدیّة، بل تکون فیه وفي عدم الحاجة إلی المحلّل في السنّي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تزویج المطلّق کتزویج الغیر بعد انقضاء العدّة، لأنّ استیفاء العدّة انهدم حکم ما سبق، کما مرّ في المسألة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المشهور بين الأصحاب، لكن عن الشيخ في الخلاف</w:t>
      </w:r>
      <w:r>
        <w:rPr>
          <w:rStyle w:val="FootnoteAnchor"/>
          <w:rtl w:val="true"/>
        </w:rPr>
        <w:footnoteReference w:id="789"/>
      </w:r>
      <w:r>
        <w:rPr>
          <w:rFonts w:ascii="IRNazanin" w:hAnsi="IRNazanin" w:eastAsia="IRNazanin"/>
          <w:color w:val="111111"/>
          <w:sz w:val="28"/>
          <w:sz w:val="28"/>
          <w:szCs w:val="28"/>
          <w:rtl w:val="true"/>
          <w:lang w:bidi="fa-IR"/>
        </w:rPr>
        <w:t>نسبة الخلاف إلى بعض أصحابنا وأنّ التزويج بالغير غیر 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لم يعرف القائل بالأولى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أرسله في محكيّ الخلاف عن بعض أصحابنا</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الحدائق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جملة من المتأخّرين قد تردّدوا في المسألة واستشكلوا فيها من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أخبار القول الثاني وتكاثرها ومن حيث شهرة القول الأوّل؛ حيث لم يظهر له مخالف منهم، ومنهم العلّامة في التحرير</w:t>
      </w:r>
      <w:r>
        <w:rPr>
          <w:rStyle w:val="FootnoteAnchor"/>
          <w:rtl w:val="true"/>
        </w:rPr>
        <w:footnoteReference w:id="791"/>
      </w:r>
      <w:r>
        <w:rPr>
          <w:rFonts w:ascii="Amiri" w:hAnsi="Amiri" w:eastAsia="Amiri" w:cs="Amiri"/>
          <w:color w:val="111111"/>
          <w:sz w:val="28"/>
          <w:sz w:val="28"/>
          <w:szCs w:val="28"/>
          <w:rtl w:val="true"/>
          <w:lang w:bidi="ar-SA"/>
        </w:rPr>
        <w:t>والسيّد السند في شرح النافع</w:t>
      </w:r>
      <w:r>
        <w:rPr>
          <w:rStyle w:val="FootnoteAnchor"/>
          <w:rtl w:val="true"/>
        </w:rPr>
        <w:footnoteReference w:id="792"/>
      </w:r>
      <w:r>
        <w:rPr>
          <w:rFonts w:ascii="Amiri" w:hAnsi="Amiri" w:eastAsia="Amiri" w:cs="Amiri"/>
          <w:color w:val="111111"/>
          <w:sz w:val="28"/>
          <w:sz w:val="28"/>
          <w:szCs w:val="28"/>
          <w:rtl w:val="true"/>
          <w:lang w:bidi="ar-SA"/>
        </w:rPr>
        <w:t>والفاضل الخراساني في الكفاية،</w:t>
      </w:r>
      <w:r>
        <w:rPr>
          <w:rStyle w:val="FootnoteAnchor"/>
          <w:rtl w:val="true"/>
        </w:rPr>
        <w:footnoteReference w:id="793"/>
      </w:r>
      <w:r>
        <w:rPr>
          <w:rFonts w:ascii="Amiri" w:hAnsi="Amiri" w:eastAsia="Amiri" w:cs="Amiri"/>
          <w:color w:val="111111"/>
          <w:sz w:val="28"/>
          <w:sz w:val="28"/>
          <w:szCs w:val="28"/>
          <w:rtl w:val="true"/>
          <w:lang w:bidi="ar-SA"/>
        </w:rPr>
        <w:t>ونسبه المحقّق في كتابيه</w:t>
      </w:r>
      <w:r>
        <w:rPr>
          <w:rStyle w:val="FootnoteAnchor"/>
          <w:rtl w:val="true"/>
        </w:rPr>
        <w:footnoteReference w:id="794"/>
      </w:r>
      <w:r>
        <w:rPr>
          <w:rFonts w:ascii="Amiri" w:hAnsi="Amiri" w:eastAsia="Amiri" w:cs="Amiri"/>
          <w:color w:val="111111"/>
          <w:sz w:val="28"/>
          <w:sz w:val="28"/>
          <w:szCs w:val="28"/>
          <w:rtl w:val="true"/>
          <w:lang w:bidi="ar-SA"/>
        </w:rPr>
        <w:t>إلى أشهر الروايتين، ومثله العلّامة في القواعد</w:t>
      </w:r>
      <w:r>
        <w:rPr>
          <w:rStyle w:val="FootnoteAnchor"/>
          <w:rtl w:val="true"/>
        </w:rPr>
        <w:footnoteReference w:id="795"/>
      </w:r>
      <w:r>
        <w:rPr>
          <w:rFonts w:ascii="IRNazanin" w:hAnsi="IRNazanin" w:eastAsia="IRNazanin"/>
          <w:color w:val="111111"/>
          <w:sz w:val="28"/>
          <w:sz w:val="28"/>
          <w:szCs w:val="28"/>
          <w:rtl w:val="true"/>
          <w:lang w:bidi="fa-IR"/>
        </w:rPr>
        <w:t>والإرشاد</w:t>
      </w:r>
      <w:r>
        <w:rPr>
          <w:rStyle w:val="FootnoteAnchor"/>
          <w:rtl w:val="true"/>
        </w:rPr>
        <w:footnoteReference w:id="796"/>
      </w:r>
      <w:r>
        <w:rPr>
          <w:rFonts w:ascii="Amiri" w:hAnsi="Amiri" w:eastAsia="Amiri" w:cs="Amiri"/>
          <w:color w:val="111111"/>
          <w:sz w:val="28"/>
          <w:sz w:val="28"/>
          <w:szCs w:val="28"/>
          <w:rtl w:val="true"/>
          <w:lang w:bidi="ar-SA"/>
        </w:rPr>
        <w:t>إيذاناً بالتوقّف فيه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ولا يخفى عليك أنّ ما في الخلاف هو النسبة إلى روايات الأصحاب دون الفتاوى، ففيه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روايات أصحابنا والأكثرين أنّ الزوج الثاني إذا دخل بها يهدم ما دون الثلاث من الطلقة والطلقتين، وبه قال أبوحنيفة وأبو يوسف، وفي الصحابة ابن عمر وابن عبّاس،</w:t>
      </w:r>
      <w:r>
        <w:rPr>
          <w:rStyle w:val="FootnoteAnchor"/>
          <w:rtl w:val="true"/>
        </w:rPr>
        <w:footnoteReference w:id="798"/>
      </w:r>
      <w:r>
        <w:rPr>
          <w:rFonts w:ascii="Amiri" w:hAnsi="Amiri" w:eastAsia="Amiri" w:cs="Amiri"/>
          <w:color w:val="111111"/>
          <w:sz w:val="28"/>
          <w:sz w:val="28"/>
          <w:szCs w:val="28"/>
          <w:rtl w:val="true"/>
          <w:lang w:bidi="ar-SA"/>
        </w:rPr>
        <w:t>وقد روى أصحابنا في بعض الروايات أنّه لا يهدم إلّا الثلاث فإذا كان دون ذلك فلا يهدم، فمتى تزوّجها الزوج الأوّل كانت معه على مابقي من الطلاق</w:t>
      </w:r>
      <w:r>
        <w:rPr>
          <w:rStyle w:val="FootnoteAnchor"/>
          <w:rtl w:val="true"/>
        </w:rPr>
        <w:footnoteReference w:id="799"/>
      </w:r>
      <w:r>
        <w:rPr>
          <w:rFonts w:ascii="IRNazanin" w:hAnsi="IRNazanin" w:eastAsia="IRNazanin"/>
          <w:color w:val="111111"/>
          <w:sz w:val="28"/>
          <w:sz w:val="28"/>
          <w:szCs w:val="28"/>
          <w:rtl w:val="true"/>
          <w:lang w:bidi="fa-IR"/>
        </w:rPr>
        <w:t xml:space="preserve">وبه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الصحابة على ما حكوه،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وأبوهريرة، وفي الفقهاء مالك والشافعي والأوزاعي وابن أبي ليلى ومحمّد وزفر،</w:t>
      </w:r>
      <w:r>
        <w:rPr>
          <w:rStyle w:val="FootnoteAnchor"/>
          <w:rtl w:val="true"/>
        </w:rPr>
        <w:footnoteReference w:id="800"/>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محمّد بن الحسن في هذه المسألة إلى قولنا</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على القول الأوّل قوله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w:t>
      </w:r>
      <w:r>
        <w:rPr>
          <w:rStyle w:val="FootnoteAnchor"/>
          <w:rtl w:val="true"/>
        </w:rPr>
        <w:footnoteReference w:id="802"/>
      </w:r>
      <w:r>
        <w:rPr>
          <w:rFonts w:ascii="Amiri" w:hAnsi="Amiri" w:eastAsia="Amiri" w:cs="Amiri"/>
          <w:color w:val="111111"/>
          <w:sz w:val="28"/>
          <w:sz w:val="28"/>
          <w:szCs w:val="28"/>
          <w:rtl w:val="true"/>
          <w:lang w:bidi="ar-SA"/>
        </w:rPr>
        <w:t>فأخبر أنّ من طلّق طلقتين كان له إمساكها بعد هاتين الطلقتين إلّا ما قام عليه الدليل والمعتمد في ذلك الأخبار التي ذكرناها في الكتاب الكبير من طرق أصحابنا صريحة بذلك،</w:t>
      </w:r>
      <w:r>
        <w:rPr>
          <w:rStyle w:val="FootnoteAnchor"/>
          <w:rtl w:val="true"/>
        </w:rPr>
        <w:footnoteReference w:id="803"/>
      </w:r>
      <w:r>
        <w:rPr>
          <w:rFonts w:ascii="Amiri" w:hAnsi="Amiri" w:eastAsia="Amiri" w:cs="Amiri"/>
          <w:color w:val="111111"/>
          <w:sz w:val="28"/>
          <w:sz w:val="28"/>
          <w:szCs w:val="28"/>
          <w:rtl w:val="true"/>
          <w:lang w:bidi="ar-SA"/>
        </w:rPr>
        <w:t>فمن أرادها وقف عليها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ونصرة الرواية الأُخرى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Style w:val="FootnoteAnchor"/>
          <w:rtl w:val="true"/>
        </w:rPr>
        <w:footnoteReference w:id="804"/>
      </w:r>
      <w:r>
        <w:rPr>
          <w:rFonts w:ascii="Amiri" w:hAnsi="Amiri" w:eastAsia="Amiri" w:cs="Amiri"/>
          <w:color w:val="111111"/>
          <w:sz w:val="28"/>
          <w:sz w:val="28"/>
          <w:szCs w:val="28"/>
          <w:rtl w:val="true"/>
          <w:lang w:bidi="ar-SA"/>
        </w:rPr>
        <w:t>فأخبر أنّ من طلّق طلقة بعد طلقتين فلا تحلّ له إلّا بعد زوج ولم يفرّق بين أن تكون هذه الثالثة بعد طلقتين وزوج أو بعد طلقتين بلا زوج، فمنقال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طلّقها واحدة حلّت له قبل 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فقد ترك الآية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فنقل الخلاف في الخلاف غير ظاهر كما قلناه،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فتاوى المحدّثين من الأصحاب تعلم من أحاديثهم، لكنّه غير تمام في العبارة أيضاً؛ حيث إنّه على ذلك فالقائل معروف وهو الناقل للحديث، فالجمع بين هذا وبين عدم عرفان القائل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فصاحب الحدائق</w:t>
      </w:r>
      <w:r>
        <w:rPr>
          <w:rStyle w:val="FootnoteAnchor"/>
          <w:rtl w:val="true"/>
        </w:rPr>
        <w:footnoteReference w:id="806"/>
      </w:r>
      <w:r>
        <w:rPr>
          <w:rFonts w:ascii="IRNazanin" w:hAnsi="IRNazanin" w:eastAsia="IRNazanin"/>
          <w:color w:val="111111"/>
          <w:sz w:val="28"/>
          <w:sz w:val="28"/>
          <w:szCs w:val="28"/>
          <w:rtl w:val="true"/>
          <w:lang w:bidi="fa-IR"/>
        </w:rPr>
        <w:t>ممّن اختار الخلاف ونسبه إلى الظاهر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ومنشأ التردّد هو تعارض الروايات، فإنّها على طائفتين صالحتين للمعارضة لكن ترجيح روايات الهدم</w:t>
      </w:r>
      <w:r>
        <w:rPr>
          <w:rStyle w:val="FootnoteAnchor"/>
          <w:rtl w:val="true"/>
        </w:rPr>
        <w:footnoteReference w:id="807"/>
      </w:r>
      <w:r>
        <w:rPr>
          <w:rFonts w:ascii="Amiri" w:hAnsi="Amiri" w:eastAsia="Amiri" w:cs="Amiri"/>
          <w:color w:val="111111"/>
          <w:sz w:val="28"/>
          <w:sz w:val="28"/>
          <w:szCs w:val="28"/>
          <w:rtl w:val="true"/>
          <w:lang w:bidi="ar-SA"/>
        </w:rPr>
        <w:t>متعيّن؛ للموافقة مع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معارضها موافقة لإطلاق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من مميّزات الحجّة لامن المرجّحات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المخالفة للشهرة من شرائط الحجّيّة فمع المخالفة لا تصل النوبة إلى الترجيح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مع أنّ الروايات الدالّة على عدم الهدم كانت أكثر عدداً وأقوى دلالةً وسنداً وكانت بمرأی ومنظر منهم ومع هذا كانت معرضاً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 صاحب الحدائق مع هذه الشهرة والإعراض جعل قول الخلاف</w:t>
      </w:r>
      <w:r>
        <w:rPr>
          <w:rStyle w:val="FootnoteAnchor"/>
          <w:rtl w:val="true"/>
        </w:rPr>
        <w:footnoteReference w:id="808"/>
      </w:r>
      <w:r>
        <w:rPr>
          <w:rFonts w:ascii="Amiri" w:hAnsi="Amiri" w:eastAsia="Amiri" w:cs="Amiri"/>
          <w:color w:val="111111"/>
          <w:sz w:val="28"/>
          <w:sz w:val="28"/>
          <w:szCs w:val="28"/>
          <w:rtl w:val="true"/>
          <w:lang w:bidi="ar-SA"/>
        </w:rPr>
        <w:t>هو الظاهر من الأخبار واختاره وذكروجوهاً لترجيح أخبار عدم الهدم، بل قال في آخر البحث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ظهر لك ممّا حقّقناه في المقام ما لم يسبق إليه سابق من علمائنا الأعلام قوّة القول بأخبار عدم الهدم وأنّه هو الذي لا يحوم حومه نقض ولا إبرام</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فينبغي البحث في المسألة تفصيلاً حتّى يظهر لك أنّه لم يأت بتحقيق وتدقيق، بل لم يأت بوجهٍ صحيحٍ،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الغريب غرور المحدّث البحراني بها وإطنابه في المقام بما لاطائل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فهي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رفاعة،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حتّى بانت منه وانقضت عدّتها، ثمّ تزوجت زوجاًً آخر فطلّقها أيضاً، ثمّ تزوّجت زوجها الأوّل، أ يهدم ذلك الطلاق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أصحابنا عنه أيضاً أنّ الزوج يهدم الطلاق الأوّل، فإن تزوّجها فهي عنده 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يهدم الثلاث ولا يهدم الواحدة والثنتين</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عبدالله بن عقيل بن أبي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رجلان في قضيّة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في امرأة طلّقها زوجها تطليقة أو اثنتين فتزوّجها آخر فطلّقها أو مات عنها، فلمّا انقضت عدّتها تزوّجها الأوّل،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على ما بقي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وقال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الثلاث ولا يهدم واحدة؟</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رفاعة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تطليقة واحدة فتبين منه، ثمّ يتزوّجها آخر فيطلّقها على السنّة، فتبين منه، ثمّ يتزوّجها الأوّل، على كم هي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غير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إذا طلّقها ثلاثاً ثمّ تزوّجها ثانية استقبل الطلاق، فإذا طلّقها واحدة كانت على اثنتين</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خامستها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رفاعة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طلّق امرأته تطليقة، ثمّ نكحت بعده رجلاً غيره، ثمّ طلّقها فنكحت 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عنده على ثلاث</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وسادستها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تبين، ثمّ تزوّج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انهدم الطلاق</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ولا يخفى أنّ الراوي في كلّها هو رفاعة إلّا ما عن ابن عقيل، وهورواية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أنهاها في الحدائق إلى سبعة</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تطليقة واحدة، ثمّ تركها حتّى مضت عدّتها فتزوّجت زوجاً غيره، ثمّ مات الرجل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طلّقها فراجعها زوجها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عنده على تطليقتين باقيتين</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طلّق امرأته على الكتاب والسنّة، فتبين منه بواحدة وتتزوّج زوجاً غيره فيموت عنها أو يطلّقها، فترجع إلى زوجها الأوّل أنّها تكون عنده على تطليقتين، وواحدة قد مضت،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عبدالله بن محمّد إلى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بعضهم أنّها تكون عنده على ثلاث مستقبلات وأنّ تلك التي طلّقت ليست بشيء، لأنّها قد تزوّجت زوجاً غيره،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منصور،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طلّقها زوجها واحدة أو اثنتين، ثمّ تركها حتّى تمضي عدّتها فتزوّجها غيره فيموت أو يطلّقها فتزوّجها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عنده ما بقي من الطلاق</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ومثله صحيح محمّد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موسى بن بكر،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في الرجل يطلّق امرأته تطليقة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يتزوّجها بعد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عنده على ما بقي من طلاقها</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تطليقة، ثمّ نكحت بعده رجلاً غيره، ثمّ طلّقها فنكحت 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عنده على تطليقة</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فتزوّجت، ثمّ طلّقها فتزوّجها الأوّل، ثمّ طلّقها فتزوّجت رجلاً، ثمّ طلّقها، فإذا طلّقها على هذا ثلاثاً لم تحلّ له أبداً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ونحوه خبر إبراهيم بن عبد الحميد،</w:t>
      </w:r>
      <w:r>
        <w:rPr>
          <w:rStyle w:val="FootnoteAnchor"/>
          <w:rtl w:val="true"/>
        </w:rPr>
        <w:footnoteReference w:id="825"/>
      </w:r>
      <w:r>
        <w:rPr>
          <w:rFonts w:ascii="IRNazanin" w:hAnsi="IRNazanin" w:eastAsia="IRNazanin"/>
          <w:color w:val="111111"/>
          <w:sz w:val="28"/>
          <w:sz w:val="28"/>
          <w:szCs w:val="28"/>
          <w:rtl w:val="true"/>
          <w:lang w:bidi="fa-IR"/>
        </w:rPr>
        <w:t>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يمكن إرادة التسع منهما 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كرّرت الثلاث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فالتعارض ظاهر، وما في كشف اللثام</w:t>
      </w:r>
      <w:r>
        <w:rPr>
          <w:rStyle w:val="FootnoteAnchor"/>
          <w:rtl w:val="true"/>
        </w:rPr>
        <w:footnoteReference w:id="826"/>
      </w:r>
      <w:r>
        <w:rPr>
          <w:rFonts w:ascii="Amiri" w:hAnsi="Amiri" w:eastAsia="Amiri" w:cs="Amiri"/>
          <w:color w:val="111111"/>
          <w:sz w:val="28"/>
          <w:sz w:val="28"/>
          <w:szCs w:val="28"/>
          <w:rtl w:val="true"/>
          <w:lang w:bidi="ar-SA"/>
        </w:rPr>
        <w:t>من عدم التعارض لاحتمال أن يراد بما في بعضها من كونها عنده على تطليقتين وواحدة قد مضت، أنّها تكون زوجة ويجوز له الرجوع إليها بعد تطليقتين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للظاهر جدّاً ممتنع في جلّ تلك الأخبار الظاهرة بل في كلّها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Style w:val="FootnoteAnchor"/>
          <w:rtl w:val="true"/>
        </w:rPr>
        <w:footnoteReference w:id="827"/>
      </w:r>
      <w:r>
        <w:rPr>
          <w:rFonts w:ascii="Amiri" w:hAnsi="Amiri" w:eastAsia="Amiri" w:cs="Amiri"/>
          <w:color w:val="111111"/>
          <w:sz w:val="28"/>
          <w:sz w:val="28"/>
          <w:szCs w:val="28"/>
          <w:rtl w:val="true"/>
          <w:lang w:bidi="ar-SA"/>
        </w:rPr>
        <w:t>قد أجاب عمّا نقله من أدلّة هذا القول بوجوهٍ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الثاني لم يدخل بها، أو كان تزوّج متعة، أو لميكن بالغاً، فإنّ في جميع هذه المواضع لا يحصل التحليل كما تقدّم ذكره، أو الحمل على التقيّة محتجّاً بأنّه مذهب عمر، كما دلّت عليه رواية عبدالله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الشهادة للمحامل الثلاثة وكونها تبرّعيّة واضح، وأمّا مسألة الحمل على التقيّة فيأتي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 الترجيح الذي لابدّ منه هو الترجيح بالشهرة، كما صرّح به غير واحد من أهل التحقيق وهو القابل للتصديق والقبول كما مرّ بيانه، وبذلك يرتفع التعارض، لكنّه مع ذلك كلّه أنكر صاحب الحدائق التعارض أوّلاً وجعل الترجيح للثانية من جهات خمس من جهة صفات الراوي كالأعدليّة والأفقهيّة والأورعيّة ومن جهة الشهرة وموافقة الكتاب والاحتياط ومن جهة الأخذ بالأخير، ثمّ أورد على الترجيح بالتقيّة أيرادات ثلاثة، وإليك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السند في شرح النافع بعد ذكر محامل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 هذه المحامل، والمسألة محلّ تردد، والقول بعدم الهدم لا يخلو من قوّة، إلّا أنّ المشهور خلافه، ومن ثمّ اقتصر المصنّف على جعل رواية الهدم أشهر مؤذناً بتوقّفه فيه وهو في محلّه</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جدّه في المسالك بعد ذكر جملة من أدلّة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قوّة دليل هذا الجانب لضعف مقابله، إلّا أنّ عمل الأصحاب عليه، فلا سبيل إلى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محامل الشيخ الثلاثة الأول، وقال عقيبها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أشبه هذا الحمل بأصل الحجّة</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التمسّك بعمل الأصحاب في مقابلة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الصحاح الصراح المستفيضة من المجازفة، فإنّه لا ريب أنّ المأخوذ على الفقيه في الفتوى بالأحكام الشرعيّة إنّما هو الأخذ بما أنزل الله سبحانه ممّا ورد في الكتاب العزيز والسنّة المطهّرة، ولا سيّما الخبر المستفيض من الخاصّة والعامّة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لن يفترقا حتّى يردا عليّ الحوض، لن تضلّوا ما إن تمسّكتم بهما</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لا ما ذَكره غيره من العلماء وإن ادّعوا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اعترف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ما لو أوصى له بأبيه فقبل الوصيّة من كتاب الوصايا، وقد قدّمنا كلامه في كتاب الوصايا إلّا أنّه لابأس بنقل ملخّصه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يقدح دعواه الإجماع في فتوى العلّامة بخلافه؛ لأنّ الحقّ أنّ إجماع أصحابنا إنّما يكون حجّة مع تحقّق دخول قول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يظهر جواز مخالفة الفقيه المتأخّر لغيره من المتقدمين في كثير من المسائل التي ادّعوا فيها الإجماع إذا قام عنده الدليل على مايقتضى خلافهم وقد اتّقق ذلك لهم كثيراً، لكن زلّة المتقدم متسامحة عند الناس دون المتأخّرين</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إلى ما بينه وبين هذا الكلام المنحلّ الزمام من الغفلة ممّا حقّقه في ذلك المقام، الذي هو الحقيق بالأخذ به والالتزام، ثمّ إنّا لو تنزّلنا عن القول بمقتضى قواعدهم من أنّه لا يجمع بين الأخبار إلّا بعد تحقّق المعارض بينها، وقلنا بثبوت التعارض بين روايات القول الآخر وموثّقة رفاعة، فالواجب الرجوع إلى طرق الترجيح الواردة في مقبولة عمر بن حنظلة</w:t>
      </w:r>
      <w:r>
        <w:rPr>
          <w:rStyle w:val="FootnoteAnchor"/>
          <w:rtl w:val="true"/>
        </w:rPr>
        <w:footnoteReference w:id="832"/>
      </w:r>
      <w:r>
        <w:rPr>
          <w:rFonts w:ascii="Amiri" w:hAnsi="Amiri" w:eastAsia="Amiri" w:cs="Amiri"/>
          <w:color w:val="111111"/>
          <w:sz w:val="28"/>
          <w:sz w:val="28"/>
          <w:szCs w:val="28"/>
          <w:rtl w:val="true"/>
          <w:lang w:bidi="ar-SA"/>
        </w:rPr>
        <w:t>و رواية زرارة ونحوهما، ومن الطرق المذكورة الترجيح بالأعدل والأفقه والأورع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ولا ريب في حصول الترجيح بهاتين الطريقتين لروايات القول الآخر</w:t>
      </w:r>
      <w:r>
        <w:rPr>
          <w:rStyle w:val="FootnoteAnchor"/>
          <w:rtl w:val="true"/>
        </w:rPr>
        <w:footnoteReference w:id="833"/>
      </w:r>
      <w:r>
        <w:rPr>
          <w:rFonts w:ascii="Amiri" w:hAnsi="Amiri" w:eastAsia="Amiri" w:cs="Amiri"/>
          <w:color w:val="111111"/>
          <w:sz w:val="28"/>
          <w:sz w:val="28"/>
          <w:szCs w:val="28"/>
          <w:rtl w:val="true"/>
          <w:lang w:bidi="ar-SA"/>
        </w:rPr>
        <w:t>دون رواية رفاعة، فإنّ روايات عدم الهدم قد رواها كثير من فقهاء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كزرارة وعليّ بن مهزيار ومنصور بن حازم وجميل بن درّاج وعبدالله بن عليّ بن أبي شعبة وأخيه محمّد، فتكون روايات عدم الهدم بذلك أشهر رواية وأعدل وأفقه وأورع رواة، والمراد بالشهرة التي هي إحدى طرق الترجيح إنّما هي الشهرة في الرواية، لا العمل كما حقّق في محلّه، وكذا المجمع عليه، وهو حاصل لروايات عدمالهدم خاصّة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فالترجيح بهاتين الطريقتين ممّا لاإشكال في اختصاصه بالروايات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 وهو أيضاً مخصوص برواية عدم الهدم بالتقريب الذي قدمّناه، وقداستفاضت الأخبار بالردّ إلى الكتاب،</w:t>
      </w:r>
      <w:r>
        <w:rPr>
          <w:rStyle w:val="FootnoteAnchor"/>
          <w:rtl w:val="true"/>
        </w:rPr>
        <w:footnoteReference w:id="834"/>
      </w:r>
      <w:r>
        <w:rPr>
          <w:rFonts w:ascii="Amiri" w:hAnsi="Amiri" w:eastAsia="Amiri" w:cs="Amiri"/>
          <w:color w:val="111111"/>
          <w:sz w:val="28"/>
          <w:sz w:val="28"/>
          <w:szCs w:val="28"/>
          <w:rtl w:val="true"/>
          <w:lang w:bidi="ar-SA"/>
        </w:rPr>
        <w:t>وأنّ ما خالف كتاب الله 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بالاحتياط كما تضمّنته مرفوعة زرارة</w:t>
      </w:r>
      <w:r>
        <w:rPr>
          <w:rStyle w:val="FootnoteAnchor"/>
          <w:rtl w:val="true"/>
        </w:rPr>
        <w:footnoteReference w:id="835"/>
      </w:r>
      <w:r>
        <w:rPr>
          <w:rFonts w:ascii="Amiri" w:hAnsi="Amiri" w:eastAsia="Amiri" w:cs="Amiri"/>
          <w:color w:val="111111"/>
          <w:sz w:val="28"/>
          <w:sz w:val="28"/>
          <w:szCs w:val="28"/>
          <w:rtl w:val="true"/>
          <w:lang w:bidi="ar-SA"/>
        </w:rPr>
        <w:t>وهو أيضاً مخصوص بالرواية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الأخذ بقول الأخير من الإمامين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حديث عن أوّلكم وحديث عن آخركم بأيّهما آخذ؟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به حتّى يبلغكم عن الحيّ فخذوا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لا ندخلكم إلّا فيما يسعكم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کتاب القضاء، أبواب صفات القاضي، 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والصدوق رحمه الله أشار إلى هذه القاعدة فى باب الرجل يوصي لرجلين، حيث نقل فيه خبرين توهّم أنّهما مختلفان،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صحّ الخبران جميعاً لكان الواجب الأخذ بقول الأخير، كما أمر به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باب الرجلین یوصی إلیهما فینفرد کلّ واحد منهما بنصف الترکة، ذیل الحدیث </w:t>
      </w:r>
      <w:r>
        <w:rPr>
          <w:rFonts w:eastAsia="IRNazanin" w:cs="IRNazanin"/>
          <w:color w:val="111111"/>
          <w:sz w:val="28"/>
          <w:szCs w:val="28"/>
          <w:lang w:bidi="fa-IR"/>
        </w:rPr>
        <w:t>524/2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القاعدة ذكرها الصدوق في كتابه،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أيضاً حاصل الروايات المذكورة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صحيح عليّ بن مهزيار قد اشتمل على عرض القولين المذكورين على أبي الحسن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روايات القول الآخر،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روايات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بالتقيّة، فهو أقوى ما يمكن أن يتمسّك به لترجيح خبر رفاعة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مبنيّ على ثبوت ذلك، وهو غير معلوم، فإنّ المستند بكونه حكم عمر إنّما هو رواية عبدالله بن عقيل، وهي غير مستندة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المخبر بذلك إنّما هو عبدالله المذكور، وقوله ليس بحجّة شرعيّة، سيّما مع معارضة خبر زرارة الدالّة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إنّها على ما بقي من الطلاق، وهي صريحة في أنّ مذهب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بعدم الهدم، والراوي عنه ابنه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تعارضه رواية عبدالله بن عقيل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العامّة مختلفون في المسألة أيضاً على ما نقله الشيخ في الخلاف،</w:t>
      </w:r>
      <w:r>
        <w:rPr>
          <w:rStyle w:val="FootnoteAnchor"/>
          <w:rtl w:val="true"/>
        </w:rPr>
        <w:footnoteReference w:id="837"/>
      </w:r>
      <w:r>
        <w:rPr>
          <w:rFonts w:ascii="Amiri" w:hAnsi="Amiri" w:eastAsia="Amiri" w:cs="Amiri"/>
          <w:color w:val="111111"/>
          <w:sz w:val="28"/>
          <w:sz w:val="28"/>
          <w:szCs w:val="28"/>
          <w:rtl w:val="true"/>
          <w:lang w:bidi="ar-SA"/>
        </w:rPr>
        <w:t>والقول بالهدم منقول عن أبي حنيفة وأبي يوسف وابن عمر،</w:t>
      </w:r>
      <w:r>
        <w:rPr>
          <w:rStyle w:val="FootnoteAnchor"/>
          <w:rtl w:val="true"/>
        </w:rPr>
        <w:footnoteReference w:id="838"/>
      </w:r>
      <w:r>
        <w:rPr>
          <w:rFonts w:ascii="IRNazanin" w:hAnsi="IRNazanin" w:eastAsia="IRNazanin"/>
          <w:color w:val="111111"/>
          <w:sz w:val="28"/>
          <w:sz w:val="28"/>
          <w:szCs w:val="28"/>
          <w:rtl w:val="true"/>
          <w:lang w:bidi="fa-IR"/>
        </w:rPr>
        <w:t>وليس حمل أخبار عدم الهدم على التقيّة كما ذكره الشيخ بأولى من حمل رواية رفاعة الشاذّة النادرة عليه، سيّما مع ما علم من كتب السير والتواريخ من شيوع مذهب أبي حنيفةفي زمانه وقوته، وهو في عصر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عنه القول بالهدم، وحينئذٍ فلا يبعد حمل رواية رفاعة الدالّة على الهدم على التقيّة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أنّ المنقول في كتاب السير والأخبار أنّ شهرة هذه المذاهب الأربعة إنّما كان قريباً من سنة خمس وستّين وستّمأة، واستمرّ الأمر إلى هذا الزمان وأمّا في الأعصار السابقة فإنّ المعتمد في كلّ زمان على من اعتنت به خلفاء الجور وقدّموه للقضاء والفتيا وإليه يرجع الحكم في جميع البلدان، وكان المعتمد في زمن أبي حنيفة على فتاويه، وفي زمن هارون الرشيد وهو في عصر مولانا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فتاوي أبي يوسف تلميذ أبي حنيفة،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استقضاه الرشيد واعتنى به حتّى لم يقلّد في بلاد العراق والشام ومصر إلّا من أشار إليه أبو يوسف، وفي زمن المأمون كان الاعتماد على يحيى بن أكثم القاضي، وفي زمن المعتصم على أحمد بن أبي داود القاضي، وإذا كان الأمر كذلك فيجوز أن يكون المشهور في عصر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عليه عمل العامّة، وإليه ميل قضاتهم وحكّامهم هوالقول بالهدم بل هو الواقع، لأنّ اعتماد العامّة في وقت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أبي حنيفة القائل بالهدم، فالتقيّة منه لشيوع مذهبه في تلك الأيّام، وإن كان نادراً في وقت آخر، وهذا بحمد الله ظاهر لا سترة عليه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عدم الترجيح هنا بهذه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طرق‌الترجيح التي اشتملت عليها مقبولة عمر بن حنظلة مترتّبة، فأولها الترجيح بالأعدل والأفقهوالأورع، ثمّ بعدها الترجيح بالأشهر والمجمع عليه، ثمّ الترجيح بمخالفة العامّة، فالترجيح بمخالفة العامّة إنّما وقع في المرتبة الثالثة وهو لا يصار إليه إلّا مع تعذّر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بما قبله من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الترجيح بالمرتبتين الأوّلتين حاصل لروايات عدم الهدم، وحينئذٍ فلا يصار إلى الترجيح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الأخبار قد دلّت على الترجيح بمخالفة العامّة مطلقاً،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ما أطلق بما دلّت عليه هذه الأخبار الناصّة على الترتيب بين هذه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ظهر لك ممّا حقّقناه في المقام بما لم يسبق إليه سابق من علمائنا الأعلام قوّة القول بأخبار عدم الهدم، وأنّه هو الذي لا يحوم حوله نقض ولا إبرام</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 xml:space="preserve">انتهى كلام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تمام ما في كلامه مورد للمناقشة والإشكال وإن أتعب نفسه، بل ولم يراع ما ينبغي رعايته بالنسبة إلى الأعاظم من العلماء الذين هم أئمّة الحديث والفقه، أمّا ما أورده على المسالك</w:t>
      </w:r>
      <w:r>
        <w:rPr>
          <w:rStyle w:val="FootnoteAnchor"/>
          <w:rtl w:val="true"/>
        </w:rPr>
        <w:footnoteReference w:id="840"/>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كلّهم يعتقدون بالكتاب والسنة ويستدلّون بهما لا بغيرهما فذكره ذلك توضيح للواضح، كيف وحتّى أنّ حجّيّة العقل أيضاً لهما والإجماع للسنّة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الثقلين متواتر لا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ما نحن فيه وباب الوصيّة موجودٌ، فإنّه قال فيوصيّة المسالك ما هذا لفظه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ما اختاره المصنّف ولا يقدح دعواه الإجماع في فتوى العلّامة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بخلافه؛ لأنّ الحقّ أنّ إجماع أصحابنا إنّما يكون حجّةً مع تحقّق دخول المعصوم في جملة قولهم، فإنّ حجيّته إنّما هي باعتبار قوله عندهم، ودخول قوله في قولهم في مثل هذه المسألة النظريّة غير معلوم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حيث إنّ تلك المسألة نظريّة ومصبّ الاجتهاد والدراية، فالإجماع فيه غير حجّة، فإنّه حجّة فيما ليس للعقل إليه سبيل ولا للنقل فيه دليل، فمناقشته في ذلك الإجماع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المسألة المبحوث عنها فالشهرة والإجماع كاسران للروايات المخالفة وموجبان للإعراض عنها وللسقوط عن الحجيّة، فالروايات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الدالّة على 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بلا معارض،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مسألة الوصيّة مناقشته كانت في الإجماع المستدلّ به وفي المقام الدليل هو الأخبار والمناقشة في المعارضة لها باعتبار الاعراض؛ فتأملّ جيّداً حتّى تكون على بصيرة في دقّة مثل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المرجّحات المذكورة في كلامه،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من جهة الصفات مربوط بباب الحكومة لا الرواية، وأمّا الترجيح بالشهرة فالمرجّح هو العمليّة منها لا الروائيّة كما حقّق في محلّه، وأمّا موافقته الكتاب فلا محلّ لها بعد الشهرة والإعراض كما لا يخفى، فإنّ الترجيح فرع الحجّيّة وإعراض الأصحاب عن الموافق مسقط لحجّيته فأين محلّ التعارضوالترجيح؟ واعلم أنّ الشهرة كما مرّ</w:t>
      </w:r>
      <w:r>
        <w:rPr>
          <w:rStyle w:val="FootnoteAnchor"/>
          <w:rtl w:val="true"/>
        </w:rPr>
        <w:footnoteReference w:id="842"/>
      </w:r>
      <w:r>
        <w:rPr>
          <w:rFonts w:ascii="Amiri" w:hAnsi="Amiri" w:eastAsia="Amiri" w:cs="Amiri"/>
          <w:color w:val="111111"/>
          <w:sz w:val="28"/>
          <w:sz w:val="28"/>
          <w:szCs w:val="28"/>
          <w:rtl w:val="true"/>
          <w:lang w:bidi="ar-SA"/>
        </w:rPr>
        <w:t>من المميّزات لا المرجحّات فهي قبل الوفاق للكتاب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موافقته الاحتياط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اعتبار به أصلاً؛ لأنّ رتبة الأُصول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الأمارات، وأمّا التأخّر فليس بمرجّح هنا أصلاً فإنّ الترجيح به تختصّ بمورد صدور الروايتين على القطع دون ما نحن فيه ممّا لا يكون التعارض بين القطعيّين، بل 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العلم بالصدور فإنّ التعبير بالترجيح مسامحة، وصحيحة علي بن مهزيار وإن كانت مشتملة على نقل الحديثين وجواب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الدالّ على عدم الهدم فلا بدّ من الأخذ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سبقه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حجة ظنيّة فهي كغيرها من الأخبار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فيما ذكره من الترجيح بالمرجّحات الخمسة من صفات الراوي وموافقة الشهرة والكتاب والاحتياط والأخذ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إشكالاً للترجيح بالتقيّة من الوجوه الثلاثة المبيّنة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بالتقيّة ليس في نصوص الترجيح منه أثر ولا خبر وليس فيها أزيد من الترجيح بمخالفة العامّة، ولم يعلم بعد أنّ الوجه فيه التقيّة أو غيرها؟ ففي مقبولة ابن حنظلة تعليل الأخذ بالمخالف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الرشد في خلافهم</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والاحتمالات فيه كما ذكره الشيخ الأعظم في خاتمة الرسائل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التقيّة،</w:t>
      </w:r>
      <w:r>
        <w:rPr>
          <w:rStyle w:val="FootnoteAnchor"/>
          <w:rtl w:val="true"/>
        </w:rPr>
        <w:footnoteReference w:id="844"/>
      </w:r>
      <w:r>
        <w:rPr>
          <w:rFonts w:ascii="Amiri" w:hAnsi="Amiri" w:eastAsia="Amiri" w:cs="Amiri"/>
          <w:color w:val="111111"/>
          <w:sz w:val="28"/>
          <w:sz w:val="28"/>
          <w:szCs w:val="28"/>
          <w:rtl w:val="true"/>
          <w:lang w:bidi="ar-SA"/>
        </w:rPr>
        <w:t>ولا يخفى أنّ المخالفة أعمّ من الخوف والتقيّة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من التاريخ والسيرة تأييداً لقوله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التأييد مفيدعلى فرض ثبوت الترجيح بالتقيّة وهذا حال الكلام فكيف حال المؤيّد بعد الكلام في الأصل والمؤيَّد</w:t>
      </w:r>
      <w:r>
        <w:rPr>
          <w:rFonts w:eastAsia="Amiri" w:cs="Amiri" w:ascii="Amiri" w:hAnsi="Amiri"/>
          <w:color w:val="111111"/>
          <w:sz w:val="28"/>
          <w:szCs w:val="28"/>
          <w:rtl w:val="true"/>
          <w:lang w:bidi="ar-SA"/>
        </w:rPr>
        <w:t xml:space="preserve">! </w:t>
      </w:r>
      <w:bookmarkStart w:id="347" w:name="pg9375_99539"/>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المطلّقة ثلاثاً تحرم حتّى تنكح زوجاً غيره، وتعتبر في زوال التحريم به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يكون الزوج المحلّل بالغاً، فلا اعتبار بنكاح غير البالغ وإن كان مراهقاً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الترجيح بالتقيّة لتأخّر الرتبة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ليس لما ذكره بل لسقوط الموافق للعامّة والتقيّة عن الحجّيّة من رأس بالأعراض فأين التعارض والتقدم والتأخّر في الترجيح؟</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طرق الترجيح في المقبولة وأنّها مترتّبة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الراوي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والمجمع عليه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بمخالفة العامّة فهي في المرتبة الثالثة والترجيح بالمرتبتين المتقدّمتين ثابت فلا تصل النوبة إلى المخالفة،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المقبولة إلّا الترجيح بموافقة الكتاب ومخالفة العامّة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أنّها ليس فيه الدلالة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 المشهور هو المنصور وكيف يجترء الفقيه بالمخالفة لأئمّة الحديث والفقه مع وجود الرواية والدليل، ومخالفة الحدائق</w:t>
      </w:r>
      <w:r>
        <w:rPr>
          <w:rStyle w:val="FootnoteAnchor"/>
          <w:rtl w:val="true"/>
        </w:rPr>
        <w:footnoteReference w:id="845"/>
      </w:r>
      <w:r>
        <w:rPr>
          <w:rFonts w:ascii="Amiri" w:hAnsi="Amiri" w:eastAsia="Amiri" w:cs="Amiri"/>
          <w:color w:val="111111"/>
          <w:sz w:val="28"/>
          <w:sz w:val="28"/>
          <w:szCs w:val="28"/>
          <w:rtl w:val="true"/>
          <w:lang w:bidi="ar-SA"/>
        </w:rPr>
        <w:t>ناشئة من عدم معرفة العلماء العظماء حقّ المعرفة ونسأل الله التوفيق في المعرفة له جلّ وعلا ولعلماء دينه زائداً على الحال وأن يجعل مستقبلنا خيراً من ماضينا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5416665_2870459653"/>
      <w:bookmarkStart w:id="349" w:name="_Toc125"/>
      <w:bookmarkEnd w:id="348"/>
      <w:r>
        <w:rPr>
          <w:rtl w:val="true"/>
        </w:rPr>
        <w:t>الشروط في المحلّل</w:t>
      </w:r>
      <w:bookmarkEnd w:id="34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على عدم كفاية غير المراهق من الصبيان الذين لا يلتذّونبالنكاح ولا يلتذّ بهم إجماع المسلمين فضلاً عن المؤمنين وهو الحجّة مضافاً إلى ما ستعرف في المراهق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المراهق للبلوغ وهو من قارب الحلم فالمشهور أيضاً عدم الكفاية، والمحكيّ عن ابن‌الجنيد</w:t>
      </w:r>
      <w:r>
        <w:rPr>
          <w:rStyle w:val="FootnoteAnchor"/>
          <w:rtl w:val="true"/>
        </w:rPr>
        <w:footnoteReference w:id="846"/>
      </w:r>
      <w:r>
        <w:rPr>
          <w:rFonts w:ascii="Amiri" w:hAnsi="Amiri" w:eastAsia="Amiri" w:cs="Amiri"/>
          <w:color w:val="111111"/>
          <w:sz w:val="28"/>
          <w:sz w:val="28"/>
          <w:szCs w:val="28"/>
          <w:rtl w:val="true"/>
          <w:lang w:bidi="ar-SA"/>
        </w:rPr>
        <w:t>والشيخ</w:t>
      </w:r>
      <w:r>
        <w:rPr>
          <w:rStyle w:val="FootnoteAnchor"/>
          <w:rtl w:val="true"/>
        </w:rPr>
        <w:footnoteReference w:id="847"/>
      </w:r>
      <w:r>
        <w:rPr>
          <w:rFonts w:ascii="Amiri" w:hAnsi="Amiri" w:eastAsia="Amiri" w:cs="Amiri"/>
          <w:color w:val="111111"/>
          <w:sz w:val="28"/>
          <w:sz w:val="28"/>
          <w:szCs w:val="28"/>
          <w:rtl w:val="true"/>
          <w:lang w:bidi="ar-SA"/>
        </w:rPr>
        <w:t>في أحد قوليه الكفاية كما هو مذهب العامّة أيضاً، والمشهور هو المنصور، وذلك مضافاً إلى الأصل، وإلى ما يقال من انصراف الكتاب والسنّة إلى كون المحلّل زوجاًً مستقلاً بالعقد ومن أنّ الظاهر من نسبة الفعل الواقعة في السنّة الاستقلال لا سيّما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Style w:val="FootnoteAnchor"/>
          <w:rtl w:val="true"/>
        </w:rPr>
        <w:footnoteReference w:id="848"/>
      </w:r>
      <w:r>
        <w:rPr>
          <w:rFonts w:ascii="IRNazanin" w:hAnsi="IRNazanin" w:eastAsia="IRNazanin"/>
          <w:color w:val="111111"/>
          <w:sz w:val="28"/>
          <w:sz w:val="28"/>
          <w:szCs w:val="28"/>
          <w:rtl w:val="true"/>
          <w:lang w:bidi="fa-IR"/>
        </w:rPr>
        <w:t>الظاهر في البالغ؛ حيث إنّ طلاق الصبيّ لا نفوذ له لا أصالةً ولا ولايةً، خبر عليّ بن الفضل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الطلاق الذي لا تحلّ له حتّى تنكح زوجاً غيره، فتزوّجها غلام لم يحتلم،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البلوغ؟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أوجب الله على المؤمنين الحدود</w:t>
      </w:r>
      <w:r>
        <w:rPr>
          <w:rFonts w:eastAsia="IRNazanin" w:cs="IRNazanin"/>
          <w:color w:val="111111"/>
          <w:sz w:val="28"/>
          <w:szCs w:val="28"/>
          <w:rtl w:val="true"/>
          <w:lang w:bidi="fa-IR"/>
        </w:rPr>
        <w:t>».</w:t>
      </w:r>
      <w:r>
        <w:rPr>
          <w:rStyle w:val="FootnoteAnchor"/>
          <w:rtl w:val="true"/>
        </w:rPr>
        <w:footnoteReference w:id="84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بعليّ بن الفضل منجبرٌ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أنّ الاستدلال بظاهر الكتاب ليس بتمامٍ؛ لأنّ ظهور الفعل في الاستقلال ممنوعٌ لاسيّما في مثل هذه الأفعال التي ليست مشروطة بالمباشرة، والاستشهاد بالتطليق المذكور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Style w:val="FootnoteAnchor"/>
          <w:rtl w:val="true"/>
        </w:rPr>
        <w:footnoteReference w:id="850"/>
      </w:r>
      <w:r>
        <w:rPr>
          <w:rFonts w:ascii="Amiri" w:hAnsi="Amiri" w:eastAsia="Amiri" w:cs="Amiri"/>
          <w:color w:val="111111"/>
          <w:sz w:val="28"/>
          <w:sz w:val="28"/>
          <w:szCs w:val="28"/>
          <w:rtl w:val="true"/>
          <w:lang w:bidi="ar-SA"/>
        </w:rPr>
        <w:t>أخصّ من المدّعى فمنالممكن وقوع الزواج قبل البلوغ والطلاق حينه فالآية غير دالّة إلّا على بلوغ المحلّل حين الطلاق لا المحلّل مطلقاً إلّا أن يقال،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المحلّل محلّل حين الطلاق فالدليل مساوق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يطأها قبلاً وطءاً موجباً للغسل بغيبوبة الحشفة أو مقدارها من مقطوعها، بل كفاية المسمّى في مقطوعها لا يخلو من قوّة، والاحتياط لا ينبغي تركه، وهل يعتبر الإنزال؟ فيه إشكالٌ، والأحوط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مورد صحّة طلاق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للآخر بإطلاق الكتاب والسنّة، وبضعف الخبر، وبذوق الزوج المراهق العسيلة الذي هو الشرط في 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الإطلاق، ففيه ما مرّ من الانصراف وتقييده بالخبر المنجبر،</w:t>
      </w:r>
      <w:r>
        <w:rPr>
          <w:rStyle w:val="FootnoteAnchor"/>
          <w:rtl w:val="true"/>
        </w:rPr>
        <w:footnoteReference w:id="851"/>
      </w:r>
      <w:r>
        <w:rPr>
          <w:rFonts w:ascii="Amiri" w:hAnsi="Amiri" w:eastAsia="Amiri" w:cs="Amiri"/>
          <w:color w:val="111111"/>
          <w:sz w:val="28"/>
          <w:sz w:val="28"/>
          <w:szCs w:val="28"/>
          <w:rtl w:val="true"/>
          <w:lang w:bidi="ar-SA"/>
        </w:rPr>
        <w:t>والعسيلة لها تفسيران؛ المني واللّذة،</w:t>
      </w:r>
      <w:r>
        <w:rPr>
          <w:rStyle w:val="FootnoteAnchor"/>
          <w:rtl w:val="true"/>
        </w:rPr>
        <w:footnoteReference w:id="852"/>
      </w:r>
      <w:r>
        <w:rPr>
          <w:rFonts w:ascii="Amiri" w:hAnsi="Amiri" w:eastAsia="Amiri" w:cs="Amiri"/>
          <w:color w:val="111111"/>
          <w:sz w:val="28"/>
          <w:sz w:val="28"/>
          <w:szCs w:val="28"/>
          <w:rtl w:val="true"/>
          <w:lang w:bidi="ar-SA"/>
        </w:rPr>
        <w:t>أمّا عدم تحقّقها على الأوّل فواضح وأمّا على الثاني، فلأنّ الظاهر منها اللذّة الكاملة المتعارفة وهي غير حاصلة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هو المنصور، وعمدة الدليل عليه خبر عليّ بن الفضل الواسطي،</w:t>
      </w:r>
      <w:r>
        <w:rPr>
          <w:rStyle w:val="FootnoteAnchor"/>
          <w:rtl w:val="true"/>
        </w:rPr>
        <w:footnoteReference w:id="853"/>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الشرط يقع تارة في أصله وأُخرى في خصوصيّاته الثلاث؛ من القبل وإيجاب الغسل والإنزال؛ أمّا أصل شرطيّة الدخول فعليه إجماع المسلمين عدا سعيد بن المسيّب،</w:t>
      </w:r>
      <w:r>
        <w:rPr>
          <w:rStyle w:val="FootnoteAnchor"/>
          <w:rtl w:val="true"/>
        </w:rPr>
        <w:footnoteReference w:id="854"/>
      </w:r>
      <w:r>
        <w:rPr>
          <w:rFonts w:ascii="Amiri" w:hAnsi="Amiri" w:eastAsia="Amiri" w:cs="Amiri"/>
          <w:color w:val="111111"/>
          <w:sz w:val="28"/>
          <w:sz w:val="28"/>
          <w:szCs w:val="28"/>
          <w:rtl w:val="true"/>
          <w:lang w:bidi="ar-SA"/>
        </w:rPr>
        <w:t>حيث اكتفى بمجرّد العقد؛ عملاً بظاهر الآية، لأنّ النكاح حقيقة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النكاح في الآية الوط‌ء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مقيّد بالإجماع والروايات من الطرفينالدالّة على اعتبار ذوق العسيلة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فالدليل على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الكتاب، بناءً على أنّ المراد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الوط‌ء، وإلى إجماع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الصريحة، وهي خبر أبي حاتم،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الطلاق الذي لا تحلّ له حتّى تنكح زوجاً غيره، ثمّ تزوّج رجلاً لا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يذوق عسيلتها</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تطليقة، ثمّ يراجعها بعد انقضاء عدّتها، فإذاً طلّقها الثالثة،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تحلّ له حتّى تنكح زوجاً غيره، فإذا تزوّجها غيره ولم يدخل بها وطلّقها أو مات عنها لم تحلّ لزوجها الأوّل حتّى يذوق الآخر عسيلتها</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وصحيح محمّد بن قيس، قال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امرأته ثلاثاً ولم يراجع حتّى تبين فلا تحلّ له حتّى تنكح زوجاً غيره، فإذا تزوّجت زوجاً ودخل بها حلّت لزوجها الأوّل</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وموثّق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فتزوّجها رجل آخر ولم يصل إليها حتّى طلّقها تحلّ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يذوق عسيلتها</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العسيلة أيضاً مرويّ عندهم كما هو مرويّ عندنا، فروى غير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جاءت امرأة رفاعة القرظي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رفاعة، فبتّ طلاقي، فزوّجت بعده عبدالرحمن بن الزبير، فطلّقني قبل أن يمسّني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مثل هدية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تريدين أن ترجعى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رفاعة؟ لا، حتّى تذوق عسيلته، ويذوق عسيلتك</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وصحيح الفضيل،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زوّج عبده أمته، ثمّ طلّقها تطليقتين، يحلّ له أن يراجعها إن أراد مولاها؟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إن وطأها مولاها أ يحلّ للعبد أن يراجعها؟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تزوّج زوجاً غيره ويدخل بها فيكون نكاحاً مثل نكاح الأوّل، وإن كان قد طلّقها واحدة فأراد مولاها راجعها</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وهذا وإن كان مربوطاً بطلاق الأمة التي يكون المحرّم منه المحتاج إلى المحلّل اثنين، لكن دلالته على لزوم الوط‌ء فيه أيضاً وإن لم يكن صريحاً في محلّ البحث لكنّه مؤيّد لتلك الأخبار الكثيرة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كونه في القبل فلا خلاف فيه؛ لأنّه المنساق والمنصرف إليه من نصوص ذوق العسيلة لا سيّما المتضمّن منها ذوق الزوجين كالمروي عن طرق العامّة، سواء كان المراد منه لذّة الجماع كما عن النهاية</w:t>
      </w:r>
      <w:r>
        <w:rPr>
          <w:rStyle w:val="FootnoteAnchor"/>
          <w:rtl w:val="true"/>
        </w:rPr>
        <w:footnoteReference w:id="861"/>
      </w:r>
      <w:r>
        <w:rPr>
          <w:rFonts w:ascii="Amiri" w:hAnsi="Amiri" w:eastAsia="Amiri" w:cs="Amiri"/>
          <w:color w:val="111111"/>
          <w:sz w:val="28"/>
          <w:sz w:val="28"/>
          <w:szCs w:val="28"/>
          <w:rtl w:val="true"/>
          <w:lang w:bidi="ar-SA"/>
        </w:rPr>
        <w:t>وغيرها من كتب اللغة</w:t>
      </w:r>
      <w:r>
        <w:rPr>
          <w:rStyle w:val="FootnoteAnchor"/>
          <w:rtl w:val="true"/>
        </w:rPr>
        <w:footnoteReference w:id="862"/>
      </w:r>
      <w:r>
        <w:rPr>
          <w:rFonts w:ascii="Amiri" w:hAnsi="Amiri" w:eastAsia="Amiri" w:cs="Amiri"/>
          <w:color w:val="111111"/>
          <w:sz w:val="28"/>
          <w:sz w:val="28"/>
          <w:szCs w:val="28"/>
          <w:rtl w:val="true"/>
          <w:lang w:bidi="ar-SA"/>
        </w:rPr>
        <w:t xml:space="preserve">من تفسيره بما هو كناية عنها أوالإنزال كما قيل، لعدم كون ذوق اللذّة والعسيلة أو الإنزال من الجانبين مع الوط‌ء في الدبر على المتعارف بل ولا اللذّة لذّة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كاملة بل القول بانصراف نفس الدخول أيضاً إلى القبل غير بعيد، وبذلك يظهر ما في المسالك</w:t>
      </w:r>
      <w:r>
        <w:rPr>
          <w:rStyle w:val="FootnoteAnchor"/>
          <w:rtl w:val="true"/>
        </w:rPr>
        <w:footnoteReference w:id="863"/>
      </w:r>
      <w:r>
        <w:rPr>
          <w:rFonts w:ascii="Amiri" w:hAnsi="Amiri" w:eastAsia="Amiri" w:cs="Amiri"/>
          <w:color w:val="111111"/>
          <w:sz w:val="28"/>
          <w:sz w:val="28"/>
          <w:szCs w:val="28"/>
          <w:rtl w:val="true"/>
          <w:lang w:bidi="ar-SA"/>
        </w:rPr>
        <w:t>من الاستدلال بانتفاء ذوق العسيلة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الانتفاء من الأصل ممنوع وإنّما الانتفاء بالنسبة إلى الكامل كما لا يخفى، وبالجملة، الانصراف في ذوق العسيلة ممّا لاكلام فيه وهو الحجّة في المسألة، ويعضده الانصراف في الدخول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إيجابه الغسل بغيبوبة الحشفة أو مقدارها وعدم كفاية مادونه من المسمّى؛ لأنّ ذلك مناط أحكام الدخول والوطى‌ء في كلّ مقام اعتبرا فيه، فالإطلاق منصرف إليه ولانتفاء ذوق العسيلة من الجانبين بدونه غالباً ولعدم معهوديّة مادونه في الشرع فوقوعه بمنزلة العدم، فالإطلاق منصرف عنه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بدوي ناشئ من كثرة الأفراد لامن كثرة الاستعمال، وأمّا انتفاء ذوق العسيلة فخروج من البحث؛ لأنّ الكلام في كفاية مادونه مع تحقّق بقيّة الشروط كما لا يخفى وإلّا فمع عدم ذوق العسيلة فعدم الكفاية يرجع إلى انتفائه لا انتفاء الموجب للغسل، وأمّا عدم المعهوديّة في الشرع فهو راجع إلى عدم كونه مشمولاً للموضوع منهما في الأحكام الشرعيّة الثابتة لهما وأنّى ذلك بالمقام فإنّ الموضوع محمولٌ على العرف مفهوماً ومصداقاً، كيف مع أنّ العمدة في المقام هو ذوقالعسيلة المفروض حصوله ولعلّ العمدة في غيره من الأحكام أُمور أُخرى غير حاصلة بدخول ما دون المقدار من الحشفة فما في المتن من أنّ كفاية المسمّى في مقطوعها 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دائماً لا 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الإنزال، ففيه الإشكال من إطلاق الأدلّة والفتاوى، ومن لزوم ذوق العسيلة حتّى على تفسيره بلذّة الجماع؛ لأنّ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الكاملة التي لا تحصل إلّا بالإنزال ولا أقلّ من الشكّ في شمول أخباره للمورد إن لم يكن إجماع والأصل الحرمة، فالأحوط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الأمر الثالث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وكونه دائماً، واحترزنا بالعقد عن ملك اليمين والتحليل فلا يحصل التحليل بهما فضلاً عن الوط‌ء حراماً أو شبهة ولو بالعقد الفاسد بلا خلاف أجده، بل الإجماع بقسميه عليه كما في الجواهر،</w:t>
      </w:r>
      <w:r>
        <w:rPr>
          <w:rStyle w:val="FootnoteAnchor"/>
          <w:rtl w:val="true"/>
        </w:rPr>
        <w:footnoteReference w:id="864"/>
      </w:r>
      <w:r>
        <w:rPr>
          <w:rFonts w:ascii="Amiri" w:hAnsi="Amiri" w:eastAsia="Amiri" w:cs="Amiri"/>
          <w:color w:val="111111"/>
          <w:sz w:val="28"/>
          <w:sz w:val="28"/>
          <w:szCs w:val="28"/>
          <w:rtl w:val="true"/>
          <w:lang w:bidi="ar-SA"/>
        </w:rPr>
        <w:t>واعتباره لعدم صدق الزوج في الكتاب والسنّة عليه، فإنّه لا يسمّى واحد منهما زوجاً،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w:t>
      </w:r>
      <w:r>
        <w:rPr>
          <w:rStyle w:val="FootnoteAnchor"/>
          <w:rtl w:val="true"/>
        </w:rPr>
        <w:footnoteReference w:id="865"/>
      </w:r>
      <w:r>
        <w:rPr>
          <w:rFonts w:ascii="Amiri" w:hAnsi="Amiri" w:eastAsia="Amiri" w:cs="Amiri"/>
          <w:color w:val="111111"/>
          <w:sz w:val="28"/>
          <w:sz w:val="28"/>
          <w:szCs w:val="28"/>
          <w:rtl w:val="true"/>
          <w:lang w:bidi="ar-SA"/>
        </w:rPr>
        <w:t>والنكاح حقيقة في العقد وعلى تقدير كونه حقيقة في الوط‌ء أو المراد منه في الآية ذلك فيدلّ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Style w:val="FootnoteAnchor"/>
          <w:rtl w:val="true"/>
        </w:rPr>
        <w:footnoteReference w:id="866"/>
      </w:r>
      <w:r>
        <w:rPr>
          <w:rFonts w:ascii="IRNazanin" w:hAnsi="IRNazanin" w:eastAsia="IRNazanin"/>
          <w:color w:val="111111"/>
          <w:sz w:val="28"/>
          <w:sz w:val="28"/>
          <w:szCs w:val="28"/>
          <w:rtl w:val="true"/>
          <w:lang w:bidi="fa-IR"/>
        </w:rPr>
        <w:t>والنكاح بملك اليمين أو التحليل لا طلاق فيه، ولخصوص خبر فضيل،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زوّج عبده أمته، ثمّ طلّقها تطليقتين، أ يراجعها إن أراد مولاها؟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فرأيت إن وطأها مولاها أ يحلّ للعبد أن يراجعها؟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تزوّج زوجاً غيره ويدخل بها فيكون نكاحاً مثل نكاح الأوّل، وإن كان قد طلقّها واحدة فأراد مولاهاراجعها</w:t>
      </w:r>
      <w:r>
        <w:rPr>
          <w:rFonts w:eastAsia="IRNazanin" w:cs="IRNazanin"/>
          <w:color w:val="111111"/>
          <w:sz w:val="28"/>
          <w:szCs w:val="28"/>
          <w:rtl w:val="true"/>
          <w:lang w:bidi="fa-IR"/>
        </w:rPr>
        <w:t>».</w:t>
      </w:r>
      <w:r>
        <w:rPr>
          <w:rStyle w:val="FootnoteAnchor"/>
          <w:rtl w:val="true"/>
        </w:rPr>
        <w:footnoteReference w:id="86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 الأمة تحرم بتطليقتين ولا تحلّ إلّا بالمحلّل، وقد منع نكاح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أن يكون تحليلاً موجباً لجواز مراجعة الزوج الأوّل لها، وأوجب زوجاً غيره مثل التزويج الأوّل، ونحوها أيضاً رواية عبدالملك بن أعين</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ونحوها خبر الحلبي</w:t>
      </w:r>
      <w:r>
        <w:rPr>
          <w:rStyle w:val="FootnoteAnchor"/>
          <w:rtl w:val="true"/>
        </w:rPr>
        <w:footnoteReference w:id="869"/>
      </w:r>
      <w:r>
        <w:rPr>
          <w:rFonts w:ascii="Amiri" w:hAnsi="Amiri" w:eastAsia="Amiri" w:cs="Amiri"/>
          <w:color w:val="111111"/>
          <w:sz w:val="28"/>
          <w:sz w:val="28"/>
          <w:szCs w:val="28"/>
          <w:rtl w:val="true"/>
          <w:lang w:bidi="ar-SA"/>
        </w:rPr>
        <w:t>بعد تقييدهما بكون الطلاق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تسمعه من استفاضة النصوص المشتمل بعضها على تفسير الآية بما لا يشمل العقد المنقطع فضلاً عنهما بقرينة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واحترزنا بالدائم عن نكاح المتعة، فالتحليل غير حاصل به كالسابقين اتّفاقاً، ويدلّ على اعتباره الكتاب والسنّة، أمّا الكتاب،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Style w:val="FootnoteAnchor"/>
          <w:rtl w:val="true"/>
        </w:rPr>
        <w:footnoteReference w:id="871"/>
      </w:r>
      <w:r>
        <w:rPr>
          <w:rFonts w:ascii="IRNazanin" w:hAnsi="IRNazanin" w:eastAsia="IRNazanin"/>
          <w:color w:val="111111"/>
          <w:sz w:val="28"/>
          <w:sz w:val="28"/>
          <w:szCs w:val="28"/>
          <w:rtl w:val="true"/>
          <w:lang w:bidi="fa-IR"/>
        </w:rPr>
        <w:t>والطلاق غير متحقّق في المتعة، ومن السنّة صحيح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رجل طلّق امرأته ثلاثاً، ثمّ تمتّع فيها رجل آخر، هل تحلّ للاوّل؟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وخبر 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ثلاثاً لا تحلّ له حتّى تنكح زوجاً غيره وتزوّجها رجل متعة، أ يحلّ له أن ينكحها؟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تدخل في مثل ما خرجت منه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هشام بن سالم،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ثمّ طلّقها فبانت، ثمّ تزوّجها رجل آخر متعة، هل تحلّ لزوجها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حتّى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تدخل فيما خرجت منه</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وخبر الحسن الصيقل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طلاقاً لا تحلّ له حتّى تنكح زوجاً غيره، فتزوّجها رجل متعة، أ تحلّ للاوّل؟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الله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تَحِلُّ لَهُ مِن بَعْدُ حَتَّى تَنكِحَ زَوْجاً غَيْرَهُ</w:t>
      </w:r>
      <w:r>
        <w:rPr>
          <w:rFonts w:ascii="IRNazanin" w:hAnsi="IRNazanin" w:eastAsia="IRNazanin"/>
          <w:color w:val="111111"/>
          <w:sz w:val="28"/>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والمتعة ليس فيها طلاق</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وفي الخبر أيضاً دلالة على عدم الاعتبار بشيء من الثلاثة في التحليل؛ لمكان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يطلّق امرأته على السنّة فيتمتّع منها رجل، أ تحلّ لزوجها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تدخل في مثل الذي خرجت منه</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ولا يخفى عليك دلالة الأخبار على عدم التحليل بشيء من الثلاثة المذكورة من الملك والإباحة والمتعة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الخصيّ وعدمه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مقتضى اتّفاقهم وما فهموه من نصوص العسيلة من إرادة الدخول كون الخصيّ يحلّل المطلّقة ثلاثاً إذا وطأها وحصلت فيه الشرائط السابقة ولكن في رواية محمّد بن مضارب دلالة على عدمها؛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الخصىّ يحلّل؟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ثلاثاً وانقضت مدّة وادّعت أنّها تزوّجت وفارقها الزوج الثاني ومضت العدّة واحتمل صدقها صدّقت ويقبل قولها بلا يمين، فللزوج الأوّل أن ينكحها، وليس عليه الفحص، والأحوط الاقتصار على ما إذا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وهي ضعيفة السند فإنّ ابن‌المضارب مجهول ومحض نقل صفوان من أصحاب الإجماع عنه غير كاف في الاعتبار إلّا على تفسير خاصّ في أصحاب الإجماع، لكنّه غير تمام كما حقّق في محلّه، ولا جابر لها بل لم أجد عاملاً بها إلّا ما عساه يظهر من الشيخ الحرّ في وسائله فلا بأس بحملها على خصي لا يحصل منه الجماع أو اللذّة الكاملة المتعارفة، على أنّ الرواية قد رواها الشيخ في زيادات النكاح من التهذيب بهذا الإسناد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الخصيّ يحلّ؟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وإرادة التحليل منه خلاف المتعارف في التعبير، فلذا احتمل إرادة حلّ نظره إلى المرأة أو عقده من دون الاختبار بحاله، بل ربّما احتمل إرادة سلّ الأُنثيين الذي لا يجوز في الانسان، أو أكل الخصيتين، وإن كان رسم الكتابة بالياء في النسخ الصحيحة يأباهما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شاذّ ضعيف مضطرب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إطلاق الدخول في الفتاوى والمتن وعدم التقيّد بالالتذاذ عدم اعتباره، لكنّ الظاهر اعتباره ولزوم تقييد الدخول به فلا اعتبار بالدخول من دونه قضاءً للانصراف من الدخول وكونه القدر المتيقّن من ذوق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ثقة أمينة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قبول قول الزوجة بأنّها تزوّجت بعد الثالث وعدمه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احتمالات ووجوهٌ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الثقة الأمينة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الحرجي من الفحص وغيره بالقبول في الأوّل منهما دون الثاني والأوّل هو المشهور وظاهر المحقّق في الشرائع</w:t>
      </w:r>
      <w:r>
        <w:rPr>
          <w:rStyle w:val="FootnoteAnchor"/>
          <w:rtl w:val="true"/>
        </w:rPr>
        <w:footnoteReference w:id="880"/>
      </w:r>
      <w:r>
        <w:rPr>
          <w:rFonts w:ascii="IRNazanin" w:hAnsi="IRNazanin" w:eastAsia="IRNazanin"/>
          <w:color w:val="111111"/>
          <w:sz w:val="28"/>
          <w:sz w:val="28"/>
          <w:szCs w:val="28"/>
          <w:rtl w:val="true"/>
          <w:lang w:bidi="fa-IR"/>
        </w:rPr>
        <w:t>والنافع</w:t>
      </w:r>
      <w:r>
        <w:rPr>
          <w:rStyle w:val="FootnoteAnchor"/>
          <w:rtl w:val="true"/>
        </w:rPr>
        <w:footnoteReference w:id="881"/>
      </w:r>
      <w:r>
        <w:rPr>
          <w:rFonts w:ascii="Amiri" w:hAnsi="Amiri" w:eastAsia="Amiri" w:cs="Amiri"/>
          <w:color w:val="111111"/>
          <w:sz w:val="28"/>
          <w:sz w:val="28"/>
          <w:szCs w:val="28"/>
          <w:rtl w:val="true"/>
          <w:lang w:bidi="ar-SA"/>
        </w:rPr>
        <w:t>التوقّف في ذلك وإليه يميل كلام الفاضل الخراساني في الكفاية</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واستدلّ للمشهور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جملة ذلك ما لا يعلم إلّا منها كالوطء وانقضاء العدّة فالمورد مشمول لقاعدة حجّيّة قولها في ما لا يعلم إلّا من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قبول قول من لا منازع له فإنّها مستفادة من الأخبار في جزئيات الأحكام ومنها صحيحة منصور بن حازم،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كانوا جلوساً وفي وسطهم كيس فيه ألف درهم فسأل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لكم هذا الكيس؟ فقالوا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 فلمن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ادّعاه</w:t>
      </w:r>
      <w:r>
        <w:rPr>
          <w:rFonts w:eastAsia="IRNazanin" w:cs="IRNazanin"/>
          <w:color w:val="111111"/>
          <w:sz w:val="28"/>
          <w:szCs w:val="28"/>
          <w:rtl w:val="true"/>
          <w:lang w:bidi="fa-IR"/>
        </w:rPr>
        <w:t>».</w:t>
      </w:r>
      <w:r>
        <w:rPr>
          <w:rStyle w:val="FootnoteAnchor"/>
          <w:rtl w:val="true"/>
        </w:rPr>
        <w:footnoteReference w:id="88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عليها مع 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المسالكفي تعليل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ولأنّها مؤتمنة في انقضاء العدّة والوطئ ممّا لا يمكن إقامة البيّنة عليه، وربما مات الزوج أو تعذّر مصادقته بغيبة ونحوها، فلو لم يقبل منها ذلك لزم الإضرار بها، والحرج المنفيّان</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صحيحة حمّاد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ثلاثاً فبانت منه فأراد مراجعتها،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اُريد مراجعتك فتزوّجي زوجاً غيري،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زوجاً غيرك وحلّلت لك نفسي، أ يصدّق قولها ويراجعها؟ وكيف يصنع؟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المرأة ثقة صدّقت في قولها</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والصحيحة متفرّدة في الأدلّة الأربعة باشتراط الوثاقة، وهي مخالفة في الاشتراط للمشهور أيضاً؛ لإطلاق فتاواهم، بل في الجواهر</w:t>
      </w:r>
      <w:r>
        <w:rPr>
          <w:rStyle w:val="FootnoteAnchor"/>
          <w:rtl w:val="true"/>
        </w:rPr>
        <w:footnoteReference w:id="886"/>
      </w:r>
      <w:r>
        <w:rPr>
          <w:rFonts w:ascii="Amiri" w:hAnsi="Amiri" w:eastAsia="Amiri" w:cs="Amiri"/>
          <w:color w:val="111111"/>
          <w:sz w:val="28"/>
          <w:sz w:val="28"/>
          <w:szCs w:val="28"/>
          <w:rtl w:val="true"/>
          <w:lang w:bidi="ar-SA"/>
        </w:rPr>
        <w:t>عدم القائل به، وما في الحدائق</w:t>
      </w:r>
      <w:r>
        <w:rPr>
          <w:rStyle w:val="FootnoteAnchor"/>
          <w:rtl w:val="true"/>
        </w:rPr>
        <w:footnoteReference w:id="887"/>
      </w:r>
      <w:r>
        <w:rPr>
          <w:rFonts w:ascii="Amiri" w:hAnsi="Amiri" w:eastAsia="Amiri" w:cs="Amiri"/>
          <w:color w:val="111111"/>
          <w:sz w:val="28"/>
          <w:sz w:val="28"/>
          <w:szCs w:val="28"/>
          <w:rtl w:val="true"/>
          <w:lang w:bidi="ar-SA"/>
        </w:rPr>
        <w:t>من الحمل على الأفضليّة في المتّهمة؛ جمعاً بينها وبين الأخبار الدالّة على كراهة السؤال ولو مع التهمة</w:t>
      </w:r>
      <w:r>
        <w:rPr>
          <w:rStyle w:val="FootnoteAnchor"/>
          <w:rtl w:val="true"/>
        </w:rPr>
        <w:footnoteReference w:id="888"/>
      </w:r>
      <w:r>
        <w:rPr>
          <w:rFonts w:ascii="Amiri" w:hAnsi="Amiri" w:eastAsia="Amiri" w:cs="Amiri"/>
          <w:color w:val="111111"/>
          <w:sz w:val="28"/>
          <w:sz w:val="28"/>
          <w:szCs w:val="28"/>
          <w:rtl w:val="true"/>
          <w:lang w:bidi="ar-SA"/>
        </w:rPr>
        <w:t>بأنّ الأفضل مع التهمة المشعر عليها رغبتها في الرجوع إلى الزوج بعد أمره إيّاها بالتحليل الفحص والتثبّت والعمل بقولها مع ذلك الشرط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اظهار الرغبة بعد الأمر واتّهامها حيث إنّ غالب النساء قلوبهنّ مائلة إلى 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بينها وبين الصحيحة لاختلاف الموضوع فإنّها مربوطة بخلوّها عن الزوج وهو غير اشتراط الحلّ في الطلاق الثلاث بالنكاح المصرّح به في الكتاب والسنّة، والصحيحة مربوطة بالثاني، فكم بينهما من الفرق، نعم عدم القائل به وعدم مدخليّة الوثاقة في تصديق ما لا يعلم إلّا من قبلها وتصديق قول من لامنازع له ممّا يوهن الاشتراط، لكنّ الاحتياط كما في المتن في محلّه، والمشهور هوالمنصور للصحيحة وأمّا بقيّة الوجوه وإن كانت مطلّقة وموافقة للمشهور إلّا أنّ الاستدلال بها غير تمام لأنّ مثل الزواج والطلاق من الأُمور الأربعة في الحلّيّة ليس من الأُمور التي لا يعلم إلّا من قبلها، فالقاعدة غير شاملة لمحلّ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فإنّما القاعدة مختصّة بالمتناول من المدّعي الذي لامعارض له لعدم تعلّق خطاب مخصوص بالمتناول، لا عامّة لمطلق التناول ولو مع الخطاب المخصوص، ولذلك لا يجوز دفع الوديعة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دعوى الوكالة أو الانتقال إليه، مع أنّ دعواه الوكالة بلا معارض، لكن حيث إنّ الدافع له التكليف والخطاب بدفع المال إلى صاحبه مباشرة أو نيابة فعليه العمل بذلك التكليف عن حجّة شرعيّة، وهي غير موجودة يكون الدفع غير جائز والمقام من هذا القبيل؛ حيث إنّ جواز النكاح للزوج وحلّيّة الزوجة المطلّقة له مشروطة بالمحلّل ونكاح الغير، وهو مكلّف بالعلم والحجّة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مخصوصة بما لا يلزم فيه إلّا الدعوى مع عدمالمعارض، مثل ما في الصحيحة المنقولة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أخصّ من المدّعى؛ لإمكان عدم الحرج لها في التزوّج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المحلّل فادّعت الدخول ولم يكذّبها صدّقت وحلّت للزوج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كذّبها فالأحوط الاقتصار في قبول قولها على صورة حصول الاطمئنان بصدقها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الزوج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مورد الحرج دعواها مسموعة بانتفاء الحرج كما لا يخفى</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في فروع أحكام التحليل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Style w:val="FootnoteAnchor"/>
          <w:rtl w:val="true"/>
        </w:rPr>
        <w:footnoteReference w:id="890"/>
      </w:r>
      <w:r>
        <w:rPr>
          <w:rFonts w:ascii="Amiri" w:hAnsi="Amiri" w:eastAsia="Amiri" w:cs="Amiri"/>
          <w:color w:val="111111"/>
          <w:sz w:val="28"/>
          <w:sz w:val="28"/>
          <w:szCs w:val="28"/>
          <w:rtl w:val="true"/>
          <w:lang w:bidi="ar-SA"/>
        </w:rPr>
        <w:t>لكونه أمراً لا يعلم إلّا من قبلهما، وعدم تكذيبه إيّاها ولو بالسكوت كافٍ في التصديق، فإنّ قولها قول بلامنازع، وأمّا مع تصديقه لها فالحكم واضح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ثلاثة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ففي الشرائع</w:t>
      </w:r>
      <w:r>
        <w:rPr>
          <w:rStyle w:val="FootnoteAnchor"/>
          <w:rtl w:val="true"/>
        </w:rPr>
        <w:footnoteReference w:id="891"/>
      </w:r>
      <w:r>
        <w:rPr>
          <w:rFonts w:ascii="Amiri" w:hAnsi="Amiri" w:eastAsia="Amiri" w:cs="Amiri"/>
          <w:color w:val="111111"/>
          <w:sz w:val="28"/>
          <w:sz w:val="28"/>
          <w:szCs w:val="28"/>
          <w:rtl w:val="true"/>
          <w:lang w:bidi="ar-SA"/>
        </w:rPr>
        <w:t>أنّه حسن، وفي القواعد</w:t>
      </w:r>
      <w:r>
        <w:rPr>
          <w:rStyle w:val="FootnoteAnchor"/>
          <w:rtl w:val="true"/>
        </w:rPr>
        <w:footnoteReference w:id="892"/>
      </w:r>
      <w:r>
        <w:rPr>
          <w:rFonts w:ascii="Amiri" w:hAnsi="Amiri" w:eastAsia="Amiri" w:cs="Amiri"/>
          <w:color w:val="111111"/>
          <w:sz w:val="28"/>
          <w:sz w:val="28"/>
          <w:szCs w:val="28"/>
          <w:rtl w:val="true"/>
          <w:lang w:bidi="ar-SA"/>
        </w:rPr>
        <w:t>أنّه الأقرب، وفي المسالك</w:t>
      </w:r>
      <w:r>
        <w:rPr>
          <w:rStyle w:val="FootnoteAnchor"/>
          <w:rtl w:val="true"/>
        </w:rPr>
        <w:footnoteReference w:id="893"/>
      </w:r>
      <w:r>
        <w:rPr>
          <w:rFonts w:ascii="IRNazanin" w:hAnsi="IRNazanin" w:eastAsia="IRNazanin"/>
          <w:color w:val="111111"/>
          <w:sz w:val="28"/>
          <w:sz w:val="28"/>
          <w:szCs w:val="28"/>
          <w:rtl w:val="true"/>
          <w:lang w:bidi="fa-IR"/>
        </w:rPr>
        <w:t>هوالأقوى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يغلب على ظنّه من صدقها أو صدق المحلّل، كما عن الشيخ في المبسوط</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بالاطمئنان دون الظنّ، واستدلّ للشيخ بأنّ الفرض تعذّر البيّنة على مثل تلك الدعوى، فلابدّ من مراعاة الظنّ؛ لاعتباره في الشرع غالباً، وهو كما ترى؛ لعدم الانسداد أوّلاً واختصاصه على التماميّة بالأحكام دون الموضوعات ثانياً</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ومن ذلك يظهر أن تنظير الدعوى بمثل انقضاء العدّة في الاستدلال لقول المحقّق يرجع إلى إلغاء الخصوصيّة منه لا القياس عليه، وقد مرّ في التعليق السابق ما في انتفاء نفي الضرر والحرج بغيره، فإنّ الضرر والحرج هو في إلزامها بالزوج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الفرق بين الإعطاء والأخذ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الأُستاذ 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فالظاهر أنّه لا حاجة إلى إحراز الدخول والعلم به، بل يكفي الظنّ بصدقها، ويؤيّده، بل يدلّ عليه ما أشار إليه الأُستاذ في نهاية المطاف من إلغاء الخصوصيّة من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للمحقّق</w:t>
      </w:r>
      <w:r>
        <w:rPr>
          <w:rStyle w:val="FootnoteAnchor"/>
          <w:rtl w:val="true"/>
        </w:rPr>
        <w:footnoteReference w:id="896"/>
      </w:r>
      <w:r>
        <w:rPr>
          <w:rFonts w:ascii="Amiri" w:hAnsi="Amiri" w:eastAsia="Amiri" w:cs="Amiri"/>
          <w:color w:val="111111"/>
          <w:sz w:val="28"/>
          <w:sz w:val="28"/>
          <w:szCs w:val="28"/>
          <w:rtl w:val="true"/>
          <w:lang w:bidi="ar-SA"/>
        </w:rPr>
        <w:t>بتعذّر إقامة البيّنة عليه أوّلاً، وأنّه لا يعلم إلّا من قبلها وأنّ دعواها بلا معارض فهي حجّة ثانياً، وأنّ قولها كما هو حجّة فيانقضاء العدّة فهو حجّة في سببها أيضاً ثالثاً، ولأنّه لولا القبول لزم الضرر والحرج رابعاً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 إشكال، أمّا الأوّل، فضعفه ظاهر، والثاني، فإنّه مختصّ </w:t>
      </w:r>
    </w:p>
    <w:p>
      <w:pPr>
        <w:pStyle w:val="BookText"/>
        <w:rPr/>
      </w:pPr>
      <w:r>
        <w:rPr>
          <w:rFonts w:ascii="Amiri" w:hAnsi="Amiri" w:eastAsia="Amiri" w:cs="Amiri"/>
          <w:color w:val="111111"/>
          <w:sz w:val="28"/>
          <w:sz w:val="28"/>
          <w:szCs w:val="28"/>
          <w:rtl w:val="true"/>
          <w:lang w:bidi="ar-SA"/>
        </w:rPr>
        <w:t>ولو ادّعت الإصابة ثمّ رجعت عن قولها، فإن كان قبل أن يعقد الأوّل عليها لم تحلّ له، وإن كان بعده لم يقبل رجوعها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الوطء المعتبر في المحلّل بين المحرم والمحلّل، فلو وطءها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الإحرام أو في الصوم الواجب أو في الحيض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لامعارض لها والمعارض هنا وهو دعوى المحلّل موجودٌ، وأمّا مثل الضرر والحرج ففيه ما مرّ،</w:t>
      </w:r>
      <w:r>
        <w:rPr>
          <w:rStyle w:val="FootnoteAnchor"/>
          <w:rtl w:val="true"/>
        </w:rPr>
        <w:footnoteReference w:id="897"/>
      </w:r>
      <w:r>
        <w:rPr>
          <w:rFonts w:ascii="Amiri" w:hAnsi="Amiri" w:eastAsia="Amiri" w:cs="Amiri"/>
          <w:color w:val="111111"/>
          <w:sz w:val="28"/>
          <w:sz w:val="28"/>
          <w:szCs w:val="28"/>
          <w:rtl w:val="true"/>
          <w:lang w:bidi="ar-SA"/>
        </w:rPr>
        <w:t>وأمّا تنظير الدعوى بانقضاء العدّة فأشبه شيء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بوجود المعارض ليس بتمام؛ لأنّه ليس بمعارض لها إلّا في تنصيف المهر أو في أصل النكاح، وهو لا يرتبط بالبحث، فإنّ الزوج الثاني لا يعدّ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القاعدة عدم الجواز إلّا أن يحرز الدخول ولو بالاطمئنان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إلغاء الخصوصيّة من صحيحة حمّاد</w:t>
      </w:r>
      <w:r>
        <w:rPr>
          <w:rStyle w:val="FootnoteAnchor"/>
          <w:rtl w:val="true"/>
        </w:rPr>
        <w:footnoteReference w:id="898"/>
      </w:r>
      <w:r>
        <w:rPr>
          <w:rFonts w:ascii="Amiri" w:hAnsi="Amiri" w:eastAsia="Amiri" w:cs="Amiri"/>
          <w:color w:val="111111"/>
          <w:sz w:val="28"/>
          <w:sz w:val="28"/>
          <w:szCs w:val="28"/>
          <w:rtl w:val="true"/>
          <w:lang w:bidi="ar-SA"/>
        </w:rPr>
        <w:t>المذكورة آنفاً والقول بسماع قول المرأة إن كانت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الحلّيّة له مع الرجوع قبل العقد واضح فإنّ رجوعها كادّعائها يكون مسموعاً وحجّة، وأمّا عدم قبول الرجوع بعد العقد فلأنّه إقرار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هو أو هي عن التكذيب إلى التصديق حلّت لأصالة صحّة قول المسلم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لإطلاق الأدلّة، وهو المشهور بين الأصحاب إلّا ما حكي عن الشیخ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الجنيد</w:t>
      </w:r>
      <w:r>
        <w:rPr>
          <w:rStyle w:val="FootnoteAnchor"/>
          <w:rtl w:val="true"/>
        </w:rPr>
        <w:footnoteReference w:id="899"/>
      </w:r>
      <w:r>
        <w:rPr>
          <w:rFonts w:ascii="Amiri" w:hAnsi="Amiri" w:eastAsia="Amiri" w:cs="Amiri"/>
          <w:color w:val="111111"/>
          <w:sz w:val="28"/>
          <w:sz w:val="28"/>
          <w:szCs w:val="28"/>
          <w:rtl w:val="true"/>
          <w:lang w:bidi="ar-SA"/>
        </w:rPr>
        <w:t>من تقييد ذلك بالحلّيّة، واستدلّ الشيخ بالأصل، وباشتراط ذوق العسيلة والشارع لا يجوّز ذوق العسيلة المحرّم، وبالنهي عن الوطء وهو يوجب الفساد، وبتنظيره بباب العقد حال الإحرام، فإنّه باطل؛ لحرمته، فهنا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كما ترى، فإنّ الأصل هو بَعْدَ الدليل، ومحلّليّة الذوق منافية لحرمته إن كانت مختصّة بالحرام منه، لكنّها شاملة للحرام كالحلال بالإطلاق ولابأس به، والنهي عن المعاملات غير موجب لفسادها، فضلاً عن مثل الوطء، والتلازم في الأخير غير ثابتٍ فيكون أشبه شيء بالقياس، فالأقوى حينئذٍ الحلّ في المحرّم الذاتي كالصور المذكورة في المتن، فضلاً عن الحرمة في العارض لضيق وقت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الفرق بين الحرمة بما عرفت وبينها بعدم بلوغ البنت تسعاً وإن إفضاها؛ لإطلاق الأدلّة، ودعوى ظهور الآية</w:t>
      </w:r>
      <w:r>
        <w:rPr>
          <w:rStyle w:val="FootnoteAnchor"/>
          <w:rtl w:val="true"/>
        </w:rPr>
        <w:footnoteReference w:id="900"/>
      </w:r>
      <w:r>
        <w:rPr>
          <w:rFonts w:ascii="Amiri" w:hAnsi="Amiri" w:eastAsia="Amiri" w:cs="Amiri"/>
          <w:color w:val="111111"/>
          <w:sz w:val="28"/>
          <w:sz w:val="28"/>
          <w:szCs w:val="28"/>
          <w:rtl w:val="true"/>
          <w:lang w:bidi="ar-SA"/>
        </w:rPr>
        <w:t>في استقلال نكاح المحلّلة بنفسها دون الصغيرة التي يعقدها المولى واضحة الفساد؛ إذ الظاهر أنّ أمثال هذه الخطابات شاملة للوكالة والولاية وغيرهما، كما في غير المقام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لم يكن فرق في المحلّل والمحلّلة بين الجنون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يتوقّف في حصول التحليل في الصغيرة لا من هذه الجهة، بل لعدم بلوغها حدّ ذوق العسيلة، نحو ما سمعته في المراهق دون البلوغ، ومقتضاه عدمالإشكال في عدم حصوله فيها؛ إذ لم تكن مراهقة إلّا أنّ الذي يظهر من غير واحد من الأصحاب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الزوج في إيقاع أصل الطلاق لم يلزمه ويحكم ببقاء علقة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بأصله وشكّ في عدده بنى على الأقلّ؛ سواء كان الطرف الأكثر الثلاث أو التسع، فلا يحكم بالحرمة على الأوّل وبالحرمة الأبديّة في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المفروغيّة من حصول التحليل فيها وإن كانت صغيرة، بناءً على عدم اعتبار الحلّ في الوطئ، خصوصاً عند تعرّضهم للشرائط واقتصارهم على اعتبار البلوغ في المحلّل، ولم يتعرّضوا للمحلّلة فإن تمّ إجماعاً وإلّا كان 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التعرّض للبلوغ في المحلّلة؛ لتحقّقه فيها غالباً، وفرض عدمه فرض نادرٌ فلا فرق بينها وبين المحلّل في اعتبار البلوغ وذوق العسيلة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عدم اعتبار العقل ولا الرشد فيهما؛ قضاءً لإطلاق الأدلّة ولتحقّق ذوق العسيلة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الشكّ في إيقاع الطلاق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لعلقة النكاح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للبناء على الأقلّ وللشكّ في الشرط الراجع إلى الشكّ في المشروط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لو شكّ بين الثلاث والتسع يبني على الأوّل وتحلّ بالمحلّل على الأشبه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اليقين بالثلاث لمّا إنّه يقين بأصله وبنحو القدر المتيقّن بينه وبين التسع المعلومين بالإجمال لا على الثلاث بشرط عدم الزيادة عليه المحتاج إلى المحلّل فلا يكون موجباً لصحّة المحلّل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أنّ التمسّك باستصحاب عدم الزيادة على الثلاث غير مفيد في المحلّل؛ لكونه مثبتاً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استصحاب بقاء الثالث في الاحتياج إلى المحلّل يكون محكّماً، وهو الوجه لما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bookmarkStart w:id="350" w:name="pg9375_99578"/>
    </w:p>
    <w:p>
      <w:pPr>
        <w:pStyle w:val="Heading2"/>
        <w:numPr>
          <w:ilvl w:val="1"/>
          <w:numId w:val="1"/>
        </w:numPr>
        <w:rPr/>
      </w:pPr>
      <w:bookmarkStart w:id="351" w:name="__RefHeading___Toc5416667_2870459653"/>
      <w:bookmarkStart w:id="352" w:name="_Toc126"/>
      <w:bookmarkEnd w:id="350"/>
      <w:bookmarkEnd w:id="351"/>
      <w:r>
        <w:rPr>
          <w:rtl w:val="true"/>
        </w:rPr>
        <w:t>القول في العِدَد</w:t>
      </w:r>
      <w:bookmarkEnd w:id="352"/>
    </w:p>
    <w:p>
      <w:pPr>
        <w:pStyle w:val="Heading3"/>
        <w:numPr>
          <w:ilvl w:val="2"/>
          <w:numId w:val="1"/>
        </w:numPr>
        <w:rPr/>
      </w:pPr>
      <w:bookmarkStart w:id="353" w:name="__RefHeading___Toc5416669_2870459653"/>
      <w:bookmarkStart w:id="354" w:name="_Toc127"/>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إنّما يجب الاعتداد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بطلاق أو فسخ أو انفساخ في الدائم، وانقضاء المدّة أو بذلها في المتعة، وموت الزوج، ووطء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416671_2870459653"/>
      <w:bookmarkStart w:id="356" w:name="_Toc128"/>
      <w:bookmarkEnd w:id="355"/>
      <w:r>
        <w:rPr>
          <w:rtl w:val="true"/>
        </w:rPr>
        <w:t>تعريف العدّة</w:t>
      </w:r>
      <w:bookmarkEnd w:id="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جمع العدّة، وهي لغة من العدد؛ لاشتمالها عليه غالباً، وهي بحسب ما تضاف إليه،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رجال وعدّة كتب ونحو ذلك، والمصدر منها هو الاعتداد، وهي اسم مصدر</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وأمّا شرعاً، ففي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لمدّة معدودة تتربّص فيها المرأة لمعرفة براءة رحمها أو للتعبّد أو التفجّع على الزوج وشُرّعت صيانة للأنساب وتحصيناً لها من الاختلاط</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الإشكال بعدم الاطّراد؛ لشموله مدّة الاستبراء في مثل الأمةالمدخول بها المبتاعة، فإنّها تتربّص لمعرفة براءة الرحم وحملها مع أنّها ليست بعدّة</w:t>
      </w:r>
      <w:r>
        <w:rPr>
          <w:rFonts w:eastAsia="Amiri" w:cs="Amiri" w:ascii="Amiri" w:hAnsi="Amiri"/>
          <w:color w:val="111111"/>
          <w:sz w:val="28"/>
          <w:szCs w:val="28"/>
          <w:rtl w:val="true"/>
          <w:lang w:bidi="ar-SA"/>
        </w:rPr>
        <w:t xml:space="preserve">. </w:t>
      </w:r>
      <w:bookmarkStart w:id="357" w:name="pg9375_99580"/>
    </w:p>
    <w:p>
      <w:pPr>
        <w:pStyle w:val="BookText"/>
        <w:rPr/>
      </w:pPr>
      <w:bookmarkEnd w:id="3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الجواهر من تعريفه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ومعناها شرعاً أيّام تربّص المرأة الحرّة بمفارقة الزوج أو ذي الوطئ المحترم بفسخٍ أو طلاقٍ أو موتٍ أو زوال اشتباه، بل والأمة إذا كانت الفرقة عن نكاح أو وطء شبهة</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وإن كان خالياً عن ذلك الإشكال، لكنّه تعريف بفهرسة من المفردات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فالأمر سهلٌ؛ لأنّ الغرض في هذه التعاريف هو شرح الاسم</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416673_2870459653"/>
      <w:bookmarkStart w:id="359" w:name="_Toc129"/>
      <w:bookmarkEnd w:id="358"/>
      <w:r>
        <w:rPr>
          <w:rtl w:val="true"/>
        </w:rPr>
        <w:t>الدليل على أصل العدّة</w:t>
      </w:r>
      <w:bookmarkEnd w:id="359"/>
    </w:p>
    <w:p>
      <w:pPr>
        <w:pStyle w:val="BookText"/>
        <w:rPr/>
      </w:pPr>
      <w:r>
        <w:rPr>
          <w:rFonts w:ascii="Amiri" w:hAnsi="Amiri" w:eastAsia="Amiri" w:cs="Amiri"/>
          <w:color w:val="111111"/>
          <w:sz w:val="28"/>
          <w:sz w:val="28"/>
          <w:szCs w:val="28"/>
          <w:rtl w:val="true"/>
          <w:lang w:bidi="ar-SA"/>
        </w:rPr>
        <w:t>والأصل فيها قبل الإجماع، الآيات والأخبار، أمّا الأُولى،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عدّة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فِيأَنفُسِهِنَّ بِالْمَعْرُوفِ وَاللهُ بِمَا تَعْمَلُونَ 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w:t>
      </w:r>
      <w:r>
        <w:rPr>
          <w:rFonts w:ascii="IRNazanin" w:hAnsi="IRNazanin" w:eastAsia="IRNazanin"/>
          <w:color w:val="111111"/>
          <w:sz w:val="28"/>
          <w:sz w:val="28"/>
          <w:szCs w:val="28"/>
          <w:rtl w:val="true"/>
          <w:lang w:bidi="fa-IR"/>
        </w:rPr>
        <w:t>،</w:t>
      </w:r>
      <w:r>
        <w:rPr>
          <w:rStyle w:val="FootnoteAnchor"/>
          <w:rtl w:val="true"/>
        </w:rPr>
        <w:footnoteReference w:id="90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وَأُوْلاتُ الْأَحْمَالِ أَجَلُهُنَّ أَنْ يَضَعْنَ حَمْلَهُنَّ</w:t>
      </w:r>
      <w:r>
        <w:rPr>
          <w:rFonts w:ascii="IRNazanin" w:hAnsi="IRNazanin" w:eastAsia="IRNazanin"/>
          <w:color w:val="111111"/>
          <w:sz w:val="28"/>
          <w:sz w:val="28"/>
          <w:szCs w:val="28"/>
          <w:rtl w:val="true"/>
          <w:lang w:bidi="fa-IR"/>
        </w:rPr>
        <w:t>،</w:t>
      </w:r>
      <w:r>
        <w:rPr>
          <w:rStyle w:val="FootnoteAnchor"/>
          <w:rtl w:val="true"/>
        </w:rPr>
        <w:footnoteReference w:id="9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فهي كثيرة جدّاً ولكن لم نجد فيها ما يدلّ على أصل العدّة وفي مقام بيانها، بل هي واردة في خصوصيّاتها ولعلّه لكونها بديهة عند المسلمين، والكتاب دالّ عليه، فالمسألة ضروريّة بين العالمين منهم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وللشهيد الثاني كلام ينبغي ذكره قبل التعرّض للبحث،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الأصل في هذه العدّة طلب براءة الرحم لم تجب بالفراق عن مطلّق النكاح بل اعتبر جريان سبب يشغل الرحم ليحتاج إلى معرفة براءته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يعتبر تحقّق الشغل ولا توهّمه، فإنّ الإنزال ممّا يخفى ويختلف في حقّ الأشخاص، بل في الشخص الواحد باعتبار ما يعرض له من الأحوال فيعسر تتبّعه ويقبح فأعرض الشارع واكتفى بسبب الشغل وهو الوطئ وناطه بتغيّب قدر الحشفة، وهذا صيغة في تعليق الأحكام بالمعاني الخفيّة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الاعتقاد الصحيح الذي هو المطلوب وبه يحصل النجاة لمّا كان أمراً خفيّاً لكونه في الضمير علّقت الأحكام بالكلمةالظاهرة حتّى لو توفّرت القرائن الدالّة على أنّ الباطن مخالف للظاهر، كما إذا أكره على الإسلام بالسيف، لا يبالي بها ويدار الحكم على الكلمة وأنّ مناط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وهو العقل والتميز لمّا كان خفيّاً يحصل بالتدريج ويختلف بالأشخاص والأحوال أعرض عن تتبّعه ومعرفة كماله، وعلّقه بالسنّ والاحتلام وكما اكتفى في الترخّص بالسفر المخصوص وأعرض عن المشقّة التي هي الحكمة فيه</w:t>
      </w:r>
      <w:r>
        <w:rPr>
          <w:rFonts w:eastAsia="Amiri" w:cs="Amiri" w:ascii="Amiri" w:hAnsi="Amiri"/>
          <w:color w:val="111111"/>
          <w:sz w:val="28"/>
          <w:szCs w:val="28"/>
          <w:rtl w:val="true"/>
          <w:lang w:bidi="ar-SA"/>
        </w:rPr>
        <w:t>.</w:t>
      </w:r>
      <w:r>
        <w:rPr>
          <w:rStyle w:val="FootnoteAnchor"/>
          <w:rtl w:val="true"/>
        </w:rPr>
        <w:footnoteReference w:id="909"/>
      </w:r>
      <w:bookmarkStart w:id="360" w:name="pg9375_99586"/>
    </w:p>
    <w:p>
      <w:pPr>
        <w:pStyle w:val="Heading2"/>
        <w:numPr>
          <w:ilvl w:val="1"/>
          <w:numId w:val="1"/>
        </w:numPr>
        <w:rPr/>
      </w:pPr>
      <w:bookmarkStart w:id="361" w:name="__RefHeading___Toc5416675_2870459653"/>
      <w:bookmarkStart w:id="362" w:name="_Toc130"/>
      <w:bookmarkEnd w:id="360"/>
      <w:bookmarkEnd w:id="361"/>
      <w:r>
        <w:rPr>
          <w:rtl w:val="true"/>
        </w:rPr>
        <w:t>فصل</w:t>
      </w:r>
      <w:r>
        <w:rPr>
          <w:rtl w:val="true"/>
        </w:rPr>
        <w:t xml:space="preserve">: </w:t>
      </w:r>
      <w:r>
        <w:rPr>
          <w:rtl w:val="true"/>
        </w:rPr>
        <w:t>في عدّة الفراق طلاقاً كان أو غيره</w:t>
      </w:r>
      <w:bookmarkEnd w:id="362"/>
    </w:p>
    <w:p>
      <w:pPr>
        <w:pStyle w:val="Heading3"/>
        <w:numPr>
          <w:ilvl w:val="2"/>
          <w:numId w:val="1"/>
        </w:numPr>
        <w:rPr/>
      </w:pPr>
      <w:bookmarkStart w:id="363" w:name="__RefHeading___Toc5416677_2870459653"/>
      <w:bookmarkStart w:id="364" w:name="_Toc131"/>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من لم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5416679_2870459653"/>
      <w:bookmarkStart w:id="366" w:name="_Toc132"/>
      <w:bookmarkEnd w:id="365"/>
      <w:r>
        <w:rPr>
          <w:rtl w:val="true"/>
        </w:rPr>
        <w:t>عدم العدّة لغير المدخول بها</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وسنّةً وإجماعاً من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وَسَرِّحُوهُنَّ سَرَاحاً جَمِيلاً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أمّا الروايات، فمستفيضة، بل متواترة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بكراً، ثمّ طلّقها قبل أن يدخل بها ثلاث تطليقات كلّ شهر تطليقة،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بانت منه في التطليقة الأُولی، واثنتان فضل، وهو خاطب يتزوّجها متى شاءت وشاء بمهرٍ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يراجعها إذا طلّقها تطليقة قبل أن تمضي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كان يكون له أن يراجعها لو كان دخل بها أوّلاً، فأمّا قبل أن يدخل بها فلا رجعة له عليها، قد بانت منهساعة طلّقها</w:t>
      </w:r>
      <w:r>
        <w:rPr>
          <w:rFonts w:eastAsia="IRNazanin" w:cs="IRNazanin"/>
          <w:color w:val="111111"/>
          <w:sz w:val="28"/>
          <w:szCs w:val="28"/>
          <w:rtl w:val="true"/>
          <w:lang w:bidi="fa-IR"/>
        </w:rPr>
        <w:t>».</w:t>
      </w:r>
      <w:r>
        <w:rPr>
          <w:rStyle w:val="FootnoteAnchor"/>
          <w:rtl w:val="true"/>
        </w:rPr>
        <w:footnoteReference w:id="911"/>
      </w:r>
      <w:bookmarkStart w:id="367" w:name="pg9375_99588"/>
    </w:p>
    <w:p>
      <w:pPr>
        <w:pStyle w:val="BookText"/>
        <w:rPr/>
      </w:pPr>
      <w:bookmarkEnd w:id="367"/>
      <w:r>
        <w:rPr>
          <w:rFonts w:ascii="Amiri" w:hAnsi="Amiri" w:eastAsia="Amiri" w:cs="Amiri"/>
          <w:color w:val="111111"/>
          <w:sz w:val="28"/>
          <w:sz w:val="28"/>
          <w:szCs w:val="28"/>
          <w:rtl w:val="true"/>
          <w:lang w:bidi="ar-SA"/>
        </w:rPr>
        <w:t>ولا على الصغيرة، وهي من لم تكمل التسع وإن دخل بها ولا على اليائسة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قبل أن يدخل بها فليس عليها عدّة، تزوّج من ساعتها إن شاءت وتبينها تطليقة واحدة، وإن كان فرض لها مهراً فنصف ما فرض</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إذا طلّق امرأته ولم يدخل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بانت منه وتزوّج إن شاءت من ساعتها</w:t>
      </w:r>
      <w:r>
        <w:rPr>
          <w:rFonts w:eastAsia="IRNazanin" w:cs="IRNazanin"/>
          <w:color w:val="111111"/>
          <w:sz w:val="28"/>
          <w:szCs w:val="28"/>
          <w:rtl w:val="true"/>
          <w:lang w:bidi="fa-IR"/>
        </w:rPr>
        <w:t>».</w:t>
      </w:r>
      <w:r>
        <w:rPr>
          <w:rStyle w:val="FootnoteAnchor"/>
          <w:rtl w:val="true"/>
        </w:rPr>
        <w:footnoteReference w:id="913"/>
      </w:r>
    </w:p>
    <w:p>
      <w:pPr>
        <w:pStyle w:val="Heading3"/>
        <w:numPr>
          <w:ilvl w:val="2"/>
          <w:numId w:val="1"/>
        </w:numPr>
        <w:rPr/>
      </w:pPr>
      <w:bookmarkStart w:id="368" w:name="__RefHeading___Toc5416681_2870459653"/>
      <w:bookmarkStart w:id="369" w:name="_Toc133"/>
      <w:bookmarkEnd w:id="368"/>
      <w:r>
        <w:rPr>
          <w:rtl w:val="true"/>
        </w:rPr>
        <w:t>عدّة الصغيرة واليائسة</w:t>
      </w:r>
      <w:bookmarkEnd w:id="3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العدّة لهما، وهو المشهور بين الأصحاب، وبه صرّح الشيخان</w:t>
      </w:r>
      <w:r>
        <w:rPr>
          <w:rStyle w:val="FootnoteAnchor"/>
          <w:rtl w:val="true"/>
        </w:rPr>
        <w:footnoteReference w:id="914"/>
      </w:r>
      <w:r>
        <w:rPr>
          <w:rFonts w:ascii="IRNazanin" w:hAnsi="IRNazanin" w:eastAsia="IRNazanin"/>
          <w:color w:val="111111"/>
          <w:sz w:val="28"/>
          <w:sz w:val="28"/>
          <w:szCs w:val="28"/>
          <w:rtl w:val="true"/>
          <w:lang w:bidi="fa-IR"/>
        </w:rPr>
        <w:t>والصدوقان</w:t>
      </w:r>
      <w:r>
        <w:rPr>
          <w:rStyle w:val="FootnoteAnchor"/>
          <w:rtl w:val="true"/>
        </w:rPr>
        <w:footnoteReference w:id="915"/>
      </w:r>
      <w:r>
        <w:rPr>
          <w:rFonts w:ascii="Amiri" w:hAnsi="Amiri" w:eastAsia="Amiri" w:cs="Amiri"/>
          <w:color w:val="111111"/>
          <w:sz w:val="28"/>
          <w:sz w:val="28"/>
          <w:szCs w:val="28"/>
          <w:rtl w:val="true"/>
          <w:lang w:bidi="ar-SA"/>
        </w:rPr>
        <w:t>وسلّار</w:t>
      </w:r>
      <w:r>
        <w:rPr>
          <w:rStyle w:val="FootnoteAnchor"/>
          <w:rtl w:val="true"/>
        </w:rPr>
        <w:footnoteReference w:id="916"/>
      </w:r>
      <w:r>
        <w:rPr>
          <w:rFonts w:ascii="IRNazanin" w:hAnsi="IRNazanin" w:eastAsia="IRNazanin"/>
          <w:color w:val="111111"/>
          <w:sz w:val="28"/>
          <w:sz w:val="28"/>
          <w:szCs w:val="28"/>
          <w:rtl w:val="true"/>
          <w:lang w:bidi="fa-IR"/>
        </w:rPr>
        <w:t>وأبوالصلاح</w:t>
      </w:r>
      <w:r>
        <w:rPr>
          <w:rStyle w:val="FootnoteAnchor"/>
          <w:rtl w:val="true"/>
        </w:rPr>
        <w:footnoteReference w:id="917"/>
      </w:r>
      <w:r>
        <w:rPr>
          <w:rFonts w:ascii="IRNazanin" w:hAnsi="IRNazanin" w:eastAsia="IRNazanin"/>
          <w:color w:val="111111"/>
          <w:sz w:val="28"/>
          <w:sz w:val="28"/>
          <w:szCs w:val="28"/>
          <w:rtl w:val="true"/>
          <w:lang w:bidi="fa-IR"/>
        </w:rPr>
        <w:t>وابن البرّاج</w:t>
      </w:r>
      <w:r>
        <w:rPr>
          <w:rStyle w:val="FootnoteAnchor"/>
          <w:rtl w:val="true"/>
        </w:rPr>
        <w:footnoteReference w:id="918"/>
      </w:r>
      <w:r>
        <w:rPr>
          <w:rFonts w:ascii="Amiri" w:hAnsi="Amiri" w:eastAsia="Amiri" w:cs="Amiri"/>
          <w:color w:val="111111"/>
          <w:sz w:val="28"/>
          <w:sz w:val="28"/>
          <w:szCs w:val="28"/>
          <w:rtl w:val="true"/>
          <w:lang w:bidi="ar-SA"/>
        </w:rPr>
        <w:t>وابن حمزة</w:t>
      </w:r>
      <w:r>
        <w:rPr>
          <w:rStyle w:val="FootnoteAnchor"/>
          <w:rtl w:val="true"/>
        </w:rPr>
        <w:footnoteReference w:id="919"/>
      </w:r>
      <w:r>
        <w:rPr>
          <w:rFonts w:ascii="IRNazanin" w:hAnsi="IRNazanin" w:eastAsia="IRNazanin"/>
          <w:color w:val="111111"/>
          <w:sz w:val="28"/>
          <w:sz w:val="28"/>
          <w:szCs w:val="28"/>
          <w:rtl w:val="true"/>
          <w:lang w:bidi="fa-IR"/>
        </w:rPr>
        <w:t>ومن تأخّر عنهم</w:t>
      </w:r>
      <w:r>
        <w:rPr>
          <w:rFonts w:eastAsia="IRNazanin" w:cs="IRNazanin"/>
          <w:color w:val="111111"/>
          <w:sz w:val="28"/>
          <w:szCs w:val="28"/>
          <w:rtl w:val="true"/>
          <w:lang w:bidi="fa-IR"/>
        </w:rPr>
        <w:t>.</w:t>
      </w:r>
      <w:r>
        <w:rPr>
          <w:rStyle w:val="FootnoteAnchor"/>
          <w:rtl w:val="true"/>
        </w:rPr>
        <w:footnoteReference w:id="920"/>
      </w:r>
      <w:r>
        <w:rPr>
          <w:rFonts w:ascii="Amiri" w:hAnsi="Amiri" w:eastAsia="Amiri" w:cs="Amiri"/>
          <w:color w:val="111111"/>
          <w:sz w:val="28"/>
          <w:sz w:val="28"/>
          <w:szCs w:val="28"/>
          <w:rtl w:val="true"/>
          <w:lang w:bidi="ar-SA"/>
        </w:rPr>
        <w:t>وفي الجواهر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 نعرف القائل بالأُولی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العدّة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من سمعت، بل ربما ظهر من غير واحد دعوى الإجماع في مقابله حتّى أنّ الشيخ حكاه عن معاوية بن حكيم من متقدّمي فقهائنا، وعن جميع المتأخّرين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بثلاثة أشهر، وهو المحكيّ عن السيّد المرتضى</w:t>
      </w:r>
      <w:r>
        <w:rPr>
          <w:rStyle w:val="FootnoteAnchor"/>
          <w:rtl w:val="true"/>
        </w:rPr>
        <w:footnoteReference w:id="922"/>
      </w:r>
      <w:r>
        <w:rPr>
          <w:rFonts w:ascii="Amiri" w:hAnsi="Amiri" w:eastAsia="Amiri" w:cs="Amiri"/>
          <w:color w:val="111111"/>
          <w:sz w:val="28"/>
          <w:sz w:val="28"/>
          <w:szCs w:val="28"/>
          <w:rtl w:val="true"/>
          <w:lang w:bidi="ar-SA"/>
        </w:rPr>
        <w:t>وابناء زهرة</w:t>
      </w:r>
      <w:r>
        <w:rPr>
          <w:rStyle w:val="FootnoteAnchor"/>
          <w:rtl w:val="true"/>
        </w:rPr>
        <w:footnoteReference w:id="923"/>
      </w:r>
      <w:r>
        <w:rPr>
          <w:rFonts w:ascii="IRNazanin" w:hAnsi="IRNazanin" w:eastAsia="IRNazanin"/>
          <w:color w:val="111111"/>
          <w:sz w:val="28"/>
          <w:sz w:val="28"/>
          <w:szCs w:val="28"/>
          <w:rtl w:val="true"/>
          <w:lang w:bidi="fa-IR"/>
        </w:rPr>
        <w:t>وشهر آشوب</w:t>
      </w:r>
      <w:r>
        <w:rPr>
          <w:rStyle w:val="FootnoteAnchor"/>
          <w:rtl w:val="true"/>
        </w:rPr>
        <w:footnoteReference w:id="924"/>
      </w:r>
      <w:r>
        <w:rPr>
          <w:rFonts w:ascii="Amiri" w:hAnsi="Amiri" w:eastAsia="Amiri" w:cs="Amiri"/>
          <w:color w:val="111111"/>
          <w:sz w:val="28"/>
          <w:sz w:val="28"/>
          <w:szCs w:val="28"/>
          <w:rtl w:val="true"/>
          <w:lang w:bidi="ar-SA"/>
        </w:rPr>
        <w:t>وسماعة</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والمشهور هو المنصور، وبه تكاثرت الأخبار عن الأئمّة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تحض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لها أقلّ من تسع سنين، والتي لم يدخل بها، والتي قد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لها خمسون سنة</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إلى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يتزوّجن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قد يئست من المحيض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تكون 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ستّين سنة فقد يئست من المحيض ومثلها لا تحيض، والتي لم تحض ومثلها لا تحيض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يكون كذلك؟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تبلغ تسع سنين، فإنّها لاتحيض ومثلها لا تحيض، والتي لم يدخل بها</w:t>
      </w:r>
      <w:r>
        <w:rPr>
          <w:rFonts w:eastAsia="IRNazanin" w:cs="IRNazanin"/>
          <w:color w:val="111111"/>
          <w:sz w:val="28"/>
          <w:szCs w:val="28"/>
          <w:rtl w:val="true"/>
          <w:lang w:bidi="fa-IR"/>
        </w:rPr>
        <w:t>».</w:t>
      </w:r>
      <w:r>
        <w:rPr>
          <w:rStyle w:val="FootnoteAnchor"/>
          <w:rtl w:val="true"/>
        </w:rPr>
        <w:footnoteReference w:id="92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الصبيّة التي لم تبلغ ولا يحمل مثلها وقد كان دخل بها، والمرأة التي قد يئست من المحيض وارتفع حيضها فلا يلد مثلها،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عليهما عدّة وإن دخل بهما</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عثمان، عمّن رواه،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الصبيّة التي لا تحيض مثلها، والتي قد يئست من المحيض،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عليهما عدّة وإن دخل بها</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 قد يئست من المحيض، والتي لا يحيض مثلها؟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عدّة</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الصبيّة التي لم تبلغ ولا يحمل مثلها،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عدّة وإن دخل بها</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لا تحبل مثلها لا عدّة عليها</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ويدلّ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أبي بصير،قال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التي لم تبلغ الحيض ثلاثة أشهر، والتي قد قعدت من المحيض ثلاثة أشهر</w:t>
      </w:r>
      <w:r>
        <w:rPr>
          <w:rFonts w:eastAsia="Amiri" w:cs="Amiri" w:ascii="Amiri" w:hAnsi="Amiri"/>
          <w:color w:val="111111"/>
          <w:sz w:val="28"/>
          <w:szCs w:val="28"/>
          <w:rtl w:val="true"/>
          <w:lang w:bidi="ar-SA"/>
        </w:rPr>
        <w:t>».</w:t>
      </w:r>
      <w:r>
        <w:rPr>
          <w:rStyle w:val="FootnoteAnchor"/>
          <w:rtl w:val="true"/>
        </w:rPr>
        <w:footnoteReference w:id="93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الجارية التي لم تدرك الحيض،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يطلّقها زوجها بالشهور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طلّقها تطليقة ثمّ مضى شهر 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حاضت في الشهر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بعد ما طلّقها بشهر ألقت ذلك الشهر واستأنفت العدّة بالحيض، فإن مضى لها بعد ما طلّقها شهران ثمّ حاضت في الثالث تمّت عدّتها بالشهور، فإذا مضى لها ثلاثة أشهر فقد بانت منه وهو خاطب من الخطّاب، وهي ترثه ويرثها ما كانت في العدّة</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هارون بن حمزة الغنوي،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جارية حدثة طلّقت ولم تحض بعد، فمضى لها شهران ثمّ حاضت، أ تعتدّ بالشهرين؟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وتكمل عدّتها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تكمل عدّتها بحيضة؟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بل بشهر يمضي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عدّتها على ما يمضي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أوّلها</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التي لم تحض والمستحاضة التي لا تطهر ثلاثة أشهر</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لا تحيض مثلها ولم تحض، كم تعتدّ؟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آخر الأجلين، تعتدّ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ارتياب، لأنّ الله عزّ وجلّ جعل للحبل وقتاًفليس بعده ارتياب</w:t>
      </w:r>
      <w:r>
        <w:rPr>
          <w:rFonts w:eastAsia="IRNazanin" w:cs="IRNazanin"/>
          <w:color w:val="111111"/>
          <w:sz w:val="28"/>
          <w:szCs w:val="28"/>
          <w:rtl w:val="true"/>
          <w:lang w:bidi="fa-IR"/>
        </w:rPr>
        <w:t>».</w:t>
      </w:r>
      <w:r>
        <w:rPr>
          <w:rStyle w:val="FootnoteAnchor"/>
          <w:rtl w:val="true"/>
        </w:rPr>
        <w:footnoteReference w:id="93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المرأة التي لا تحيض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والمستحاضة التي لا تطهر ثلاثة أشهر</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عليهنّ العدّة إذا دخل بهنّ</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وعن السيّد المرتضى رحمه الله الاحتجاج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w:t>
      </w:r>
      <w:r>
        <w:rPr>
          <w:rStyle w:val="FootnoteAnchor"/>
          <w:rtl w:val="true"/>
        </w:rPr>
        <w:footnoteReference w:id="940"/>
      </w:r>
      <w:r>
        <w:rPr>
          <w:rFonts w:ascii="Amiri" w:hAnsi="Amiri" w:eastAsia="Amiri" w:cs="Amiri"/>
          <w:color w:val="111111"/>
          <w:sz w:val="28"/>
          <w:sz w:val="28"/>
          <w:szCs w:val="28"/>
          <w:rtl w:val="true"/>
          <w:lang w:bidi="ar-SA"/>
        </w:rPr>
        <w:t>بأنّ الآية صريحة في أنّ الآئسات واللائي لم يحضن عدّتهنّ الأشهر على كلّ حالٍ، والإشكال بأنّ في الآية الاشتراط بالارتياب لمكان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وهو منتفٍ فيهما مدفوعٌ بأنّ الشرط غير نافع عند أصحابنا؛ لأنّه غير مطابق لما يشترطونه، وإنّما يكون نافعاً لهم لوقال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مثلهنّ يحضن في الآئسات وفي اللائي لم يبلغن المحيض إذا كان مثلهنّ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يقل تعالى 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وهو غير الشرط الذي شرطه أصحابنا، فلا منفعة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 أن يريد به ما قاله جمهور المفسّرين</w:t>
      </w:r>
      <w:r>
        <w:rPr>
          <w:rStyle w:val="FootnoteAnchor"/>
          <w:rtl w:val="true"/>
        </w:rPr>
        <w:footnoteReference w:id="941"/>
      </w:r>
      <w:r>
        <w:rPr>
          <w:rFonts w:ascii="Amiri" w:hAnsi="Amiri" w:eastAsia="Amiri" w:cs="Amiri"/>
          <w:color w:val="111111"/>
          <w:sz w:val="28"/>
          <w:sz w:val="28"/>
          <w:szCs w:val="28"/>
          <w:rtl w:val="true"/>
          <w:lang w:bidi="ar-SA"/>
        </w:rPr>
        <w:t>وأهل العلم بالتأويل من 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مرتابين في عدّة هؤلاء النساء وغير عالمين بمبلغها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المصير في هذا التأويل ما روي في سبب نزول هذه الآية أنّ أُبيّ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عدداً من عدد النساء لم يذكر فيالكتاب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والكبار وأولات الأحمال،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يَئسْنَ</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وَأُوْلَاتُ الْأَحْمَالِ</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أَجَلُهُنَّ أَن يَضَعْنَ حَمْلَهُنَّ فكان هذا دالَّاً على أنّ المراد بالارتياب ما ذكرناه، لا الارتياب بأنّها يائسة أو غير يائسة؛ لأنّه تعالى قد قطع في الآية على اليأس من المحيض والمشكوك في حالها والمرتاب في أنّها تحيض أو لا تحيض لا تكون يائسة</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كلّه أنّ الدليل على هذا القول الكتاب والسنّة، لكنّ الاستدلال بهما غير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الكتاب،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المحتمل كون المراد من الارتياب في الآية الريب من حيث الحمل، كما عليه 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ارْتَبتُم ما الريبة؟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شهر فهو ريبة، فلتعتدّ ثلاثة أشهر ولتترك الحيض، وما كان في الشهر لم يزد في الحيض على ثلاث حيض فعدّتها ثلاث حيض</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فيه أنّه إذا تأخّر الدم عن عادتها أقلّ من شهر فذلك ليس لريبة الحبل، بل ربما كان لعلّة، فلتعتدّ بالأقراء بالغاً ما بلغ، فإن تأخّر عنها الدم شهراً فما زاد، فإنّه يجوز أن يكون للحمل ولغیره، فیحصل هناك ریبة، فتعتدّ ثلاثة أشهر ما لم تر فيها دماً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من المحتمل ثانياً أيضاً الريب من حيث بلوغ زمان اليأس، ففي مجمع البیان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وَاللَّائي يَئسْنَ مِنَ الْمَحِيضِ مِن نِّسَائكُمْ إِنِ ارْتَبْتُمْ فلا تدرون لكبر ارتفع حيضهنّ أم لعارض</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وثالثاً الأعمّ منهما؛ قضاءً لظاهر الآية</w:t>
      </w:r>
      <w:r>
        <w:rPr>
          <w:rStyle w:val="FootnoteAnchor"/>
          <w:rtl w:val="true"/>
        </w:rPr>
        <w:footnoteReference w:id="946"/>
      </w:r>
      <w:r>
        <w:rPr>
          <w:rFonts w:ascii="IRNazanin" w:hAnsi="IRNazanin" w:eastAsia="IRNazanin"/>
          <w:color w:val="111111"/>
          <w:sz w:val="28"/>
          <w:sz w:val="28"/>
          <w:szCs w:val="28"/>
          <w:rtl w:val="true"/>
          <w:lang w:bidi="fa-IR"/>
        </w:rPr>
        <w:t>وإطلاقها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هذه الاحتمالات حمل الارتياب على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947"/>
      </w:r>
      <w:r>
        <w:rPr>
          <w:rFonts w:ascii="Amiri" w:hAnsi="Amiri" w:eastAsia="Amiri" w:cs="Amiri"/>
          <w:color w:val="111111"/>
          <w:sz w:val="28"/>
          <w:sz w:val="28"/>
          <w:szCs w:val="28"/>
          <w:rtl w:val="true"/>
          <w:lang w:bidi="ar-SA"/>
        </w:rPr>
        <w:t xml:space="preserve">والاستدلال بالكتاب على مختاره كما ترى؛ حيث إنّه على تسليم عدم ظهور الآية في الاحتمال الأخير أو أحد الأوّلين فلا أقلّ من مساواة الاحتمالات مع احتمال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الاحتمال فالاستدلال احتمال لا دليل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تفصيل الجواب فعليك بالنظر في مثل الجواهر</w:t>
      </w:r>
      <w:r>
        <w:rPr>
          <w:rStyle w:val="FootnoteAnchor"/>
          <w:rtl w:val="true"/>
        </w:rPr>
        <w:footnoteReference w:id="948"/>
      </w:r>
      <w:r>
        <w:rPr>
          <w:rFonts w:ascii="IRNazanin" w:hAnsi="IRNazanin" w:eastAsia="IRNazanin"/>
          <w:color w:val="111111"/>
          <w:sz w:val="28"/>
          <w:sz w:val="28"/>
          <w:szCs w:val="28"/>
          <w:rtl w:val="true"/>
          <w:lang w:bidi="fa-IR"/>
        </w:rPr>
        <w:t>والحدائق</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هذا كلّه بالنسبة إلى الكتاب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السنّة، فمجموع أخبارها سبعة والمعتبر منها اثنان، صحيحة الحلبي وهي السادسة منها، وصحيحة ابن سنان وهي الثانية منها، والبقيّة بين مرسلة ومضمرة ومجهولة، ومثلها أخبار المقابل، فهي أيضاً كانت سبعة لكنّ المعتبر منها ثلاثة، موثّقة عبدالرحمن بن عثمان وهي الخبر الثاني، وصحيحته وهي الخبر الأوّل، وصحيحة حمّاد بن عثمان وهي الخبرالخامس، وغير هذه الثلاثة من الأربعة الباقية وإن لم تكن معتبرة، لكنّها ليست في عدم الاعتبار كالخمسة السابقة، فراجع أسناد تلك الأخبار جميعاً</w:t>
      </w:r>
      <w:r>
        <w:rPr>
          <w:rFonts w:eastAsia="Amiri" w:cs="Amiri" w:ascii="Amiri" w:hAnsi="Amiri"/>
          <w:color w:val="111111"/>
          <w:sz w:val="28"/>
          <w:szCs w:val="28"/>
          <w:rtl w:val="true"/>
          <w:lang w:bidi="ar-SA"/>
        </w:rPr>
        <w:t xml:space="preserve">. </w:t>
      </w:r>
      <w:r>
        <w:rPr>
          <w:rStyle w:val="FootnoteAnchor"/>
          <w:rtl w:val="true"/>
        </w:rPr>
        <w:footnoteReference w:id="950"/>
      </w:r>
      <w:bookmarkStart w:id="370" w:name="pg9375_99602"/>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5416683_2870459653"/>
      <w:bookmarkStart w:id="372" w:name="_Toc134"/>
      <w:bookmarkEnd w:id="371"/>
      <w:r>
        <w:rPr>
          <w:rtl w:val="true"/>
        </w:rPr>
        <w:t>تعارض روايات عدّة الصغيرة واليائسة</w:t>
      </w:r>
      <w:bookmarkEnd w:id="372"/>
    </w:p>
    <w:p>
      <w:pPr>
        <w:pStyle w:val="BookText"/>
        <w:rPr/>
      </w:pPr>
      <w:r>
        <w:rPr>
          <w:rFonts w:ascii="Amiri" w:hAnsi="Amiri" w:eastAsia="Amiri" w:cs="Amiri"/>
          <w:color w:val="111111"/>
          <w:sz w:val="28"/>
          <w:sz w:val="28"/>
          <w:szCs w:val="28"/>
          <w:rtl w:val="true"/>
          <w:lang w:bidi="ar-SA"/>
        </w:rPr>
        <w:t>فعلى هذا، فالأخبار من الطرفين موجودة والتعارض ثابتٌ، ففي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اليائسة والتي لم تبلغ روايتان</w:t>
      </w:r>
      <w:r>
        <w:rPr>
          <w:rFonts w:eastAsia="Amiri" w:cs="Amiri" w:ascii="Amiri" w:hAnsi="Amiri"/>
          <w:color w:val="111111"/>
          <w:sz w:val="28"/>
          <w:szCs w:val="28"/>
          <w:rtl w:val="true"/>
          <w:lang w:bidi="ar-SA"/>
        </w:rPr>
        <w:t>».</w:t>
      </w:r>
      <w:r>
        <w:rPr>
          <w:rStyle w:val="FootnoteAnchor"/>
          <w:rtl w:val="true"/>
        </w:rPr>
        <w:footnoteReference w:id="951"/>
      </w:r>
      <w:r>
        <w:rPr>
          <w:rFonts w:ascii="IRNazanin" w:hAnsi="IRNazanin" w:eastAsia="IRNazanin"/>
          <w:color w:val="111111"/>
          <w:sz w:val="28"/>
          <w:sz w:val="28"/>
          <w:szCs w:val="28"/>
          <w:rtl w:val="true"/>
          <w:lang w:bidi="fa-IR"/>
        </w:rPr>
        <w:t>لكن هذه الطائفة غير قابلة للمعارضة للطائفة الأُولی من جهات،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الدلالة في تلك الأخبار من رأسٍ وأنّها راجعة إلى البالغة الحدثة أو التي في سنّ من تحيض ولا تحيض وغير شاملة لغير البالغة أصلاً إلّا المرسلة وخبر ابن حكيم الذين يأتي الكلام فيهما في الجهة الثالثة؛ وذلك أمّا في المضمرة، فموضوعها عدم بلوغ الحيض لاعدم بلوغ المرأة وكونه كناية عنه خلاف الظاهر كما لا يخفى، فإنّ الأصل، الحقيقة وموضوعيّة العناوين بأنفسها لا أنّها عناوين مشيريّة، ومثلها بقيّة الأخبار، فراجعها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المنصرف من عدم بلوغ الحيض ودركه وعدم تحيّضها وكون الجارية حدثة في كلام إمام معصوم كان أو في كلام السائل، كلّها المرأة البالغة التي لاحرمة للدخول بها؛ وذلك لندرة طلاق غير البالغة المدخول بها وعدم تعارفه والسائل يسأل عن المتعارف كما هو المتعارف في الأسئلة، ومع إرادة النادر لابدّ من التقييد وبيان المفروض، فالتمسّك بترك الاستفصال في مثل المورد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إطلاق كلام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 لبيان مورد الابتلاء والمتعارف ولذلك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ألفاظ المقادير والأوزان محمولٌ على العادة والتعارف ولا اعتباربالخارج منهما ممّا يكون نادراً وخارجاً عن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ولأنّ الدخول بغير البالغة محرّم فكلام السائل المتشرّع والإمام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عن بيان حكم مثل ذلك المحرّم،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مع وقوعه فهل على تلك الجارية عدّة أم لا؟ فالمراد من عدم بلوغ الحيض ودركه، المرأة البالغة غير الحائض لعدم زمان حيضها أو الأعمّ منها وممّن لا تحيض وهي في سنّ من تحيض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على تسليم عدم الانصراف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بين الطائفة الأُولی والثانية نسبة الخاصّ إلى العامّ، فتكون مقيّدة لا معارضة، فصحيحة عبدالرحمن وموثّقته تنصّان على ما دون التسع، وكذلك مرسلتا جميل متضمّنتان لطلاق الرجل الصبيّة التي لم تبلغ ولا يحمل مثلها، وفي معناها صحيحة حمّاد بن عثمان عمّن رواه،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مرسلة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محمّد بن حكيم مختصّان بغير البالغة لكنّ المرسلة ليست رواية خاصّة كما لا يخفى، بل نقل بالمعنى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تلك الأخبار</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وأمّا خبر محمّد بن حكيم فمعارضته، لا سيّما لما عن عبدالرحمن واضحة، لكن فيه أنّ في ذيله شهادة على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لا تحيض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المرأة الكاملة التي لا تحيض وفيها ريبة الحمل، ففيه بعد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ارتياب، لأنّ الله عزّوجلّ جعل للحبل وقتاً فليس بعده ارتياب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الطائفة الأُولی بمخالفتها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مع موافقتها للشهرة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الجواهر بعد الجواب عن الكتاب،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فمع رجحان غيرها عليها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مخالفةالعامّة، لا بأس بحملها على إرادة من بلغت سنّ الحيض ولكن لم تحض، أو انقطع حيضها </w:t>
      </w:r>
      <w:bookmarkStart w:id="373" w:name="pg9375_99605"/>
    </w:p>
    <w:p>
      <w:pPr>
        <w:pStyle w:val="BookText"/>
        <w:rPr/>
      </w:pPr>
      <w:bookmarkEnd w:id="373"/>
      <w:r>
        <w:rPr>
          <w:rFonts w:ascii="Amiri" w:hAnsi="Amiri" w:eastAsia="Amiri" w:cs="Amiri"/>
          <w:color w:val="111111"/>
          <w:sz w:val="28"/>
          <w:sz w:val="28"/>
          <w:szCs w:val="28"/>
          <w:rtl w:val="true"/>
          <w:lang w:bidi="ar-SA"/>
        </w:rPr>
        <w:t>سواء بانت في ذلك كلّه بطلاق أو فسخ أو هبة مدّة أو انقضائها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الدخول بإيلاج تمام الحشفة قبلاً أو دبراً وإن لم ينزل، بل وإن كان مقطوع الأنُثيين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تبلغ سنّ اليأس</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هذا كلّه في أصل المسألة، وقد ظهر ممّا ذكرنا فيه أنّ مورد عدم العدّة هو الدخول قبل البلوغ الذي يكون محرّماً، وما في صحيحة عبدالرحمن وموثّقته بالتفسير بعدم بلوغ التسع وأنّه الحدّ، فالظاهر أنّه من باب المثال والقدر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شرح النافع</w:t>
      </w:r>
      <w:r>
        <w:rPr>
          <w:rStyle w:val="FootnoteAnchor"/>
          <w:rtl w:val="true"/>
        </w:rPr>
        <w:footnoteReference w:id="954"/>
      </w:r>
      <w:r>
        <w:rPr>
          <w:rFonts w:ascii="Amiri" w:hAnsi="Amiri" w:eastAsia="Amiri" w:cs="Amiri"/>
          <w:color w:val="111111"/>
          <w:sz w:val="28"/>
          <w:sz w:val="28"/>
          <w:szCs w:val="28"/>
          <w:rtl w:val="true"/>
          <w:lang w:bidi="ar-SA"/>
        </w:rPr>
        <w:t xml:space="preserve">للسيّد السند من كون مورد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تحيض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الأعمّ ممّا قبل التسع والزائد عليه، فليس الموضوع الصغيرة وقبل التسع،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شبه اجتهادٍ في مقابل النصّ، وهو صحيح عبدالرحمن، بل ومرسلة جميل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عدّة الوفاة خارجة عن الإطلاق والضابطة؛ قضاءً للأخبار الدالّة عليه عند ذكر المسألة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416685_2870459653"/>
      <w:bookmarkStart w:id="375" w:name="_Toc135"/>
      <w:bookmarkEnd w:id="374"/>
      <w:r>
        <w:rPr>
          <w:rtl w:val="true"/>
        </w:rPr>
        <w:t>المراد من الدخول لثبوت العدّة</w:t>
      </w:r>
      <w:bookmarkEnd w:id="37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تحقّق الدخول بإدخال الحشفة قُبلاً وإن لم ينزل، بل الظاهر أنّه إجماعي، ويدلّ عليه الأخبار الدالّة على أنّ الملاك في العدّة والمهر والغسل التقاء الختانين، وكذا الدالّة على أنّ الاعتبار في تلكالأحكام بمثل الدخول والوطئ والإتيان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فالطائفة الأُولى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صحيح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دخل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المهر والعدّة</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وصحيح حفص بن البختري،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المهر والعدّة والغسل</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وخبره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دخل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المهر والعدّة</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وأمّا الطائفة الثانية، فكثيرة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داود بن سرحان،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أولجه فقد وجب الغسل والجلد والرجم، ووجب المهر</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متى يجب عليهما الغسل؟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والمهر والرجم</w:t>
      </w:r>
      <w:r>
        <w:rPr>
          <w:rFonts w:eastAsia="IRNazanin" w:cs="IRNazanin"/>
          <w:color w:val="111111"/>
          <w:sz w:val="28"/>
          <w:szCs w:val="28"/>
          <w:rtl w:val="true"/>
          <w:lang w:bidi="fa-IR"/>
        </w:rPr>
        <w:t>».</w:t>
      </w:r>
      <w:r>
        <w:rPr>
          <w:rStyle w:val="FootnoteAnchor"/>
          <w:rtl w:val="true"/>
        </w:rPr>
        <w:footnoteReference w:id="95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ملامسة النساء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الإيقاع بهنّ</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يجب المهر؟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دخل بها</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نقله صاحب الوسائل في أبواب متفرّقة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المذكور في الكتاب وإن كان هو المسّ ولكنّ المراد منه هو الدخول بدلالة ما مرّ في صحيحة عبدالله بن سنان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ملامسة النساء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الإيقاع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وبقيّة أخبار الباب، فإنّها ناظرة إلى الكتاب ومأخوذة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بالنسبة إلى أصل المسألة، وأنّ المناط في الدخول هو الإيلاج، وأمّا الجهات الثلاث المذكورة في المتن من عدم اعتبار الإنزال والقبل والأُنثيين فالكلام فيها يتمّ في ثلاث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مقتضى إطلاق الأخبار عدم اعتبار الإنزال، ويدلّ عليه بالخصوص 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وأنا حاضر عن رجل تزوّج امرأة فأدخلت عليه ولم يمسّها ولم يصل إليها حتّى طلّقها، هل عليها عدّة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العدّة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واقعها في الفرج ولم ينزل؟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والمهر والعدّة</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وحكمة كون العدّة لبراءة الرحم لا تنافي ترتيب الشارع الحكم على معلوميّة البراءة كما في غيرها من الحكم، والحصر في 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منالماء</w:t>
      </w:r>
      <w:r>
        <w:rPr>
          <w:rFonts w:eastAsia="IRNazanin" w:cs="IRNazanin"/>
          <w:color w:val="111111"/>
          <w:sz w:val="28"/>
          <w:szCs w:val="28"/>
          <w:rtl w:val="true"/>
          <w:lang w:bidi="fa-IR"/>
        </w:rPr>
        <w:t>»</w:t>
      </w:r>
      <w:r>
        <w:rPr>
          <w:rStyle w:val="FootnoteAnchor"/>
          <w:rtl w:val="true"/>
        </w:rPr>
        <w:footnoteReference w:id="963"/>
      </w:r>
      <w:r>
        <w:rPr>
          <w:rFonts w:ascii="Amiri" w:hAnsi="Amiri" w:eastAsia="Amiri" w:cs="Amiri"/>
          <w:color w:val="111111"/>
          <w:sz w:val="28"/>
          <w:sz w:val="28"/>
          <w:szCs w:val="28"/>
          <w:rtl w:val="true"/>
          <w:lang w:bidi="ar-SA"/>
        </w:rPr>
        <w:t>إضافي في مقابل محض الخلوة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التي فيها الجمع بين ذلك الحصر وحصول الدخول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إنزال، بل يشهد عليه موثّقة يونس بن يعقوب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زوّج امرأة فاغلق باباً وأرخى ستراً ولمسّ وقبّل ثمّ طلّقها، أيوجب عليه الصداق؟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يوجب الصداق إلّا الوقاع</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وكيف كان، فالأمر سهلٌ بعد صراحة الصحيحة في عدم اعتبار الإنزال وكفاية أصل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بين القبل والدبر في ذلك بلا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Style w:val="FootnoteAnchor"/>
          <w:rtl w:val="true"/>
        </w:rPr>
        <w:footnoteReference w:id="965"/>
      </w:r>
      <w:r>
        <w:rPr>
          <w:rFonts w:ascii="Amiri" w:hAnsi="Amiri" w:eastAsia="Amiri" w:cs="Amiri"/>
          <w:color w:val="111111"/>
          <w:sz w:val="28"/>
          <w:sz w:val="28"/>
          <w:szCs w:val="28"/>
          <w:rtl w:val="true"/>
          <w:lang w:bidi="ar-SA"/>
        </w:rPr>
        <w:t>بل ظاهرهم الإجماع عليه بعد نفيه وجدان الخلاف عدا ما عساه يشعر به اقتصار الفاضل في التحرير</w:t>
      </w:r>
      <w:r>
        <w:rPr>
          <w:rStyle w:val="FootnoteAnchor"/>
          <w:rtl w:val="true"/>
        </w:rPr>
        <w:footnoteReference w:id="966"/>
      </w:r>
      <w:r>
        <w:rPr>
          <w:rFonts w:ascii="Amiri" w:hAnsi="Amiri" w:eastAsia="Amiri" w:cs="Amiri"/>
          <w:color w:val="111111"/>
          <w:sz w:val="28"/>
          <w:sz w:val="28"/>
          <w:szCs w:val="28"/>
          <w:rtl w:val="true"/>
          <w:lang w:bidi="ar-SA"/>
        </w:rPr>
        <w:t>على الأوّل وبنفي الخلاف قد صرّح صاحب الحدائق</w:t>
      </w:r>
      <w:r>
        <w:rPr>
          <w:rStyle w:val="FootnoteAnchor"/>
          <w:rtl w:val="true"/>
        </w:rPr>
        <w:footnoteReference w:id="967"/>
      </w:r>
      <w:r>
        <w:rPr>
          <w:rFonts w:ascii="Amiri" w:hAnsi="Amiri" w:eastAsia="Amiri" w:cs="Amiri"/>
          <w:color w:val="111111"/>
          <w:sz w:val="28"/>
          <w:sz w:val="28"/>
          <w:szCs w:val="28"/>
          <w:rtl w:val="true"/>
          <w:lang w:bidi="ar-SA"/>
        </w:rPr>
        <w:t>وإن توقّف فيه وتبعه في الرياض</w:t>
      </w:r>
      <w:r>
        <w:rPr>
          <w:rStyle w:val="FootnoteAnchor"/>
          <w:rtl w:val="true"/>
        </w:rPr>
        <w:footnoteReference w:id="968"/>
      </w:r>
      <w:r>
        <w:rPr>
          <w:rFonts w:ascii="Amiri" w:hAnsi="Amiri" w:eastAsia="Amiri" w:cs="Amiri"/>
          <w:color w:val="111111"/>
          <w:sz w:val="28"/>
          <w:sz w:val="28"/>
          <w:szCs w:val="28"/>
          <w:rtl w:val="true"/>
          <w:lang w:bidi="ar-SA"/>
        </w:rPr>
        <w:t>لولا الوفاق بدعوى انصراف المطلق إلى الفرد الشائع الذي هو المواقعة في القبل المندوب إليها والمحثوث عليها، سيّما مع كراهة الأخير بل قيل بحرمته بل به يتحقّق التقاء الختانين خصوصاً بعد ما تقدّم من الخلاف في كتاب الطهارة في الغسل بدخولها فيه مع ترجيح العدم كما مرّ</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Style w:val="FootnoteAnchor"/>
          <w:rtl w:val="true"/>
        </w:rPr>
        <w:footnoteReference w:id="970"/>
      </w:r>
      <w:r>
        <w:rPr>
          <w:rFonts w:ascii="Amiri" w:hAnsi="Amiri" w:eastAsia="Amiri" w:cs="Amiri"/>
          <w:color w:val="111111"/>
          <w:sz w:val="28"/>
          <w:sz w:val="28"/>
          <w:szCs w:val="28"/>
          <w:rtl w:val="true"/>
          <w:lang w:bidi="ar-SA"/>
        </w:rPr>
        <w:t xml:space="preserve">الإشكال فيه بمنع الانصراف من جهة القرائن والشواهد ومن جهة أنّ الموجب للانصراف هو كثرة الاستعمال لا الأفراد، بل الظنّ القويّ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الحاصل من الشهرة والإجماع على إرادة الأعمّ على تسليم الانصراف، وأجمل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فالمناقشة المزبورة في غاية السقوط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ودونك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بعد كون الدبر أحد المأتيين وأحد الفرجين وما تقدّم سابقاً من النصوص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 أَنَّى شِئْتُمْ</w:t>
      </w:r>
      <w:r>
        <w:rPr>
          <w:rStyle w:val="FootnoteAnchor"/>
          <w:rtl w:val="true"/>
        </w:rPr>
        <w:footnoteReference w:id="971"/>
      </w:r>
      <w:r>
        <w:rPr>
          <w:rFonts w:ascii="Amiri" w:hAnsi="Amiri" w:eastAsia="Amiri" w:cs="Amiri"/>
          <w:color w:val="111111"/>
          <w:sz w:val="28"/>
          <w:sz w:val="28"/>
          <w:szCs w:val="28"/>
          <w:rtl w:val="true"/>
          <w:lang w:bidi="ar-SA"/>
        </w:rPr>
        <w:t>يمكن منع أنّ المنساق من الإيقاع والإدخال ونحوها غيره، بل ستسمع ترتّب العدّة على الالتذاذ في صحيح أبي عبيدة المنزّل على ما يشمل ذلك، كما أنّك سمعت ترتّبها على الماء الصادق بإنزاله في الدبر، ويتمّ بعدم القول بالفصل، على أنّ كونه شائعاً فيما يقع من الوطئ لا يقتضي ندرة إطلاق الدخول والإتيان والوقاع والمسّ، بل والوطئ ونحوها عليه، ولا أقلّ من كونه بالشهرة أو بالإجماع يقوى الظنّ بإرادة ما يشمل الفرد المزبور من الألفاظ المزبورة لو سلّم انسياق خصوص القبل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فالمناقشة المزبورة في غاية السقوط</w:t>
      </w:r>
      <w:r>
        <w:rPr>
          <w:rFonts w:eastAsia="Amiri" w:cs="Amiri" w:ascii="Amiri" w:hAnsi="Amiri"/>
          <w:color w:val="111111"/>
          <w:sz w:val="28"/>
          <w:szCs w:val="28"/>
          <w:rtl w:val="true"/>
          <w:lang w:bidi="ar-SA"/>
        </w:rPr>
        <w:t>.</w:t>
      </w:r>
      <w:r>
        <w:rPr>
          <w:rStyle w:val="FootnoteAnchor"/>
          <w:rtl w:val="true"/>
        </w:rPr>
        <w:footnoteReference w:id="97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وكلامه وإن لا يخلو عن المناقشة، لكن ليس في تلك المرتبة من السقوط، بل لكلامه وجهٌ بعد ما للانصراف من الوجه وهو السؤال في الروايات الكثيرة عن الوطئ في الدبر، ففيه شهادة عليه، وإلّا فمع الإطلاقات الكثيرة وعدم الانصراف كيف يمكن التوجيه لتلك الكثرةمن الأسئلة والوجوه المذكورة في كلامه لعدم الانصراف كلّها مورد للمناقشة،</w:t>
      </w:r>
      <w:r>
        <w:rPr>
          <w:rStyle w:val="FootnoteAnchor"/>
          <w:rtl w:val="true"/>
        </w:rPr>
        <w:footnoteReference w:id="973"/>
      </w:r>
      <w:r>
        <w:rPr>
          <w:rFonts w:ascii="Amiri" w:hAnsi="Amiri" w:eastAsia="Amiri" w:cs="Amiri"/>
          <w:color w:val="111111"/>
          <w:sz w:val="28"/>
          <w:sz w:val="28"/>
          <w:szCs w:val="28"/>
          <w:rtl w:val="true"/>
          <w:lang w:bidi="ar-SA"/>
        </w:rPr>
        <w:t xml:space="preserve">أمّا كون الدبر 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المأتيين، كما جاء في خبر حفص بن سوقة،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يأتي أهله من خلفها؟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المأتيين فيه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فهو لبيان أصل الوقاع لا لكثرته، مضافاً إلى أنّ المحتمل منه هو إرادة الإتيان في القبل أيضاً من الطريقين</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وأمّا إطلاق الفرج عليه هو ليس بأزيد من الاستعمال، مع أنّه في لسان اللغة والعرف لا الكتاب والسنّة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عدم تناسبه لأصل المعنى في الفرج ونصوص تفسير آية الحرث</w:t>
      </w:r>
      <w:r>
        <w:rPr>
          <w:rStyle w:val="FootnoteAnchor"/>
          <w:rtl w:val="true"/>
        </w:rPr>
        <w:footnoteReference w:id="976"/>
      </w:r>
      <w:r>
        <w:rPr>
          <w:rFonts w:ascii="Amiri" w:hAnsi="Amiri" w:eastAsia="Amiri" w:cs="Amiri"/>
          <w:color w:val="111111"/>
          <w:sz w:val="28"/>
          <w:sz w:val="28"/>
          <w:szCs w:val="28"/>
          <w:rtl w:val="true"/>
          <w:lang w:bidi="ar-SA"/>
        </w:rPr>
        <w:t>إن لم يكن فيها من جهة السؤال شهادة على الانصراف فلا أقلّ من عدم الشهادة من رأسٍ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اللذّة المذكورة فيما رواه أبوعبيدة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خصيّ تزوّج امرأة، وهي تعلم أنّه خصيّ،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مكث معها ما شاء الله، ثمّ طلّقها، هل عليها 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 ليس قد لذّ منها ولذّت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عليها فيما يكون منه 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إذا كان ذلك منه أمنتْ، فإنّ عليها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يرجع بشيءٍ من الصداق إذا 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77"/>
      </w:r>
      <w:r>
        <w:rPr>
          <w:rFonts w:ascii="Amiri" w:hAnsi="Amiri" w:eastAsia="Amiri" w:cs="Amiri"/>
          <w:color w:val="111111"/>
          <w:sz w:val="28"/>
          <w:sz w:val="28"/>
          <w:szCs w:val="28"/>
          <w:rtl w:val="true"/>
          <w:lang w:bidi="ar-SA"/>
        </w:rPr>
        <w:t>فهي في مقام بيان عدم مانعيّة حيث الخصاء وليست ناظرة إلى الدخول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مقام كفاية الاستلذاذ وإن كان من الخصيّ ودخوله في مقابل مانعيّة الخصاء لا في مقام كفايته مطلقاً ولو مع الخلوة وعدم الدخول حتّى يكون شاملاً للدبر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صدق الماء بالإنزال في الدبر فهو اجتهادٌ في مقابل النصّ؛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الخلوة، فالحصر إضافي كما مرّ، والتمام بعدم القول بالفصل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تمامٍ؛ لأنّ الحجّة هي القول بعدم الفصل لاعدم القول بالفصل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استلزام الشيوع في الخارج وبحسب المصداق الشيوع بحسب الاستعمال والندرة في الأخير فيكون تماماً وفي محلّه، لكنّه مخدوشٌ في المورد ومحلّ البحث حيث إنّ الموضوع في الأخبار تلك العناوين المضافة إلى النساء لا المطلقة وكثرة استعمالها في القبل فقط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القول بكون كثرة الوجود في أمثال هذه العناوين ممّا هو مورد للأسئلةوالأجوبة موجبة لكثرة الاستعمال غير جزافٍ، بل وجاهته موجّهة</w:t>
      </w:r>
      <w:r>
        <w:rPr>
          <w:rFonts w:eastAsia="Amiri" w:cs="Amiri" w:ascii="Amiri" w:hAnsi="Amiri"/>
          <w:color w:val="111111"/>
          <w:sz w:val="28"/>
          <w:szCs w:val="28"/>
          <w:rtl w:val="true"/>
          <w:lang w:bidi="ar-SA"/>
        </w:rPr>
        <w:t xml:space="preserve">. </w:t>
      </w:r>
      <w:bookmarkStart w:id="376" w:name="pg9375_99619"/>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5416687_2870459653"/>
      <w:bookmarkStart w:id="378" w:name="_Toc136"/>
      <w:bookmarkEnd w:id="377"/>
      <w:r>
        <w:rPr>
          <w:rtl w:val="true"/>
        </w:rPr>
        <w:t>حكم الخصيّ والمقطوع في إيجاب العدّة وعدمه</w:t>
      </w:r>
      <w:bookmarkEnd w:id="37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بل ظاهر الكلّ عدم اعتبار الأُنثيين وكفاية دخول الخصيّ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في المتن بمقطوع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العدّة، فإنّه وإن كان لا ينزل ولكنّه يولج ويدخل، فيكون بمنزلة الفحل الذي يجامع ولا ينزل، والمعتبر في الباب هو محض الإدخال والإيلاج والتقاء الختانين ولو مع عدم الإنزال كما عرفت؛ قضاءً لإطلاق الأخبار المنقولة المعتبرة في أوّل المسألة، بل لظهور صحيحة ابن سنان في عدم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الكفاية بالخصوص 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خصيّ تزوّج امرأة، وهي تعلم أنّه خصيّ؟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مكث معها ماشاء‌الله، ثمّ طلّقها هل عليها 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 ليس قد لذّ منها ولذّت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عليها فيما يكون منه 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إذا كان ذلك منه أمنْت فإنّ عليها غسلاً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يرجع بشيء من الصداق إذا 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7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الصحيحة وإن كانت معارضة لصحيحة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خصيّ تزوّج امرأة على ألف درهم، طلّقها بعد ما 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الألف التي أخذت منه، ولا عدّة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9"/>
      </w:r>
      <w:r>
        <w:rPr>
          <w:rFonts w:ascii="Amiri" w:hAnsi="Amiri" w:eastAsia="Amiri" w:cs="Amiri"/>
          <w:color w:val="111111"/>
          <w:sz w:val="28"/>
          <w:sz w:val="28"/>
          <w:szCs w:val="28"/>
          <w:rtl w:val="true"/>
          <w:lang w:bidi="ar-SA"/>
        </w:rPr>
        <w:t>إلّا أنّها مقدّمة عليها؛ لموافقتها الشهرة والإجماع والضابطةالمستفادة من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على التكافؤ والتخيير فالأخذ بصحيحة ابن سنان</w:t>
      </w:r>
      <w:r>
        <w:rPr>
          <w:rStyle w:val="FootnoteAnchor"/>
          <w:rtl w:val="true"/>
        </w:rPr>
        <w:footnoteReference w:id="980"/>
      </w:r>
      <w:r>
        <w:rPr>
          <w:rFonts w:ascii="Amiri" w:hAnsi="Amiri" w:eastAsia="Amiri" w:cs="Amiri"/>
          <w:color w:val="111111"/>
          <w:sz w:val="28"/>
          <w:sz w:val="28"/>
          <w:szCs w:val="28"/>
          <w:rtl w:val="true"/>
          <w:lang w:bidi="ar-SA"/>
        </w:rPr>
        <w:t>الموافقة للشهرة أولى من الأخذ بالأُخرى المخالفة لها، ومع التساقط فالإطلاقات محكّمة، وأمّا الجمع بينهما كما عن الفيض في الوافي</w:t>
      </w:r>
      <w:r>
        <w:rPr>
          <w:rStyle w:val="FootnoteAnchor"/>
          <w:rtl w:val="true"/>
        </w:rPr>
        <w:footnoteReference w:id="981"/>
      </w:r>
      <w:r>
        <w:rPr>
          <w:rFonts w:ascii="Amiri" w:hAnsi="Amiri" w:eastAsia="Amiri" w:cs="Amiri"/>
          <w:color w:val="111111"/>
          <w:sz w:val="28"/>
          <w:sz w:val="28"/>
          <w:szCs w:val="28"/>
          <w:rtl w:val="true"/>
          <w:lang w:bidi="ar-SA"/>
        </w:rPr>
        <w:t>والمفاتيح</w:t>
      </w:r>
      <w:r>
        <w:rPr>
          <w:rStyle w:val="FootnoteAnchor"/>
          <w:rtl w:val="true"/>
        </w:rPr>
        <w:footnoteReference w:id="982"/>
      </w:r>
      <w:r>
        <w:rPr>
          <w:rFonts w:ascii="Amiri" w:hAnsi="Amiri" w:eastAsia="Amiri" w:cs="Amiri"/>
          <w:color w:val="111111"/>
          <w:sz w:val="28"/>
          <w:sz w:val="28"/>
          <w:szCs w:val="28"/>
          <w:rtl w:val="true"/>
          <w:lang w:bidi="ar-SA"/>
        </w:rPr>
        <w:t>بحمل العدّة في صحيحة أبي عبيدة</w:t>
      </w:r>
      <w:r>
        <w:rPr>
          <w:rStyle w:val="FootnoteAnchor"/>
          <w:rtl w:val="true"/>
        </w:rPr>
        <w:footnoteReference w:id="983"/>
      </w:r>
      <w:r>
        <w:rPr>
          <w:rFonts w:ascii="IRNazanin" w:hAnsi="IRNazanin" w:eastAsia="IRNazanin"/>
          <w:color w:val="111111"/>
          <w:sz w:val="28"/>
          <w:sz w:val="28"/>
          <w:szCs w:val="28"/>
          <w:rtl w:val="true"/>
          <w:lang w:bidi="fa-IR"/>
        </w:rPr>
        <w:t>على الندب فضعفه ظاهر؛ لأنّ التعارض بينهما تعارض التباين والإثبات والنفي؛ حيث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السؤال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عليها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المباينة؛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عدّة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تعارض أظهر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وكيف يحمل الإثبات على الندب؟ والجمع بينهما بحمل الدخول في صحيحة ابن أبي نصر على الخلوة 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الاستحباب أولى من الطرح؛ كما أنّ القول بالجمع بينهما بحمل الإطلاق وترك الاستفصال في صحيحة ابن أبي نصر على الجاهلة؛ قضاءً للتصريح بالعالمة في الصحيحة الأُخرى، ففيها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تعلم أنّه خصيّ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يقال بأنّه لا تعارض بينهما أصلاً ليس بجزافٍ، بل عليه القرينة الخارجيّة، وهي التعبير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لَكُمْ عَلَيْهِنَّ مِنْ عِدَّةٍ تَعْتَدُّونَهَا</w:t>
      </w:r>
      <w:r>
        <w:rPr>
          <w:rFonts w:ascii="IRNazanin" w:hAnsi="IRNazanin" w:eastAsia="IRNazanin"/>
          <w:color w:val="111111"/>
          <w:sz w:val="28"/>
          <w:sz w:val="28"/>
          <w:szCs w:val="28"/>
          <w:rtl w:val="true"/>
          <w:lang w:bidi="fa-IR"/>
        </w:rPr>
        <w:t>؛</w:t>
      </w:r>
      <w:r>
        <w:rPr>
          <w:rStyle w:val="FootnoteAnchor"/>
          <w:rtl w:val="true"/>
        </w:rPr>
        <w:footnoteReference w:id="984"/>
      </w:r>
      <w:r>
        <w:rPr>
          <w:rFonts w:ascii="Amiri" w:hAnsi="Amiri" w:eastAsia="Amiri" w:cs="Amiri"/>
          <w:color w:val="111111"/>
          <w:sz w:val="28"/>
          <w:sz w:val="28"/>
          <w:szCs w:val="28"/>
          <w:rtl w:val="true"/>
          <w:lang w:bidi="ar-SA"/>
        </w:rPr>
        <w:t>حيث إنّه مشعرة، إن لم تكن ظاهرة بأنّ العدّة حقّ للزوج، فهي بعد ما كانت عالمة فالحقّ له، وإن كانت جاهلة فحقّ اعتداده عليها ساقط،وكذا القرينة الداخليّة، وهي إمكان اللذّة المذكورة في الرواية المناسب للزوم إمكان الرجوع فيه في زمان العدّة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للفصل، مع أنّ رواية أحمد بن محمّد معرضٌ عنها، فلا يأتي دور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الطرح مسبّب عن الاجتهاد وتقديم جانب صحيحة أبي عبيدة؛ لموافقتها مع الكتاب والاحتياط، وذلك غير موجب للسقوط عن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طرح الرواية المعرض عنها لابدّ وأن يكون الإعراض موجباً للاطمئنان بعدم الصحّة، كما عليه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المقبولة في مقام التعليل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المجمع عليه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5"/>
      </w:r>
      <w:r>
        <w:rPr>
          <w:rFonts w:ascii="Amiri" w:hAnsi="Amiri" w:eastAsia="Amiri" w:cs="Amiri"/>
          <w:color w:val="111111"/>
          <w:sz w:val="28"/>
          <w:sz w:val="28"/>
          <w:szCs w:val="28"/>
          <w:rtl w:val="true"/>
          <w:lang w:bidi="ar-SA"/>
        </w:rPr>
        <w:t>فهذا جمع حسنٌ وتمام وعليه اللفظ والاعتبار إن لم يكن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الزوج مقطوع الذكر دون الأُنثيين، فعن الشيخ في المبسوط</w:t>
      </w:r>
      <w:r>
        <w:rPr>
          <w:rStyle w:val="FootnoteAnchor"/>
          <w:rtl w:val="true"/>
        </w:rPr>
        <w:footnoteReference w:id="986"/>
      </w:r>
      <w:r>
        <w:rPr>
          <w:rFonts w:ascii="Amiri" w:hAnsi="Amiri" w:eastAsia="Amiri" w:cs="Amiri"/>
          <w:color w:val="111111"/>
          <w:sz w:val="28"/>
          <w:sz w:val="28"/>
          <w:szCs w:val="28"/>
          <w:rtl w:val="true"/>
          <w:lang w:bidi="ar-SA"/>
        </w:rPr>
        <w:t xml:space="preserve">لزوم العدّة مع المساحقة،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Style w:val="FootnoteAnchor"/>
          <w:rtl w:val="true"/>
        </w:rPr>
        <w:footnoteReference w:id="987"/>
      </w:r>
      <w:r>
        <w:rPr>
          <w:rFonts w:ascii="Amiri" w:hAnsi="Amiri" w:eastAsia="Amiri" w:cs="Amiri"/>
          <w:color w:val="111111"/>
          <w:sz w:val="28"/>
          <w:sz w:val="28"/>
          <w:szCs w:val="28"/>
          <w:rtl w:val="true"/>
          <w:lang w:bidi="ar-SA"/>
        </w:rPr>
        <w:t>قد تردّد فيه، وفي الجواهر في وجه الترديد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الأصل في الاعتداد الحمل والتحرّز عن اختلاط المائين، ولذا انتفى عمّن لا يحتمل ذلك فيها، ولشمول المسّ والدخول لذلك وغيره خرج غيره من الملامسة بسائر الأعضاء بالإجماع، ومسّ مجبوب الذكر والأُنثيين جميعاً بالعلم عادة ببراءة الرحم، ويبقىهذا المسّ داخلاً من غير مخرج له، ومن أنّ العدّة تترتّب على الوطئ والدخول ونحوهما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يصدق على المساحقة، والمسّ حقيقةٌ في عرف الشرع أو مجاز مشهور في الوطئ، وكذا الدخول بها، فلا أقلّ من تبادره إلى الفهم، على أنّه مطلق يقيّد بما دلّ على اعتبار التقاء الختانين والإدخال ونحوهما، وإمكان الحمل بمساحقة لا يكفي في العدّة بعد أن كان موضوعها في النصّ والفتوى الدخول ونحوه ممّا لا يشملها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هذا في الحائل وأمّا الحامل، فمختار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لإمكان الإنزال الذي يتكوّن منه الولد فيلحق به، لأنّه للفراش ويندرج بذلك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وَأُوْلَاتُ الْأَحْمَالِ أَجَلُهُنَّ أَن يَضَعْنَ حَمْلَهُنَّ</w:t>
      </w:r>
      <w:r>
        <w:rPr>
          <w:rFonts w:ascii="IRNazanin" w:hAnsi="IRNazanin" w:eastAsia="IRNazanin"/>
          <w:color w:val="111111"/>
          <w:sz w:val="28"/>
          <w:sz w:val="28"/>
          <w:szCs w:val="28"/>
          <w:rtl w:val="true"/>
          <w:lang w:bidi="fa-IR"/>
        </w:rPr>
        <w:t>،</w:t>
      </w:r>
      <w:r>
        <w:rPr>
          <w:rStyle w:val="FootnoteAnchor"/>
          <w:rtl w:val="true"/>
        </w:rPr>
        <w:footnoteReference w:id="989"/>
      </w:r>
      <w:r>
        <w:rPr>
          <w:rFonts w:ascii="Amiri" w:hAnsi="Amiri" w:eastAsia="Amiri" w:cs="Amiri"/>
          <w:color w:val="111111"/>
          <w:sz w:val="28"/>
          <w:sz w:val="28"/>
          <w:szCs w:val="28"/>
          <w:rtl w:val="true"/>
          <w:lang w:bidi="ar-SA"/>
        </w:rPr>
        <w:t>وهذا في الحقيقة تفصيل بين الحائل والحامل، بل عن القواعد</w:t>
      </w:r>
      <w:r>
        <w:rPr>
          <w:rStyle w:val="FootnoteAnchor"/>
          <w:rtl w:val="true"/>
        </w:rPr>
        <w:footnoteReference w:id="990"/>
      </w:r>
      <w:r>
        <w:rPr>
          <w:rFonts w:ascii="Amiri" w:hAnsi="Amiri" w:eastAsia="Amiri" w:cs="Amiri"/>
          <w:color w:val="111111"/>
          <w:sz w:val="28"/>
          <w:sz w:val="28"/>
          <w:szCs w:val="28"/>
          <w:rtl w:val="true"/>
          <w:lang w:bidi="ar-SA"/>
        </w:rPr>
        <w:t>إنّه كذلك وإن كان مقطوع الذكر والأُنثيين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ينشأ من أنّ الرحم مع فقدان الأُنثيين بريء من الحمل طبعاً، ومن أنّه يحتمل الحمل من الصلب؛ فإنّه معدن المني بالآية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الجواهر الإيراد عليه بنفي الإشكال؛ لأنّ الحمل ملحوق بالزوج ولو مع الاحتمال المخالف للعادة؛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1"/>
      </w:r>
      <w:r>
        <w:rPr>
          <w:rFonts w:ascii="Amiri" w:hAnsi="Amiri" w:eastAsia="Amiri" w:cs="Amiri"/>
          <w:color w:val="111111"/>
          <w:sz w:val="28"/>
          <w:sz w:val="28"/>
          <w:szCs w:val="28"/>
          <w:rtl w:val="true"/>
          <w:lang w:bidi="ar-SA"/>
        </w:rPr>
        <w:t>ثمّ الإيراد على المسالك وعلى المثبتين للعدّة بالحملمن دون دخول مائه المحترم فيها، وعلى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في كلماته من الفوائد ننقلها برمّتها ثمّ نتعرّض لما فيها من الإشكال، ودونك الكلمات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المسالك بعد أن ذكر أنّ المعتبر من الوط‌ء غيبوبة الحشفة قبلاً أو دبراً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دخول منيه المحترم فرجاً فيلحق به الولد إن فرض، وتعتدّ بوضعه، وظاهر الأصحاب عدم وجوبها بدون الحمل هنا</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مع فرضه كونه بحكم الاعتداد قبل ظهورالحمل مخافة اختلاط المائين، بل لعلّ وجوب العدّة لها حاملاً يقتضى ذلك أيضاً، ضرورة معلوميّة اشتراط العدّة بطلاقها الدخولي، فإن لم يكن ذلك بحكمه لم يكن لها عدّة حتّى معه أيضاً؛ لظهور النصوص المزبورة في اعتبار الالتقاء والإدخال والمسّ ونحوها ممّا لا يندرج فيها المساحقة، من غير فرق بين الحامل وغيرها، والآية إنّما يراد منها بيان مدّة العدّة للحامل، لا أنّ المراد منها بيان وجوب العدّة على الحامل وإن لم تكن مدخولاً بها،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إثباتهم للعدّة بالحمل من دون دخول مائه المحترم فيها، مع أنّ نصوص العدّة التي سمعتها لا فرق فيها بين الحامل وغيرها، وقد عرفت أنّ الآية</w:t>
      </w:r>
      <w:r>
        <w:rPr>
          <w:rStyle w:val="FootnoteAnchor"/>
          <w:rtl w:val="true"/>
        </w:rPr>
        <w:footnoteReference w:id="993"/>
      </w:r>
      <w:r>
        <w:rPr>
          <w:rFonts w:ascii="Amiri" w:hAnsi="Amiri" w:eastAsia="Amiri" w:cs="Amiri"/>
          <w:color w:val="111111"/>
          <w:sz w:val="28"/>
          <w:sz w:val="28"/>
          <w:szCs w:val="28"/>
          <w:rtl w:val="true"/>
          <w:lang w:bidi="ar-SA"/>
        </w:rPr>
        <w:t>ليست في أسباب العدّة، بل هي في بيان أجل العدّة، نحو الثلاثة قروء والثلاثة الأشهر المذكورين لغيرها، كما لا يخفى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وأغرب من ذلك فرّق الشيخ بين العدّة بالأقراء والعدّة بالأشهر باشتراط الأُولی بالدخول بخلاف الثانية؛ إذ هو كما ترى خارج عن النصوص المزبورة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 ذلك في الغرابة حكمهم بعدم العدّة في المجبوب الذي لا فرق بينه وبين مقطوع الذكر خاصّة، بعد فرض حصول ماء من مساحقته يمكن تكوّن الولد منه ولو على خلاف العادة؛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المفروض شموله لمساحقة سليم الأُنثيين، ولو كان الذي ألجأهم إلى ذلك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العدّة من الماء</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على إرادة بيان الحكمة لا السبب، ولذا أعقبه باعتبار الإدخال في العدّة، ولم يجعلوا ذلك سببين للعدّة، وحمل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منه ولذّ منها</w:t>
      </w:r>
      <w:r>
        <w:rPr>
          <w:rFonts w:eastAsia="IRNazanin" w:cs="IRNazanin"/>
          <w:color w:val="111111"/>
          <w:sz w:val="28"/>
          <w:szCs w:val="28"/>
          <w:rtl w:val="true"/>
          <w:lang w:bidi="fa-IR"/>
        </w:rPr>
        <w:t>»</w:t>
      </w:r>
      <w:r>
        <w:rPr>
          <w:rStyle w:val="FootnoteAnchor"/>
          <w:rtl w:val="true"/>
        </w:rPr>
        <w:footnoteReference w:id="996"/>
      </w:r>
      <w:r>
        <w:rPr>
          <w:rFonts w:ascii="Amiri" w:hAnsi="Amiri" w:eastAsia="Amiri" w:cs="Amiri"/>
          <w:color w:val="111111"/>
          <w:sz w:val="28"/>
          <w:sz w:val="28"/>
          <w:szCs w:val="28"/>
          <w:rtl w:val="true"/>
          <w:lang w:bidi="ar-SA"/>
        </w:rPr>
        <w:t>على خصوص الالتذاذ بالإدخال لا مطلقاً، بحيث يشمل المساحقة، لكن كان المتّجه عدم التزام العدّة حتّى مع الحمل منه، وكون منيّه محترماً لا ينافي سقوط العدّة المشترطة بالدخول والفرض عدمه، فيكون حملها نحو حملها باستدخال قطنة من منيّه أو بمساحقة زوجة كانت تحته، وصعوبة التزام ذلك باعتبار كونها حاملاً منه كصعوبة التزام عدم العدّة لمائه المحترم فيها المحتمل تكوّن ولد منه، مع أنّ مشروعيّة العدّة للحفظ من اختلاط الماء، والحكمة وإن لم تطرد، لكن ينتفي الحكم الذي شرع لها معها، فليس إلّا القول بأنّ للعدّة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مائه المحترم فيهابالمساحقة أو بإيلاج دون تمام الحشفة، والثاني إيلاج الحشفة وإن لم ينزل، بل وإن كان صغيراً غير قابل لنزول ماء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جيّداً، فإنّ المقام غير منقّح، والله أعلم بالصواب</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 من كلامه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العدّة للحامل مع عدم الوط‌ء لزومها على الحائل أيضاً مخافة اختلاط المائين، ولأنّ العدّة للماء ولحصول اللذّة والالتذاذ الواقع في صحيحة أبي عبيدة علّةً للعدّة، ولعدم الفرق بينهما من حيث عدم الوط‌ء وعدم شمول أدلّة العدّة المتضمّنة له وللمسّ ومثله، والفرق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وَأُوْلَاتُ الْأَحْمَالِ</w:t>
      </w:r>
      <w:r>
        <w:rPr>
          <w:rStyle w:val="FootnoteAnchor"/>
          <w:rtl w:val="true"/>
        </w:rPr>
        <w:footnoteReference w:id="998"/>
      </w:r>
      <w:r>
        <w:rPr>
          <w:rFonts w:ascii="Amiri" w:hAnsi="Amiri" w:eastAsia="Amiri" w:cs="Amiri"/>
          <w:color w:val="111111"/>
          <w:sz w:val="28"/>
          <w:sz w:val="28"/>
          <w:szCs w:val="28"/>
          <w:rtl w:val="true"/>
          <w:lang w:bidi="ar-SA"/>
        </w:rPr>
        <w:t>غير تامّ؛ لعدم كونها في مقام بيان العدّة للحامل حتّى يكون له الإطلاق، بل الآية في مقام مقدار العدّة لها كآية الأقراء</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الإشكال على الشيخ بالفرق بين العدّة بالأقراء والأشهر باشتراط الأُولی بالدخول بخلاف الثانية، مع عدم الدليل على الفرق، فإنّ الأدلّة فيهما 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الغرابة في حكمهم بعدم العدّة للمجبوب الذي لا فرق بينه وبين مقطوع الذكر بعد حصول الماء من مساحقته مع عدم الفرق بينهما كما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العدّة من الماء، وأنّ حمله على الحكمة موجبٌ لعدم العدّة حتّى مع الحمل بدون الجماع والوط‌ء، فالقول بالعدّة مع الحمل في مقطوع الذكر مستلزم للقول بتعدّد السبب من الماء والإدخال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 النظر،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على إشكال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w:t>
      </w:r>
      <w:r>
        <w:rPr>
          <w:rStyle w:val="FootnoteAnchor"/>
          <w:rtl w:val="true"/>
        </w:rPr>
        <w:footnoteReference w:id="1000"/>
      </w:r>
      <w:r>
        <w:rPr>
          <w:rFonts w:ascii="Amiri" w:hAnsi="Amiri" w:eastAsia="Amiri" w:cs="Amiri"/>
          <w:color w:val="111111"/>
          <w:sz w:val="28"/>
          <w:sz w:val="28"/>
          <w:szCs w:val="28"/>
          <w:rtl w:val="true"/>
          <w:lang w:bidi="ar-SA"/>
        </w:rPr>
        <w:t>متمسّكاً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كون قاعدة الولد أمارة شرعيّة فالظاهر اختصاصها بغير الظنّ بالخلاف الحاصل من العادة؛ لعدم الأماريّة والطريقيّة معه أصلاً، فكيف يجعل حجّة وطريقاً، فإنّ اللازم في الحجّة هي الطريقيّة ولو على النوع المفقود في المورد، وأمّا على كونه أصلاً عمليّاً تعبّديّاً فالاختصاص بمورد الشكّ أظهر؛ لكون مورده الشكّ العقلائي لا الاحتمال العقلي المنتفي مع العادة والظنّ النوعي على خلاف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يشهد للاختصاص، المقابلة المذكورة في الخبر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w:t>
      </w:r>
      <w:r>
        <w:rPr>
          <w:rStyle w:val="FootnoteAnchor"/>
          <w:rtl w:val="true"/>
        </w:rPr>
        <w:footnoteReference w:id="1001"/>
      </w:r>
      <w:r>
        <w:rPr>
          <w:rFonts w:ascii="Amiri" w:hAnsi="Amiri" w:eastAsia="Amiri" w:cs="Amiri"/>
          <w:color w:val="111111"/>
          <w:sz w:val="28"/>
          <w:sz w:val="28"/>
          <w:szCs w:val="28"/>
          <w:rtl w:val="true"/>
          <w:lang w:bidi="ar-SA"/>
        </w:rPr>
        <w:t>والمراد من العاهر العاهر الذي يحتمل لحوق الولد به عرفاً وعادة لا المطلق منه، حيث إنّه مع كون اللحوق على خلاف العادة لامحلّ للادّعاء عرفاً وعادة حتّى يحكم بنفيها مع الظنّ العادي على خلافه بذلك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العاهر الخاصّ المحتمل كون الولد له عادة لا العاهر الذي لا احتمال للإلحاق به بحسب العادة والعرف؛ لعدم تحقّق الادّعاء فيه عادة حتّى يلزم الحكم بنفيه بذلك القول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لكلام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w:t>
      </w:r>
      <w:r>
        <w:rPr>
          <w:rStyle w:val="FootnoteAnchor"/>
          <w:rtl w:val="true"/>
        </w:rPr>
        <w:footnoteReference w:id="1002"/>
      </w:r>
      <w:r>
        <w:rPr>
          <w:rFonts w:ascii="Amiri" w:hAnsi="Amiri" w:eastAsia="Amiri" w:cs="Amiri"/>
          <w:color w:val="111111"/>
          <w:sz w:val="28"/>
          <w:sz w:val="28"/>
          <w:szCs w:val="28"/>
          <w:rtl w:val="true"/>
          <w:lang w:bidi="ar-SA"/>
        </w:rPr>
        <w:t>إنّما يراد منها بيان مدّةالعدّة للحامل لا وجوب العدّة لها ففيه أنّه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عامّة وليست مطلقة ولا احتياج في العموم إلى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الحكمة التحرّز عن الاختلاط </w:t>
      </w:r>
      <w:bookmarkStart w:id="379" w:name="pg9375_99634"/>
    </w:p>
    <w:p>
      <w:pPr>
        <w:pStyle w:val="BookText"/>
        <w:rPr/>
      </w:pPr>
      <w:bookmarkEnd w:id="37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محلّه، فإنّه المستفاد من الأخبار الدالّة على عدم العدّة لغير المدخول بها والتي لم تبلغ ولم تحمل ولليائسة من الحيض، ولأنّ العدّة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كون العدّة لورود المني المحترم في الرحم في بيان الغرابة بكون الموجب والسبب للعدّة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الإيلاج وإن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ذلك المني ولو بالمساحقة أو بإيلاج ما دون الحشفة، فكيف لم يحكموا بالعدّة في المجبوب، ففيه عدم انحصار الابتناء بإثبات السببيّة لهما، بل يكفي في ذلك كون الحكمة عدم اختلاط المياه؛ لأنّ الحكمة وإن لم تكن كالعلّة في الدوران وجوداً وعدماً، لكنّها مثل العلّة وجوداً؛ بمعنى أنّ مع الحكمة لابدّ من الحكم وإلّا فلا وجه لتلك الحكمة أصلاً كما لا يخفى، وقد عرفت أنّه الحكمة، فالعدّة لازمة في جميع الموارد المذكورة في الجواهر حتّى مع جذب المرأة المني من القطنة أو في النوم وأمثالهما، ولعلّ لعدم انحصار الابتناء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أنّ الظاهر من الأصحاب عدم العدّة مع عدم الدخول وعدم الحمل، بل المستفاد من كلام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اللثام</w:t>
      </w:r>
      <w:r>
        <w:rPr>
          <w:rStyle w:val="FootnoteAnchor"/>
          <w:rtl w:val="true"/>
        </w:rPr>
        <w:footnoteReference w:id="1004"/>
      </w:r>
      <w:r>
        <w:rPr>
          <w:rFonts w:ascii="Amiri" w:hAnsi="Amiri" w:eastAsia="Amiri" w:cs="Amiri"/>
          <w:color w:val="111111"/>
          <w:sz w:val="28"/>
          <w:sz w:val="28"/>
          <w:szCs w:val="28"/>
          <w:rtl w:val="true"/>
          <w:lang w:bidi="ar-SA"/>
        </w:rPr>
        <w:t>الاتّفاق على العدم وإرساله إرسال المسلّمات، فكيف يحكم بالعدّة للحائل في تلك الموارد مع عدم الدخول</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416689_2870459653"/>
      <w:bookmarkStart w:id="381" w:name="_Toc137"/>
      <w:bookmarkEnd w:id="380"/>
      <w:r>
        <w:rPr>
          <w:rtl w:val="true"/>
        </w:rPr>
        <w:t>عدم الفرق بين الكبير والصغير في العدّة على المدخول بها</w:t>
      </w:r>
      <w:bookmarkEnd w:id="381"/>
    </w:p>
    <w:p>
      <w:pPr>
        <w:pStyle w:val="Heading4"/>
        <w:numPr>
          <w:ilvl w:val="3"/>
          <w:numId w:val="1"/>
        </w:numPr>
        <w:rPr/>
      </w:pPr>
      <w:bookmarkStart w:id="382" w:name="__RefHeading___Toc5416691_2870459653"/>
      <w:bookmarkStart w:id="383" w:name="_Toc138"/>
      <w:bookmarkEnd w:id="382"/>
      <w:r>
        <w:rPr>
          <w:rtl w:val="true"/>
        </w:rPr>
        <w:t>اشارة</w:t>
      </w:r>
      <w:bookmarkEnd w:id="38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الاستظهار واستفادة الاتّفاق أيضاً لا حجيّة له؛ لأنّ المسألة </w:t>
      </w:r>
      <w:bookmarkStart w:id="384" w:name="pg9375_99636"/>
    </w:p>
    <w:p>
      <w:pPr>
        <w:pStyle w:val="BookText"/>
        <w:rPr/>
      </w:pPr>
      <w:bookmarkEnd w:id="3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اجتهاديّة والإجماع مدركي، فإنّ الظاهر في وجه فتوى الأصحاب هو وجود قيد الدخول في الروايات أو أنّ مورده القطع بعدم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عدّة المدخول بها بين أن يكون الزوج كبيراً أو صغيراً؛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الحدائق من ادّعاء الانصراف عن الصغير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الطلاق في الأخبار إنّما تحمل على الأفراد الشائعة المتعارفة المتكرّرة، وهي هنا البالغ دون الصغيرة، فإنّه نادر بل مجرّد فرض</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ممنوعٌ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كثرة الوجود لا توجب الانصراف، فإنّ الحكم متعلّق بالطبيعة والقضايا الشرعيّة طبيعيّة ثابتة على الأفراد؛ نادرة كانت أو شائعة، بل ومعدومة، كما حقّق في الأُصول،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الخبير بالروايات كيف يدّعي ذلك مع أنّ طلاق الصغير كان مورداً للسؤال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أيضاً أنّه لا فرق فيها بين كونهما نائمين أو يقظين أو المختلفين؛ قضاءً لإطلاق الأدلّة، مثل ما مرّ بأنّ التقاء الختانين يوجب الغسل والمهر والعدّة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5416693_2870459653"/>
      <w:bookmarkStart w:id="386" w:name="_Toc139"/>
      <w:bookmarkEnd w:id="385"/>
      <w:r>
        <w:rPr>
          <w:rtl w:val="true"/>
        </w:rPr>
        <w:t>فرعٌ</w:t>
      </w:r>
      <w:r>
        <w:rPr>
          <w:rtl w:val="true"/>
        </w:rPr>
        <w:t xml:space="preserve">: </w:t>
      </w:r>
      <w:r>
        <w:rPr>
          <w:rtl w:val="true"/>
        </w:rPr>
        <w:t>حكم العدّة في الزنا</w:t>
      </w:r>
      <w:bookmarkEnd w:id="38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عدّة للحامل من الزنا بلا خلاف؛ للأصل، ووضع الحمل عدّة لذات العدّة من الحامل كما مرّ من الجواهر،</w:t>
      </w:r>
      <w:r>
        <w:rPr>
          <w:rStyle w:val="FootnoteAnchor"/>
          <w:rtl w:val="true"/>
        </w:rPr>
        <w:footnoteReference w:id="1006"/>
      </w:r>
      <w:r>
        <w:rPr>
          <w:rFonts w:ascii="Amiri" w:hAnsi="Amiri" w:eastAsia="Amiri" w:cs="Amiri"/>
          <w:color w:val="111111"/>
          <w:sz w:val="28"/>
          <w:sz w:val="28"/>
          <w:szCs w:val="28"/>
          <w:rtl w:val="true"/>
          <w:lang w:bidi="ar-SA"/>
        </w:rPr>
        <w:t xml:space="preserve">وللمطلّقات كما عليها نصّ الآية، </w:t>
      </w:r>
      <w:r>
        <w:rPr>
          <w:rStyle w:val="FootnoteAnchor"/>
          <w:rtl w:val="true"/>
        </w:rPr>
        <w:footnoteReference w:id="1007"/>
      </w:r>
      <w:r>
        <w:rPr>
          <w:rFonts w:ascii="Amiri" w:hAnsi="Amiri" w:eastAsia="Amiri" w:cs="Amiri"/>
          <w:color w:val="111111"/>
          <w:sz w:val="28"/>
          <w:sz w:val="28"/>
          <w:szCs w:val="28"/>
          <w:rtl w:val="true"/>
          <w:lang w:bidi="ar-SA"/>
        </w:rPr>
        <w:t xml:space="preserve">فيجوز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التزويج قبل الوضع، وأمّا مع عدمه، فالمشهور أنّه كذلك، وأثبتها العلّامة في التحرير</w:t>
      </w:r>
      <w:r>
        <w:rPr>
          <w:rStyle w:val="FootnoteAnchor"/>
          <w:rtl w:val="true"/>
        </w:rPr>
        <w:footnoteReference w:id="1008"/>
      </w:r>
      <w:r>
        <w:rPr>
          <w:rFonts w:ascii="Amiri" w:hAnsi="Amiri" w:eastAsia="Amiri" w:cs="Amiri"/>
          <w:color w:val="111111"/>
          <w:sz w:val="28"/>
          <w:sz w:val="28"/>
          <w:szCs w:val="28"/>
          <w:rtl w:val="true"/>
          <w:lang w:bidi="ar-SA"/>
        </w:rPr>
        <w:t>ونفى البأس عنها في المسالك؛</w:t>
      </w:r>
      <w:r>
        <w:rPr>
          <w:rStyle w:val="FootnoteAnchor"/>
          <w:rtl w:val="true"/>
        </w:rPr>
        <w:footnoteReference w:id="1009"/>
      </w:r>
      <w:r>
        <w:rPr>
          <w:rFonts w:ascii="Amiri" w:hAnsi="Amiri" w:eastAsia="Amiri" w:cs="Amiri"/>
          <w:color w:val="111111"/>
          <w:sz w:val="28"/>
          <w:sz w:val="28"/>
          <w:szCs w:val="28"/>
          <w:rtl w:val="true"/>
          <w:lang w:bidi="ar-SA"/>
        </w:rPr>
        <w:t>حذراً من اختلاط المياه وتشويش الأنساب، وجعلها المفاتيح أحوط</w:t>
      </w:r>
      <w:r>
        <w:rPr>
          <w:rStyle w:val="FootnoteAnchor"/>
          <w:rtl w:val="true"/>
        </w:rPr>
        <w:footnoteReference w:id="1010"/>
      </w:r>
      <w:r>
        <w:rPr>
          <w:rFonts w:ascii="IRNazanin" w:hAnsi="IRNazanin" w:eastAsia="IRNazanin"/>
          <w:color w:val="111111"/>
          <w:sz w:val="28"/>
          <w:sz w:val="28"/>
          <w:szCs w:val="28"/>
          <w:rtl w:val="true"/>
          <w:lang w:bidi="fa-IR"/>
        </w:rPr>
        <w:t>وهو مختار الحدائق</w:t>
      </w:r>
      <w:r>
        <w:rPr>
          <w:rStyle w:val="FootnoteAnchor"/>
          <w:rtl w:val="true"/>
        </w:rPr>
        <w:footnoteReference w:id="1011"/>
      </w:r>
      <w:r>
        <w:rPr>
          <w:rFonts w:ascii="IRNazanin" w:hAnsi="IRNazanin" w:eastAsia="IRNazanin"/>
          <w:color w:val="111111"/>
          <w:sz w:val="28"/>
          <w:sz w:val="28"/>
          <w:szCs w:val="28"/>
          <w:rtl w:val="true"/>
          <w:lang w:bidi="fa-IR"/>
        </w:rPr>
        <w:t>وظاهر عنوان الوسائل،</w:t>
      </w:r>
      <w:r>
        <w:rPr>
          <w:rStyle w:val="FootnoteAnchor"/>
          <w:rtl w:val="true"/>
        </w:rPr>
        <w:footnoteReference w:id="1012"/>
      </w:r>
      <w:r>
        <w:rPr>
          <w:rFonts w:ascii="Amiri" w:hAnsi="Amiri" w:eastAsia="Amiri" w:cs="Amiri"/>
          <w:color w:val="111111"/>
          <w:sz w:val="28"/>
          <w:sz w:val="28"/>
          <w:szCs w:val="28"/>
          <w:rtl w:val="true"/>
          <w:lang w:bidi="ar-SA"/>
        </w:rPr>
        <w:t>والمشهور منصور؛ لأنّ المستفاد من الآية أنّ العدّة حقّ للزوج، ففي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عَلَيْهِنَّ مِنْ عِدَّةٍ</w:t>
      </w:r>
      <w:r>
        <w:rPr>
          <w:rStyle w:val="FootnoteAnchor"/>
          <w:rtl w:val="true"/>
        </w:rPr>
        <w:footnoteReference w:id="1013"/>
      </w:r>
      <w:r>
        <w:rPr>
          <w:rFonts w:ascii="Amiri" w:hAnsi="Amiri" w:eastAsia="Amiri" w:cs="Amiri"/>
          <w:color w:val="111111"/>
          <w:sz w:val="28"/>
          <w:sz w:val="28"/>
          <w:szCs w:val="28"/>
          <w:rtl w:val="true"/>
          <w:lang w:bidi="ar-SA"/>
        </w:rPr>
        <w:t>بل يشعر به إن لم يكن ظاهراً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Style w:val="FootnoteAnchor"/>
          <w:rtl w:val="true"/>
        </w:rPr>
        <w:footnoteReference w:id="1014"/>
      </w:r>
      <w:r>
        <w:rPr>
          <w:rFonts w:ascii="Amiri" w:hAnsi="Amiri" w:eastAsia="Amiri" w:cs="Amiri"/>
          <w:color w:val="111111"/>
          <w:sz w:val="28"/>
          <w:sz w:val="28"/>
          <w:szCs w:val="28"/>
          <w:rtl w:val="true"/>
          <w:lang w:bidi="ar-SA"/>
        </w:rPr>
        <w:t>كما مرّ، ولأنّ الزاني لاحرمة له وللعاهر الحجر،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الأصل البراءة عن العدّة وضعاً وتكليفاً وهي مقدّمة على أصالة الفساد في العقود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 بإطلاق أخبار العدّة؛ من أنّ العدّة من الماء أو إنّما العدّة من الماء، ومن أنّ التقاء الختانين سبب للعدّة، وبأنّ الحكمة في العدّة هي التحفّظ عن اختلاط المياه، وهي موجودة في المزنيّ بها الحائل، وبالأخبار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إسحاق بن جرير،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يفجر بالمرأة ثمّ يبدو له في تزويجها، هل يحلُّ له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إذا هو اجتنبها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تنقضي عدّتها باستبراء رحمها من ماء الفجور فله أن يتزوّجها، وإنّما يجوز له تزويجها بعد أن يقف على توبتها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عليّ بن شعبة، عن أبي جعفر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نكح امرأة على زنا، أ يحلّ له أن يتزوّجها؟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يدعها حتّى يستبرئها من نطفته ونطفة غيره، إذ لا يؤمن منها أن تكون قد أحدثت مع غيره حدثاً كما أحدثت معه، ثمّ يتزوّج بها إن أراد، فإنّما مثلها مثل نخلة أكل رجل منها حراماً، ثمّ اشتراها فأكل منها حلالاً</w:t>
      </w:r>
      <w:r>
        <w:rPr>
          <w:rFonts w:eastAsia="IRNazanin" w:cs="IRNazanin"/>
          <w:color w:val="111111"/>
          <w:sz w:val="28"/>
          <w:szCs w:val="28"/>
          <w:rtl w:val="true"/>
          <w:lang w:bidi="fa-IR"/>
        </w:rPr>
        <w:t>».</w:t>
      </w:r>
      <w:r>
        <w:rPr>
          <w:rStyle w:val="FootnoteAnchor"/>
          <w:rtl w:val="true"/>
        </w:rPr>
        <w:footnoteReference w:id="101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إضافي، والإطلاقات منصرفة عن الزنا، فإنّ الأسئلة والأجوبة ناظرة إلى النكاح المشروع كما لا يخفى، بل ويشهد للانصراف سببيّة الالتقاء للمهر، مضافاً إلى العدّة،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المسبّب هو الجميع لا المجموع، وإن أبيت وقلت إنّه على الانصراف فالإلحاق ثابت؛ لإلغاء الخصوصيّة وأنّه لافرق بين الدخول بالنكاح المشروع أو الزنا، فإنّ المناط التقاء الختانين والدخول الحاصل في الزنا،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موجودة ولا أقلّ من احتمالها؛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عدم الانصراف والإطلاق في أخبار العدّة لاجدوى له؛ لتقييده بتلك الجملة، حيث إنّ العدّة حقّ للزوجعلى الزوجة والحديث دالّ على عدم الحرمة وعدم الحقّ للعاهر من رأس وأنّ حقّه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 تغفل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اليأس ببلوغ ستّين في القرشيّة وخمسين في غيرها، والأحوط مراعاة الستّين مطلقاً بالنسبة إلى التزويج بالغير وخمسين كذلك بالنسبة إلى الرجوع إليها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ذات الأقراء قبل بلوغ سنّ اليأس ورأت الدم مرّة أو</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راجعة إلى الماء المحترم؛ قضاءً لذلك الحديث، مضافاً إلى عدم إتيان اختلاط المياه هنا؛ لأنّها إن كانت مزوّجة فمع إمكان لحوق الولد بالزوج ملحق به، ومع عدمه يلحق بالزاني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في خبر إسحاق بن جرير ليست عدّة اصطلاحيّة، والحكم فيه استحبابي؛ حيث إنّ الاعتداد عند الطلاق بالنسبة إلى الزوج ليس بواجب مع الطلاق الذي هو الأصل فيها فكيف في الزنا وهو الفرع في المسألة؟</w:t>
      </w:r>
      <w:r>
        <w:rPr>
          <w:rStyle w:val="FootnoteAnchor"/>
          <w:rtl w:val="true"/>
        </w:rPr>
        <w:footnoteReference w:id="1017"/>
      </w:r>
      <w:r>
        <w:rPr>
          <w:rFonts w:ascii="IRNazanin" w:hAnsi="IRNazanin" w:eastAsia="IRNazanin"/>
          <w:color w:val="111111"/>
          <w:sz w:val="28"/>
          <w:sz w:val="28"/>
          <w:szCs w:val="28"/>
          <w:rtl w:val="true"/>
          <w:lang w:bidi="fa-IR"/>
        </w:rPr>
        <w:t>ويشهد له ذيله الآمر بالتوبة، وأنّ رواية ابن شعبة مضافاً إلى ضعف سندها أنّ الموضوع فيها هو الاستبراء بأيّ طريق حصل لا الاستبراء من طريق العدّة، مضافاً إلى أنّه أخصّ من المدّعى؛ لأنّ المستفاد منها عدم وجوب العدّة مع العلم بعدم الحمل وعدمدلالته على أزيد من الندب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ما أورد على الأُولی من لزوم مزيّة الفرع على الأصل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r>
        <w:rPr>
          <w:rStyle w:val="FootnoteAnchor"/>
          <w:rtl w:val="true"/>
        </w:rPr>
        <w:footnoteReference w:id="1018"/>
      </w:r>
      <w:r>
        <w:rPr>
          <w:rFonts w:ascii="Amiri" w:hAnsi="Amiri" w:eastAsia="Amiri" w:cs="Amiri"/>
          <w:color w:val="111111"/>
          <w:sz w:val="28"/>
          <w:sz w:val="28"/>
          <w:szCs w:val="28"/>
          <w:rtl w:val="true"/>
          <w:lang w:bidi="ar-SA"/>
        </w:rPr>
        <w:t>الكلام فيها، ومنشأ الاحتياط العمل بالروايات المختلفة</w:t>
      </w:r>
      <w:r>
        <w:rPr>
          <w:rFonts w:eastAsia="Amiri" w:cs="Amiri" w:ascii="Amiri" w:hAnsi="Amiri"/>
          <w:color w:val="111111"/>
          <w:sz w:val="28"/>
          <w:szCs w:val="28"/>
          <w:rtl w:val="true"/>
          <w:lang w:bidi="ar-SA"/>
        </w:rPr>
        <w:t xml:space="preserve">. </w:t>
      </w:r>
      <w:bookmarkStart w:id="387" w:name="pg9375_99644"/>
    </w:p>
    <w:p>
      <w:pPr>
        <w:pStyle w:val="BookText"/>
        <w:rPr/>
      </w:pPr>
      <w:bookmarkEnd w:id="387"/>
      <w:r>
        <w:rPr>
          <w:rFonts w:ascii="Amiri" w:hAnsi="Amiri" w:eastAsia="Amiri" w:cs="Amiri"/>
          <w:color w:val="111111"/>
          <w:sz w:val="28"/>
          <w:sz w:val="28"/>
          <w:szCs w:val="28"/>
          <w:rtl w:val="true"/>
          <w:lang w:bidi="ar-SA"/>
        </w:rPr>
        <w:t>مرّتين ثمّ يئست أكملت العدّة بشهرين أو شهر، وكذلك ذات الشهور إذا اعتدّت شهراً أو شهرين ثمّ يئست أتمّت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416695_2870459653"/>
      <w:bookmarkStart w:id="389" w:name="_Toc140"/>
      <w:bookmarkEnd w:id="388"/>
      <w:r>
        <w:rPr>
          <w:rtl w:val="true"/>
        </w:rPr>
        <w:t>فيما لو يئست بين العدّة</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في المسألة جهتين من البحث؛ من ناحية القواعد ومن جهة الرواية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فمقتضى القواعد هو عدم العدّة فيها؛ وذلك لأنّ الروايات الدالّة على لزوم العدّة منصرفة إلى من تتمكّن العدّة، بل ظاهرة فيها؛ لأنّه المنسبق منها إلى الذهن، ومقتضى الأصل أيضاً البراءة منها، ومع عدم العدّة لها من رأس لا محلّ لقاعدة الميسور كما هو ظاهر، ومنه انقدح ضعف ما في المسالك،</w:t>
      </w:r>
      <w:r>
        <w:rPr>
          <w:rStyle w:val="FootnoteAnchor"/>
          <w:rtl w:val="true"/>
        </w:rPr>
        <w:footnoteReference w:id="1019"/>
      </w:r>
      <w:r>
        <w:rPr>
          <w:rFonts w:ascii="Amiri" w:hAnsi="Amiri" w:eastAsia="Amiri" w:cs="Amiri"/>
          <w:color w:val="111111"/>
          <w:sz w:val="28"/>
          <w:sz w:val="28"/>
          <w:szCs w:val="28"/>
          <w:rtl w:val="true"/>
          <w:lang w:bidi="ar-SA"/>
        </w:rPr>
        <w:t>حيث إنّ المستفاد منه الاستدلال على العدّة بالاستصحاب؛ وذلك لعدم اليقين السابق واعتدادها جهلاً مربوط بمقام الإثبات لا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أورده الجواهر</w:t>
      </w:r>
      <w:r>
        <w:rPr>
          <w:rStyle w:val="FootnoteAnchor"/>
          <w:rtl w:val="true"/>
        </w:rPr>
        <w:footnoteReference w:id="1020"/>
      </w:r>
      <w:r>
        <w:rPr>
          <w:rFonts w:ascii="IRNazanin" w:hAnsi="IRNazanin" w:eastAsia="IRNazanin"/>
          <w:color w:val="111111"/>
          <w:sz w:val="28"/>
          <w:sz w:val="28"/>
          <w:szCs w:val="28"/>
          <w:rtl w:val="true"/>
          <w:lang w:bidi="fa-IR"/>
        </w:rPr>
        <w:t xml:space="preserve">عليه باختلاف الموضوع وتعدّده فغير وارد؛ لما قلنا غير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لسيّدنا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المستصحب في أمثال المورد ليس كلّيّاً بل شخصي وجزئي وهو واحد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الثانية، فمقتضاها لزوم إتمام العدّة كما في المتن، والرواية واحدة،وهي خبر هارون بن حمزة،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طلّقت وقد طعنت في السنّ فحاضت حيضة واحدة، ثمّ ارتفع حيضها،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بالحيضة وشهرين مستقبلين، فإنّها قد يئست من المحيض</w:t>
      </w:r>
      <w:r>
        <w:rPr>
          <w:rFonts w:eastAsia="IRNazanin" w:cs="IRNazanin"/>
          <w:color w:val="111111"/>
          <w:sz w:val="28"/>
          <w:szCs w:val="28"/>
          <w:rtl w:val="true"/>
          <w:lang w:bidi="fa-IR"/>
        </w:rPr>
        <w:t>».</w:t>
      </w:r>
      <w:r>
        <w:rPr>
          <w:rStyle w:val="FootnoteAnchor"/>
          <w:rtl w:val="true"/>
        </w:rPr>
        <w:footnoteReference w:id="1021"/>
      </w:r>
      <w:bookmarkStart w:id="390" w:name="pg9375_99646"/>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ومن أُلحقت بها إن كانت حاملاً فعدّتها مدّة حملها، وتنقضي بأن تضع ولو بعد الطلاق بلا فصل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والدلالة تامّة والسند لاكلام فيه؛ لوثاقة الكلّ إلّا يزيد بن إسحاق فلم يوثّق في كلام الشيخ</w:t>
      </w:r>
      <w:r>
        <w:rPr>
          <w:rStyle w:val="FootnoteAnchor"/>
          <w:rtl w:val="true"/>
        </w:rPr>
        <w:footnoteReference w:id="1022"/>
      </w:r>
      <w:r>
        <w:rPr>
          <w:rFonts w:ascii="Amiri" w:hAnsi="Amiri" w:eastAsia="Amiri" w:cs="Amiri"/>
          <w:color w:val="111111"/>
          <w:sz w:val="28"/>
          <w:sz w:val="28"/>
          <w:szCs w:val="28"/>
          <w:rtl w:val="true"/>
          <w:lang w:bidi="ar-SA"/>
        </w:rPr>
        <w:t>والنجاشي</w:t>
      </w:r>
      <w:r>
        <w:rPr>
          <w:rStyle w:val="FootnoteAnchor"/>
          <w:rtl w:val="true"/>
        </w:rPr>
        <w:footnoteReference w:id="1023"/>
      </w:r>
      <w:r>
        <w:rPr>
          <w:rFonts w:ascii="Amiri" w:hAnsi="Amiri" w:eastAsia="Amiri" w:cs="Amiri"/>
          <w:color w:val="111111"/>
          <w:sz w:val="28"/>
          <w:sz w:val="28"/>
          <w:szCs w:val="28"/>
          <w:rtl w:val="true"/>
          <w:lang w:bidi="ar-SA"/>
        </w:rPr>
        <w:t>لكن في توثيق العلّامة</w:t>
      </w:r>
      <w:r>
        <w:rPr>
          <w:rStyle w:val="FootnoteAnchor"/>
          <w:rtl w:val="true"/>
        </w:rPr>
        <w:footnoteReference w:id="1024"/>
      </w:r>
      <w:r>
        <w:rPr>
          <w:rFonts w:ascii="Amiri" w:hAnsi="Amiri" w:eastAsia="Amiri" w:cs="Amiri"/>
          <w:color w:val="111111"/>
          <w:sz w:val="28"/>
          <w:sz w:val="28"/>
          <w:szCs w:val="28"/>
          <w:rtl w:val="true"/>
          <w:lang w:bidi="ar-SA"/>
        </w:rPr>
        <w:t>والشهيد الثاني</w:t>
      </w:r>
      <w:r>
        <w:rPr>
          <w:rStyle w:val="FootnoteAnchor"/>
          <w:rtl w:val="true"/>
        </w:rPr>
        <w:footnoteReference w:id="1025"/>
      </w:r>
      <w:r>
        <w:rPr>
          <w:rFonts w:ascii="Amiri" w:hAnsi="Amiri" w:eastAsia="Amiri" w:cs="Amiri"/>
          <w:color w:val="111111"/>
          <w:sz w:val="28"/>
          <w:sz w:val="28"/>
          <w:szCs w:val="28"/>
          <w:rtl w:val="true"/>
          <w:lang w:bidi="ar-SA"/>
        </w:rPr>
        <w:t>كفاية لا سيّما مع أنّ الثاني قائل بلزوم البيّنة في الوثاقة، هذا مضافاً إلى ورود المدح فيه، وإلى عمل الأصحاب بها فلا أقلّ من كونها حسنة ومعتبرة إن لم تكن صحيحة، ومورد الرواية وإن كانت ذات الأقراء لكن ذات الشهور ملحقة بها فحوىً وإلغاءً، بل وعلّة؛ حيث إنّ اليأس شامل عرفاً لليأس عن الحيض بالفعل وهي ذات الأقراء، أو بالقوّة وهي ذات الشهور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أيضاً حكم فروع المسألة ممّا هو مذكور في المتن وغيره</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416697_2870459653"/>
      <w:bookmarkStart w:id="392" w:name="_Toc141"/>
      <w:bookmarkEnd w:id="391"/>
      <w:r>
        <w:rPr>
          <w:rtl w:val="true"/>
        </w:rPr>
        <w:t>عدّة الحامل</w:t>
      </w:r>
      <w:bookmarkEnd w:id="3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بقسميه بل ضرورة الفقه، والأصل في ذلك الكتاب والسنّة،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وَأُوْلَاتُ الْأَحْمَالِ أَجَلُهُنَّ أَن يَضَعْنَ حَمْلَهُنَّ</w:t>
      </w:r>
      <w:r>
        <w:rPr>
          <w:rFonts w:ascii="IRNazanin" w:hAnsi="IRNazanin" w:eastAsia="IRNazanin"/>
          <w:color w:val="111111"/>
          <w:sz w:val="28"/>
          <w:sz w:val="28"/>
          <w:szCs w:val="28"/>
          <w:rtl w:val="true"/>
          <w:lang w:bidi="fa-IR"/>
        </w:rPr>
        <w:t>،</w:t>
      </w:r>
      <w:r>
        <w:rPr>
          <w:rStyle w:val="FootnoteAnchor"/>
          <w:rtl w:val="true"/>
        </w:rPr>
        <w:footnoteReference w:id="1026"/>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w:t>
      </w:r>
      <w:r>
        <w:rPr>
          <w:rStyle w:val="FootnoteAnchor"/>
          <w:rtl w:val="true"/>
        </w:rPr>
        <w:footnoteReference w:id="1027"/>
      </w:r>
      <w:r>
        <w:rPr>
          <w:rFonts w:ascii="Amiri" w:hAnsi="Amiri" w:eastAsia="Amiri" w:cs="Amiri"/>
          <w:color w:val="111111"/>
          <w:sz w:val="28"/>
          <w:sz w:val="28"/>
          <w:szCs w:val="28"/>
          <w:rtl w:val="true"/>
          <w:lang w:bidi="ar-SA"/>
        </w:rPr>
        <w:t>فهي كثيرة يأتي في أثناء البحث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ولا خلاف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العدّة بالوضع في الجملة، وإنّما الخلاف والإشكال في أنّه العدّة مطلقاً وإن بلغ إلى ما دون سنةٍ أو أنّه عدّة فيما كان أقرب الأجلين منه ومن مضيّ الأقراء أو الأشهر؟ المشهور هو الأوّل، وعن الصدوق</w:t>
      </w:r>
      <w:r>
        <w:rPr>
          <w:rStyle w:val="FootnoteAnchor"/>
          <w:rtl w:val="true"/>
        </w:rPr>
        <w:footnoteReference w:id="1028"/>
      </w:r>
      <w:r>
        <w:rPr>
          <w:rFonts w:ascii="Amiri" w:hAnsi="Amiri" w:eastAsia="Amiri" w:cs="Amiri"/>
          <w:color w:val="111111"/>
          <w:sz w:val="28"/>
          <w:sz w:val="28"/>
          <w:szCs w:val="28"/>
          <w:rtl w:val="true"/>
          <w:lang w:bidi="ar-SA"/>
        </w:rPr>
        <w:t>وابن حمزة</w:t>
      </w:r>
      <w:r>
        <w:rPr>
          <w:rStyle w:val="FootnoteAnchor"/>
          <w:rtl w:val="true"/>
        </w:rPr>
        <w:footnoteReference w:id="1029"/>
      </w:r>
      <w:r>
        <w:rPr>
          <w:rFonts w:ascii="Amiri" w:hAnsi="Amiri" w:eastAsia="Amiri" w:cs="Amiri"/>
          <w:color w:val="111111"/>
          <w:sz w:val="28"/>
          <w:sz w:val="28"/>
          <w:szCs w:val="28"/>
          <w:rtl w:val="true"/>
          <w:lang w:bidi="ar-SA"/>
        </w:rPr>
        <w:t>هو الثاني، بل يظهر من السيّد</w:t>
      </w:r>
      <w:r>
        <w:rPr>
          <w:rStyle w:val="FootnoteAnchor"/>
          <w:rtl w:val="true"/>
        </w:rPr>
        <w:footnoteReference w:id="1030"/>
      </w:r>
      <w:r>
        <w:rPr>
          <w:rFonts w:ascii="Amiri" w:hAnsi="Amiri" w:eastAsia="Amiri" w:cs="Amiri"/>
          <w:color w:val="111111"/>
          <w:sz w:val="28"/>
          <w:sz w:val="28"/>
          <w:szCs w:val="28"/>
          <w:rtl w:val="true"/>
          <w:lang w:bidi="ar-SA"/>
        </w:rPr>
        <w:t>وابن إدريس</w:t>
      </w:r>
      <w:r>
        <w:rPr>
          <w:rStyle w:val="FootnoteAnchor"/>
          <w:rtl w:val="true"/>
        </w:rPr>
        <w:footnoteReference w:id="1031"/>
      </w:r>
      <w:r>
        <w:rPr>
          <w:rFonts w:ascii="Amiri" w:hAnsi="Amiri" w:eastAsia="Amiri" w:cs="Amiri"/>
          <w:color w:val="111111"/>
          <w:sz w:val="28"/>
          <w:sz w:val="28"/>
          <w:szCs w:val="28"/>
          <w:rtl w:val="true"/>
          <w:lang w:bidi="ar-SA"/>
        </w:rPr>
        <w:t>وجود مخالف غيرهما أيضاً وإن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 لظاهرالمقابلة الموجودة في الكتاب في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يَئسْنَ مِنَ الْمَحِيضِ مِن نِّسَائكُمْ إِنِ ارْتَبْتُمْ فَعِدَّتُهُنَّ ثَلَاثَةُ أَشْهُرٍ وَاللَّائي لَمْ يَحِضْنَ وَأُوْلَاتُ الْأَحْمَالِ أَجَلُهُنَّ أَن يَضَعْنَ حَمْلَهُنَّ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وفي الطائفتين من الروايات في عدّة الحبلى وعدّة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الأُولى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واحدة، فإذا وضعت ما في بطنها فقد بانت منه</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ومن الثانية صحيحة داود بن سرحان،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المطلّقة ثلاثة قروء أو ثلاثة أشهر إن لم تكن تحيض</w:t>
      </w:r>
      <w:r>
        <w:rPr>
          <w:rFonts w:eastAsia="IRNazanin" w:cs="IRNazanin"/>
          <w:color w:val="111111"/>
          <w:sz w:val="28"/>
          <w:szCs w:val="28"/>
          <w:rtl w:val="true"/>
          <w:lang w:bidi="fa-IR"/>
        </w:rPr>
        <w:t>».</w:t>
      </w:r>
      <w:r>
        <w:rPr>
          <w:rStyle w:val="FootnoteAnchor"/>
          <w:rtl w:val="true"/>
        </w:rPr>
        <w:footnoteReference w:id="103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والتعدّد غير مضرّ بفهم العرف، بل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لَهُنَّ أَنيَكْتُمْنَ مَا خَلَقَ اللهُ فِي أَرْحَامِهِنَّ</w:t>
      </w:r>
      <w:r>
        <w:rPr>
          <w:rStyle w:val="FootnoteAnchor"/>
          <w:rtl w:val="true"/>
        </w:rPr>
        <w:footnoteReference w:id="1035"/>
      </w:r>
      <w:r>
        <w:rPr>
          <w:rFonts w:ascii="Amiri" w:hAnsi="Amiri" w:eastAsia="Amiri" w:cs="Amiri"/>
          <w:color w:val="111111"/>
          <w:sz w:val="28"/>
          <w:sz w:val="28"/>
          <w:szCs w:val="28"/>
          <w:rtl w:val="true"/>
          <w:lang w:bidi="ar-SA"/>
        </w:rPr>
        <w:t>بعد الحكم بالتربّص ثلاثة قروء إشعار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وتدلّ على الثاني 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الحبلى واحدة، وأجلها أن تضع حملها وهو أقرب الأجلين</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الحبلى واحدة، وأجلها أن تضع حملها وهو أقرب الأجلين</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الصباح،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الحامل واحدة، وعدّتها أقرب الأجلين</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 السند في شرح النافع</w:t>
      </w:r>
      <w:r>
        <w:rPr>
          <w:rStyle w:val="FootnoteAnchor"/>
          <w:rtl w:val="true"/>
        </w:rPr>
        <w:footnoteReference w:id="1039"/>
      </w:r>
      <w:r>
        <w:rPr>
          <w:rFonts w:ascii="Amiri" w:hAnsi="Amiri" w:eastAsia="Amiri" w:cs="Amiri"/>
          <w:color w:val="111111"/>
          <w:sz w:val="28"/>
          <w:sz w:val="28"/>
          <w:szCs w:val="28"/>
          <w:rtl w:val="true"/>
          <w:lang w:bidi="ar-SA"/>
        </w:rPr>
        <w:t>استدلّ لهذا القول برواية الصباح ثمّ ردّها بضعف السند؛ لاشتماله على محمّد بن الفضيل، وهو مشترك</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واعترض عليه بورود صحيحتين أخريين بذلك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البعيد عدم اطّلاع السيّد السند على الصحيحتين بعد ما كانتا في الكافي</w:t>
      </w:r>
      <w:r>
        <w:rPr>
          <w:rStyle w:val="FootnoteAnchor"/>
          <w:rtl w:val="true"/>
        </w:rPr>
        <w:footnoteReference w:id="1041"/>
      </w:r>
      <w:r>
        <w:rPr>
          <w:rFonts w:ascii="Amiri" w:hAnsi="Amiri" w:eastAsia="Amiri" w:cs="Amiri"/>
          <w:color w:val="111111"/>
          <w:sz w:val="28"/>
          <w:sz w:val="28"/>
          <w:szCs w:val="28"/>
          <w:rtl w:val="true"/>
          <w:lang w:bidi="ar-SA"/>
        </w:rPr>
        <w:t>والتهذيب،</w:t>
      </w:r>
      <w:r>
        <w:rPr>
          <w:rStyle w:val="FootnoteAnchor"/>
          <w:rtl w:val="true"/>
        </w:rPr>
        <w:footnoteReference w:id="1042"/>
      </w:r>
      <w:r>
        <w:rPr>
          <w:rFonts w:ascii="Amiri" w:hAnsi="Amiri" w:eastAsia="Amiri" w:cs="Amiri"/>
          <w:color w:val="111111"/>
          <w:sz w:val="28"/>
          <w:sz w:val="28"/>
          <w:szCs w:val="28"/>
          <w:rtl w:val="true"/>
          <w:lang w:bidi="ar-SA"/>
        </w:rPr>
        <w:t xml:space="preserve">بل لعلّه كان الوجه في عدم التعرّض لهمااحتمال إرادة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الحمل أقرب العدّتين إمكاناً باعتبار إمكان حصوله بعد الطلاق بلحظة، والجملة صفة وبيان لخصوصيّة ثابتة في الوضع، فالواو استئنافيّة، فالوضع له هذه الخصوصيّة الإمكانيّة دون الثلاثة كما هو واضح، فإنّها أبعد الأجلين دائماً ومع الاحتمال لا يصحّ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الصباح</w:t>
      </w:r>
      <w:r>
        <w:rPr>
          <w:rStyle w:val="FootnoteAnchor"/>
          <w:rtl w:val="true"/>
        </w:rPr>
        <w:footnoteReference w:id="1043"/>
      </w:r>
      <w:r>
        <w:rPr>
          <w:rFonts w:ascii="Amiri" w:hAnsi="Amiri" w:eastAsia="Amiri" w:cs="Amiri"/>
          <w:color w:val="111111"/>
          <w:sz w:val="28"/>
          <w:sz w:val="28"/>
          <w:szCs w:val="28"/>
          <w:rtl w:val="true"/>
          <w:lang w:bidi="ar-SA"/>
        </w:rPr>
        <w:t xml:space="preserve">لابدّ من كون المراد من الجملة والأقربيّة فيه أقربيّة فعليّة ممكنة الثبوت لكلّ من الوضع والثلاثة، ولا موصوف حتّى تكون الجملة صفة ومحمولة على القوّة والإمكان، فالاستدلال به تامّ؛ فالدليل على قول الصدوق منحصر في الخبر، وهو غير قابل للاعتماد؛ لما ذكره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في السند، والصحيحتان تدلّان على القول المشهور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كلّه إلى هنا ظهر ضعف قول الصدوق،</w:t>
      </w:r>
      <w:r>
        <w:rPr>
          <w:rStyle w:val="FootnoteAnchor"/>
          <w:rtl w:val="true"/>
        </w:rPr>
        <w:footnoteReference w:id="1044"/>
      </w:r>
      <w:r>
        <w:rPr>
          <w:rFonts w:ascii="Amiri" w:hAnsi="Amiri" w:eastAsia="Amiri" w:cs="Amiri"/>
          <w:color w:val="111111"/>
          <w:sz w:val="28"/>
          <w:sz w:val="28"/>
          <w:szCs w:val="28"/>
          <w:rtl w:val="true"/>
          <w:lang w:bidi="ar-SA"/>
        </w:rPr>
        <w:t>لكنّه في الجواهر مع ذلك كلّه تقوية قوله وأنّ الإنصاف عدم خلوّ قوله من قوّة، ودونك عبارته،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الإنصاف عدم خلوّ قوله من قوّة، ضرورة كونه مقتضى الجمع بين الأدلّة كتاباً وسنّةً؛ إذ منها ما دلّ على اعتداد المطلّقة بالثلاثة، ومنها ما دلّ على اعتداد الحامل مطلّقة كانت أو غيرها بالوضع، فيكون أيّهما سبق يحصل به الاعتداد، نحوما سمعته في الثلاثة أشهر والأقراء، بعد القطع بعدم احتمال كونكلّ منهما عدّة في الطلاق كي يتوجّه الاعتداد حينئذٍ بأبعدهما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الصحيحان، فالمراد منهما الاعتداد بالوضع حال كونه أقرب الأجلين، فالجملة حاليّة، فيوافقان الخبر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بل جعلها مستأنفة لا حاصل له، ضرورة كون الموجود في الخارج منه كلاً من الأقرب والأبعد؛ إذ كما يمكن الوضع بعد لحظة يمكن تأخّره تسعة، بل يمكن القطع بفساد إرادة ذلك منهما، وكأنّ هذا هو الذي دعا المتأخّرين إلى الإطناب بفساد قول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غاية الضعف، إلّا أنّ الإنصاف خلافه، بل إن كان منشأ الشهرة هذا التوهّم الفاسد من الصحيحين كان قولهم بمكانة من الضعف، ضرورة عدم المعارض إلّا إطلاقات لا تصلح مقابلة للتصريح المصرّح به في المعتبر من النصوص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جيّداً </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الواردة في العدّة، من العدّة للحامل أو لذات الأقراء والأشهر كلّها في المطلّقة بلا فرق بينهما في ذلك أصلاً كما يظهر للمراجع إليها وإنّي على عجب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اعتداد الحامل مطلّقة كانت أو غيرها بالوضع</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واحتمال إرادته العموميّة في الكتاب فقط،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الظاهر منه المطلّقة هي المرويّة عن أئمّتنا علیهم السلام أيضاً، ففي مرسلة فضل بن الحسن الطبرسي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وَأُوْلَاتُ الْأَحْمَالِ أَجَلُهُنَّ أَن يَضَعْنَ حَمْلَهُنَّ</w:t>
      </w:r>
      <w:r>
        <w:rPr>
          <w:rStyle w:val="FootnoteAnchor"/>
          <w:rtl w:val="true"/>
        </w:rPr>
        <w:footnoteReference w:id="1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المطلّقات خاصّة، وهو المرويّ عن أئمّتنا</w:t>
      </w:r>
      <w:r>
        <w:rPr>
          <w:rFonts w:eastAsia="Amiri" w:cs="Amiri" w:ascii="Amiri" w:hAnsi="Amiri"/>
          <w:color w:val="111111"/>
          <w:sz w:val="28"/>
          <w:szCs w:val="28"/>
          <w:rtl w:val="true"/>
          <w:lang w:bidi="ar-SA"/>
        </w:rPr>
        <w:t>: .</w:t>
      </w:r>
      <w:r>
        <w:rPr>
          <w:rStyle w:val="FootnoteAnchor"/>
          <w:rtl w:val="true"/>
        </w:rPr>
        <w:footnoteReference w:id="10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الكتاب والسنّة المقابلة الدالّة على كون كلّ منهما عدّة خاصّة لطائفة من المطلّقات لا أنّهما عدّة لجميع المطلّقات فأيّهما سبق يحصل به الاعتداد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وإن سلّمنا ظهورها في الحاليّة ولكن الأقربيّة بالإضافة إلى الأقراء التي هي الأصل في العدّة لاالشهور التي هي عدّة بدليّة وعليه فإن قلنا أنّ الحامل حصول العدّة لها ممكن فالأقربيّة غالبيّة والاستدلال غير تمام أيضاً؛ حيث إنّ من المحتمل كون التقييد للاستئناس والتثبيت في ذهن المخاطب بأنّ العدّة بما هو الغالب والمفهوم في القيد منوط بإحراز الدخالة والقيديّة فمع احتمال التثبيت وأنّ الحكم للغائب دائماً لا مفهوم له والجملة صفة وبيان لخصوصيّة ثابتة في الوضع، فالواو استئنافيّة، وإلّا فهي دائميّة وعدم الدلالة عليها على قول الصدوق واضحة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الجملة حاليّة والمراد من الصحيحين الاعتداد بالوضع حال كونه أقرب الأجلين لا الاستئنافيّة والوصفيّة بالخاصّة الثابتة ففي محلّه، قضاءً لظهور الألفاظ في الفعليّة وما ذكره من عدم الحاصل فإنّما هو بالنسبة إلى الفعليّة لا الإمكانيّة كما لا يخفى، وعلى ذلك فالعمدة في عدم الاستدلال بهما إعراض الأصحاب والمخالفة لظاهر المقابلة في الكتاب والسنّة، بل ولظاهرهما من حيث الدلالة على أنّ الوضع عدّة فإنّه على الصحيحين ليس الوضع عدّة بل العدّة أقرب الأجلين كما هو صريحخبر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حتّى تقضي بأنّ الإنصاف هو إنصاف الجواهر</w:t>
      </w:r>
      <w:r>
        <w:rPr>
          <w:rStyle w:val="FootnoteAnchor"/>
          <w:rtl w:val="true"/>
        </w:rPr>
        <w:footnoteReference w:id="1049"/>
      </w:r>
      <w:r>
        <w:rPr>
          <w:rFonts w:ascii="Amiri" w:hAnsi="Amiri" w:eastAsia="Amiri" w:cs="Amiri"/>
          <w:color w:val="111111"/>
          <w:sz w:val="28"/>
          <w:sz w:val="28"/>
          <w:szCs w:val="28"/>
          <w:rtl w:val="true"/>
          <w:lang w:bidi="ar-SA"/>
        </w:rPr>
        <w:t xml:space="preserve">بالنسبة إلى دلالة الروايتين وضعف قولهم إن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 الشهرة حمل الجملة على غير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قيد الأقربيّة لرفع الاستعجاب من قلّة العدّة؛ حيث إنّها تحصل بالحمل ولو ساعة بعد الطلاق، والعجب في كونه عدّة مع الأقليّة من الثلاثة، فالتقييد ناظر إلى رفع ذلك الاستعجاب من جهة القلّة وليس ناظراً إلى جهة الكثرة، فلا دلالة في الأحاديث إلّا على قول الصدوق</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ويؤيّده التأكيد في خبر إسماعيل بذكر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1"/>
      </w:r>
      <w:r>
        <w:rPr>
          <w:rFonts w:ascii="IRNazanin" w:hAnsi="IRNazanin" w:eastAsia="IRNazanin"/>
          <w:color w:val="111111"/>
          <w:sz w:val="28"/>
          <w:sz w:val="28"/>
          <w:szCs w:val="28"/>
          <w:rtl w:val="true"/>
          <w:lang w:bidi="fa-IR"/>
        </w:rPr>
        <w:t>وبحصول البينونة وإن وضعت من ساعتها، وما رواه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طلّقت المرأة، وهي حامل فأجلها أن تضع حملها وإن وضعت من ساعتها</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للاستعجاب لا فتوىً ولا اعتباراً؛ أمّا الأُولی، فلقيام إجماع الفقهاء عامّة وخاصّة على كون عدّة الحبلى هي وضع الحمل، وأمّا الثانية، فلأنّ الحكمة استبراء الرحم، وأيّ استبراء أكمل من الوضع، والتأييد بالخبرين ففيه أنّهما ناظران إلى ما عن بعض العامّة من أنّ العدّة بالوضع والطهارة من النفاس، فالتأكيد ناظر إلى بطلان ذلك الرأي</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حكي عن الصدوق</w:t>
      </w:r>
      <w:r>
        <w:rPr>
          <w:rStyle w:val="FootnoteAnchor"/>
          <w:rtl w:val="true"/>
        </w:rPr>
        <w:footnoteReference w:id="1053"/>
      </w:r>
      <w:r>
        <w:rPr>
          <w:rFonts w:ascii="Amiri" w:hAnsi="Amiri" w:eastAsia="Amiri" w:cs="Amiri"/>
          <w:color w:val="111111"/>
          <w:sz w:val="28"/>
          <w:sz w:val="28"/>
          <w:szCs w:val="28"/>
          <w:rtl w:val="true"/>
          <w:lang w:bidi="ar-SA"/>
        </w:rPr>
        <w:t>وابن حمزة</w:t>
      </w:r>
      <w:r>
        <w:rPr>
          <w:rStyle w:val="FootnoteAnchor"/>
          <w:rtl w:val="true"/>
        </w:rPr>
        <w:footnoteReference w:id="1054"/>
      </w:r>
      <w:r>
        <w:rPr>
          <w:rFonts w:ascii="Amiri" w:hAnsi="Amiri" w:eastAsia="Amiri" w:cs="Amiri"/>
          <w:color w:val="111111"/>
          <w:sz w:val="28"/>
          <w:sz w:val="28"/>
          <w:szCs w:val="28"/>
          <w:rtl w:val="true"/>
          <w:lang w:bidi="ar-SA"/>
        </w:rPr>
        <w:t>من التفصيل بأنّ العدّة تتمّبالوضع من حيث رجوع الزوج دون الزوجة فلا يجوز لها التزوّج إلّا بعد ثلاثه أشهر، تفصيلٌ بلا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كان تامّاً أو غيره ولو كان مضغة أو علقة إن تحقّق أنّه 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لإطلاق الأدلّة، ولموثّقة عبد الرحمن بن الحجّاج،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الحبلى إذا طلّقها زوجها فوضعت سقطاً تمّ أو لم يتمّ أو وضعته مضغة؟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يستبين أنّه حمل تمّ أو لم يتمّ فقد انقضت عدّتها وإن كان مضغة</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لا ينبغي الكلام في مورد النصّ وهو المضغة، وأمّا العلقة والنطفة ففيهما الكلام وإن كان في الأخير أكثر لكن مع كونه مستقرّاً ومنشأ لآدمي وموجباً للدية في إسقاطه وإلّا فمع عدم المنشأيّة فلا عبرة به إجماعاً بقسميه وغير مشمول للأدلّة قطعاً، ففي المسالك</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فيه وجهان، من الشكّ في كونه قد صار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المعلوم عدم العبرة به مع الشكّ في كونه حملاً، ضرورة عدم تحقّق الاندراج في أولات الأحمال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عن ظاهر الشيخ الحكم</w:t>
      </w:r>
      <w:r>
        <w:rPr>
          <w:rStyle w:val="FootnoteAnchor"/>
          <w:rtl w:val="true"/>
        </w:rPr>
        <w:footnoteReference w:id="1057"/>
      </w:r>
      <w:r>
        <w:rPr>
          <w:rFonts w:ascii="Amiri" w:hAnsi="Amiri" w:eastAsia="Amiri" w:cs="Amiri"/>
          <w:color w:val="111111"/>
          <w:sz w:val="28"/>
          <w:sz w:val="28"/>
          <w:szCs w:val="28"/>
          <w:rtl w:val="true"/>
          <w:lang w:bidi="ar-SA"/>
        </w:rPr>
        <w:t>بانقضاء العدّة بها مطلقاً،</w:t>
      </w:r>
      <w:r>
        <w:rPr>
          <w:rStyle w:val="FootnoteAnchor"/>
          <w:rtl w:val="true"/>
        </w:rPr>
        <w:footnoteReference w:id="1058"/>
      </w:r>
      <w:r>
        <w:rPr>
          <w:rFonts w:ascii="Amiri" w:hAnsi="Amiri" w:eastAsia="Amiri" w:cs="Amiri"/>
          <w:color w:val="111111"/>
          <w:sz w:val="28"/>
          <w:sz w:val="28"/>
          <w:szCs w:val="28"/>
          <w:rtl w:val="true"/>
          <w:lang w:bidi="ar-SA"/>
        </w:rPr>
        <w:t>وفي الحدائق</w:t>
      </w:r>
      <w:r>
        <w:rPr>
          <w:rStyle w:val="FootnoteAnchor"/>
          <w:rtl w:val="true"/>
        </w:rPr>
        <w:footnoteReference w:id="1059"/>
      </w:r>
      <w:r>
        <w:rPr>
          <w:rFonts w:ascii="Amiri" w:hAnsi="Amiri" w:eastAsia="Amiri" w:cs="Amiri"/>
          <w:color w:val="111111"/>
          <w:sz w:val="28"/>
          <w:sz w:val="28"/>
          <w:szCs w:val="28"/>
          <w:rtl w:val="true"/>
          <w:lang w:bidi="ar-SA"/>
        </w:rPr>
        <w:t>الإشكال عليه للشكّ في كونه قد صار حملاً ويأتي مثل ذلك في العلقة من الدم التي لا تخطيط فيها ووافق الشيخ هنا جماعة من الأصحاب، منهم المحقّق</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المستفاد من كلماتهم أنّ النزاع لفظي والاختلاف في صدق الحمل عليها وعدمه، فإنّه الموضوع في الأدلّة، والظاهرهوالصدق، كما أنّه على تسليم </w:t>
      </w:r>
      <w:bookmarkStart w:id="393" w:name="pg9375_99660"/>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تنقضي العدّة بالوضع إذا كان الحمل ملحقاً بمن له العدّة، فلا عبرة بوضع من لم يلحق به في انقضاء عدّته، فلو كانت حاملاً من زنا قبل الطلاق أو بعده لم تخرج منها به، بل يكون انقضاؤها بالأقراء والشهور كغير الحامل، فوضع الحمل لا أثر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حملت من وطء الشبهة قبل الطلاق أو بعده بحيث يلحق الولد بالواطئ لا بالزوج فوضعه سبب لانقضاء العدّة بالنسبة إليه لا الزوج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الصدق فحكمه كذلك أيضاً لإلغاء الخصوصيّة من الحمل إلى منشأه والعلقة مثلها كلاماً وحكماً ودليلاً وإلغاءً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فقهي وذلك لدلالة الموثّقة على أنّ المقدّر الأقلّ فيها المضغة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تعارضا بين الكلّي والمثال أي الممثل والمثال، فظاهر المثال أنّه الأقلّ وليس دونه الحمل وظاهر الممثّل الأعميّة وأنّ المعيار هو الحمل فالتعارض كالتعارض بين الصدر والذيل وأظهريّة الصدر غير 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النقض بالمذكور في كلام الأصحاب وهو العلقة، مع أنّ ذكر المضعة في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لذكرها في السؤال فلا مفهوم له</w:t>
      </w:r>
      <w:r>
        <w:rPr>
          <w:rFonts w:eastAsia="IRNazanin" w:cs="IRNazanin"/>
          <w:color w:val="111111"/>
          <w:sz w:val="28"/>
          <w:szCs w:val="28"/>
          <w:rtl w:val="true"/>
          <w:lang w:bidi="fa-IR"/>
        </w:rPr>
        <w:t>.</w:t>
      </w:r>
    </w:p>
    <w:p>
      <w:pPr>
        <w:pStyle w:val="Heading3"/>
        <w:numPr>
          <w:ilvl w:val="2"/>
          <w:numId w:val="1"/>
        </w:numPr>
        <w:rPr/>
      </w:pPr>
      <w:bookmarkStart w:id="394" w:name="__RefHeading___Toc5416699_2870459653"/>
      <w:bookmarkStart w:id="395" w:name="_Toc142"/>
      <w:bookmarkEnd w:id="394"/>
      <w:r>
        <w:rPr>
          <w:rtl w:val="true"/>
        </w:rPr>
        <w:t>عدّة المطلّقة الحامل بالزنا</w:t>
      </w:r>
      <w:bookmarkEnd w:id="39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لانصراف الأدلّة من الكتاب والسنّة، إلى وضع الحمل من المطلّق ومن الحقّ به، وهو مؤيّد بعدم تداخل عدّة الوطء بالشبهة والنكاح فإنّه ظاهر في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عدم العدّة للزنا لعدم الحرمةللبغي كما مرّ</w:t>
      </w:r>
      <w:r>
        <w:rPr>
          <w:rStyle w:val="FootnoteAnchor"/>
          <w:rtl w:val="true"/>
        </w:rPr>
        <w:footnoteReference w:id="1061"/>
      </w:r>
      <w:r>
        <w:rPr>
          <w:rFonts w:ascii="Amiri" w:hAnsi="Amiri" w:eastAsia="Amiri" w:cs="Amiri"/>
          <w:color w:val="111111"/>
          <w:sz w:val="28"/>
          <w:sz w:val="28"/>
          <w:szCs w:val="28"/>
          <w:rtl w:val="true"/>
          <w:lang w:bidi="ar-SA"/>
        </w:rPr>
        <w:t>فلا تنقضي عدّة الطلاق به</w:t>
      </w:r>
      <w:r>
        <w:rPr>
          <w:rFonts w:eastAsia="Amiri" w:cs="Amiri" w:ascii="Amiri" w:hAnsi="Amiri"/>
          <w:color w:val="111111"/>
          <w:sz w:val="28"/>
          <w:szCs w:val="28"/>
          <w:rtl w:val="true"/>
          <w:lang w:bidi="ar-SA"/>
        </w:rPr>
        <w:t xml:space="preserve">. </w:t>
      </w:r>
      <w:bookmarkStart w:id="396" w:name="pg9375_99662"/>
    </w:p>
    <w:p>
      <w:pPr>
        <w:pStyle w:val="BookText"/>
        <w:rPr/>
      </w:pPr>
      <w:bookmarkEnd w:id="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حاملاً باثنين فالأقوى عدم البينونة إلّا بوضعهما، فللزوج الرجوع بعد وضع الأوّل، لكن لا ينبغي ترك الاحتياط، ولا تنكح زوجاً إلّا بعد وضعهما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كشف اللثام</w:t>
      </w:r>
      <w:r>
        <w:rPr>
          <w:rStyle w:val="FootnoteAnchor"/>
          <w:rtl w:val="true"/>
        </w:rPr>
        <w:footnoteReference w:id="1062"/>
      </w:r>
      <w:r>
        <w:rPr>
          <w:rFonts w:ascii="IRNazanin" w:hAnsi="IRNazanin" w:eastAsia="IRNazanin"/>
          <w:color w:val="111111"/>
          <w:sz w:val="28"/>
          <w:sz w:val="28"/>
          <w:szCs w:val="28"/>
          <w:rtl w:val="true"/>
          <w:lang w:bidi="fa-IR"/>
        </w:rPr>
        <w:t>والجواهر</w:t>
      </w:r>
      <w:r>
        <w:rPr>
          <w:rStyle w:val="FootnoteAnchor"/>
          <w:rtl w:val="true"/>
        </w:rPr>
        <w:footnoteReference w:id="1063"/>
      </w:r>
      <w:r>
        <w:rPr>
          <w:rFonts w:ascii="Amiri" w:hAnsi="Amiri" w:eastAsia="Amiri" w:cs="Amiri"/>
          <w:color w:val="111111"/>
          <w:sz w:val="28"/>
          <w:sz w:val="28"/>
          <w:szCs w:val="28"/>
          <w:rtl w:val="true"/>
          <w:lang w:bidi="ar-SA"/>
        </w:rPr>
        <w:t>الاستدلال بعدم كفاية الوضع من الزنا بأنّ العدّة لاستبراء الرحم ووضع الحمل من الزنا غير كافٍ فيه، ومرادهما غير معلوم، لوضوح حصول الاستبراء بالوضع،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انعقاد نطفة بالزنا ونطفة بالنكاح فبوضع الأوّل لا تنقضى العدّة</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416701_2870459653"/>
      <w:bookmarkStart w:id="398" w:name="_Toc143"/>
      <w:bookmarkEnd w:id="397"/>
      <w:r>
        <w:rPr>
          <w:rtl w:val="true"/>
        </w:rPr>
        <w:t>عدّة الحامل بالاثنين</w:t>
      </w:r>
      <w:bookmarkEnd w:id="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خلافٌ، فعن غير واحد من الأصحاب، بل المعروف بينهم انقضائها بوضعهما، وعن بعضهم حصول البينونة بالأوّل، وأمّا تزويجها بالآخر فبوضع الثاني، وهو مختار الشيخ في النهاية</w:t>
      </w:r>
      <w:r>
        <w:rPr>
          <w:rStyle w:val="FootnoteAnchor"/>
          <w:rtl w:val="true"/>
        </w:rPr>
        <w:footnoteReference w:id="1064"/>
      </w:r>
      <w:r>
        <w:rPr>
          <w:rFonts w:ascii="Amiri" w:hAnsi="Amiri" w:eastAsia="Amiri" w:cs="Amiri"/>
          <w:color w:val="111111"/>
          <w:sz w:val="28"/>
          <w:sz w:val="28"/>
          <w:szCs w:val="28"/>
          <w:rtl w:val="true"/>
          <w:lang w:bidi="ar-SA"/>
        </w:rPr>
        <w:t>وكذا ابن حمزة</w:t>
      </w:r>
      <w:r>
        <w:rPr>
          <w:rStyle w:val="FootnoteAnchor"/>
          <w:rtl w:val="true"/>
        </w:rPr>
        <w:footnoteReference w:id="1065"/>
      </w:r>
      <w:r>
        <w:rPr>
          <w:rFonts w:ascii="Amiri" w:hAnsi="Amiri" w:eastAsia="Amiri" w:cs="Amiri"/>
          <w:color w:val="111111"/>
          <w:sz w:val="28"/>
          <w:sz w:val="28"/>
          <w:szCs w:val="28"/>
          <w:rtl w:val="true"/>
          <w:lang w:bidi="ar-SA"/>
        </w:rPr>
        <w:t>وصاحبي الحدائق</w:t>
      </w:r>
      <w:r>
        <w:rPr>
          <w:rStyle w:val="FootnoteAnchor"/>
          <w:rtl w:val="true"/>
        </w:rPr>
        <w:footnoteReference w:id="1066"/>
      </w:r>
      <w:r>
        <w:rPr>
          <w:rFonts w:ascii="IRNazanin" w:hAnsi="IRNazanin" w:eastAsia="IRNazanin"/>
          <w:color w:val="111111"/>
          <w:sz w:val="28"/>
          <w:sz w:val="28"/>
          <w:szCs w:val="28"/>
          <w:rtl w:val="true"/>
          <w:lang w:bidi="fa-IR"/>
        </w:rPr>
        <w:t>والوسائل</w:t>
      </w:r>
      <w:r>
        <w:rPr>
          <w:rFonts w:eastAsia="IRNazanin" w:cs="IRNazanin"/>
          <w:color w:val="111111"/>
          <w:sz w:val="28"/>
          <w:szCs w:val="28"/>
          <w:rtl w:val="true"/>
          <w:lang w:bidi="fa-IR"/>
        </w:rPr>
        <w:t>.</w:t>
      </w:r>
      <w:r>
        <w:rPr>
          <w:rStyle w:val="FootnoteAnchor"/>
          <w:rtl w:val="true"/>
        </w:rPr>
        <w:footnoteReference w:id="106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للمشهور بظاهر الأدلّة وبالاستصحاب والاحتياط، وللثاني برواية عبد الرحمن بن البصري،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عنرجل طلّق امرأته، وهي حبلى وكان في بطنها اثنان فوضعت واحداً وبقي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تبين بالأوّل ولا </w:t>
      </w:r>
      <w:bookmarkStart w:id="399" w:name="pg9375_99664"/>
    </w:p>
    <w:p>
      <w:pPr>
        <w:pStyle w:val="BookText"/>
        <w:rPr/>
      </w:pPr>
      <w:bookmarkEnd w:id="3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فحملت وأُلحق الولد بالواطء لبُعد الزوج عنها أو لغير ذلك، ثمّ طلّقها أو وطئت شبهة بعد الطلاق على نحو ألحق الولد بالواطء كانت عليها 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لوطء الشبهة تنقضي بالوضع، وعدّة للطلاق تستأنفها فيما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 للأزواج حتّى تضع ما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كالنصّ بل نصّ في المسألة، لكن في سندها الضعف بجعفر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ظهر حكم فروع أُخرى كخروج بعض الولد وموتها وعدم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 به للمشهور يظهر حكم خروج بعض الولد، فالعدّة غير منقضية وأحكام الزوجيّة مع رجعيّة الطلاق مترتّبة، فإن مات الزوجة في تلك الحال يرثه الزوج ويكون محرّماً لها وأولى بغسلها ودفنها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الباقي جزءاً غير معتدّ به كإصبع مقطوع من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اعتداد به والانقضاء بصدق الوضع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الإخراج بالعلاج من غير المجرى الطبيعي بالقيصريّة أو الإخراج وجعله في الأنابيب الطبيّة كالوضع الطبيعي والعادي، قضاءً للفحوى وإلغاءً الخصوصيّة فإنّ المناط خروج الولد واستبراء الرحم وذلك حاصل بالإخراج كالوضع من دون فرق بينهما</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416703_2870459653"/>
      <w:bookmarkStart w:id="401" w:name="_Toc144"/>
      <w:bookmarkEnd w:id="400"/>
      <w:r>
        <w:rPr>
          <w:rtl w:val="true"/>
        </w:rPr>
        <w:t>عدّة المطلّقة الموطوءة بالشبهة</w:t>
      </w:r>
      <w:bookmarkEnd w:id="40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في تداخل عدّتي الطلاق والشبهة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هو المشهور بل عن الخلاف الإجماع عليه،</w:t>
      </w:r>
      <w:r>
        <w:rPr>
          <w:rStyle w:val="FootnoteAnchor"/>
          <w:rtl w:val="true"/>
        </w:rPr>
        <w:footnoteReference w:id="1068"/>
      </w:r>
      <w:r>
        <w:rPr>
          <w:rFonts w:ascii="IRNazanin" w:hAnsi="IRNazanin" w:eastAsia="IRNazanin"/>
          <w:color w:val="111111"/>
          <w:sz w:val="28"/>
          <w:sz w:val="28"/>
          <w:szCs w:val="28"/>
          <w:rtl w:val="true"/>
          <w:lang w:bidi="fa-IR"/>
        </w:rPr>
        <w:t xml:space="preserve">لكنّ المحکيّ عن أبي علي والصدوق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موضع من مقنعه</w:t>
      </w:r>
      <w:r>
        <w:rPr>
          <w:rStyle w:val="FootnoteAnchor"/>
          <w:rtl w:val="true"/>
        </w:rPr>
        <w:footnoteReference w:id="1069"/>
      </w:r>
      <w:r>
        <w:rPr>
          <w:rFonts w:ascii="Amiri" w:hAnsi="Amiri" w:eastAsia="Amiri" w:cs="Amiri"/>
          <w:color w:val="111111"/>
          <w:sz w:val="28"/>
          <w:sz w:val="28"/>
          <w:szCs w:val="28"/>
          <w:rtl w:val="true"/>
          <w:lang w:bidi="ar-SA"/>
        </w:rPr>
        <w:t>الأوّل؛ أي التداخل، فعلى المشهور لو وطئت المرأة شبهة والحقّ الولد بالواطي لبعد الزوج عنها ونحوه ممّا يعلم به عدم كونه له ثمّ طلّقها الزوج اعتدّت بالوضع من الواطي ثمّ استأنفت عدّة الطلاق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تأخّر دم النفاس عنه لحظة حسب قرءاً من العدّة الثانية وإلّا كان ابتداء العدّة بعده، بل لو فرض تأخّر الوطى‌ء المزبور عن الطلاق كان الحكم كذلك أيضاً لعدم إمكان تأخير عدّته التي هي وضع الحمل فليس حينئذٍ إلّا تأخير اكمال عدّة الطلاق على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القاعدة، فإنّ تعدّد السبب موجبٌ لتعدّد المسبّب والتداخل محتاجٌ إلى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أربعة، اثنان منها عن السيّد المرتضى في الطبريّات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امرأة نكحت في العدّة ففرّق بينهما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في عدّتها فإن لم يدخل بها زوجها الذي تزوّجها فإنّها تعتدّ من الأوّل، ولاعدّة عليها للثاني، وكان خاطباً من الخطّاب، وإن كان دخل بها فرّق بينهما، وتأتي ببقيّة العدّة عن الأوّل ثمّ تأتي عن الثاني بثلاثة أقراء مستقبلة</w:t>
      </w:r>
      <w:r>
        <w:rPr>
          <w:rFonts w:eastAsia="IRNazanin" w:cs="IRNazanin"/>
          <w:color w:val="111111"/>
          <w:sz w:val="28"/>
          <w:szCs w:val="28"/>
          <w:rtl w:val="true"/>
          <w:lang w:bidi="fa-IR"/>
        </w:rPr>
        <w:t>».</w:t>
      </w:r>
      <w:r>
        <w:rPr>
          <w:rStyle w:val="FootnoteAnchor"/>
          <w:rtl w:val="true"/>
        </w:rPr>
        <w:footnoteReference w:id="107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مثل ذلك بعينه عن عمر وأنّ طليحة كانت تحت رشيدالثقفي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فطلّقها، فنكحت في العدّة، فضربها عمر، وضرب زوجها بمخفقة وفرّق بينهما،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في عدّتها فإن لم يدخل بها زوجها الذي تزوّجها فإنّها تعتدّ عن الأوّل، ولا عدّة عليها للثاني، وكان خاطباً من الخُطّاب، وإن كان دخل بها فرّق بينهما، وأتت ببقيّة عدّة الأوّل، ثمّ تعتدّ عن الثاني، ولا تحلّ له أبداً</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لم يظهر خلاف لما فعل فصار إجماعاً</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الحبلى يموت زوجها فتضع وتزوّج قبل أن تمضي لها أربعة أشهر وعشراً؟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دخل بها فرّق بينهما ولم تحلّ له أبداً واعتدّت بما بقي عليها من الأوّل واستقبلت عدّة أُخرى من الآخر ثلاثة قروء، وإن لم يكن دخل بها فرّق بينهما واعتدّت بما بقي عليها من الأوّل وهو خاطب من الخطّاب</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 الكريم، عن محمّد بن مسلم،</w:t>
      </w:r>
      <w:r>
        <w:rPr>
          <w:rStyle w:val="FootnoteAnchor"/>
          <w:rtl w:val="true"/>
        </w:rPr>
        <w:footnoteReference w:id="1074"/>
      </w:r>
      <w:r>
        <w:rPr>
          <w:rFonts w:ascii="Amiri" w:hAnsi="Amiri" w:eastAsia="Amiri" w:cs="Amiri"/>
          <w:color w:val="111111"/>
          <w:sz w:val="28"/>
          <w:sz w:val="28"/>
          <w:szCs w:val="28"/>
          <w:rtl w:val="true"/>
          <w:lang w:bidi="ar-SA"/>
        </w:rPr>
        <w:t>وهو مثل الصحيحة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بإجماع الأصحاب أيضاً </w:t>
      </w:r>
      <w:r>
        <w:rPr>
          <w:rStyle w:val="FootnoteAnchor"/>
          <w:rtl w:val="true"/>
        </w:rPr>
        <w:footnoteReference w:id="1075"/>
      </w:r>
      <w:r>
        <w:rPr>
          <w:rFonts w:ascii="Amiri" w:hAnsi="Amiri" w:eastAsia="Amiri" w:cs="Amiri"/>
          <w:color w:val="111111"/>
          <w:sz w:val="28"/>
          <w:sz w:val="28"/>
          <w:szCs w:val="28"/>
          <w:rtl w:val="true"/>
          <w:lang w:bidi="ar-SA"/>
        </w:rPr>
        <w:t xml:space="preserve">وعلى الآخر؛ أي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البراءة المقطوعة بما عرفت وإلى حصول العلم بالبراءة بالاعتداد بأطولهما المردود بأنّها حكمة 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العبّاس البقباق،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الثانية،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نعي إليها زوجها، فاعتدّت وتزوّجت فجاء زوجها الأوّل ففارقها الآخر كم تعتدّ للثاني؟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قروء، وإنّما يستبرء رحمها بثلاثة قروء وتحلّ للناس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عدّتين، من كلّ واحد عدّة، فأبى ذلك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ثلاثة قروء وتحلّ للرجال</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وهذه الروايات وإن كانت دلالتها كسندها تامّة، لكنّها لإعراض الأصحاب عنها غير قابلة للاعتماد؛ فإنّ إعراضهم عنها، مع كونها بمرأى ومنظر منهم، ومع ما في الصحيحة الثانية من أنّ التعدّد مذهب العامّةالمقرِّب للحمل على التقيّة، كاشفٌ عن 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كاشفاً مع أنّهم عمد الفقه وفيهم أئمّة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عدم الدقّة والتحقيق للحدائق وإن كان محيطاً بالأخبار والآثار ومطّلعاً عليها، ففيه قال في آخر المسألة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وبالجمله، فإنّهم لقصور تتبّعهم للأخبار يقعون في مثل هذا وأمثاله</w:t>
      </w:r>
      <w:r>
        <w:rPr>
          <w:rFonts w:eastAsia="Amiri" w:cs="Amiri" w:ascii="Amiri" w:hAnsi="Amiri"/>
          <w:color w:val="111111"/>
          <w:sz w:val="28"/>
          <w:szCs w:val="28"/>
          <w:rtl w:val="true"/>
          <w:lang w:bidi="ar-SA"/>
        </w:rPr>
        <w:t>.</w:t>
      </w:r>
      <w:r>
        <w:rPr>
          <w:rStyle w:val="FootnoteAnchor"/>
          <w:rtl w:val="true"/>
        </w:rPr>
        <w:footnoteReference w:id="1079"/>
      </w:r>
      <w:bookmarkStart w:id="402" w:name="pg9375_99671"/>
    </w:p>
    <w:p>
      <w:pPr>
        <w:pStyle w:val="BookText"/>
        <w:rPr/>
      </w:pPr>
      <w:bookmarkEnd w:id="402"/>
      <w:r>
        <w:rPr>
          <w:rFonts w:ascii="Amiri" w:hAnsi="Amiri" w:eastAsia="Amiri" w:cs="Amiri"/>
          <w:color w:val="111111"/>
          <w:sz w:val="28"/>
          <w:sz w:val="28"/>
          <w:szCs w:val="28"/>
          <w:rtl w:val="true"/>
          <w:lang w:bidi="ar-SA"/>
        </w:rPr>
        <w:t>وكان مدّتها بعد انقضاء نفاسها إذا اتّصل بالوضع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تأخّر دم النفاس يحسب النقاء المتخلل بين الوضع والدم قرءاً من العدّة الثانية ولو كان بلحظة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المطلّقة الحامل أنّها وضعت فانقضت عدّتها وأنكر الزوج أو انعكس فادّعى الوضع وانقضاء العدّة وأنكرت هي أو ادّعت الحمل وأنكر أو ادّعت الحمل والوضع معاً وأنكرهما يقدّم قولها بيمينها بالنسبة إلى بقاء العدّة والخروج منها لا بالنسبة إلى آثار الحمل غير ما ذكر على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أمثال هذه الكلمات ونسأل الله الهداية إلى الطيّب من القول وإلى صراط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العدة هي الطهر ثلاثاً والنفاس ليس بطهر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كما هو مقتضى القواعد وهو واضح</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416705_2870459653"/>
      <w:bookmarkStart w:id="404" w:name="_Toc145"/>
      <w:bookmarkEnd w:id="403"/>
      <w:r>
        <w:rPr>
          <w:rtl w:val="true"/>
        </w:rPr>
        <w:t>في ادّعاء الوضع أو الحمل</w:t>
      </w:r>
      <w:bookmarkEnd w:id="4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السماع بالنسبة إلى سائر آثار الحمل موافق للقواعد حيث إنّ اليمين على المنكر فلابدّ من انطباقه على أحدهما بالموازين المذكورة في القضاء كالمطابقة للأصل أو الظاهر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السماع بالنسبة إلى بقاء العدّة والخروج منها لأنّها المؤتمنة على فعلها حيث إنّها ذات يد فيصدّق قولها فيها، وعليه ظاهر الأصحاب والأخبار، ففي 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والحيض للنساء إذا ادّعتصدّقت</w:t>
      </w:r>
      <w:r>
        <w:rPr>
          <w:rFonts w:eastAsia="IRNazanin" w:cs="IRNazanin"/>
          <w:color w:val="111111"/>
          <w:sz w:val="28"/>
          <w:szCs w:val="28"/>
          <w:rtl w:val="true"/>
          <w:lang w:bidi="fa-IR"/>
        </w:rPr>
        <w:t>».</w:t>
      </w:r>
      <w:r>
        <w:rPr>
          <w:rStyle w:val="FootnoteAnchor"/>
          <w:rtl w:val="true"/>
        </w:rPr>
        <w:footnoteReference w:id="108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مجمع البيان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يَحِلُّ لَهُنَّ أَن يَكْتُمْنَ مَا</w:t>
      </w:r>
      <w:bookmarkStart w:id="405" w:name="pg9375_99674"/>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الزوجان على إيقاع الطلاق ووضع الحمل واختلفا في المتقدّم والمتأخّر؛ فقال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بعد الطلاق فانقضت 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قبله وأنا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انعكس، لا يبعد تقديم قولها في بقاء العدّة والخروج منها مطلقاً من غير فرق بين ما لم يتّفقا على زمان أحدهما أو اتّفقا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طلّقت الحائل أو انفسخ نكاحها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خَلَقَ اللّهُ فِي أَرْحَامِهِنَّ</w:t>
      </w:r>
      <w:r>
        <w:rPr>
          <w:rStyle w:val="FootnoteAnchor"/>
          <w:rtl w:val="true"/>
        </w:rPr>
        <w:footnoteReference w:id="10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فوّض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والحمل</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وجملة من الأصحاب قد استدلّوا بالآية المذكورة بتقريب أنّه لولا قبول قولهنّ في ذلك لم يؤتمن في الكتمان، والأخبار</w:t>
      </w:r>
      <w:r>
        <w:rPr>
          <w:rStyle w:val="FootnoteAnchor"/>
          <w:rtl w:val="true"/>
        </w:rPr>
        <w:footnoteReference w:id="1083"/>
      </w:r>
      <w:r>
        <w:rPr>
          <w:rFonts w:ascii="Amiri" w:hAnsi="Amiri" w:eastAsia="Amiri" w:cs="Amiri"/>
          <w:color w:val="111111"/>
          <w:sz w:val="28"/>
          <w:sz w:val="28"/>
          <w:szCs w:val="28"/>
          <w:rtl w:val="true"/>
          <w:lang w:bidi="ar-SA"/>
        </w:rPr>
        <w:t>وإن قلنا بأنّها راجعة إلى عدم المنازع لكنّ الظاهر عدم الفرق بينه وبين وجود المنازع إلّا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لعدم حجيّة أصالة تأخّر الحادث وأمّا أصل القبول فمرّ وجهه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416707_2870459653"/>
      <w:bookmarkStart w:id="407" w:name="_Toc146"/>
      <w:bookmarkEnd w:id="406"/>
      <w:r>
        <w:rPr>
          <w:rtl w:val="true"/>
        </w:rPr>
        <w:t>أصناف الحائل وأحكامها</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متعرّضة لبيان العدّة في ثلاثة أصناف من النساء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مستقيمة الحيض المفسّرة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إنّ الطهرالفاصل بين حيضتين أقلّ من ثلاثة أشهر</w:t>
      </w:r>
      <w:r>
        <w:rPr>
          <w:rFonts w:eastAsia="Amiri" w:cs="Amiri" w:ascii="Amiri" w:hAnsi="Amiri"/>
          <w:color w:val="111111"/>
          <w:sz w:val="28"/>
          <w:szCs w:val="28"/>
          <w:rtl w:val="true"/>
          <w:lang w:bidi="ar-SA"/>
        </w:rPr>
        <w:t xml:space="preserve">». </w:t>
      </w:r>
      <w:bookmarkStart w:id="408" w:name="pg9375_99675"/>
    </w:p>
    <w:p>
      <w:pPr>
        <w:pStyle w:val="BookText"/>
        <w:rPr/>
      </w:pPr>
      <w:bookmarkEnd w:id="4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في سنّ من تحيض ولا تحيض إمّا لعدم بلوغها سنّ المتعارف في الحيض وإمّا لانقطاعها بجهة من الجهات المذكورة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تحيض ولكنّ الفصل بين حيضتين يكون أزيد من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البحث ينبغي التعرّض لبعض الأُمور</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5416709_2870459653"/>
      <w:bookmarkStart w:id="410" w:name="_Toc147"/>
      <w:bookmarkEnd w:id="409"/>
      <w:r>
        <w:rPr>
          <w:rtl w:val="true"/>
        </w:rPr>
        <w:t>معنی القرء لفظاً</w:t>
      </w:r>
      <w:bookmarkEnd w:id="41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بل الظاهر أنّ القرء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مشترك بين الطهر والحيض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يجمع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 الاستعمال فيهما بلا رعاية العلاقة وبالسويّة،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بنت أبي حبيش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عمر وقد طلّق امرأته في الحيض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السنّة أن تستقبل بها الطهر ثمّ يطلقّها في كلّ قرء طلّقة</w:t>
      </w:r>
      <w:r>
        <w:rPr>
          <w:rFonts w:eastAsia="IRNazanin" w:cs="IRNazanin"/>
          <w:color w:val="111111"/>
          <w:sz w:val="28"/>
          <w:szCs w:val="28"/>
          <w:rtl w:val="true"/>
          <w:lang w:bidi="fa-IR"/>
        </w:rPr>
        <w:t>».</w:t>
      </w:r>
      <w:r>
        <w:rPr>
          <w:rStyle w:val="FootnoteAnchor"/>
          <w:rtl w:val="true"/>
        </w:rPr>
        <w:footnoteReference w:id="1085"/>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المرأة فهي مقرء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وإذا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والقرء فيه لغتان، الفتح، وجمعه قروء وأقرؤ، مثل فلس وفلوس وأفلس، والضمّ ويجمع على أقراء مثل قفل وأقفال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أئمّةاللغة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الطهر والحيض، وحكاه ابن فارس أيضاً</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إن لم يكن دليلاً على قول المشهور فلا أقلّ من كونه مؤيّداً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ليسوا بأهل لبيان الحقيقة والمجاز، بل أهل لبيان مورد الاستعمال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الظاهر من تعبيره بالإطلاق عليهما هو كونه حقيقة فيهما وإلّا فلا 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ويجمع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كحرب وحروب، وضرب وضروب، وبالضمّ الحيض، وجمعه أقراء كقفل وأقفال، لكن الشهرة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عبارة المصباح المنير</w:t>
      </w:r>
      <w:r>
        <w:rPr>
          <w:rStyle w:val="FootnoteAnchor"/>
          <w:rtl w:val="true"/>
        </w:rPr>
        <w:footnoteReference w:id="1087"/>
      </w:r>
      <w:r>
        <w:rPr>
          <w:rFonts w:ascii="IRNazanin" w:hAnsi="IRNazanin" w:eastAsia="IRNazanin"/>
          <w:color w:val="111111"/>
          <w:sz w:val="28"/>
          <w:sz w:val="28"/>
          <w:szCs w:val="28"/>
          <w:rtl w:val="true"/>
          <w:lang w:bidi="fa-IR"/>
        </w:rPr>
        <w:t>من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ممّا ذكرنا ضعف الاستدلال في كونه مجازاً في الطهر، بكون المجاز خيراً من الاشتراك اللفظي؛ لأنّه لا اعتبار بهذه الاعتبارات في نفسها، فضلاً عن مورد ذكر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مشتركاً معنويّاً فهو أضعف من الاشتراك اللفظي؛ لبعد الجامع بينهما وغربته في الأذهان وإن ذكره المسالك، فراجعه إن شئت</w:t>
      </w:r>
      <w:r>
        <w:rPr>
          <w:rFonts w:eastAsia="Amiri" w:cs="Amiri" w:ascii="Amiri" w:hAnsi="Amiri"/>
          <w:color w:val="111111"/>
          <w:sz w:val="28"/>
          <w:szCs w:val="28"/>
          <w:rtl w:val="true"/>
          <w:lang w:bidi="ar-SA"/>
        </w:rPr>
        <w:t>.</w:t>
      </w:r>
      <w:r>
        <w:rPr>
          <w:rStyle w:val="FootnoteAnchor"/>
          <w:rtl w:val="true"/>
        </w:rPr>
        <w:footnoteReference w:id="108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البحث ليس بأزيد من بحث أدبيّ؛ لعدم ترتّب ثمرة فقهيّة عليه، لتصريح النصّ والفتوى بكون المراد من القروء في العدّة الأطهار، فلا فرق بين كون القرء مشتركاً لفظيّاً أو معنويّاً أو حقيقةً ومجازاً، كما لافرق بين القول باختلاف معنى القرء بالفتح والضمّ، وأنّ الأوّل للحيض ويجمع على أقراء، والثاني للطهر ويجمع على قروء والقول باتّحادهما</w:t>
      </w:r>
      <w:r>
        <w:rPr>
          <w:rFonts w:eastAsia="Amiri" w:cs="Amiri" w:ascii="Amiri" w:hAnsi="Amiri"/>
          <w:color w:val="111111"/>
          <w:sz w:val="28"/>
          <w:szCs w:val="28"/>
          <w:rtl w:val="true"/>
          <w:lang w:bidi="ar-SA"/>
        </w:rPr>
        <w:t xml:space="preserve">. </w:t>
      </w:r>
      <w:bookmarkStart w:id="411" w:name="pg9375_99680"/>
    </w:p>
    <w:p>
      <w:pPr>
        <w:pStyle w:val="BookText"/>
        <w:rPr/>
      </w:pPr>
      <w:bookmarkEnd w:id="41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5416711_2870459653"/>
      <w:bookmarkStart w:id="413" w:name="_Toc148"/>
      <w:bookmarkEnd w:id="412"/>
      <w:r>
        <w:rPr>
          <w:rtl w:val="true"/>
        </w:rPr>
        <w:t>المراد من استقامة الحيض</w:t>
      </w:r>
      <w:bookmarkEnd w:id="41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استقامة الحيض هو الحيض في كلّ شهر مرّة كغالب النسوان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كان طهرها بين الحيضتين أقلّ من ثلاثة أشهر فهي في حكم مستقيمة الحيض وإن لم يصدق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سيأتي من أنّ أيّ الأمرين سبق إليها فقد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وللشهيد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آخر في مستقيمة الحيض،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بمستقيمة الحيض معتادته وقتاً وعدداً وإن استحيضت بعد ذلك فإنّها ترجع في الحيض إلى عادتها المستقرّة ويجعل ما سواها طهراً، وفي حكمها معتادته وقتاً خاصّة؛ لأنّها بحسب أوّله مستقيمة العادة وإنّما تلحق بالمضطربة في آخره، وحيث كان القرء هو الطهر فالمعتبر الدخول في حيض متيقّن يعلم انقضاء الطهر الثالث وهو يحصل في معتادة أوّله بحصوله فيه، أمّا معتادته عدداً خاصّة فكالمضطربة بالنسبة إلى الحكم به ابتداءً</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معتادة الحيض فيما زاد على ثلاثة أشهر لا تعتدّ بالأقراء وإن كان لها فيه عادة وقتاً وعدداً؛ لما مضى ويأتي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التفسير اللغوي لا الموضوعي الحكمي،لكنّه كما ترى، فإنّه في كتاب الفقه وفي ذيل الشرائع</w:t>
      </w:r>
      <w:r>
        <w:rPr>
          <w:rFonts w:eastAsia="Amiri" w:cs="Amiri" w:ascii="Amiri" w:hAnsi="Amiri"/>
          <w:color w:val="111111"/>
          <w:sz w:val="28"/>
          <w:szCs w:val="28"/>
          <w:rtl w:val="true"/>
          <w:lang w:bidi="ar-SA"/>
        </w:rPr>
        <w:t>.</w:t>
      </w:r>
      <w:r>
        <w:rPr>
          <w:rStyle w:val="FootnoteAnchor"/>
          <w:rtl w:val="true"/>
        </w:rPr>
        <w:footnoteReference w:id="1090"/>
      </w:r>
      <w:bookmarkStart w:id="414" w:name="pg9375_99682"/>
    </w:p>
    <w:p>
      <w:pPr>
        <w:pStyle w:val="BookText"/>
        <w:rPr/>
      </w:pPr>
      <w:bookmarkEnd w:id="41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5416713_2870459653"/>
      <w:bookmarkStart w:id="416" w:name="_Toc149"/>
      <w:bookmarkEnd w:id="415"/>
      <w:r>
        <w:rPr>
          <w:rtl w:val="true"/>
        </w:rPr>
        <w:t>عدم الفرق بين كون الحيض طبيعيّاً وغيره</w:t>
      </w:r>
      <w:bookmarkEnd w:id="41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الاعتداد بالأقراء بين كون الحيض طبيعيّاً أو غيره، فلو استعجلته بالدواء اُحتسب لها، ففي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الحيض الطبيعي وبين ما جاء بعلاج، وكذا الطهر؛ لتحقّق الصدق عرفاً مع احتمال جعل المدار على المعتاد، لكن لم أجد لأحد من أصحابنا</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الفرق بين المعتاد وغيره؛ لتحقّق الصدق عرفاً أيضاً بالمعالجة، ولعموم الأدلّة</w:t>
      </w:r>
      <w:r>
        <w:rPr>
          <w:rFonts w:eastAsia="Amiri" w:cs="Amiri" w:ascii="Amiri" w:hAnsi="Amiri"/>
          <w:color w:val="111111"/>
          <w:sz w:val="28"/>
          <w:szCs w:val="28"/>
          <w:rtl w:val="true"/>
          <w:lang w:bidi="ar-SA"/>
        </w:rPr>
        <w:t>.</w:t>
      </w:r>
      <w:r>
        <w:rPr>
          <w:rStyle w:val="FootnoteAnchor"/>
          <w:rtl w:val="true"/>
        </w:rPr>
        <w:footnoteReference w:id="1092"/>
      </w:r>
    </w:p>
    <w:p>
      <w:pPr>
        <w:pStyle w:val="Heading3"/>
        <w:numPr>
          <w:ilvl w:val="2"/>
          <w:numId w:val="1"/>
        </w:numPr>
        <w:rPr/>
      </w:pPr>
      <w:bookmarkStart w:id="417" w:name="__RefHeading___Toc5416715_2870459653"/>
      <w:bookmarkStart w:id="418" w:name="_Toc150"/>
      <w:bookmarkEnd w:id="417"/>
      <w:r>
        <w:rPr>
          <w:rtl w:val="true"/>
        </w:rPr>
        <w:t>أقسام العدد في الكتاب الكريم</w:t>
      </w:r>
      <w:bookmarkEnd w:id="41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العدد في الكتاب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وهي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09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جاءت كلتاهما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وَاللَّائي يَئِسْنَ مِنَ الْمَحِيضِ مِن نِّسَائِكُمْإِنِ</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ارْتَبْتُمْ فَعِدَّتُهُنَّ ثَلَاثَةُ أَشْهُرٍ وَاللَّائي لَمْ يَحِضْنَ وَأُوْلَاتُ الْأَحْمَالِ أَجَلُهُنَّ أَن يَضَعْنَ حَمْلَهُنَّ وَمَن يَتَّقِ اللّه يَجْعَل لَّهُ مِنْ أَمْرِهِ يُسْراً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الشهور الثلاثة بدل والأصل القروء وذلك لتعليق الثلاثة على اليأس من الحيض أو عدم الحيض، ومن المعلوم أنّ الحيض محقّق للقرء، إمّا على كون المراد من القرء طهراً، كما عليه الخاصّة؛ قضاءً للضدّيّة، وإمّا على كونه نفس الحيض، كما عليه العامّة فواضح؛ قضاءً للعينيّة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الثاني واضح كما مرّ،</w:t>
      </w:r>
      <w:r>
        <w:rPr>
          <w:rStyle w:val="FootnoteAnchor"/>
          <w:rtl w:val="true"/>
        </w:rPr>
        <w:footnoteReference w:id="1095"/>
      </w:r>
      <w:r>
        <w:rPr>
          <w:rFonts w:ascii="Amiri" w:hAnsi="Amiri" w:eastAsia="Amiri" w:cs="Amiri"/>
          <w:color w:val="111111"/>
          <w:sz w:val="28"/>
          <w:sz w:val="28"/>
          <w:szCs w:val="28"/>
          <w:rtl w:val="true"/>
          <w:lang w:bidi="ar-SA"/>
        </w:rPr>
        <w:t>والأوّل شامل لكلّ مستقيمة الحيض وإن كان الفصل بين الطهرين أكثر من شهر ولو سنة، والثالث وهو غير مستقيمة الحيض فواضح أنّ المراد من اليأس ليس هو القطع عادة باليأس عن الحيض لكبر السنّ أو المرض وإلّا لا يناسب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في مجمع البيان في تفسير إِنِ ارْتَبْتُم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تدرون لكبر ارتفع حيضهنّ أم 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اللواتي أمثالهنّ يحضن لأنّهن لو كنّ في سنّ من لا تحيض لم يكن للارتياب معنىً، وهذا هو المروي عن أئمّتنا</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يخفى أنّ الارتياب لا يختصّ بما ذكره ممّا كان الشكّ في اليأس أنّه من جهة الكبر الموجب للدوام وانقطاع الحيض أو من جهة خاصّةأُخرى غير موجبة للدوام بل يشمل غيره أيضاً مثل ما لو شكّ في استمرار السبب الموجب لانقطاع الحيض بأن يكون السبب المرض والحادثة قبل بلوغ سنّ اليأس فمنشأ الشكّ </w:t>
      </w:r>
      <w:bookmarkStart w:id="419" w:name="pg9375_99685"/>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الاستمرار وعدمه لا في البلوغ إلى سنّ اليأس من حيث الكبر وعدمه، وكيف كان، فمقتضى عموم آية القروء التربّص بها ولو مع الفصل بينها بأكثر من ثلاثة أشهر، وإن كان سنة بأن تحيض في كلّ سنة مرّة واحدة فإنّها مستقيمة الحيض ومقتضى الكتاب الاعتداد بثلاثة قروء إلّا أنّه خلاف الإجماع والسنّة فيخصّص عموم الآية؛</w:t>
      </w:r>
      <w:r>
        <w:rPr>
          <w:rStyle w:val="FootnoteAnchor"/>
          <w:rtl w:val="true"/>
        </w:rPr>
        <w:footnoteReference w:id="1097"/>
      </w:r>
      <w:r>
        <w:rPr>
          <w:rFonts w:ascii="Amiri" w:hAnsi="Amiri" w:eastAsia="Amiri" w:cs="Amiri"/>
          <w:color w:val="111111"/>
          <w:sz w:val="28"/>
          <w:sz w:val="28"/>
          <w:szCs w:val="28"/>
          <w:rtl w:val="true"/>
          <w:lang w:bidi="ar-SA"/>
        </w:rPr>
        <w:t>لقيام الإجماع ودلالة السنّة على أنّ ثلاثة أشهر من دون الزيادة بدل عن القروء مطلقاً فالمستقيمة الزائدة عليها خارجة عن الآية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الحقّ أنّ في السنّة والإجماع تأكيداً للآية لا تخصيص وذلك لفحوى آية اليأس والارتياب؛ حيث إنّ مع انقضاء الثلاثة في المرتابة العدّة منقضية وإن حاضت بعدها، فالملاك هو عدم رؤية الدم ثلاثة أشهر مطلقاً حتّى فيما رأت الدم بعدها فالحيض بعد الثلاثة كما أنّه غير موجب لتجديد العدّة فكذلك في المستقيمة فإنّ الشكّ والقطع غير دخيلين في الثبوت وفي مسألة الرحم والبراءة،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إلغاءً الخصوصيّة محكّم عرفاً</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5416717_2870459653"/>
      <w:bookmarkStart w:id="421" w:name="_Toc151"/>
      <w:bookmarkEnd w:id="420"/>
      <w:r>
        <w:rPr>
          <w:rtl w:val="true"/>
        </w:rPr>
        <w:t>اختصاص الاعتداد بالثلاثة بالحرّة</w:t>
      </w:r>
      <w:bookmarkEnd w:id="42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بالثلاثة قرءاً أو شهراً مختصّ بالحرّة وإن كانت تحت عبد، 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Style w:val="FootnoteAnchor"/>
          <w:rtl w:val="true"/>
        </w:rPr>
        <w:footnoteReference w:id="1098"/>
      </w:r>
      <w:r>
        <w:rPr>
          <w:rFonts w:ascii="IRNazanin" w:hAnsi="IRNazanin" w:eastAsia="IRNazanin"/>
          <w:color w:val="111111"/>
          <w:sz w:val="28"/>
          <w:sz w:val="28"/>
          <w:szCs w:val="28"/>
          <w:rtl w:val="true"/>
          <w:lang w:bidi="fa-IR"/>
        </w:rPr>
        <w:t>إشار إلى عدم وجدان الخلاف؛ لما عرفت، فإنّ المستفاد من الأدلّة كون المدار في العدّة هوالنساء لا الرجال نصّاً وفتوىً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صراحة صحيحة حمّاد بن عيسى،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22" w:name="pg9375_99687"/>
    </w:p>
    <w:p>
      <w:pPr>
        <w:pStyle w:val="BookText"/>
        <w:rPr/>
      </w:pPr>
      <w:bookmarkEnd w:id="42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الحرّة تحت العبد فالطلاق والعدّة بالنساء؛ يعني يطلّقها ثلاثاً وتعتدّ ثلاث حيض</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حرّ تحته أمة أو عبد تحته حرّة كم طلاقها وكم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في النساء في الطلاق، فإن كانت حرّة فطلاقها ثلاثاً وعدّتها ثلاثة أقراء، وإن كان حرّ تحته أمة فطلاقه تطليقتان وعدّتها قرئان</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والأمة وإن كانت تحت حرّ فعدّتها قرئان أو شهر ونصف؛ لأنّ المدار في العدّة هو النساء كما مرّ قبيل ذلك والصحيحة الثانية دالّة على حكم المسألة أيضاً والمبعضة فيها وجهان، من تغليب الحرّيّة عليها واستصحاب بقاء العدّة واستصحاب بقاء التحريم إلى بعد العدّة فتعتدّ عدّة الحرّة، ومن أصالة البراءة من الزائد، ومن استصحاب عدم التحريم إلى أن يثبت الناقل لحريّتها أجمع، والأقوى الأوّل لحكومة الاستصحاب وعدم حجّيّة الاستصحاب الأزلي، وعن الشافعي الثاني</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416719_2870459653"/>
      <w:bookmarkStart w:id="424" w:name="_Toc152"/>
      <w:bookmarkEnd w:id="423"/>
      <w:r>
        <w:rPr>
          <w:rtl w:val="true"/>
        </w:rPr>
        <w:t>عدم الفرق في العدّة بين المطلّقة والمفسوخة والموطوءة بالشبهة</w:t>
      </w:r>
      <w:bookmarkEnd w:id="42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العدّة بالأقراء والشهور بين المطلّقة، أو المفسوخة النكاح بسبب منها أو منه، أو الموطوءة بالشبهة، بلاخلاف بين الأصحاب، بل عليه الاتّفاق ظاهراً؛ وذلك لأنّ المستفاد من الكتاب والسنّة حصرالعدّة فيهما؛ أي </w:t>
      </w:r>
      <w:bookmarkStart w:id="425" w:name="pg9375_99689"/>
    </w:p>
    <w:p>
      <w:pPr>
        <w:pStyle w:val="BookText"/>
        <w:rPr/>
      </w:pPr>
      <w:bookmarkEnd w:id="4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الأقراء والشهور وليست هنا عدّة أُخرى فلابدّ في غير المطلّقة ممّن ثبت لهم العدّة، الاعتداد بإحداهما أيضاً؛ قضاءً للحصر والجمع بين دليله ودليل الاعتداد،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العدّة في المطلّقة، وأنّ غيرها ملحق بها فيها فيلحقه حكمها؛ هذا، مع أنّ العرف لا يرى الفرق بينهما وأنّه لاخصوصيّة في المعتدّة بل الخصوصيّة والمناط للاعتداد وإن كان في غير المطلّقة فأدلّة مقدار عدّة الطلاق دليل على الاعتداد في الفسخ وغيره بالفحوى وإلغاء الخصوصيّة، فهذه وجوه ثلاثة، 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ثبوتها لمن عرفت ولو لكونها الأصل في العدّة، أو لتوقّف اليقين على الخروج منها عليها بعد فرض حصول السبب</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ولا يخفى أنّ العدّة ليست سبباً لليقين بالخروج لاحتمال أكثريّة عدّة غير المطلّقة منها بل مقتضى الاستصحاب عدم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يوجد اليقين فيما يقل عن القروء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بالخروج من حيث القلّة موقوف عليهما لامن حيث الكثرة ومع اضافة حصر العدّة والغاء الخصوصيّة فذلك الدليل لاالتوقّف المذكور كما هو واضح ولاحاجة إلى التوقّف أصلاً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5416721_2870459653"/>
      <w:bookmarkStart w:id="427" w:name="_Toc153"/>
      <w:bookmarkEnd w:id="426"/>
      <w:r>
        <w:rPr>
          <w:rtl w:val="true"/>
        </w:rPr>
        <w:t>عدم الفرق في العدة بين الحيض والنفاس</w:t>
      </w:r>
      <w:bookmarkEnd w:id="42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العدّة بين الحيض والنفاس الذي بحكمه، فيحسبالطهر الفاصل بين وضع الحمل ودم النفاس قرءا، وإرسال المسألة في المسالك</w:t>
      </w:r>
      <w:r>
        <w:rPr>
          <w:rStyle w:val="FootnoteAnchor"/>
          <w:rtl w:val="true"/>
        </w:rPr>
        <w:footnoteReference w:id="1102"/>
      </w:r>
      <w:bookmarkStart w:id="428" w:name="pg9375_99691"/>
    </w:p>
    <w:p>
      <w:pPr>
        <w:pStyle w:val="BookText"/>
        <w:rPr/>
      </w:pPr>
      <w:bookmarkEnd w:id="4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والجواهر</w:t>
      </w:r>
      <w:r>
        <w:rPr>
          <w:rStyle w:val="FootnoteAnchor"/>
          <w:rtl w:val="true"/>
        </w:rPr>
        <w:footnoteReference w:id="1103"/>
      </w:r>
      <w:r>
        <w:rPr>
          <w:rFonts w:ascii="Amiri" w:hAnsi="Amiri" w:eastAsia="Amiri" w:cs="Amiri"/>
          <w:color w:val="111111"/>
          <w:sz w:val="28"/>
          <w:sz w:val="28"/>
          <w:szCs w:val="28"/>
          <w:rtl w:val="true"/>
          <w:lang w:bidi="ar-SA"/>
        </w:rPr>
        <w:t>إرسال المسلّمات عند الأصحاب، فيه الكفاية ولا حاجة إلى الاستدلال بأمر آخر، لكن مع ذلك فالدليل عليه إلغاءً الخصوصيّة أيضا،ً حيث إنّ جريان جلّ أحكام الحيض بل كلّها غير المبحوث عنه على النفاس واشتراكه معه موجب للحكم بعدم الخصوصيّة لتلك الأحكام، بل العدّة مثلها أيضاً، فإنّ المناط الحدث المشترك بينهما وأنّ احتمال الخصوصيّة لكلّ حكم من الأحكام المشتركة في الدمين، وكون كلّ منها لخصوصيّة الموضوع لا لاعتبار الجامع بين الموضوعات منفي ويأباه العرف والعقلاء كما لا يخفى، فإنّ قضاء العرف في ترتّب الأحكام المختلفة على العنوان الواحد أنّ الموضوع هو نفس العنوان فالإلغاء في محلّه، لا أنّ لكلّ حكم خصوصيّة خاصّة لذلك العنوان في ذلك الحكم، فالخصوصيّة ثابتة والإلغاء منتفٍ</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416723_2870459653"/>
      <w:bookmarkStart w:id="430" w:name="_Toc154"/>
      <w:bookmarkEnd w:id="429"/>
      <w:r>
        <w:rPr>
          <w:rtl w:val="true"/>
        </w:rPr>
        <w:t>في وجوب تماميّة مدّة الطهر في كلّ القروء</w:t>
      </w:r>
      <w:bookmarkEnd w:id="430"/>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الكتاب وجوب تماميّة مدّة الطهر في كلّ القروء فالقروء ثلاثة أطهار تامّة،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Fonts w:ascii="IRNazanin" w:hAnsi="IRNazanin" w:eastAsia="IRNazanin"/>
          <w:color w:val="111111"/>
          <w:sz w:val="28"/>
          <w:sz w:val="28"/>
          <w:szCs w:val="28"/>
          <w:rtl w:val="true"/>
          <w:lang w:bidi="fa-IR"/>
        </w:rPr>
        <w:t>،</w:t>
      </w:r>
      <w:r>
        <w:rPr>
          <w:rStyle w:val="FootnoteAnchor"/>
          <w:rtl w:val="true"/>
        </w:rPr>
        <w:footnoteReference w:id="1104"/>
      </w:r>
      <w:r>
        <w:rPr>
          <w:rFonts w:ascii="Amiri" w:hAnsi="Amiri" w:eastAsia="Amiri" w:cs="Amiri"/>
          <w:color w:val="111111"/>
          <w:sz w:val="28"/>
          <w:sz w:val="28"/>
          <w:szCs w:val="28"/>
          <w:rtl w:val="true"/>
          <w:lang w:bidi="ar-SA"/>
        </w:rPr>
        <w:t>بل هو الظاهر أيضاً من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w:t>
      </w:r>
      <w:r>
        <w:rPr>
          <w:rStyle w:val="FootnoteAnchor"/>
          <w:rtl w:val="true"/>
        </w:rPr>
        <w:footnoteReference w:id="1105"/>
      </w:r>
      <w:r>
        <w:rPr>
          <w:rFonts w:ascii="Amiri" w:hAnsi="Amiri" w:eastAsia="Amiri" w:cs="Amiri"/>
          <w:color w:val="111111"/>
          <w:sz w:val="28"/>
          <w:sz w:val="28"/>
          <w:szCs w:val="28"/>
          <w:rtl w:val="true"/>
          <w:lang w:bidi="ar-SA"/>
        </w:rPr>
        <w:t>بالطلاق قبل العدّة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لو طلّقت في أواخر طهر غير المواقعة فانقضاء العدّة برؤية أوّل الدم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مع أنّ صريح الفتاوى وظاهر أخبار الباب بل صريحها الاكتفاء بالناقص منها، لأنّهم صرّحوا بانقضائها برؤية الدم الثالث كما هو مفاد الأخبار، ضرورة اكتفائها في خروج المطلّقة في الطهر من العدّة برؤية الدم الثالث؛ سواء كان طلاقها في ابتدائه أو وسطه أو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طلّقها وحاضت بعد الطلاق بلحظة احتسبت تلك اللحظة قرءً، ثمّ أكملت قرأين آخرين، فإذا رأت الدم الثالث فقد قضت العدّة لما عرفت، لا لأنّ بعض القرء مع قرأين تامّين سمّى الجميع ثلاثة قروء، نحو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لثلاث مضين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خروجه في بعض الثالث، 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Style w:val="FootnoteAnchor"/>
          <w:rtl w:val="true"/>
        </w:rPr>
        <w:footnoteReference w:id="1106"/>
      </w:r>
      <w:r>
        <w:rPr>
          <w:rFonts w:ascii="Amiri" w:hAnsi="Amiri" w:eastAsia="Amiri" w:cs="Amiri"/>
          <w:color w:val="111111"/>
          <w:sz w:val="28"/>
          <w:sz w:val="28"/>
          <w:szCs w:val="28"/>
          <w:rtl w:val="true"/>
          <w:lang w:bidi="ar-SA"/>
        </w:rPr>
        <w:t>والمراد شوّال وذوالقعدة وبعض ذي الحجّة، ضرورة كون ذلك مجازاً محتاجاً إلى القرينة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منقوض بما لو تمّ الأوّلان وأضيف إليهما بعض الثالث، بأن طلّقها قبل الحيض بلا فصل واتّصل بآخره، فإنّ القرء الأوّل إنّما يحسب بعد الحيض مع اعتبار كمال الثالث إجماعاً، ولا يكفي دخولها فيه، وآية الحجّ قد عرفت في محلّه أنّ المراد منها تمام ذي‌الحجّة، ولو لصحّة استدراك بعض الأفعال فيه، كما عرفته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حينئذٍ بذلك أنّ احتساب بعض القرء الأوّل وإن قلّ قرءٌ في العدّة، للأدلّة الخاصّة، وهي ظاهر النصوص السابقة وغيره، خصوصاً بعد معلوميّة عدم اشتراط صحّة الطلاق بوقوعه في آخر الجزء الأوّل على وجه يكون ابتداء العدّةالطهر الذي هو بعد الحيض، ولا بوقوعه في ابتداء الطهر الأوّل على وجه لا </w:t>
      </w:r>
      <w:bookmarkStart w:id="431" w:name="pg9375_99695"/>
    </w:p>
    <w:p>
      <w:pPr>
        <w:pStyle w:val="BookText"/>
        <w:rPr/>
      </w:pPr>
      <w:bookmarkEnd w:id="431"/>
      <w:r>
        <w:rPr>
          <w:rFonts w:ascii="Amiri" w:hAnsi="Amiri" w:eastAsia="Amiri" w:cs="Amiri"/>
          <w:color w:val="111111"/>
          <w:sz w:val="28"/>
          <w:sz w:val="28"/>
          <w:szCs w:val="28"/>
          <w:rtl w:val="true"/>
          <w:lang w:bidi="ar-SA"/>
        </w:rPr>
        <w:t>فإن كانت مستقيمة الحيض بأن تحيض في كلّ شهر مرّة كانت عدّتها ثلاثة قروء، وكذا إذا تحيض في كلّ شهر أزيد من مرّة أو ترى الدم في كلّ شهرين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كان الطهر الفاصل بين حيضتين أقلّ من 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يمضي منه إلّا مقدار زمان وقوع الطلاق كما هو واضح</w:t>
      </w:r>
      <w:r>
        <w:rPr>
          <w:rFonts w:eastAsia="Amiri" w:cs="Amiri" w:ascii="Amiri" w:hAnsi="Amiri"/>
          <w:color w:val="111111"/>
          <w:sz w:val="28"/>
          <w:szCs w:val="28"/>
          <w:rtl w:val="true"/>
          <w:lang w:bidi="ar-SA"/>
        </w:rPr>
        <w:t>.</w:t>
      </w:r>
      <w:r>
        <w:rPr>
          <w:rStyle w:val="FootnoteAnchor"/>
          <w:rtl w:val="true"/>
        </w:rPr>
        <w:footnoteReference w:id="1107"/>
      </w:r>
    </w:p>
    <w:p>
      <w:pPr>
        <w:pStyle w:val="Heading3"/>
        <w:numPr>
          <w:ilvl w:val="2"/>
          <w:numId w:val="1"/>
        </w:numPr>
        <w:rPr/>
      </w:pPr>
      <w:bookmarkStart w:id="432" w:name="__RefHeading___Toc5416725_2870459653"/>
      <w:bookmarkStart w:id="433" w:name="_Toc155"/>
      <w:bookmarkEnd w:id="432"/>
      <w:r>
        <w:rPr>
          <w:rtl w:val="true"/>
        </w:rPr>
        <w:t>حكم مستقيمة الحيض</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عموم الكتاب والسنّة شموله لمن تحيض في كلّ شهر مرّة، بل هو القدر المتيقّن منه، ويدلّ عليه 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 ثلاثة قروء أو ثلاثة أشهر إن لم تحض</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تعتدّ في بيتها، ولا ينبغي لها أن تخرج حتّى تنقضي عدّتها، وعدّتها ثلاثة قروء أو ثلاثة أشهر إلّا أن تكون تحيض</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داود بن سرحان،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المطلّقة ثلاثة قروء أو ثلاثة أشهر إن لم تكن تحيض</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الحلبي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المرأة التي لا تحيض والمستحاضة التي لا تطهر ثلاثة أشهر، وعدّة التي تحيض ويستقيم حيضها ثلاثة </w:t>
      </w:r>
      <w:bookmarkStart w:id="434" w:name="pg9375_99697"/>
    </w:p>
    <w:p>
      <w:pPr>
        <w:pStyle w:val="BookText"/>
        <w:rPr/>
      </w:pPr>
      <w:bookmarkEnd w:id="434"/>
      <w:r>
        <w:rPr>
          <w:rFonts w:ascii="Amiri" w:hAnsi="Amiri" w:eastAsia="Amiri" w:cs="Amiri"/>
          <w:color w:val="111111"/>
          <w:sz w:val="28"/>
          <w:sz w:val="28"/>
          <w:szCs w:val="28"/>
          <w:rtl w:val="true"/>
          <w:lang w:bidi="ar-SA"/>
        </w:rPr>
        <w:t>وإن كانت لا تحيض، وهي في سنّ من تحيض؛ إمّا لكونها لم‌تبلغ الحدّ الذي ترى الحيض غالب النساء، وإمّا لانقطاعه لمرضٍ أو حمل أو رضاع،</w:t>
      </w:r>
      <w:r>
        <w:rPr>
          <w:rStyle w:val="FootnoteAnchor"/>
          <w:rtl w:val="true"/>
        </w:rPr>
        <w:footnoteReference w:id="1111"/>
      </w:r>
      <w:r>
        <w:rPr>
          <w:rFonts w:ascii="Amiri" w:hAnsi="Amiri" w:eastAsia="Amiri" w:cs="Amiri"/>
          <w:color w:val="111111"/>
          <w:sz w:val="28"/>
          <w:sz w:val="28"/>
          <w:szCs w:val="28"/>
          <w:rtl w:val="true"/>
          <w:lang w:bidi="ar-SA"/>
        </w:rPr>
        <w:t>كانت عدّتها 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ارْتَبْتُمْ</w:t>
      </w:r>
      <w:r>
        <w:rPr>
          <w:rStyle w:val="FootnoteAnchor"/>
          <w:rtl w:val="true"/>
        </w:rPr>
        <w:footnoteReference w:id="1112"/>
      </w:r>
      <w:r>
        <w:rPr>
          <w:rFonts w:ascii="Amiri" w:hAnsi="Amiri" w:eastAsia="Amiri" w:cs="Amiri"/>
          <w:color w:val="111111"/>
          <w:sz w:val="28"/>
          <w:sz w:val="28"/>
          <w:szCs w:val="28"/>
          <w:rtl w:val="true"/>
          <w:lang w:bidi="ar-SA"/>
        </w:rPr>
        <w:t>ما الريبة؟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زاد على شهر فهو ريبة، فلتعتدّ ثلاثة أشهر، ولتترك الحيض، وما كان في الشهر لم يزد في الحيض على ثلاث حيض فعدّتها ثلاث حيض</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التي لم تحض والمستحاضة التي لا تطهر ثلاثة أشهر، وعدّة التي تحيض ويستقيم حيضها ثلاثة قروء والقروء جمع الدم بين الحيضتين</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والحكم يجري فيما يقلّ عن ثلاثة أشهر؛ قضاءً لعموم الأدلّة وإطلاقها</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5416727_2870459653"/>
      <w:bookmarkStart w:id="436" w:name="_Toc156"/>
      <w:bookmarkEnd w:id="435"/>
      <w:r>
        <w:rPr>
          <w:rtl w:val="true"/>
        </w:rPr>
        <w:t>حكم من لا تحيض وهي في سنّ من تحيض</w:t>
      </w:r>
      <w:bookmarkEnd w:id="43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ممّن بلغت ولكن لا تحيض خلقة خلافاً لغالب النساء؛ وذلك قضاءً لإطلاق الكتاب والأخبار،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w:t>
      </w:r>
      <w:r>
        <w:rPr>
          <w:rStyle w:val="FootnoteAnchor"/>
          <w:rtl w:val="true"/>
        </w:rPr>
        <w:footnoteReference w:id="1115"/>
      </w:r>
      <w:r>
        <w:rPr>
          <w:rFonts w:ascii="Amiri" w:hAnsi="Amiri" w:eastAsia="Amiri" w:cs="Amiri"/>
          <w:color w:val="111111"/>
          <w:sz w:val="28"/>
          <w:sz w:val="28"/>
          <w:szCs w:val="28"/>
          <w:rtl w:val="true"/>
          <w:lang w:bidi="ar-SA"/>
        </w:rPr>
        <w:t>عن الحلبي وأبي بصير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ممّن لا تطمع في الولد؛لإخراج رحمها أو غيره من أنواع العلاج الرائجة في زماننا الموجب للعقم والاطمئنان بعدم الولد وانقطاع </w:t>
      </w:r>
      <w:bookmarkStart w:id="437" w:name="pg9375_99700"/>
    </w:p>
    <w:p>
      <w:pPr>
        <w:pStyle w:val="BookText"/>
        <w:rPr/>
      </w:pPr>
      <w:bookmarkEnd w:id="437"/>
      <w:r>
        <w:rPr>
          <w:rFonts w:ascii="Amiri" w:hAnsi="Amiri" w:eastAsia="Amiri" w:cs="Amiri"/>
          <w:color w:val="111111"/>
          <w:sz w:val="28"/>
          <w:sz w:val="28"/>
          <w:szCs w:val="28"/>
          <w:rtl w:val="true"/>
          <w:lang w:bidi="ar-SA"/>
        </w:rPr>
        <w:t>ويلحق بها من تحيض لكنّ الطهر الفاصل بين حيضتين منها ثلاثة أشهر أو أزيد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طمعها منه فلها العدّة؛ قضاءً لإطلاق الدليل على أنّ العدّة من الإيلاج والدخول وليست العلّة للعدّة استبراء الرحم، بل هي الحكمة، كما يظهر من مراجعة موارد العدّة واختلافها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الدليل على العلّيّة بل كونها حكمة درائيّة أيضاً لا روائيّة، وعدّتها ثلاثة أشهر؛ لصحيح ابن مسلم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لا تطمع في الولد</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وإطلاقه شامل لجميع أنواع عدم الطمع بأيّ نحو وأيّ وسيلة كانت في الأزمنة السابقة أو الحاليّة أو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وكن على ذكر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ممّا ذكر وجوب العدّة للمرأة وإن كان الرجل عقيماً خلقة أو عرضاً وعلاجاً لدورانها مدار الإيلاج والدخول على ما عليه الأخبار، بل ويدلّ عليه إطلاق كلّ ما دلّ على اعتداد النساء فإنّ المدار عليهنّ</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416729_2870459653"/>
      <w:bookmarkStart w:id="439" w:name="_Toc157"/>
      <w:bookmarkEnd w:id="438"/>
      <w:r>
        <w:rPr>
          <w:rtl w:val="true"/>
        </w:rPr>
        <w:t>حكم من كان الطهر الفاصل بين حيضتين منها ثلاثة أشهر أو أزيد</w:t>
      </w:r>
      <w:bookmarkEnd w:id="43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w:t>
      </w:r>
      <w:r>
        <w:rPr>
          <w:rStyle w:val="FootnoteAnchor"/>
          <w:rtl w:val="true"/>
        </w:rPr>
        <w:footnoteReference w:id="1117"/>
      </w:r>
      <w:r>
        <w:rPr>
          <w:rFonts w:ascii="IRNazanin" w:hAnsi="IRNazanin" w:eastAsia="IRNazanin"/>
          <w:color w:val="111111"/>
          <w:sz w:val="28"/>
          <w:sz w:val="28"/>
          <w:szCs w:val="28"/>
          <w:rtl w:val="true"/>
          <w:lang w:bidi="fa-IR"/>
        </w:rPr>
        <w:t xml:space="preserve">من الاستفادة من الكتاب وإلغاء الخصوصيّة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التي تحيض في كلّ ثلاثة أشهر مرّة أو في ستّة أو في سبعة أشهر، والمستحاضة التي لم تبلغ الحيض،والتي تحيض مرّة ويرتفع مرّة، والتي لا تطمع في الولد، والتي قد ارتفع حيضها وزعمت أنّها لم تيأس، والتي ترى الصفرة من حيض 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بمستقيم،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عدّة هؤلاء كلّهنّ ثلاثة أشهر</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الأمرين سبق إليها فقد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مرّت بها ثلاثة أشهر لا ترى فيها دماً فقد انقضت عدّتها، وإن مرّت ثلاثة أقراء فقد انقضت عدّتها</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أمران، أيّهما سبق بانت منه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المسترابة إن مرّت بها ثلاثة أشهر بيض ليس فيها دم بانت منه، وإن مرّت بها ثلاثة حيض ليس بين الحيضتين ثلاثة أشهر بانت بالحيض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مرّت بها ثلاثة أشهر إلّا يوماً فحاضت، ثمّ مرّت بها ثلاثة أشهر إلّا يوماً فحاضت، ثمّ مرّت بها ثلاثة أشهر إلّا يوماً فحاضت فهذه تعتدّ بالحيض على هذا الوجه، ولا تعتدّ بالشهور، وإن مرّت بها ثلاثة أشهر بيض لم تحض فيها فقد بانت</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وفي المسالك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على هذا ما لو كانت عادتها أن تحيض في كلّ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فإنّه على تقدير طلاقها في أوّل الطهر أو ما قاربه بحيث يبقى لها منه ثلاثة أشهر بعد الطلاق ينقضي عدّتها بالأشهر كما تقرّر، لكن لو فرض طلاقها في وقت لا يبقىمن الطهر ثلاثة أشهر تامّة كان اللازم من ذلك اعتدادها بالأقراء، فربما صارت عدّتها سنة وأكثر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 وقوع الطلاق في وقت لا يتمّ بعده ثلاثة أشهر بيضاً، والاجتزاء بالثلاثة على تقدير سلامتها، فيختلف العدّة باختلاف وقت الطلاق الواقع بمجرّد الاختيار مع كون المرأة من ذوات العادة المستقرّة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الإشكال لو كانت لا ترى الدم إلّا في كلّ سنة أو أزيد مرّة، فإنّ عدّتها بالأشهر على المعروف في النصّ والفتوى، ومع هذا فيلزم ممّا ذكروه هنا من القاعدة أنّه لو طلّقها في وقت لا يسلم بعد الطلاق لها ثلاثة أشهر طهراً أن تعتدّ بالأقراء وإن طال زمانها، وهذا بعيدٌ ومنافٍ لما قالوه من أن أطول عدّة تفرض عدّة المسترابة، وهي سنة أو تزيد ثلاثة أشهر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بالاكتفاء بثلاثة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أو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كما لو خلت من الحيض ابتداءً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المصنّف</w:t>
      </w:r>
      <w:r>
        <w:rPr>
          <w:rStyle w:val="FootnoteAnchor"/>
          <w:rtl w:val="true"/>
        </w:rPr>
        <w:footnoteReference w:id="1121"/>
      </w:r>
      <w:r>
        <w:rPr>
          <w:rFonts w:ascii="Amiri" w:hAnsi="Amiri" w:eastAsia="Amiri" w:cs="Amiri"/>
          <w:color w:val="111111"/>
          <w:sz w:val="28"/>
          <w:sz w:val="28"/>
          <w:szCs w:val="28"/>
          <w:rtl w:val="true"/>
          <w:lang w:bidi="ar-SA"/>
        </w:rPr>
        <w:t>والعلّامة</w:t>
      </w:r>
      <w:r>
        <w:rPr>
          <w:rStyle w:val="FootnoteAnchor"/>
          <w:rtl w:val="true"/>
        </w:rPr>
        <w:footnoteReference w:id="1122"/>
      </w:r>
      <w:r>
        <w:rPr>
          <w:rFonts w:ascii="Amiri" w:hAnsi="Amiri" w:eastAsia="Amiri" w:cs="Amiri"/>
          <w:color w:val="111111"/>
          <w:sz w:val="28"/>
          <w:sz w:val="28"/>
          <w:szCs w:val="28"/>
          <w:rtl w:val="true"/>
          <w:lang w:bidi="ar-SA"/>
        </w:rPr>
        <w:t>في كتبه أنّ من كانت لا تحيض إلّا في كلّ خمسة أشهر أو ستّة أشهر عدّتها بالأشهر وأطلق، وزاد في التحرير</w:t>
      </w:r>
      <w:r>
        <w:rPr>
          <w:rStyle w:val="FootnoteAnchor"/>
          <w:rtl w:val="true"/>
        </w:rPr>
        <w:footnoteReference w:id="1123"/>
      </w:r>
      <w:r>
        <w:rPr>
          <w:rFonts w:ascii="Amiri" w:hAnsi="Amiri" w:eastAsia="Amiri" w:cs="Amiri"/>
          <w:color w:val="111111"/>
          <w:sz w:val="28"/>
          <w:sz w:val="28"/>
          <w:szCs w:val="28"/>
          <w:rtl w:val="true"/>
          <w:lang w:bidi="ar-SA"/>
        </w:rPr>
        <w:t>أنّها متى كانت لا تحيض في كلّ ثلاثة أشهر فصاعداً تعتدّ بالأشهر، ولم تعتدّ بعروض الحيض في أثنائها كما فرضناه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التي مرّت آنفاً،</w:t>
      </w:r>
      <w:r>
        <w:rPr>
          <w:rStyle w:val="FootnoteAnchor"/>
          <w:rtl w:val="true"/>
        </w:rPr>
        <w:footnoteReference w:id="112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تؤيّد ما ذكرناه</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لا إشكال مع وجود النصّ في مورده، وهو صحيحة محمّد بن مسلم، ففيها التصريح بعدم الفرق بين الموردين بل وصحيحة زرارة أيضاً وبهما يتصرّف في ظاهر موثّقته</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وهنا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ظاهر بعض الروايات جعل الأشهر ملاكاً مع الفصل بأقلّ من ثلاثة أشهر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مريم،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كيف يطلّق امرأته، وهي تحيض في كلّ ثلاثة أشهر حيضة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يطلّقها تطليقة واحدة في غرّة الشهر، إذا انقضت ثلاثة أشهر من يوم طلّقها فقد بانت منه وهو خاطب من الخطّاب</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يطلّقها زوجها وهي تحيض في كلّ ثلاثة أشهر حيضة،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انقضت ثلاثة أشهر انقضت عدّتها يحسب لها لكلّ شهر حيضة</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Style w:val="FootnoteAnchor"/>
          <w:rtl w:val="true"/>
        </w:rPr>
        <w:footnoteReference w:id="1129"/>
      </w:r>
      <w:r>
        <w:rPr>
          <w:rFonts w:ascii="Amiri" w:hAnsi="Amiri" w:eastAsia="Amiri" w:cs="Amiri"/>
          <w:color w:val="111111"/>
          <w:sz w:val="28"/>
          <w:sz w:val="28"/>
          <w:szCs w:val="28"/>
          <w:rtl w:val="true"/>
          <w:lang w:bidi="ar-SA"/>
        </w:rPr>
        <w:t>عن ابن مسلم في صحيحته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بأنّ المراد هو بعدثلاثة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 الظاهر من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31"/>
      </w:r>
      <w:r>
        <w:rPr>
          <w:rFonts w:ascii="Amiri" w:hAnsi="Amiri" w:eastAsia="Amiri" w:cs="Amiri"/>
          <w:color w:val="111111"/>
          <w:sz w:val="28"/>
          <w:sz w:val="28"/>
          <w:szCs w:val="28"/>
          <w:rtl w:val="true"/>
          <w:lang w:bidi="ar-SA"/>
        </w:rPr>
        <w:t>بأنّ المراد من ثلاثة أشهر هي ثلاثة قروء وهي للمضطربة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خلاف الظاهر ولا شاهد له، والحقّ أنّها غير معمول بها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إشكال ثالث أيضاً، وهو أنّ ظاهر بعض الأخبار أنّ الملاك هو القرء ولا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التي لا تحيض في كلّ ثلاث سنين إلّا مرّة واحدة، كيف تعتدّ؟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مثل قرئها التي كانت تحيض في استقامتها ولتعتدّ ثلاثة قروء ثمّ تزوّج إن شاءت</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التي لا تحيض إلّا في كلّ ثلاث سنين أو أكثر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قرئها الذي كانت تحيض في استقامتها ولتعتدّ ثلاثة قروء وتتزوّج إن شاءت</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هارون بن حمزة الغنوي،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التي تحيض إلّا في كلّ ثلاث سنين أو أربع سنين أو خمس سنين،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مثل قروئها التي كانت تحيض فلتعتدّ، ثمّ تزوج إنشاءت</w:t>
      </w:r>
      <w:r>
        <w:rPr>
          <w:rFonts w:eastAsia="IRNazanin" w:cs="IRNazanin"/>
          <w:color w:val="111111"/>
          <w:sz w:val="28"/>
          <w:szCs w:val="28"/>
          <w:rtl w:val="true"/>
          <w:lang w:bidi="fa-IR"/>
        </w:rPr>
        <w:t>».</w:t>
      </w:r>
      <w:r>
        <w:rPr>
          <w:rStyle w:val="FootnoteAnchor"/>
          <w:rtl w:val="true"/>
        </w:rPr>
        <w:footnoteReference w:id="113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الأخبار ليست بحجّة؛ لعدم العمل بها عند الأصحاب</w:t>
      </w:r>
      <w:r>
        <w:rPr>
          <w:rFonts w:eastAsia="Amiri" w:cs="Amiri" w:ascii="Amiri" w:hAnsi="Amiri"/>
          <w:color w:val="111111"/>
          <w:sz w:val="28"/>
          <w:szCs w:val="28"/>
          <w:rtl w:val="true"/>
          <w:lang w:bidi="ar-SA"/>
        </w:rPr>
        <w:t>.</w:t>
      </w:r>
      <w:r>
        <w:rPr>
          <w:rStyle w:val="FootnoteAnchor"/>
          <w:rtl w:val="true"/>
        </w:rPr>
        <w:footnoteReference w:id="1135"/>
      </w:r>
      <w:bookmarkStart w:id="440" w:name="pg9375_99709"/>
    </w:p>
    <w:p>
      <w:pPr>
        <w:pStyle w:val="BookText"/>
        <w:rPr/>
      </w:pPr>
      <w:bookmarkEnd w:id="4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بالقروء الأطهار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5416731_2870459653"/>
      <w:bookmarkStart w:id="442" w:name="_Toc158"/>
      <w:bookmarkEnd w:id="441"/>
      <w:r>
        <w:rPr>
          <w:rtl w:val="true"/>
        </w:rPr>
        <w:t>المراد بالقروء</w:t>
      </w:r>
      <w:bookmarkEnd w:id="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الخلاف</w:t>
      </w:r>
      <w:r>
        <w:rPr>
          <w:rStyle w:val="FootnoteAnchor"/>
          <w:rtl w:val="true"/>
        </w:rPr>
        <w:footnoteReference w:id="1136"/>
      </w:r>
      <w:r>
        <w:rPr>
          <w:rFonts w:ascii="IRNazanin" w:hAnsi="IRNazanin" w:eastAsia="IRNazanin"/>
          <w:color w:val="111111"/>
          <w:sz w:val="28"/>
          <w:sz w:val="28"/>
          <w:szCs w:val="28"/>
          <w:rtl w:val="true"/>
          <w:lang w:bidi="fa-IR"/>
        </w:rPr>
        <w:t>وعن الانتصار،</w:t>
      </w:r>
      <w:r>
        <w:rPr>
          <w:rStyle w:val="FootnoteAnchor"/>
          <w:rtl w:val="true"/>
        </w:rPr>
        <w:footnoteReference w:id="1137"/>
      </w:r>
      <w:r>
        <w:rPr>
          <w:rFonts w:ascii="Amiri" w:hAnsi="Amiri" w:eastAsia="Amiri" w:cs="Amiri"/>
          <w:color w:val="111111"/>
          <w:sz w:val="28"/>
          <w:sz w:val="28"/>
          <w:szCs w:val="28"/>
          <w:rtl w:val="true"/>
          <w:lang w:bidi="ar-SA"/>
        </w:rPr>
        <w:t>ولكن في الشرائع</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الجواهر</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إنّه ليس في المسألة مخالف معروف، ومع هذا ذهب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وأورد عليه في الجواهر</w:t>
      </w:r>
      <w:r>
        <w:rPr>
          <w:rStyle w:val="FootnoteAnchor"/>
          <w:rtl w:val="true"/>
        </w:rPr>
        <w:footnoteReference w:id="1141"/>
      </w:r>
      <w:r>
        <w:rPr>
          <w:rFonts w:ascii="IRNazanin" w:hAnsi="IRNazanin" w:eastAsia="IRNazanin"/>
          <w:color w:val="111111"/>
          <w:sz w:val="28"/>
          <w:sz w:val="28"/>
          <w:szCs w:val="28"/>
          <w:rtl w:val="true"/>
          <w:lang w:bidi="fa-IR"/>
        </w:rPr>
        <w:t>بأنّه مسبوق وملحوق بالإجماع على خلافه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هي روايات المسألة، وأكثرها وهي تبلغ إلى أربعة وعشرين رواية، أنّ القروء هي الأطهار، وطائفة منها وهي تبلغ إلى ستّ، أنّ المراد منه هو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التمسّك بالأخبار من الجانبين فلا ثمرة للبحث عن كون القرء مشتركاً لفظيّاً أو معنويّاً، حقيقةً أو مجازاً، أو التفصيل بين القرء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الحيض، وبالضمّ وهو الطهر كما مرّ؛ حيث إنّ المتّبع النصّ لا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للبحث ثمرة بالنسبة إلى الكتاب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ممّا استدلّ به من الأخبار على أنّ القرء هو الطهر صحيحة زرارة،</w:t>
      </w:r>
    </w:p>
    <w:p>
      <w:p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القرء ما بين الحيضتين</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مثله</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الأقراء هي الأطهار</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ربيعة الرأي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رأيي أنّ الأقراء التي سمّى الله عزّ وجلّ في القرآن إنّما هو الطهر فيما بين الحيضتين،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لم يقل برأيه ولكنّه إنّما بلغه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إنّما القرء الطهر الذي يُقرأ فيه الدم فيجمعه، فإذاً جاء المحيض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ونحوها ما رواه موسى بن بكر، عن زراره،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بنفسالسؤال وباختلاف</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التي تحيض ويستقيم حيضها ثلاثة قروء والقرء جمع الدم بين الحيضتين</w:t>
      </w:r>
      <w:r>
        <w:rPr>
          <w:rFonts w:eastAsia="IRNazanin" w:cs="IRNazanin"/>
          <w:color w:val="111111"/>
          <w:sz w:val="28"/>
          <w:szCs w:val="28"/>
          <w:rtl w:val="true"/>
          <w:lang w:bidi="fa-IR"/>
        </w:rPr>
        <w:t>».</w:t>
      </w:r>
      <w:r>
        <w:rPr>
          <w:rStyle w:val="FootnoteAnchor"/>
          <w:rtl w:val="true"/>
        </w:rPr>
        <w:footnoteReference w:id="114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موسى بن بكر،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 ما بين الحيضتين</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ومثلها ما رواه العيّاشي، عن محمّد بن مسلم وزرارة،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الثالثة،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رجل طلّق امرأته على طهر من غير جماع بشهادة عدلين،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في الحيضة الثالثة فقد انقضت عدّتها، وحلّت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أهل العراق يروون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برجعتها ما لم تغتسل من الحيضة الثالثة،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كذبوا </w:t>
      </w:r>
      <w:r>
        <w:rPr>
          <w:rFonts w:eastAsia="IRNazanin" w:cs="IRNazanin"/>
          <w:color w:val="111111"/>
          <w:sz w:val="28"/>
          <w:szCs w:val="28"/>
          <w:rtl w:val="true"/>
          <w:lang w:bidi="fa-IR"/>
        </w:rPr>
        <w:t>».</w:t>
      </w:r>
      <w:r>
        <w:rPr>
          <w:rStyle w:val="FootnoteAnchor"/>
          <w:rtl w:val="true"/>
        </w:rPr>
        <w:footnoteReference w:id="1150"/>
      </w:r>
      <w:r>
        <w:rPr>
          <w:rFonts w:ascii="Amiri" w:hAnsi="Amiri" w:eastAsia="Amiri" w:cs="Amiri"/>
          <w:color w:val="111111"/>
          <w:sz w:val="28"/>
          <w:sz w:val="28"/>
          <w:szCs w:val="28"/>
          <w:rtl w:val="true"/>
          <w:lang w:bidi="ar-SA"/>
        </w:rPr>
        <w:t>والدلالة لا تخفى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إسماعيل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أحقّ برجعتها ما لم تقع في الدم من الحيضة الثالثة</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الرابعة،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ترث وتورث حتّى ترى الدم الثالث، فإذا رأته فقد انقطع</w:t>
      </w:r>
      <w:r>
        <w:rPr>
          <w:rFonts w:eastAsia="IRNazanin" w:cs="IRNazanin"/>
          <w:color w:val="111111"/>
          <w:sz w:val="28"/>
          <w:szCs w:val="28"/>
          <w:rtl w:val="true"/>
          <w:lang w:bidi="fa-IR"/>
        </w:rPr>
        <w:t>».</w:t>
      </w:r>
      <w:r>
        <w:rPr>
          <w:rStyle w:val="FootnoteAnchor"/>
          <w:rtl w:val="true"/>
        </w:rPr>
        <w:footnoteReference w:id="115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إذا طلّقها زوجها متى تكون أملك بنفسها؟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الدم من الحيضة الثالثة فهي أملك بنفسها </w:t>
      </w:r>
      <w:r>
        <w:rPr>
          <w:rFonts w:eastAsia="IRNazanin" w:cs="IRNazanin"/>
          <w:color w:val="111111"/>
          <w:sz w:val="28"/>
          <w:szCs w:val="28"/>
          <w:rtl w:val="true"/>
          <w:lang w:bidi="fa-IR"/>
        </w:rPr>
        <w:t>... ».</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الأخبار الواردة</w:t>
      </w:r>
      <w:r>
        <w:rPr>
          <w:rStyle w:val="FootnoteAnchor"/>
          <w:rtl w:val="true"/>
        </w:rPr>
        <w:footnoteReference w:id="1154"/>
      </w:r>
      <w:r>
        <w:rPr>
          <w:rFonts w:ascii="IRNazanin" w:hAnsi="IRNazanin" w:eastAsia="IRNazanin"/>
          <w:color w:val="111111"/>
          <w:sz w:val="28"/>
          <w:sz w:val="28"/>
          <w:szCs w:val="28"/>
          <w:rtl w:val="true"/>
          <w:lang w:bidi="fa-IR"/>
        </w:rPr>
        <w:t>والغالب منها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الطائفة الثانية، وهي المستدلّ بها على أنّ القرء هو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التي تحيض ويستقيم حيضها ثلاثة قروء، وهي ثلاث حيض</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لكن لا يخفى أ‌نّها قابلة للحمل على أنّ المراد من الثالث هو الورود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الإتيان بالمذكّر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أجرى حكم التأنيث على القروء هنا فهي الطهر، فإنّ الحيض مؤنّث</w:t>
      </w:r>
      <w:r>
        <w:rPr>
          <w:rFonts w:eastAsia="IRNazanin" w:cs="IRNazanin"/>
          <w:color w:val="111111"/>
          <w:sz w:val="28"/>
          <w:szCs w:val="28"/>
          <w:rtl w:val="true"/>
          <w:lang w:bidi="fa-IR"/>
        </w:rPr>
        <w:t>.</w:t>
      </w:r>
      <w:r>
        <w:rPr>
          <w:rStyle w:val="FootnoteAnchor"/>
          <w:rtl w:val="true"/>
        </w:rPr>
        <w:footnoteReference w:id="115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إسحاق بن عمّار، عمّن حدّثه،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إلى عُمر تسأله عن طلاقها؟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إذهبي إلى هذا فاسأليه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طلّقني،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 فرجك؟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أرسلتني إلى رجل يلعب، فردّها إليه مرّتين كلّ ذلك ترجع،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إليه، فإنّه أعلمنا،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غسلتفرجك؟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فزوجك أحقّ ببضعك ما لم تغسلي فرجك</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ويكفي في الطهر الأوّل مسمّاه ولو قليلاً، فلو طلّقها وقد بقيت منه لحظة يحسب</w:t>
      </w:r>
    </w:p>
    <w:p>
      <w:pPr>
        <w:pStyle w:val="BookText"/>
        <w:rPr/>
      </w:pPr>
      <w:r>
        <w:rPr>
          <w:rFonts w:ascii="IRNazanin" w:hAnsi="IRNazanin" w:eastAsia="IRNazanin"/>
          <w:color w:val="111111"/>
          <w:sz w:val="28"/>
          <w:sz w:val="28"/>
          <w:szCs w:val="28"/>
          <w:rtl w:val="true"/>
          <w:lang w:bidi="fa-IR"/>
        </w:rPr>
        <w:t>ويمكن حملها على إرادة أوّل الحيضة الثالثة لا آخرها؛ لأنّ غسل الفرج غير غسل الحيض، فكأنّه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دماً من الحيضة الثالثة تحتاجين معه إلى غسل الفرج منه للتنظيف أو حال الاستنجاء؟ وهذا ما احتمله الشيخ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الوسائل</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رفاعة،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حين تحيض، لصاحبها عليها رجعة؟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حتّى تطهر</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تطليقة على طهر من غير جماع يدّعها حتّى تدخل في قرئها الثالث ويحضر غسلها، ثمّ يراجعها ويشهد على رجعتها،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أملك بها ما لم تحلّ لها الصلاة</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الحسن بن زياد،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ترث وتورث ما كان له الرجعة بين التطليقتين الأوّلتين حتّى تغتسل</w:t>
      </w:r>
      <w:r>
        <w:rPr>
          <w:rFonts w:eastAsia="IRNazanin" w:cs="IRNazanin"/>
          <w:color w:val="111111"/>
          <w:sz w:val="28"/>
          <w:szCs w:val="28"/>
          <w:rtl w:val="true"/>
          <w:lang w:bidi="fa-IR"/>
        </w:rPr>
        <w:t>».</w:t>
      </w:r>
      <w:r>
        <w:rPr>
          <w:rStyle w:val="FootnoteAnchor"/>
          <w:rtl w:val="true"/>
        </w:rPr>
        <w:footnoteReference w:id="116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الطائفة معرضٌ عنها عند الأصحاب فليست بحجّة، فلا يأتي دور التعارض، ولو سلّم التعارض فالأُولی أكثر عدداً وأصحّ سنداًوأقوى متناً، فترجح عليها، مضافاً إلى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هي موافقة للكتاب على وجهٍ وهو ما ذكر تأييداً في حمل صحيحة الحلبي</w:t>
      </w:r>
      <w:r>
        <w:rPr>
          <w:rFonts w:eastAsia="IRNazanin" w:cs="IRNazanin"/>
          <w:color w:val="111111"/>
          <w:sz w:val="28"/>
          <w:szCs w:val="28"/>
          <w:rtl w:val="true"/>
          <w:lang w:bidi="fa-IR"/>
        </w:rPr>
        <w:t>.</w:t>
      </w:r>
      <w:r>
        <w:rPr>
          <w:rStyle w:val="FootnoteAnchor"/>
          <w:rtl w:val="true"/>
        </w:rPr>
        <w:footnoteReference w:id="1162"/>
      </w:r>
      <w:bookmarkStart w:id="443" w:name="pg9375_99719"/>
    </w:p>
    <w:p>
      <w:pPr>
        <w:pStyle w:val="BookText"/>
        <w:rPr/>
      </w:pPr>
      <w:bookmarkEnd w:id="443"/>
      <w:r>
        <w:rPr>
          <w:rFonts w:ascii="Amiri" w:hAnsi="Amiri" w:eastAsia="Amiri" w:cs="Amiri"/>
          <w:color w:val="111111"/>
          <w:sz w:val="28"/>
          <w:sz w:val="28"/>
          <w:szCs w:val="28"/>
          <w:rtl w:val="true"/>
          <w:lang w:bidi="ar-SA"/>
        </w:rPr>
        <w:t>ذلك طهراً، فإذا رأت طهرين آخرين تامّين بتخلّل حيضة بينهما انقضت العدّة، فانقضاؤها برؤية الدم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5416733_2870459653"/>
      <w:bookmarkStart w:id="445" w:name="_Toc159"/>
      <w:bookmarkEnd w:id="444"/>
      <w:r>
        <w:rPr>
          <w:rtl w:val="true"/>
        </w:rPr>
        <w:t>في كفاية مسمّى الطهر الأوّل</w:t>
      </w:r>
      <w:bookmarkEnd w:id="4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الاكتفاء بالطهر الناقص في الأوّل قد مرّ أنّه ليس موافقاً لظاهر الكتاب، لكنّه مستفادٌ من النصوص والفتاوى، وفي عبارة سيّدنا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بانقضائها برؤية الدم الثالث إشارة إلى الخلاف المنسوب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63"/>
      </w:r>
      <w:r>
        <w:rPr>
          <w:rFonts w:ascii="IRNazanin" w:hAnsi="IRNazanin" w:eastAsia="IRNazanin"/>
          <w:color w:val="111111"/>
          <w:sz w:val="28"/>
          <w:sz w:val="28"/>
          <w:szCs w:val="28"/>
          <w:rtl w:val="true"/>
          <w:lang w:bidi="fa-IR"/>
        </w:rPr>
        <w:t>بأنّه ذهب إلى أنّ اللحظة الأُولی من الدم الثالث داخل في العدّة،</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وبه يظهر ما في كلام الأُستاذ من نفي النسبة إلى الشيخ وفي بيان مراد الشيخ منه، فإنّ كلامه ليس في صرف اللحظة والجزء الزماني كما يفيد اختياره التفصيل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على القولين في التوارث لو فرضموتها أو موته في هذه اللحظة، وفي الرجوع بها فيها وفي العقد عليها فيها، واستدلّ له بتوقّف تحقّق الانقضاء عليها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فإنّه على الخلاف أدلّ، ضرورة عدم مدخليّة ما توقّف عليه الحكم بالانقضاء فيما اعتبر انقضاؤه، بل الظاهر من التعليل المذكور كون النزاع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لفظيّاً؛ وذلك لعدم التحقّق الخارجي في الزمان الحكمي الكائن بين الطهر والحيض على وجهٍ تترتّب عليه الثمرات المزبورة؛ لعدم إمكان تصرّف آخر زمان الطهر المتّصل بأوّل زمان الحيض، نحو ما قلناه في آخر جزء النهار المتّصل بأوّل جزء الليل، فمراد الشيخ بكونها من العدّة هذا المعنى أو ما يقرب منه، ضرورة كون المراد من اللحظة الجزء الزماني من حصول الدم المتّصل بالجزء الزماني قبله، ولا يكاد يتحقّق في الخارج على وجهٍ تترتّب عليه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الشأن في النسبة؛ فإنّها غير تامّة، والأصل فيها ابن إدريس</w:t>
      </w:r>
      <w:r>
        <w:rPr>
          <w:rStyle w:val="FootnoteAnchor"/>
          <w:rtl w:val="true"/>
        </w:rPr>
        <w:footnoteReference w:id="1165"/>
      </w:r>
      <w:r>
        <w:rPr>
          <w:rFonts w:ascii="IRNazanin" w:hAnsi="IRNazanin" w:eastAsia="IRNazanin"/>
          <w:color w:val="111111"/>
          <w:sz w:val="28"/>
          <w:sz w:val="28"/>
          <w:szCs w:val="28"/>
          <w:rtl w:val="true"/>
          <w:lang w:bidi="fa-IR"/>
        </w:rPr>
        <w:t>وتبعه المحقّق</w:t>
      </w:r>
      <w:r>
        <w:rPr>
          <w:rStyle w:val="FootnoteAnchor"/>
          <w:rtl w:val="true"/>
        </w:rPr>
        <w:footnoteReference w:id="116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وعليك بالرجوع إلى الخلاف</w:t>
      </w:r>
      <w:r>
        <w:rPr>
          <w:rStyle w:val="FootnoteAnchor"/>
          <w:rtl w:val="true"/>
        </w:rPr>
        <w:footnoteReference w:id="1168"/>
      </w:r>
      <w:r>
        <w:rPr>
          <w:rFonts w:ascii="IRNazanin" w:hAnsi="IRNazanin" w:eastAsia="IRNazanin"/>
          <w:color w:val="111111"/>
          <w:sz w:val="28"/>
          <w:sz w:val="28"/>
          <w:szCs w:val="28"/>
          <w:rtl w:val="true"/>
          <w:lang w:bidi="fa-IR"/>
        </w:rPr>
        <w:t>والمبسوط</w:t>
      </w:r>
      <w:r>
        <w:rPr>
          <w:rStyle w:val="FootnoteAnchor"/>
          <w:rtl w:val="true"/>
        </w:rPr>
        <w:footnoteReference w:id="1169"/>
      </w:r>
      <w:r>
        <w:rPr>
          <w:rFonts w:ascii="Amiri" w:hAnsi="Amiri" w:eastAsia="Amiri" w:cs="Amiri"/>
          <w:color w:val="111111"/>
          <w:sz w:val="28"/>
          <w:sz w:val="28"/>
          <w:szCs w:val="28"/>
          <w:rtl w:val="true"/>
          <w:lang w:bidi="ar-SA"/>
        </w:rPr>
        <w:t>وفي المختلف عنهما ما هذه عبارته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تنقضي به عدّة الحرّة في الطلاق ستّة وعشرون يوماً ولحظتان، بأن يبقى الطهر بعد الطلاق لحظة، ثمّ ترى الحيض ثلاثة أيّام، ثمّ الطهر عشرة، ثمّ الحيض ثلاثة، ثمّ الطهر عشرة، ثمّ الحيض لحظة، وأقلّ ما تنقضي به عدّة الأمة ثلاثة عشر يوماً ولحظتان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يجوز أن تنقضي به العدّة ما زاد على ستّة وعشرين يوماًبساعة أو مادونها؛ وذلك أن تكون ممّن طلّقها زوجها وهي طاهر فحاضت بعد طلاقه إيّاها، والشهادة عليه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بساعة، فتلك الساعة قد حصلت لها كالطهر، ثمّ وقع بها حيض ثلاثة أيّام، وطهر بعده عشرة أيّام، وحيض ثلاثة أيّام، وطهر بعده عشرة أيّام، ثمّ حيض، فعند أوّل ما ترى الدم فقد بانت من الزوج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يجب تحصيله وتحقيقه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تنقضي به عدّة المطلّقة في ستّة وعشرين يوماً ولحظة في الحرّة، فأمّا الأمة المطلّقة والحرّة المتمتّع بها فثلاثة عشر يوماً ولحظة، وما بناحاجة إلى اللحظتين؛ لأنّ اللحظة التي رأت فيها الدم غير داخلة في جملة العدّة، فلا حاجة بنا إلى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السيّد المرتضى في انتصاره</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ولا مشاحّة كثيرة فيه وإن كان لا يخلو من فائدة</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وهذه العبارة هي العبارة المشهورة في بيان أقلّ مدّة يمكن أن تنقضي فيها العدّة للحرّة والأمة في ذات الحيض، والتعليل مع ما مرّ</w:t>
      </w:r>
      <w:r>
        <w:rPr>
          <w:rStyle w:val="FootnoteAnchor"/>
          <w:rtl w:val="true"/>
        </w:rPr>
        <w:footnoteReference w:id="1172"/>
      </w:r>
      <w:r>
        <w:rPr>
          <w:rFonts w:ascii="Amiri" w:hAnsi="Amiri" w:eastAsia="Amiri" w:cs="Amiri"/>
          <w:color w:val="111111"/>
          <w:sz w:val="28"/>
          <w:sz w:val="28"/>
          <w:szCs w:val="28"/>
          <w:rtl w:val="true"/>
          <w:lang w:bidi="ar-SA"/>
        </w:rPr>
        <w:t>فيه فليس في كلامه منه أثر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في قبال قول العامّة القائلين بأكثر من ذلك</w:t>
      </w:r>
      <w:r>
        <w:rPr>
          <w:rFonts w:eastAsia="Amiri" w:cs="Amiri" w:ascii="Amiri" w:hAnsi="Amiri"/>
          <w:color w:val="111111"/>
          <w:sz w:val="28"/>
          <w:szCs w:val="28"/>
          <w:rtl w:val="true"/>
          <w:lang w:bidi="ar-SA"/>
        </w:rPr>
        <w:t>.</w:t>
      </w:r>
      <w:r>
        <w:rPr>
          <w:rStyle w:val="FootnoteAnchor"/>
          <w:rtl w:val="true"/>
        </w:rPr>
        <w:footnoteReference w:id="117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يتصوّر انقضاء العدّة بالأقلّ من ذلك في ذات النفاس، بأنيطلقّها بعد الوضع قبل رؤية الدم بلحظة، ثمّ ترى النفاس لحظة، لأنّه لاحدّ لأقلّه عندنا، ثمّ ترى الطهر عشرة، ثمّ ترى الدم ثلاثاً، ثمّ ترى الطهر عشراً، ثمّ ترى </w:t>
      </w:r>
      <w:bookmarkStart w:id="446" w:name="pg9375_99725"/>
    </w:p>
    <w:p>
      <w:pPr>
        <w:pStyle w:val="BookText"/>
        <w:rPr/>
      </w:pPr>
      <w:bookmarkEnd w:id="446"/>
      <w:r>
        <w:rPr>
          <w:rFonts w:ascii="Amiri" w:hAnsi="Amiri" w:eastAsia="Amiri" w:cs="Amiri"/>
          <w:color w:val="111111"/>
          <w:sz w:val="28"/>
          <w:sz w:val="28"/>
          <w:szCs w:val="28"/>
          <w:rtl w:val="true"/>
          <w:lang w:bidi="ar-SA"/>
        </w:rPr>
        <w:t>نعم، لو اتّصل آخر صيغة الطلاق بأوّل زمان الحيض صحّ الطلاق، لكن لابدّ في انقضاء العدّة من أطهار تامّة، فتنقضي برؤية الدم الرابع، كلّ ذلك في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كفاية مسمّى الطهر في الطهر الأوّل ولو لحظة وإمكان أن تحيض المرأة في شهر واحد أزيد من مرّة، فأقلّ زمان يمكن أن تنقضي عدّة الحرّة ستّة وعشرون يوماً ولحظتان ، بأن كان طهرها الأوّل لحظة ثمّ تحيض ثلاثة أيّام ، ثمّ ترى أقلّ الطهر عشرة أيّام ، ثمّ تحيض ثلاثة أيّام ، ثمّ ترى أقلّ الطهر عشرة أيّام ، ثمّ تحيض ، فبمجرّد رؤية الدم الأخير لحظة من أوّله انقضت العدّة ، وهذه اللحظة الأخيرة خارجة عن العدّة ، وإنّما يتوقّف عليها تماميّة الطهر الثالث ، هذا في الحرّة ، وأمّا في الأمّة فأقلّ ما يمكن انقضاء عدّتها لحظتان وثلاثة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فيكون مجموع ذلك ثلاثة وعشرين يوماً وثلاث لحظات، لحظة بعد الطلاق، ولحظة النفاس، ولحظة الدم الثالث التي فيها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5416735_2870459653"/>
      <w:bookmarkStart w:id="448" w:name="_Toc160"/>
      <w:bookmarkEnd w:id="447"/>
      <w:r>
        <w:rPr>
          <w:rtl w:val="true"/>
        </w:rPr>
        <w:t>عدّة المتعة في الحامل والحائل</w:t>
      </w:r>
      <w:bookmarkEnd w:id="4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للقواعد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لمخالفته للكتاب،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w:t>
      </w:r>
      <w:r>
        <w:rPr>
          <w:rStyle w:val="FootnoteAnchor"/>
          <w:rtl w:val="true"/>
        </w:rPr>
        <w:footnoteReference w:id="1174"/>
      </w:r>
      <w:r>
        <w:rPr>
          <w:rFonts w:ascii="Amiri" w:hAnsi="Amiri" w:eastAsia="Amiri" w:cs="Amiri"/>
          <w:color w:val="111111"/>
          <w:sz w:val="28"/>
          <w:sz w:val="28"/>
          <w:szCs w:val="28"/>
          <w:rtl w:val="true"/>
          <w:lang w:bidi="ar-SA"/>
        </w:rPr>
        <w:t>واللام في الزمان ظاهرة في الظرفيّة؛ لأنّه لاخلاف بين علماء الإسلام في صحّته،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قد فسّرت الآية بأنّ المراد هو الطلاق العدّي في مقابل البدعي؛ أي الطلاق في الطهر الغير المواقعة، مضافاً إلى أنّ إطلاق الأحاديث الدالّة على شرطيّة الطهر شاملٌ له كغيره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في الحامل وضع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الحائل إذا كانت تحيض 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بهما هنا حيضتان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تحيض وهي في سنّ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الآية</w:t>
      </w:r>
      <w:r>
        <w:rPr>
          <w:rStyle w:val="FootnoteAnchor"/>
          <w:rtl w:val="true"/>
        </w:rPr>
        <w:footnoteReference w:id="1175"/>
      </w:r>
      <w:r>
        <w:rPr>
          <w:rFonts w:ascii="Amiri" w:hAnsi="Amiri" w:eastAsia="Amiri" w:cs="Amiri"/>
          <w:color w:val="111111"/>
          <w:sz w:val="28"/>
          <w:sz w:val="28"/>
          <w:szCs w:val="28"/>
          <w:rtl w:val="true"/>
          <w:lang w:bidi="ar-SA"/>
        </w:rPr>
        <w:t>وعمومها، وعلى القول باختصاصها بالمطلّقة أو بها والتي تعتدّ مثلها كالمفسوخة النكاح والموطوئة بالشبهة بثلاثة قروء دون من تعتدّ بقُرءَين، فبالأولويّة القطعيّة؛ حيث إنّ المطلّقة عدّتها أكثر وهي مع ذلك تنقضي بالحمل فضلاً عن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العدّة هي المطلّقة فمع انقضاء عدّتها بالحمل فالمتمتّع بها هي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الحكم واحتاط برعاية أبعد الأجلين</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والظاهر كون إشكاله هو احتمال الاختصاص للانصراف، وقد عرفت أنّ الحكم كذلك، ولو معه من باب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الشيخ</w:t>
      </w:r>
      <w:r>
        <w:rPr>
          <w:rStyle w:val="FootnoteAnchor"/>
          <w:rtl w:val="true"/>
        </w:rPr>
        <w:footnoteReference w:id="1177"/>
      </w:r>
      <w:r>
        <w:rPr>
          <w:rFonts w:ascii="IRNazanin" w:hAnsi="IRNazanin" w:eastAsia="IRNazanin"/>
          <w:color w:val="111111"/>
          <w:sz w:val="28"/>
          <w:sz w:val="28"/>
          <w:szCs w:val="28"/>
          <w:rtl w:val="true"/>
          <w:lang w:bidi="fa-IR"/>
        </w:rPr>
        <w:t>ومن تبعه</w:t>
      </w:r>
      <w:r>
        <w:rPr>
          <w:rStyle w:val="FootnoteAnchor"/>
          <w:rtl w:val="true"/>
        </w:rPr>
        <w:footnoteReference w:id="1178"/>
      </w:r>
      <w:r>
        <w:rPr>
          <w:rFonts w:ascii="Amiri" w:hAnsi="Amiri" w:eastAsia="Amiri" w:cs="Amiri"/>
          <w:color w:val="111111"/>
          <w:sz w:val="28"/>
          <w:sz w:val="28"/>
          <w:szCs w:val="28"/>
          <w:rtl w:val="true"/>
          <w:lang w:bidi="ar-SA"/>
        </w:rPr>
        <w:t>على ما في كشف اللثام، أنّ العدّة فيها هي حيضتان</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عقيل</w:t>
      </w:r>
      <w:r>
        <w:rPr>
          <w:rStyle w:val="FootnoteAnchor"/>
          <w:rtl w:val="true"/>
        </w:rPr>
        <w:footnoteReference w:id="1180"/>
      </w:r>
      <w:r>
        <w:rPr>
          <w:rFonts w:ascii="Amiri" w:hAnsi="Amiri" w:eastAsia="Amiri" w:cs="Amiri"/>
          <w:color w:val="111111"/>
          <w:sz w:val="28"/>
          <w:sz w:val="28"/>
          <w:szCs w:val="28"/>
          <w:rtl w:val="true"/>
          <w:lang w:bidi="ar-SA"/>
        </w:rPr>
        <w:t>وعن ابن أُذينة</w:t>
      </w:r>
      <w:r>
        <w:rPr>
          <w:rStyle w:val="FootnoteAnchor"/>
          <w:rtl w:val="true"/>
        </w:rPr>
        <w:footnoteReference w:id="1181"/>
      </w:r>
      <w:r>
        <w:rPr>
          <w:rFonts w:ascii="Amiri" w:hAnsi="Amiri" w:eastAsia="Amiri" w:cs="Amiri"/>
          <w:color w:val="111111"/>
          <w:sz w:val="28"/>
          <w:sz w:val="28"/>
          <w:szCs w:val="28"/>
          <w:rtl w:val="true"/>
          <w:lang w:bidi="ar-SA"/>
        </w:rPr>
        <w:t>إنّه مذهب زرارة وهو حيضة واحدة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حيضة ونصف، كما عن الصدوق في المقنع</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وهو المعروف بين الأصحاب، والمحكيّ عن ابني زهرة</w:t>
      </w:r>
      <w:r>
        <w:rPr>
          <w:rStyle w:val="FootnoteAnchor"/>
          <w:rtl w:val="true"/>
        </w:rPr>
        <w:footnoteReference w:id="1183"/>
      </w:r>
      <w:r>
        <w:rPr>
          <w:rFonts w:ascii="Amiri" w:hAnsi="Amiri" w:eastAsia="Amiri" w:cs="Amiri"/>
          <w:color w:val="111111"/>
          <w:sz w:val="28"/>
          <w:sz w:val="28"/>
          <w:szCs w:val="28"/>
          <w:rtl w:val="true"/>
          <w:lang w:bidi="ar-SA"/>
        </w:rPr>
        <w:t>وإدريس</w:t>
      </w:r>
      <w:r>
        <w:rPr>
          <w:rStyle w:val="FootnoteAnchor"/>
          <w:rtl w:val="true"/>
        </w:rPr>
        <w:footnoteReference w:id="1184"/>
      </w:r>
      <w:r>
        <w:rPr>
          <w:rFonts w:ascii="Amiri" w:hAnsi="Amiri" w:eastAsia="Amiri" w:cs="Amiri"/>
          <w:color w:val="111111"/>
          <w:sz w:val="28"/>
          <w:sz w:val="28"/>
          <w:szCs w:val="28"/>
          <w:rtl w:val="true"/>
          <w:lang w:bidi="ar-SA"/>
        </w:rPr>
        <w:t>والعلّامة</w:t>
      </w:r>
      <w:r>
        <w:rPr>
          <w:rStyle w:val="FootnoteAnchor"/>
          <w:rtl w:val="true"/>
        </w:rPr>
        <w:footnoteReference w:id="1185"/>
      </w:r>
      <w:r>
        <w:rPr>
          <w:rFonts w:ascii="Amiri" w:hAnsi="Amiri" w:eastAsia="Amiri" w:cs="Amiri"/>
          <w:color w:val="111111"/>
          <w:sz w:val="28"/>
          <w:sz w:val="28"/>
          <w:szCs w:val="28"/>
          <w:rtl w:val="true"/>
          <w:lang w:bidi="ar-SA"/>
        </w:rPr>
        <w:t>في المختلف، بل هو المحكيّ عن ظاهر ثاني الشهيدين،</w:t>
      </w:r>
      <w:r>
        <w:rPr>
          <w:rStyle w:val="FootnoteAnchor"/>
          <w:rtl w:val="true"/>
        </w:rPr>
        <w:footnoteReference w:id="1186"/>
      </w:r>
      <w:r>
        <w:rPr>
          <w:rFonts w:ascii="Amiri" w:hAnsi="Amiri" w:eastAsia="Amiri" w:cs="Amiri"/>
          <w:color w:val="111111"/>
          <w:sz w:val="28"/>
          <w:sz w:val="28"/>
          <w:szCs w:val="28"/>
          <w:rtl w:val="true"/>
          <w:lang w:bidi="ar-SA"/>
        </w:rPr>
        <w:t>بل عن ابن زهرة الإجماع</w:t>
      </w:r>
      <w:r>
        <w:rPr>
          <w:rStyle w:val="FootnoteAnchor"/>
          <w:rtl w:val="true"/>
        </w:rPr>
        <w:footnoteReference w:id="118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مقتضى الأصل؛ أي الاستصحاب، هو ما يكون أكثر، والظاهر أنّ الطهرين هو أكثر أيّاماً دائماً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والروايات على طوائف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أنّها حيضتان،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عبد الملك بن جريح فسأله عنها، فإنّ عنده منها علماً، فلقيته فأملى عليّ شيئاً كثيراً في استحلالها، وكان فيما روى لي فيها ابن جريح أنّه ليس فيها وقت ولا عدد، إنّما هي بمنزلة الإماء يتزوّج منهنّ كم شاء، وصاحب الأربع نسوة يتزوّج منهنّ ما شاء بغير وليّ ولا شهود، فإذا انقضى الأجل بانت منه بغير طلاق، ويعطيها الشيء اليسير، وعدّتها حيضتان، وإن كانت لا تحيض فخمسة وأربعون يوماً،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بالكتاب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وأقرّ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أذينة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زرارة يقول هذا ويحلف أنّه الحقّ إلّا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تحيض فحيضة، وإن كانت لا تحيض فشهر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ونصف</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وما في ذيلها من الحلف وما بعده ففيه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زرارة بقول مخالف للرواية المنقولة وهو بعيدٌ جدّاً؛ لاستلزامه الفتوى في مقابل النصّ لا سيّما النصّ المحلوف له بأنّه الحقّ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تخطئة زرارة الراوي في خصوص حمله وعدّتها حيضتان بأنّها كانت كما نقله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والاختلاف بين النقلين في الحيض والعدد ظاهر والحلف على هذا مربوط بغير تلك الجملة من الرواية، وهذا هو الأقرب، بل هو الحقّ الحقيق القابل للتصديق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اسْتَمْتَعْتُم بِهِ مِنْهُنَّ فَآتُوهُنَّ أُجُورَهُنَّ فَرِيضَةً وَلَا جُنَاحَ عَلَيْكُمْ فِيمَا تَرَاضَيْتُم بِهِ مِن بَعْدِ الْفَرِيضَة</w:t>
      </w:r>
      <w:r>
        <w:rPr>
          <w:rStyle w:val="FootnoteAnchor"/>
          <w:rtl w:val="true"/>
        </w:rPr>
        <w:footnoteReference w:id="1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تزيدها وتزيدك إذا انقطع الأجل بينكما،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استحللتك بأمر آخر برضاً منها، ولا يحلّ لغيرك حتّى تنقضي عدّتها، وعدّتها حيضتان</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ولا يخفى أنّ الحيضتين ظاهرتان في الكاملتين بعد أن صارت معتدّة كما مرّ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أنّها حيضة،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تحيض فحيضة، وإن كانت لاتحيض فشهر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الكافي،</w:t>
      </w:r>
      <w:r>
        <w:rPr>
          <w:rStyle w:val="FootnoteAnchor"/>
          <w:rtl w:val="true"/>
        </w:rPr>
        <w:footnoteReference w:id="1191"/>
      </w:r>
      <w:r>
        <w:rPr>
          <w:rFonts w:ascii="IRNazanin" w:hAnsi="IRNazanin" w:eastAsia="IRNazanin"/>
          <w:color w:val="111111"/>
          <w:sz w:val="28"/>
          <w:sz w:val="28"/>
          <w:szCs w:val="28"/>
          <w:rtl w:val="true"/>
          <w:lang w:bidi="fa-IR"/>
        </w:rPr>
        <w:t>لكنّ الشيخ نقل عنه بسنده بزيادة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192"/>
      </w:r>
      <w:r>
        <w:rPr>
          <w:rFonts w:ascii="Amiri" w:hAnsi="Amiri" w:eastAsia="Amiri" w:cs="Amiri"/>
          <w:color w:val="111111"/>
          <w:sz w:val="28"/>
          <w:sz w:val="28"/>
          <w:szCs w:val="28"/>
          <w:rtl w:val="true"/>
          <w:lang w:bidi="ar-SA"/>
        </w:rPr>
        <w:t xml:space="preserve">وأنّ الظاهر وقوع السقط فيه لمكان نقل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ولشهادة عنوان الباب فيه، فعنوانه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يذكر فيه أمراً مطلقاً بل مبهماً غير مربوط بالعنوان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يخطر بالبال أنّ نقل الكافي صحيح، لكنّها ليست برواية مستقلّة، بل هي نفس ما قاله زرارة تتمّةً لرواية إسماعيل بن فضل الهاشمي، فنقله الكافي مستقلاً ويشهد له اتّحاد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والأمر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عبدالله بن عمرو،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عدّتها؟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وأربعون يوماً أو حيضة مستقيمة</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أحمد بن محمّد بن أبي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المتعة حيضة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وأربعون يوماً لبعض أصحابه</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أنّها حيضة ونصف، مثل ما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يتزوّجها الرجل متعة، ثمّ يتوفّى عنها، هل عليها العدّة؟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تعتدّ أربعة أشهر وعشراً وإذا انقضت أيّامها وهو حيّ فحيضة ونصف، مثل ما يجب علىالأمة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1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أنّها حيضة وطهر، مثل ما رواه الطبرسي عن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 الحميري،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تزوّج امرأة بشيء معلوم إلى وقت معلوم، وبقي له عليها وقت، فجعلها في حلّ ممّا بقي له عليها، وقد كانت طمثت قبل أن يجعلها في حلّ من أيّامها بثلاثة أيّام، أ يجوز أن يتزوّجها رجل آخر بشيء معلوم إلى وقت معلوم عند طهرها من هذه الحيضة، أو يستقبل بها حيضة أُخرى؟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يستقبل بها حيضة غير تلك الحيضة، لأنّ أقلّ العدّة حيضة وطهرة تامّة</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الأخيرة من الطوائف ما تدلّ على أنّ عدّتها عدّة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عدّة المتعة إذا مات عنها الّذي تمتّع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 وعشراً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النكاح إذا مات الزوج فعلى المرأة حرّة كانت أو أمة وعلى أيّ وجهٍ كان النكاح منه متعة أو تزويجاً أو ملك يمين فالعدّة أربعة أشهر وعشراً، وعدّة المطلّقة ثلاثة أشهر، والأمة المطلّقة عليها نصف ما على الحرّة، وكذلك المتعة عليها مثل ما على الأمة</w:t>
      </w:r>
      <w:r>
        <w:rPr>
          <w:rFonts w:eastAsia="IRNazanin" w:cs="IRNazanin"/>
          <w:color w:val="111111"/>
          <w:sz w:val="28"/>
          <w:szCs w:val="28"/>
          <w:rtl w:val="true"/>
          <w:lang w:bidi="fa-IR"/>
        </w:rPr>
        <w:t>».</w:t>
      </w:r>
      <w:r>
        <w:rPr>
          <w:rStyle w:val="FootnoteAnchor"/>
          <w:rtl w:val="true"/>
        </w:rPr>
        <w:footnoteReference w:id="119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طوائف خمس وهي المنشأ لاختلاف الأقوال وصيرورتها أربعة، وقد جمع في الجواهر بينها بأنّ المراد من الحيض الثاني في الطائفةالأُولی الدالّة على أنّها حيضتان هو الدخول في الحيضة الثانية فتصير العدّة حيضة وطهر كما لا يخفى، والمراد من الحيضة في الطائفة الثانية، حيضة وطهر، ومن النصف المضاف إليها في الثالثة رؤية الثانية فإنّ بها شرع النصف الأوّل، والمراد من الحيضتين في التنظير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بالأمة أيضاً ذلك؛ لكونه عدّة للأمة</w:t>
      </w:r>
      <w:r>
        <w:rPr>
          <w:rFonts w:eastAsia="Amiri" w:cs="Amiri" w:ascii="Amiri" w:hAnsi="Amiri"/>
          <w:color w:val="111111"/>
          <w:sz w:val="28"/>
          <w:szCs w:val="28"/>
          <w:rtl w:val="true"/>
          <w:lang w:bidi="ar-SA"/>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كذلك موجب للحمل على خلاف الظاهر في موارد عديدة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الكاملتين على الكاملة والناقصة ومن حمل الحيضة الظاهرة في التامّة منها فقط على حيضة وطهر تامّ ومن حمل النصف على محض الرؤية المقابل له مفهوماً، بل لا يبعد أن يكون الحملان الأخيران، لا سيّما المورد الثالث غلطاً فإنّه لا مناسبة بين النصف والرؤية أصلاً ولا خصوصيّة له في المناسبة على تسليمها، بل ثابتة للسدس والثمن وغيرهما من الكسور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كلمة النصف كالنصّ في معناه وحمله على الرؤية ليس مجازاً، كما أنّه ليس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الحيضة في رواية الطبرسي على الحيض والطهر التامّ لئلّا يلزم تغاير المعلول عن العلّة؛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بها حيضة غير تلك الحيضة؛ لأنّ أقلّ العدّة حيضة وطهرة تامّة، غير تمام لعدم انحصار رفع التغاير به، بل كما يصحّ بما ذكره يصحّ بحمل الطهر على معناه المصدري من النقاء من الحيض والنظافة منه لا أيّامه والتماميّة تكون بحصول النقاء الكامل، بل الحمل كذلك متعيّن؛ قضاءً لظاهر المصدر، ولما في اختلاف النسخ من التعبير بالطهارة ولكون التعبير بالطهرة في الأخبار قليلاً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مضافاً إلى أنّه إن كان المراد ما ذكر في كلامه فكان أجدر أن لا يقيّده؛ لأنّ الطهر ظاهر في التماميّة كما صرّح به فيبيان حقيقة القرء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الحمل في رواية الطبرسي</w:t>
      </w:r>
      <w:r>
        <w:rPr>
          <w:rStyle w:val="FootnoteAnchor"/>
          <w:rtl w:val="true"/>
        </w:rPr>
        <w:footnoteReference w:id="1199"/>
      </w:r>
      <w:r>
        <w:rPr>
          <w:rFonts w:ascii="Amiri" w:hAnsi="Amiri" w:eastAsia="Amiri" w:cs="Amiri"/>
          <w:color w:val="111111"/>
          <w:sz w:val="28"/>
          <w:sz w:val="28"/>
          <w:szCs w:val="28"/>
          <w:rtl w:val="true"/>
          <w:lang w:bidi="ar-SA"/>
        </w:rPr>
        <w:t xml:space="preserve">لما ذكره، ففيه أنّه لا ملازمة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حيضة وطهر تامّ وبين مدّعاه وهو تحقّق حيضتين كما إذا انقضى الأجل زمان الحيض، ثمّ طهرت، ثمّ حاضت فعند دخولها في الطهر الثاني قد تحقّق الانقضاء برؤية الطهر الثاني لا الحيض الثاني، هذا، ولأنّه قد فرض في نفس الرواية تحقّق الطهر أوّلاً والحيض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التنظير بالأمة، فهي أيضاً لا تدلّ على المسألة؛ لأنّ نفس الروايات أيضاً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التنظير في خصوص الأيّام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فالحقّ وجود التعارض بين الأخبار وعدم إمكان الجمع بينها، ويظهر من صاحب الجواهر</w:t>
      </w:r>
      <w:r>
        <w:rPr>
          <w:rStyle w:val="FootnoteAnchor"/>
          <w:rtl w:val="true"/>
        </w:rPr>
        <w:footnoteReference w:id="1200"/>
      </w:r>
      <w:r>
        <w:rPr>
          <w:rFonts w:ascii="Amiri" w:hAnsi="Amiri" w:eastAsia="Amiri" w:cs="Amiri"/>
          <w:color w:val="111111"/>
          <w:sz w:val="28"/>
          <w:sz w:val="28"/>
          <w:szCs w:val="28"/>
          <w:rtl w:val="true"/>
          <w:lang w:bidi="ar-SA"/>
        </w:rPr>
        <w:t>ترجيح روايات الاعتداد بالحيضتين على الحيضة، ودليله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بتمام أيضاً؛ لأنّ الأقوال كالأخبار مختلفة، والظاهر أنّ كلّ واحد منها مستند إلى قسم منها ترجيحاً أو تخييراً، وعلى كلّ تقدير فالأخذ بأخبار الحيضتين تخييراً أولى؛ لأنّه أحوط، بل ظاهر البعض الأخذ به ترجيحاً بالأحوطيّة وإن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واستدلّ لقول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كونها حيضة؛ لاحتياجها في التحقّق إلى طهرين، قبلها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بينهما هنا؛ لإمكان تحقّقها مع عدم الطهر قبلها ورؤية الطهر بعدها، مثل ما إذا اتّفقت مدّة المتعة مقارنةلآخر زمان الطهر فكيف الحكم بلزوم الطهرين؟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عدّة الأمة قرءان وهي صحيحة زرارة، عن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حرّ تحته أمة أو عبد تحته حرّة كم طلاقها؟ وكم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النساء في الطلاق، فإن كانت حرّة فطلاقها ثلاثاً وعدّتها ثلاثة أقراء، وإن كان حرّ تحته أمة فطلاقها تطليقتان، وعدّتها قرءان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منضمّةً إلى صحيحته الأُخرى التي قد مرّت آنفاً الدالّة على أنّ عدّة المتعة عدّة الأمة</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عدّة الأمة أيضاً متعارضة كما أُشير إليه، بل فيها روايات مستفيضة بأنّ عدّتها حيضتان</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القرأين على الطهرين من دون القرينة كما ترى لعدم ثبوت كون الطهر معناً حقيقياً للقرء بعدُ بل الحمل عليه كالحمل على الحيض في مقابله وهو محتاج إلى القرينة، وما ذكر في معنى القرء في عدّة الطلاق فهو مختصّ ببابه وكان بقرينة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زرارة في المشبه به ظاهرة في الطهرين كما لا يخفى، لوحدة السياق في الحرّة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في التنزيل في الصحيحة، بل التنزيل فيها في الأشهر فقط بقرينة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فيها حيضة ونصف لا الحيضتان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فالذهاب إلى هذا المذهب موجب لطرح عمدة أخبار الباب</w:t>
      </w:r>
      <w:r>
        <w:rPr>
          <w:rFonts w:eastAsia="Amiri" w:cs="Amiri" w:ascii="Amiri" w:hAnsi="Amiri"/>
          <w:color w:val="111111"/>
          <w:sz w:val="28"/>
          <w:szCs w:val="28"/>
          <w:rtl w:val="true"/>
          <w:lang w:bidi="ar-SA"/>
        </w:rPr>
        <w:t xml:space="preserve">. </w:t>
      </w:r>
      <w:bookmarkStart w:id="449" w:name="pg9375_99738"/>
    </w:p>
    <w:p>
      <w:pPr>
        <w:pStyle w:val="BookText"/>
        <w:rPr/>
      </w:pPr>
      <w:bookmarkEnd w:id="449"/>
      <w:r>
        <w:rPr>
          <w:rFonts w:ascii="Amiri" w:hAnsi="Amiri" w:eastAsia="Amiri" w:cs="Amiri"/>
          <w:color w:val="111111"/>
          <w:sz w:val="28"/>
          <w:sz w:val="28"/>
          <w:szCs w:val="28"/>
          <w:rtl w:val="true"/>
          <w:lang w:bidi="ar-SA"/>
        </w:rPr>
        <w:t>من تحيض فخمسة وأربعون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الحيضتين الكاملتان ، فلو وهبت</w:t>
      </w:r>
    </w:p>
    <w:p>
      <w:pPr>
        <w:pStyle w:val="Heading3"/>
        <w:numPr>
          <w:ilvl w:val="2"/>
          <w:numId w:val="1"/>
        </w:numPr>
        <w:rPr/>
      </w:pPr>
      <w:bookmarkStart w:id="450" w:name="__RefHeading___Toc5416737_2870459653"/>
      <w:bookmarkStart w:id="451" w:name="_Toc161"/>
      <w:bookmarkEnd w:id="450"/>
      <w:r>
        <w:rPr>
          <w:rtl w:val="true"/>
        </w:rPr>
        <w:t>عدّة المتمتّع بها إن كانت في سنّ من تحيض ولا تحيض</w:t>
      </w:r>
      <w:bookmarkEnd w:id="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بلاخلاف فيه، بل عليه الإجماع بقسميه،</w:t>
      </w:r>
      <w:r>
        <w:rPr>
          <w:rStyle w:val="FootnoteAnchor"/>
          <w:rtl w:val="true"/>
        </w:rPr>
        <w:footnoteReference w:id="1205"/>
      </w:r>
      <w:r>
        <w:rPr>
          <w:rFonts w:ascii="IRNazanin" w:hAnsi="IRNazanin" w:eastAsia="IRNazanin"/>
          <w:color w:val="111111"/>
          <w:sz w:val="28"/>
          <w:sz w:val="28"/>
          <w:szCs w:val="28"/>
          <w:rtl w:val="true"/>
          <w:lang w:bidi="fa-IR"/>
        </w:rPr>
        <w:t>وتدلّ عليه موثّقة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المتعة خمسة وأربعون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يعقده بيده خمسة وأربعين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الأجل كانت فرقة بغير طلاق</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وخبري عبدالله بن عمرو وأحمد بن محمّد بن أبي نصر ممّا مرّ</w:t>
      </w:r>
      <w:r>
        <w:rPr>
          <w:rStyle w:val="FootnoteAnchor"/>
          <w:rtl w:val="true"/>
        </w:rPr>
        <w:footnoteReference w:id="1207"/>
      </w:r>
      <w:r>
        <w:rPr>
          <w:rFonts w:ascii="IRNazanin" w:hAnsi="IRNazanin" w:eastAsia="IRNazanin"/>
          <w:color w:val="111111"/>
          <w:sz w:val="28"/>
          <w:sz w:val="28"/>
          <w:szCs w:val="28"/>
          <w:rtl w:val="true"/>
          <w:lang w:bidi="fa-IR"/>
        </w:rPr>
        <w:t>نقلهما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وصحيحة ابن أبي نصر أيضاً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المتمتّعة خمسة وأربعون يوماً، والاحتياط خمسة وأربعون ليلة</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وفي الاحتياط المذكور، احتمالان، كونه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من ابن أبي نصر الراوي</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فيخطر بالبال أنّ الغرض منه الاحتياط في استبراء الرحم بأكثر الأمرين فيما كان مبدء العدّة من اليوم وإلّا ففي ما كان من الليل فالأكثريّة وكون العدد منهما قهريّة كما لا يخفى، والاحتياط ليس فيالحكم حتّى يستحيل من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احتمال كونه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الاحتياط في حكمة العدّة وهي الاستبراء ويكون في الموضوع المشتبه فلابأس به بل هو مطلوب لحسنه كما لا يخفى، وعلى مثل ذلك تحمل الليلة في صحيحة ابن‌مسلم، ففيها 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52" w:name="pg9375_99739"/>
    </w:p>
    <w:p>
      <w:pPr>
        <w:pStyle w:val="BookText"/>
        <w:rPr/>
      </w:pPr>
      <w:bookmarkEnd w:id="452"/>
      <w:r>
        <w:rPr>
          <w:rFonts w:ascii="Amiri" w:hAnsi="Amiri" w:eastAsia="Amiri" w:cs="Amiri"/>
          <w:color w:val="111111"/>
          <w:sz w:val="28"/>
          <w:sz w:val="28"/>
          <w:szCs w:val="28"/>
          <w:rtl w:val="true"/>
          <w:lang w:bidi="ar-SA"/>
        </w:rPr>
        <w:t>مدّتها أو انقضت في أثناء الحيض لم تحسب بقيّة تلك الحيضة من الحيضتين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الشهور هو الهلالي، فإن وقع الطلاق في أوّل رؤية الهلال فلا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في أثناء الشهر ففيه خلاف وإشكال، ولعلّ الأقوى في النظر جعل الشهرين الوسطين هلاليين وإكمال الأوّل من الرابع بمقدار ما فات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 يستقبل أمراً جديداً فعل، وليس عليها العدّة منه، وعليها من غيره خمسة وأربعون ليلة</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w:t>
      </w:r>
      <w:r>
        <w:rPr>
          <w:rStyle w:val="FootnoteAnchor"/>
          <w:rtl w:val="true"/>
        </w:rPr>
        <w:footnoteReference w:id="1210"/>
      </w:r>
      <w:r>
        <w:rPr>
          <w:rFonts w:ascii="Amiri" w:hAnsi="Amiri" w:eastAsia="Amiri" w:cs="Amiri"/>
          <w:color w:val="111111"/>
          <w:sz w:val="28"/>
          <w:sz w:val="28"/>
          <w:szCs w:val="28"/>
          <w:rtl w:val="true"/>
          <w:lang w:bidi="ar-SA"/>
        </w:rPr>
        <w:t>الكلام في المسألة فلا نعيده</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416739_2870459653"/>
      <w:bookmarkStart w:id="454" w:name="_Toc162"/>
      <w:bookmarkEnd w:id="453"/>
      <w:r>
        <w:rPr>
          <w:rtl w:val="true"/>
        </w:rPr>
        <w:t>المدار في الشهور هو الهلالي</w:t>
      </w:r>
      <w:bookmarkEnd w:id="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لانصراف الشهر إلى الهلالي في عرف الشرع بل وفي العرف العام، والحمل على غيره محتاج إلى القرينة الحاليّة والمقاليّة، والمعيار في وقوع الطلاق في أوّل الشهر وغرّته العرفي منه المتسامح فيه مقدار زمان وقوع صيغة الطلاق ونحوه لا العقلي منه بأن انطبق آخر لفظ الطلاق على الغروب ليلة الهلال لعدم الاعتبار به في فهم الألفاظ والظواهر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في المتن الأقوى هو أحد الاحتمالات الأربع في المسألة، وقيل تكمل الأوّل ثلاثين لإمكان الهلاليّة في الشهرين وتعذّره في الباقي، فينصرف إلى </w:t>
      </w:r>
      <w:bookmarkStart w:id="455" w:name="pg9375_99740"/>
    </w:p>
    <w:p>
      <w:pPr>
        <w:pStyle w:val="BookText"/>
        <w:rPr/>
      </w:pPr>
      <w:bookmarkEnd w:id="4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انقضاء العدّة وعدمه قدّم قولها بيمينها، سواء ادّعت الانقضاء أو عدمه، وسواء كانت عدّتها بالأقراء أو الأشهر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العددي، وفي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2"/>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إلى العددي مع تعذّر الهلالي ممنوعٌ وليس بأزيد من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الضعف بل أضعف منه القول باعتبار العددي في الجميع؛ لأنّه يكمل الأوّل من الثاني فينكسر ويكمل من الثالث فينكسر، فيكمل من الرابع ومثلهما في الضعف أيضاً احتمال تلفيق ما نقص من الأوّل بمقداره من الآخر؛ بمعنى أنّه لو فرض وقوعه في النصف من الأوّل لوحظ النصف من الآخر، ومقتضاه حينئذٍ تلفيق شهر تكون أيّامه ثلاثين يوماً إلّا نصف يوم، وهو خارج عن الهلالي والعددي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ما في المتن؛ وذلك لأنّ الشهر حقيقة فيما بين الهلالين مجاز في غيره، ولا يقدح اختلاف مصداقه بالتسعة وعشرين تارةً والثلاثين أُخرى عرفاً في جميع الآجال من غير فرق بين البيع وغيره، ومع تعذّر الحقيقة فأقرب المجازات إليها التلفيق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يعرف الحال في جميع أفراد المسألة؛ إذ هي غير خاصّة في المقام، بل لعلّ السنّة كذلك أيضاً، فإنّها حقيقة في الاثنى عشر شهراً هلاليّاً، وتلفيقها بما ذكرنا إلّا أن تقوم القرينة على إرادة غير ذلك</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5416741_2870459653"/>
      <w:bookmarkStart w:id="457" w:name="_Toc163"/>
      <w:bookmarkEnd w:id="456"/>
      <w:r>
        <w:rPr>
          <w:rtl w:val="true"/>
        </w:rPr>
        <w:t>الاختلاف في انقضاء العدّة وعدمه</w:t>
      </w:r>
      <w:bookmarkEnd w:id="45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الدالّة على أنّ أمر الحيض والعدّة بيدها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الأخبار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والحيض للنساء إذا ادّعت صدّقت</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الطبرسي في التفسير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يَحِلُّ لَهُنَّ أَن يَكْتُمْنَ مَا خَلَقَ اللهُ فِي أَرْحَامِهِنَّ</w:t>
      </w:r>
      <w:r>
        <w:rPr>
          <w:rStyle w:val="FootnoteAnchor"/>
          <w:rtl w:val="true"/>
        </w:rPr>
        <w:footnoteReference w:id="1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فوّض الله إلى النساء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والطهر والحمل</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الثانية،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والحيض إلى النساء</w:t>
      </w:r>
      <w:r>
        <w:rPr>
          <w:rFonts w:eastAsia="IRNazanin" w:cs="IRNazanin"/>
          <w:color w:val="111111"/>
          <w:sz w:val="28"/>
          <w:szCs w:val="28"/>
          <w:rtl w:val="true"/>
          <w:lang w:bidi="fa-IR"/>
        </w:rPr>
        <w:t>».</w:t>
      </w:r>
      <w:r>
        <w:rPr>
          <w:rStyle w:val="FootnoteAnchor"/>
          <w:rtl w:val="true"/>
        </w:rPr>
        <w:footnoteReference w:id="121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الأخبار عدم الفرق بين قولها الموافق للأصل كعدم الانقضاء أو المخالف له كالانقضاء وبين العدّة بالشهور والأقراء</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9375_99743"/>
      <w:bookmarkStart w:id="459" w:name="pg9375_99743"/>
      <w:bookmarkEnd w:id="459"/>
    </w:p>
    <w:p>
      <w:pPr>
        <w:pStyle w:val="Heading2"/>
        <w:numPr>
          <w:ilvl w:val="1"/>
          <w:numId w:val="1"/>
        </w:numPr>
        <w:rPr/>
      </w:pPr>
      <w:bookmarkStart w:id="460" w:name="pg9375_99743"/>
      <w:bookmarkStart w:id="461" w:name="__RefHeading___Toc5416743_2870459653"/>
      <w:bookmarkStart w:id="462" w:name="_Toc164"/>
      <w:bookmarkEnd w:id="460"/>
      <w:bookmarkEnd w:id="461"/>
      <w:r>
        <w:rPr>
          <w:rtl w:val="true"/>
        </w:rPr>
        <w:t>القول في عدّة الوفاة</w:t>
      </w:r>
      <w:bookmarkEnd w:id="462"/>
    </w:p>
    <w:p>
      <w:pPr>
        <w:pStyle w:val="Heading3"/>
        <w:numPr>
          <w:ilvl w:val="2"/>
          <w:numId w:val="1"/>
        </w:numPr>
        <w:rPr/>
      </w:pPr>
      <w:bookmarkStart w:id="463" w:name="__RefHeading___Toc5416745_2870459653"/>
      <w:bookmarkStart w:id="464" w:name="_Toc165"/>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المتوفّى عنها زوجها أربعة أشهر وعشرة أيّام إذا كانت حائلاً، صغيرة كانت أو كبيرة، يائسة كانت أو غيرها، مدخولاً بها كانت أم لا، دائمة كانت أو منقطعة،من ذوات الأقراء كانت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5416747_2870459653"/>
      <w:bookmarkStart w:id="466" w:name="_Toc166"/>
      <w:bookmarkEnd w:id="465"/>
      <w:r>
        <w:rPr>
          <w:rtl w:val="true"/>
        </w:rPr>
        <w:t>عدّة المتوفّى عنها زوجها إذا كانت حائلاً</w:t>
      </w:r>
      <w:bookmarkEnd w:id="4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منّا ومن غيرنا في مدّتها، ويدلّ عليه الكتاب والسنّة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الكتاب، وهو الأصل في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 فَإذا بَلَغْنَ أَجَلَهُنَّ فَلَا جُنَاحَ عَلَيْكُمْ فِيمَا فَعَلْنَ فِي أَنفُسِهِنَّ بِالْمَعْرُوفِ وَاللهُ بِمَا تَعْمَلُونَ 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7"/>
      </w:r>
      <w:r>
        <w:rPr>
          <w:rFonts w:ascii="Amiri" w:hAnsi="Amiri" w:eastAsia="Amiri" w:cs="Amiri"/>
          <w:color w:val="111111"/>
          <w:sz w:val="28"/>
          <w:sz w:val="28"/>
          <w:szCs w:val="28"/>
          <w:rtl w:val="true"/>
          <w:lang w:bidi="ar-SA"/>
        </w:rPr>
        <w:t>وهي ناسخة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وَصِيَّةً لِّأَزْوَاجِهِم مَّتَاعاً إِلَى الْحَوْلِ غَيْرَ إِخْرَاجٍ فَإِنْ خَرَجْنَ فَلَا جُنَاحَ عَلَيْكُمْ فِي مَا فَعَلْنَ فِيَ أَنفُسِهِنَّ مِن مَّعْرُوفٍ وَاللهُ عَزِيزٌ حَكِيمٌ</w:t>
      </w:r>
      <w:r>
        <w:rPr>
          <w:rStyle w:val="FootnoteAnchor"/>
          <w:rtl w:val="true"/>
        </w:rPr>
        <w:footnoteReference w:id="1218"/>
      </w:r>
      <w:r>
        <w:rPr>
          <w:rFonts w:ascii="Amiri" w:hAnsi="Amiri" w:eastAsia="Amiri" w:cs="Amiri"/>
          <w:color w:val="111111"/>
          <w:sz w:val="28"/>
          <w:sz w:val="28"/>
          <w:szCs w:val="28"/>
          <w:rtl w:val="true"/>
          <w:lang w:bidi="ar-SA"/>
        </w:rPr>
        <w:t xml:space="preserve">إن كان مربوطاً بعدّة الوفاة؛ وذلك إجماعاً وسنّة من الفريقين ولكنّ الارتباط بها غير معلوم، فلعلّه كان متوجّهاً إلىما في الجاهليّة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لزوم بقائها في البيت وأخذها النفقة، مضافاً إلى عدم مساعدة الذيل له، فإنّه الدالّ على جواز خروجها في الحول من جهة نفيه الحرج على المكلّفين في خروجهنّ في وسط الحول وفعلهنّ المعروف في أنفسهنّ بالزينة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منافٍ للعدّة؛ حيث إنّ ترك الزينة والحداد لمّا يكون واجباً فعليهم الحرج في الأمر بالمعروف والنهي عن المنكر، ولذلك نفي الحرج في الآية الأُولى</w:t>
      </w:r>
      <w:r>
        <w:rPr>
          <w:rStyle w:val="FootnoteAnchor"/>
          <w:rtl w:val="true"/>
        </w:rPr>
        <w:footnoteReference w:id="1219"/>
      </w:r>
      <w:r>
        <w:rPr>
          <w:rFonts w:ascii="Amiri" w:hAnsi="Amiri" w:eastAsia="Amiri" w:cs="Amiri"/>
          <w:color w:val="111111"/>
          <w:sz w:val="28"/>
          <w:sz w:val="28"/>
          <w:szCs w:val="28"/>
          <w:rtl w:val="true"/>
          <w:lang w:bidi="ar-SA"/>
        </w:rPr>
        <w:t>مشروط بتماميّة العدّة وبلوغهنّ أجلهنّ وإلّا كانت العادة في الجاهليّة لزوم ترك الزينة حولاً كاملاً مع أنّهنّ كنّ لا يحترمنّ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على الارتباط ففيها الإشارة إلى صيرورته منسوخاً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العشر، فالمتّفق بين علماء الإسلام أنّ المراد منه عشرة أيّام، ويدلّ عليه بعض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الأوزاعي أنّ المراد هو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بأنّ التذكير في العشر يدلّ على أنّ المعدود مؤنث وهو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لفهم العرف؛ لغلبة اليوم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الأمران مع عدم ذكر المعدود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القاعدة ممنوعٌ، 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معارض لقول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فمستفيضة بل متواترة، وهي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بيان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بيان لوازم العدّة كترك الزينة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فروع المسألة كغير المدخول بها والمتمتّع بها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تفاصيل المتن مضافاً إلى التفصيل بكون الزوج صغيراً أم كبيراً،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ذميّة كانت الزوجة أم مسلمة، إطلاق الكتاب والسنّة، مع ما في بعض الأخبار من العموم والتصريح ببعضها، ففي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عدّة المتعة إذا مات عنها الذي تمتّع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أشهر وعشراً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النكاح إذا مات الزوج فعلى المرأة حرّة كانت أو أمة وعلى أيّ وجهٍ كان النكاح منه متعة أو تزويجاً أو ملك يمين، فالعدّة أربعة أشهر وعشراً، وعدّة المطلّقة ثلاثة أشهر والأمة المطلّقة عليها نصف ما على الحرّة، وكذلك المتعة عليها مثل ما على الأمة</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نعم، حكي عن المفيد</w:t>
      </w:r>
      <w:r>
        <w:rPr>
          <w:rStyle w:val="FootnoteAnchor"/>
          <w:rtl w:val="true"/>
        </w:rPr>
        <w:footnoteReference w:id="1221"/>
      </w:r>
      <w:r>
        <w:rPr>
          <w:rFonts w:ascii="Amiri" w:hAnsi="Amiri" w:eastAsia="Amiri" w:cs="Amiri"/>
          <w:color w:val="111111"/>
          <w:sz w:val="28"/>
          <w:sz w:val="28"/>
          <w:szCs w:val="28"/>
          <w:rtl w:val="true"/>
          <w:lang w:bidi="ar-SA"/>
        </w:rPr>
        <w:t>وغيره في المتعة أنّ عدّتها خمسة وستّون يوماً،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بها كانت في حياة الزوج كالأمة فكذلك في ممات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متعة ثمّ مات عنها ما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وستّون يوماً</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وفي الأوّل ما لا يخفى، والمرسلة مع ضعف سندها بعلّي بن حسن، فإنّه جعّال وضّاع معارضة بروايات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الصحيح عنزرارة آنفاً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يتزوّجها الرجل متعة ثمّ يتوفّى عنها زوجها، هل عليها العدّة؟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تعتدّ أربعة أشهر وعشراً، فإذا انقضت أيّامها وهو حيّ فحيضة ونصف مثل ما يجب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مكثت عنده أيّاماً فعليها العدّة وتحدّ، وإذا كانت عنده يوماً أو يومين أو ساعة من النهار فقد وجبت العدّة كملاً ولا تحدّ</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وأمّا صحيحة عليّ بن يقطين، فهي شاذّة معرضٌ عنها، فقد روي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المرأة إذا تمتّع بها فمات عنها خمسة وأربعون يوماً</w:t>
      </w:r>
      <w:r>
        <w:rPr>
          <w:rFonts w:eastAsia="IRNazanin" w:cs="IRNazanin"/>
          <w:color w:val="111111"/>
          <w:sz w:val="28"/>
          <w:szCs w:val="28"/>
          <w:rtl w:val="true"/>
          <w:lang w:bidi="fa-IR"/>
        </w:rPr>
        <w:t>».</w:t>
      </w:r>
      <w:r>
        <w:rPr>
          <w:rStyle w:val="FootnoteAnchor"/>
          <w:rtl w:val="true"/>
        </w:rPr>
        <w:footnoteReference w:id="1224"/>
      </w:r>
      <w:r>
        <w:rPr>
          <w:rFonts w:ascii="Amiri" w:hAnsi="Amiri" w:eastAsia="Amiri" w:cs="Amiri"/>
          <w:color w:val="111111"/>
          <w:sz w:val="28"/>
          <w:sz w:val="28"/>
          <w:szCs w:val="28"/>
          <w:rtl w:val="true"/>
          <w:lang w:bidi="ar-SA"/>
        </w:rPr>
        <w:t>مع أنّها كالمرسلة في المعارضة بالأخبار الكثيرة المرجحّة عليها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غيرالمدخول بها، فيدلّ على لزوم عدّة الوفاة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وإطلاق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يموت وتحته امرأة لم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نصف المهر، ولها الميراث كاملاً، وعليها العدّة كاملة</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المتوفّى عنها زوجها ولم يمسّها،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تنكح حتّى تعتدّ أربعة أشهر وعشراً عدّة المتوفّى عنها زوجها</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دخل بها وقد فرض لها مهراً فلها نصف ما فرض لها، ولها الميراث، وعليها العدّة</w:t>
      </w:r>
      <w:r>
        <w:rPr>
          <w:rFonts w:eastAsia="IRNazanin" w:cs="IRNazanin"/>
          <w:color w:val="111111"/>
          <w:sz w:val="28"/>
          <w:szCs w:val="28"/>
          <w:rtl w:val="true"/>
          <w:lang w:bidi="fa-IR"/>
        </w:rPr>
        <w:t>».</w:t>
      </w:r>
      <w:r>
        <w:rPr>
          <w:rStyle w:val="FootnoteAnchor"/>
          <w:rtl w:val="true"/>
        </w:rPr>
        <w:footnoteReference w:id="122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يعارضها 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عمر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تزوّج امرأة فطلّقها قبل أن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المتوفّى عنها زوجها من قبل أن يدخل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عدّة عليها هما سواء</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طلّق امرأته من قبل أن يدخل بها أ عليها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عنها زوجها قبل أن يدخل بها أعليها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عن هذا</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ونحوه ما عنه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المتوفّى عنها زوجها ولم يدخل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سمّى لها مهراً فلها نصفه وهي ترثه، وإن لم يكن سمّى لها مهراً فلا مهر لها وهي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عن هذا</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ولا يخفى أنّ التعارض للأخيرتين ممنوعٌ؛ لعدمه موضوعاً، فإنّ السكوت وعدم البيان غير معارض للبيان والكلام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معارضة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سندها بالجهل في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أعرض عنها الأصحاب، وهي مخالفة لظاهر الكتاب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احتمال الإنكار بالاستفهام من جهة أنّ نفي العدّة في الطلاق موافقٌ لحكمة الاستبراء، بخلاف الوفاة، فإنّ العدّة للتوجّع وإظهارالمصيبة، فأنكر الإمام على السائل التساوي بينهما في العدم، مع أنّ في نفس الخبر سُقماً وهو شبهة القياس</w:t>
      </w:r>
      <w:r>
        <w:rPr>
          <w:rFonts w:eastAsia="Amiri" w:cs="Amiri" w:ascii="Amiri" w:hAnsi="Amiri"/>
          <w:color w:val="111111"/>
          <w:sz w:val="28"/>
          <w:szCs w:val="28"/>
          <w:rtl w:val="true"/>
          <w:lang w:bidi="ar-SA"/>
        </w:rPr>
        <w:t xml:space="preserve">. </w:t>
      </w:r>
      <w:bookmarkStart w:id="467" w:name="pg9375_99748"/>
    </w:p>
    <w:p>
      <w:pPr>
        <w:pStyle w:val="BookText"/>
        <w:rPr/>
      </w:pPr>
      <w:bookmarkEnd w:id="467"/>
      <w:r>
        <w:rPr>
          <w:rFonts w:ascii="Amiri" w:hAnsi="Amiri" w:eastAsia="Amiri" w:cs="Amiri"/>
          <w:color w:val="111111"/>
          <w:sz w:val="28"/>
          <w:sz w:val="28"/>
          <w:szCs w:val="28"/>
          <w:rtl w:val="true"/>
          <w:lang w:bidi="ar-SA"/>
        </w:rPr>
        <w:t>وإن كانت حاملاً فأبعد الأجلين من وضع الحمل والمدّة المزبورة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الحدائق</w:t>
      </w:r>
      <w:r>
        <w:rPr>
          <w:rStyle w:val="FootnoteAnchor"/>
          <w:rtl w:val="true"/>
        </w:rPr>
        <w:footnoteReference w:id="1231"/>
      </w:r>
      <w:r>
        <w:rPr>
          <w:rFonts w:ascii="Amiri" w:hAnsi="Amiri" w:eastAsia="Amiri" w:cs="Amiri"/>
          <w:color w:val="111111"/>
          <w:sz w:val="28"/>
          <w:sz w:val="28"/>
          <w:szCs w:val="28"/>
          <w:rtl w:val="true"/>
          <w:lang w:bidi="ar-SA"/>
        </w:rPr>
        <w:t>من احتمال التقيّة مبنيّ على كون الأمر بالسكوت من باب الخوف من نفس الإفتاء؛ إمّا على نفسه وإمّا على السائل؛ لئلّا يعرف أنّه يستفتي، وإلّا فالعامّة أيضاً متّفقون على العدّة</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5416749_2870459653"/>
      <w:bookmarkStart w:id="469" w:name="_Toc167"/>
      <w:bookmarkEnd w:id="468"/>
      <w:r>
        <w:rPr>
          <w:rtl w:val="true"/>
        </w:rPr>
        <w:t>عدّة المتوفّى عنها زوجها إذا كانت حاملاً</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روايات كثيرة،</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زوجها الحامل أجلها آخر الأجلين إن كانت حبلى فتمّت لها أربعة أشهر وعشر ولم تضع، فإنّ عدّتها إلى أن تضع، وإن كانت تضع حملها قبل أن يتمّ لها أربعة أشهر وعشر تعتدّ بعد ما تضع تمام أربعة أشهر وعشر، وذلك أبعد الأجلين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كتاب الطلاق، أبواب العدد، الباب</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مخصّصة لآية العدّة في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ذهب العامّة إلى انقضاء العدّة بوضع الحمل؛ لعموم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وَأُوْلَاتُ الْأَحْمَالِ أَجَلُهُنَّ أَن يَضَعْنَ حَمْلَهُنَّ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سياق الآيات والتعبير بالأجل لشهادة للاختصاص بالطلاق، ولو سلّم العموميّة فبينها وبين آية الوفاة عموم من وجه فتتعارضان، ومورد التعارض والاجتماع الحامل المتوفّى عنها زوجها،فيؤخذ بالأظهر دلالة، وهو آية الوفاة؛ لوجود احتمال الاختصاص بالطلاق المذكور في تلك الآية دون آية الوفاة، </w:t>
      </w:r>
      <w:bookmarkStart w:id="470" w:name="pg9375_99749"/>
    </w:p>
    <w:p>
      <w:pPr>
        <w:pStyle w:val="BookText"/>
        <w:rPr/>
      </w:pPr>
      <w:bookmarkEnd w:id="4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بالأشهر هي الهلاليّة، فإن مات عند رؤية الهلال اعتدّت بأربعة أشهر وضمّت إليها من الخامس عشرة أيّام، وإن مات في أثناء الشهر فالأظهر أنّها تجعل ثلاثة أشهر هلاليّات في الوسط وأكملت الأوّل بمقدار ما مضى منه من الشهر الخامس حتّى تصير مع التلفيق أربعة أشهر وعشرة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ثمّ مات قبل انقضاء العدّة فإن كان رجعيّاً بطلت عدّة الطلاق، واعتدّت من حين موته عدّة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نصّ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مع عدم الأظهريّة فلابدّ من العمل بالتكليفين، فإنّ الأصل عدم التداخل، فيجب الجمع بين الحكمين والاعتداد بكليهما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استدلال بعض الإماميّة بالآيتين على لزوم الاعتداد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 الاستدلال بأنّ عدّة الوفاة هي أكثر من عدّة الطلاق وعليها في الوفاة تكاليف ليست فيه، فيعلم أنّها أقوى من عدّته فيلزم رعاية الأبعد، لكنّه اعتبار لا يزيد أمراً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نحوه في عدّة المتمتّع بها</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الزوجة لا تعلم الشهور فيجب الاعتداد مأة وثلاثين يوماً؛ للاستصحاب وللضابطة الشرعيّة في عدّ أيّام الشهر المشكوك</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5416751_2870459653"/>
      <w:bookmarkStart w:id="472" w:name="_Toc168"/>
      <w:bookmarkEnd w:id="471"/>
      <w:r>
        <w:rPr>
          <w:rtl w:val="true"/>
        </w:rPr>
        <w:t>عدّة المطلّقة الرجعيّة إذا مات زوجها في العدّة</w:t>
      </w:r>
      <w:bookmarkEnd w:id="47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الجملة، بل عليه الإجماع بقسميه إجمالاً؛ أي بالنسبة إلى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المسترابة بالحمل، وذلك للأخبار المستفيضة إن لم تكن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كانت تحته امرأة فطلّقها، ثمّ مات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أبعد الأجلين، عدّة المتوفّى عنها زوجها</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ثمّ توفّي عنها وهي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وإن توفّيت وهي في عدّتها، فإنّه يرثها، وكلّ واحد منهما يرث من دية صاحبه ما لم يقتل أحدهما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فيه محمّد بن أبي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وتعتدّ عدّة المتوفّى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سقط من كتاب ابن زياد ولا أظنّه إلّا وقد رواه</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طلّقت، ثمّ توفّي عنها زوجها قبل أن تنقضي عدّتها ولم تحرم عليه فإنّها ترثه، ثمّ تعتدّ عدّة المتوفّى عنها زوجها، وإن توفّيت، وهي في عدّتها ولم تحرم عليه فإنّه يرثها</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هذا مضافاً إلى ما دلّ من الأخبار على أنّ المطلّقة الرجعيّة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البائن، فليس عليها عدّة؛ لأنّها أجنبيّة، وليست بزوجة كغيرها من الأجنبيّات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مرسلة عليّ بن إبراهيم، عن بعض أصحابنا في المطلّقة البائنة إذا توفّي عنها زوجها، وهي في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بأبعد الأجلين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xml:space="preserve">فهي مرسلة مقطوعة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ومعارضة بأخبار كثيرة، مضافاً إلى أنّها شاذّة غير معمول بها عند الأصحاب، والحمل على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 ففي ذكر الطلاق دلالة على البينونة من دون احتياج إلى زيادة بيان بوصف المطلّقة بالبائن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البائن في الروايات هو اصطلاح في مقابل الرجعيّة لا سيّما مع ذكر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بل المتعيّن في مقام الحمل، الحمل على الاستحباب؛ لعدم ظهور الجملة الخبريّة في نفسها في مقام الإنشاء في اللزوم إن لم نقل بظهور المثبتة منها في الاستحباب والنافية في الكراهة، وترك الاستفصال في صحيحة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الأوّل من الأحاديث المنقولة المستدلّ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شامل لليائسة والصغيرة وغير المدخول بها من أقسام البائن؛ لعدم العدّة لهنّ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الأقسام الثلاثة من البائن خارجة من مورد السؤال، فإنّ السؤال عن المطلّقة التي مات الرجل المطلِّق قبل أن تنقضي عدّتها ولا عدّة لهنّ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شاملة للمختلعة والمعتدّة في عدّة الثالث أيضاً؛ لانصراف المطلّقة إلى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المختلعة مختلعة وعدّتها عدّة المطلّقة كما في بعض الأخبار؛ لكون الإطلاق منصرفاً إلى غيرها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المطلّقة الرجعيّة الحامل إذا توفّي عنها زوجها ففي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عدّتها أبعد الأجلين من وضع الحمل، والمدّة المزبورة مثل الزوجة الحامل، ولم نجده في الكتب المعروفة ولكنّه هو الحقّ؛ للاستصحاب ولأنّهازوجة، ولما جاء في بعض أخبار عدّة المطلّقة المتوفّى عنها زوجها الاعتداد بأبعد الأجلين من عدّة الطلاق والوفاة، ففي مرسلة ابن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طلّق امرأته طلاقاً يملك فيه الرجعة، ثمّ مات عنها،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تعتدّ بأبعد الأجلين أربعة أشهر </w:t>
      </w:r>
      <w:bookmarkStart w:id="473" w:name="pg9375_99752"/>
    </w:p>
    <w:p>
      <w:pPr>
        <w:pStyle w:val="BookText"/>
        <w:rPr/>
      </w:pPr>
      <w:bookmarkEnd w:id="473"/>
      <w:r>
        <w:rPr>
          <w:rFonts w:ascii="Amiri" w:hAnsi="Amiri" w:eastAsia="Amiri" w:cs="Amiri"/>
          <w:color w:val="111111"/>
          <w:sz w:val="28"/>
          <w:sz w:val="28"/>
          <w:szCs w:val="28"/>
          <w:rtl w:val="true"/>
          <w:lang w:bidi="ar-SA"/>
        </w:rPr>
        <w:t xml:space="preserve">إلّا في المسترابة بالحمل، فإنّ فيها محلّ تأمّل، فالأحوط لها الاعتداد بأبعد الأجلين من عدّة الوفاة ووظيفة المسترابة، فإذا مات الزوج بعد الطلاق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عدّة الوفاة وتتمّ عدّة المسترابة إلى رفع الريبة وظهور التكليف، ولو مات بعد سبعة أشهر اعتدّت بأبعدهما من اتّضاح الحال وعدّة الوفاة، ولو كانت المرأة حاملاً اعتدّت بأبعد الأجلين منها ومن وضع الحمل كغير المطلّقة، وإن كان بائناً اقتصرت على إتمام عدّة الطلاق، ولا عدّة لها بسبب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والظاهر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الغالب في مصداق الأبعد لا الدائم كما لا يخفى؛ لإمكان تجاوز عدّة الحائل عن تلك المدّة، كالتي تحيض في كلّ شهرين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كتجاوز عدّة الحامل عنها أيضاً بكون الوضع بعد خمسة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فالمعيار هو الأبعد منهما حائلاً كانت المعتدّة المتوفّى عنها زوجها أو حاملاً</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5416753_2870459653"/>
      <w:bookmarkStart w:id="475" w:name="_Toc169"/>
      <w:bookmarkEnd w:id="474"/>
      <w:r>
        <w:rPr>
          <w:rtl w:val="true"/>
        </w:rPr>
        <w:t>عدّة المسترابة بالحمل</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ينبغي البحث في المسترابة في ضمن مسألتين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الرجعيّة مرتابة بالحمل ففي وجوب الاعتداد عليها بأقصى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تسعة أشهر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الأقراء 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عدّة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ثلاثة بعد التسعة، أو ثلاثة مع وجوب الصبر إلى حصولاليقين، وجوهٌ واحتمالات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البراءة أنّها ثلاثة أشهر؛ للشكّ في وجوب الزيادة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واجب إلى وضع الحمل أو أقصاه؛ حيث إنّ الأمر دائر بين كون العدّة وضع الحمل أو القروء والشهور فيلزم الاحتياط؛ قضاءً للعلم الإجمالي، ولا محلّ معه للبراءة ولا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المسترابة هي عدّة غيرها لا لما مرّ من الوجهين، بل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w:t>
      </w:r>
      <w:r>
        <w:rPr>
          <w:rStyle w:val="FootnoteAnchor"/>
          <w:rtl w:val="true"/>
        </w:rPr>
        <w:footnoteReference w:id="1239"/>
      </w:r>
      <w:r>
        <w:rPr>
          <w:rFonts w:ascii="Amiri" w:hAnsi="Amiri" w:eastAsia="Amiri" w:cs="Amiri"/>
          <w:color w:val="111111"/>
          <w:sz w:val="28"/>
          <w:sz w:val="28"/>
          <w:szCs w:val="28"/>
          <w:rtl w:val="true"/>
          <w:lang w:bidi="ar-SA"/>
        </w:rPr>
        <w:t>وشمولها للمسترابة وغيرها واختصاص أُوْلَاتُ الْأَحْمَالِ</w:t>
      </w:r>
      <w:r>
        <w:rPr>
          <w:rStyle w:val="FootnoteAnchor"/>
          <w:rtl w:val="true"/>
        </w:rPr>
        <w:footnoteReference w:id="1240"/>
      </w:r>
      <w:r>
        <w:rPr>
          <w:rFonts w:ascii="Amiri" w:hAnsi="Amiri" w:eastAsia="Amiri" w:cs="Amiri"/>
          <w:color w:val="111111"/>
          <w:sz w:val="28"/>
          <w:sz w:val="28"/>
          <w:szCs w:val="28"/>
          <w:rtl w:val="true"/>
          <w:lang w:bidi="ar-SA"/>
        </w:rPr>
        <w:t>بمعلوم الحمل؛ وذلك أنّ الغاية في آية الحمل هي وضع الحمل فمع الشكّ ليس الوضع متحقّقاً فيستفاد من جعل الغاية أنّ الآية مختصّة بمعلوم الحمل، وهذا وجهٌ ليس بجزافٍ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ثالث وهو لزوم الصبر سنة، ثمّ الاعتداد بثلاثة أشهر إن لم تضع الحمل، ومستنده روايات يأتي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يحتمل لزومه تسعة أشهر ثمّ ثلاثة أشهر كما هو مفاد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لزوم الاعتداد تسعة أشهر والاحتياط بثلاثة أشهر أُخرى لتماميّة أقصى الحمل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 الأخير بأنّ التسعة المذكورة لا يمكن جعلها عدّة للطلاق؛ لأنّها ناشٍ من أقصى الحمل، كما هو مفاد الروايات، فيلزم الحساب منحين الوطئ الأخير، مع أنّ العدّة من حين الطلاق، ومعه يلزم الاعتداد في أقلّ من سنة وأكثر منها، وكذا في الزيادة على السنة الواحدة، غير وارد؛ لأنّ المراد من التسعة المجعولة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هي المدّة الموجودة غالباً في الحمل بما هي هي من دون نظر إلى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فالمختار أنّ الاعتداد ينتهي بثلاثة أشهر إلّا أنّه يجب الصبر إلى العلم بعدم الحمل، ولمّا أنّ ما بعد الثلاثة عدّة استظهاريّة فليس للزوج الرجوع إليها بعد الثلاثة وإن لم تجب نفقة تلك المدّة عليه أيضاً إلّا استظهاراً واحتياطاً لإمكان الحمل وتماميّة العدّة بالوضع، كما أنّه لا يجوز لها أيضاً التزويج بغيره في تلك المدّة، فأحكام العدّة من الطرفين غير جارية في زمان الانتظار إلّا استظهاراً واحتياطاً، ووجهه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الأخبار، فهي مختلفة،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فادّعت حبلاً، انتظر بها تسعة أشهر، فإن ولدت وإلّا اعتدّت بثلاثة أشهر ثمّ قد بانت منه</w:t>
      </w:r>
      <w:r>
        <w:rPr>
          <w:rFonts w:eastAsia="IRNazanin" w:cs="IRNazanin"/>
          <w:color w:val="111111"/>
          <w:sz w:val="28"/>
          <w:szCs w:val="28"/>
          <w:rtl w:val="true"/>
          <w:lang w:bidi="fa-IR"/>
        </w:rPr>
        <w:t>».</w:t>
      </w:r>
      <w:r>
        <w:rPr>
          <w:rStyle w:val="FootnoteAnchor"/>
          <w:rtl w:val="true"/>
        </w:rPr>
        <w:footnoteReference w:id="124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المحتمل فيها كون الاعتداد بثلاثة أشهر والبينونة، جملة خبريّة ماضويّة؛ أي مع عدم الوضع يكشف كون العدّة في الواقع ثلاثة أشهر من التسعة، والصبر إليها كان للاختبار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إطلاق التسعة يشمل التسعة بعد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كالتسعة بعد الوط‌ء، مع أنّ الملاك في الاستظهار هو التسعة فيما بعد الوطء، فالإطلاق حجّة على عدم كونها للاستظهار بل تكون عدّة والثلاثة بعدها لرعاية أقصى الحمل والاستظهاربالأقصى من قيد الانتظار أنّ التسعة مختصّة بما بعد الوطء وغير شاملة لما بعد الطلاق، ومن المحتمل كون الاعتداد إنّما هو بالثلاثة بعد التسعة، أو هي من باب الاحتياط في انجرار الحمل إلى سنة واحدة، وإن كان الغالب هو حصول الاطمئنان بالتسعة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وعليهما، لا دخالة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للتسعة في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الأخبار ما عن محمّد بن حكيم،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التي تحيض مثلها يطلّقها زوجها فيرتفع طمثها، كم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الحبل بعد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الحبل بعد تسعة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الحمل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تحتاط بثلاثة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ثلاثة أشهر،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ريبة عليها تزوّج إن شاءت</w:t>
      </w:r>
      <w:r>
        <w:rPr>
          <w:rFonts w:eastAsia="IRNazanin" w:cs="IRNazanin"/>
          <w:color w:val="111111"/>
          <w:sz w:val="28"/>
          <w:szCs w:val="28"/>
          <w:rtl w:val="true"/>
          <w:lang w:bidi="fa-IR"/>
        </w:rPr>
        <w:t>».</w:t>
      </w:r>
      <w:r>
        <w:rPr>
          <w:rStyle w:val="FootnoteAnchor"/>
          <w:rtl w:val="true"/>
        </w:rPr>
        <w:footnoteReference w:id="1242"/>
      </w:r>
      <w:r>
        <w:rPr>
          <w:rFonts w:ascii="Amiri" w:hAnsi="Amiri" w:eastAsia="Amiri" w:cs="Amiri"/>
          <w:color w:val="111111"/>
          <w:sz w:val="28"/>
          <w:sz w:val="28"/>
          <w:szCs w:val="28"/>
          <w:rtl w:val="true"/>
          <w:lang w:bidi="ar-SA"/>
        </w:rPr>
        <w:t>ومحمّد بن حكيم هذا وفي الروايات الآتية لم يوثّق ولكنّه حسنٌ</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وأنت ترى أنّ التسعة قد عبّر عنها بأنّها العدّة، والظاهر أنّ العدّة بعد الثلاثة عدّة تعبّديّة،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ناظرة إلى حكم المرأة؛ أي من حيث تزوّجها لا من حيث الرجوع والنفقة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أيضاً، عن أبي ابراهيم أو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المطلّقة يطلّقها زوجها،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حبلى فتمكث سنة،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جاءت به لأكثر من سنة لم تصدّق ولو ساعة واحدة في دعواها</w:t>
      </w:r>
      <w:r>
        <w:rPr>
          <w:rFonts w:eastAsia="IRNazanin" w:cs="IRNazanin"/>
          <w:color w:val="111111"/>
          <w:sz w:val="28"/>
          <w:szCs w:val="28"/>
          <w:rtl w:val="true"/>
          <w:lang w:bidi="fa-IR"/>
        </w:rPr>
        <w:t>».</w:t>
      </w:r>
      <w:r>
        <w:rPr>
          <w:rStyle w:val="FootnoteAnchor"/>
          <w:rtl w:val="true"/>
        </w:rPr>
        <w:footnoteReference w:id="1244"/>
      </w:r>
      <w:r>
        <w:rPr>
          <w:rFonts w:ascii="Amiri" w:hAnsi="Amiri" w:eastAsia="Amiri" w:cs="Amiri"/>
          <w:color w:val="111111"/>
          <w:sz w:val="28"/>
          <w:sz w:val="28"/>
          <w:szCs w:val="28"/>
          <w:rtl w:val="true"/>
          <w:lang w:bidi="ar-SA"/>
        </w:rPr>
        <w:t>فإنّها في أقصى الحمل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أيضاً،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التي تحيض مثلها يطلّقها زوجها فيرتفع طمثها، ما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تزوّجت بعد ثلاثة أشهر فتبين بها بعد ما دخلت على زوجها أنّها حامل،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من ذلك يا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الطمث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فساد من حيضة فقد حلّ لها الأزواج وليس بحامل، وإمّا حامل فهو يستبين في ثلاثة أشهر، لأنّ الله عزّوجلّ قد جعله وقتاً يستبين فيه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تسعة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تحتاط بثلاثة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ارتابت بعد ثلاثة أشهر،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عليها ريبة تزوّج</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فإنّه لا يعلم منها أنّ عدّة مسترابة الحمل تسعة أشهر، فلعلّه في جانب المرأة فقط؛ أي في خصوص مثل التزوّج لا مثل النفقه كما مرّ احتماله في روايته الأُولى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أيضاً، عن أبي عبدالله أو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فلمّا مضت ثلاثة أشهر ادّعت حبلاً،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بها تسعة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ذلك حبلاً،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يرتفع الطمث من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حمل بيّن، وإمّا فساد من الطمث، ولكنّها تحتاط بثلاثة أشهر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أيضاً في التي كانت تطمث ثمّ يرتفع طمثها سنة، كيف تطلّق؟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تطلّق بالشهور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 بعض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أن يطلّقها وهي لا تحيض وقد كان يطؤها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استبرأها، بأن يمسك عنها ثلاثة أشهر من الوقت الذيتبين فيه المطلّقة المستقيمة الطمث، فإن ظهر بها حمل وإلّا طلّقها تطليقة بشاهدين، فإن تركها ثلاثة أشهر فقد بانت بواحدة، فإن أراد أن يطلّقها ثلاث تطليقات تركها شهراً ثمّ راجعها ثمّ طلّقها ثانية ثمّ أمسك عنها ثلاثة أشهر يستبرئها، فإن ظهر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حبل فليس له أن يطلّقها إلّا واحدة</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واعلم أنّ روايات ابن حكيم يحتمل أن تكون رواية واحدة، فلا يمكن استفادة لزوم الاعتداد بتسعة أشهر، فلعلّها عدّة الاختبار، فتبقى الصحيحة فقط، وعلى كلّ حالٍ، فيجب الصبر بأكثر الأمرين من العدّة والتسعة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استدلّ بروايتين أُخريين في المسترابة بالحيض،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عنده امرأة شابّة، وهي تحيض في كلّ شهرين أو ثلاثة أشهر حيضة واحدة، كيف يطلّقها زوجها؟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هذه شديد، هذه تطلّق طلاق السنّة تطليقة واحدة على طهر من غير جماع بشهود ثمّ تترك حتّى تحيض ثلاث حيض متى حاضتها فقد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مضت سنة ولم تحض فيها ثلاث حيض؟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ربّص بها بعد السنة ثلاثة أشهر، ثمّ قد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أيّهما مات ورث صاحبه ما بينه وبين خمسة عشر شهراً</w:t>
      </w:r>
      <w:r>
        <w:rPr>
          <w:rFonts w:eastAsia="IRNazanin" w:cs="IRNazanin"/>
          <w:color w:val="111111"/>
          <w:sz w:val="28"/>
          <w:szCs w:val="28"/>
          <w:rtl w:val="true"/>
          <w:lang w:bidi="fa-IR"/>
        </w:rPr>
        <w:t>».</w:t>
      </w:r>
      <w:r>
        <w:rPr>
          <w:rStyle w:val="FootnoteAnchor"/>
          <w:rtl w:val="true"/>
        </w:rPr>
        <w:footnoteReference w:id="124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سورة بن كليب،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تطليقة واحدة على طهر من غير جماع بشهود طلاق السنّة وهي ممّن تحيض ثلاثة أشهر فلم تحض إلّا حيضة واحدة، ثمّ ارتفعت حيضتها حتّى مضى ثلاثة أشهر أُخرى، ولم تدر ما رفع حيضتها،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كانت شابّة مستقيمة الطمث فلم تطمث في ثلاثةأشهر إلّا حيضة، ثمّ ارتفع طمثها فلا تدري ما رفعها فإنّها تتربّص تسعة أشهر من يوم طلّقها، ثمّ تعتدّ بعد ذلك ثلاثة أشهر، ثمّ تتزوّج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شاءت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شاهد في الأُولی على المسألة أصلاً بل تكون مربوطة بمسترابة الحيض كما أنّه لا شهادة فيها على التسعة المدلول عليها في أخبار محمّد بن حكيم أيضاً، ولو سلّم الدلالة والارتباط؛ قضاءً للإطلاق فهي معرضٌ عنها في موردها؛ حيث إنّ المشهور كون العدّة في مسترابة الحيض ما سبق منه ومن ثلاثة أشهر لا الثلاثة بعد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الثانية، فالإشعار فيها وجيهٌ؛ لما فيها من ذكر التسعة وهو مشعرٌ بمدّة الحمل والارتباط بمسترابة الحمل، لكن مع غضّ النظر عمّا أورده الشهيد الثاني في المسالك عليه أنّ السند ضعيف بسورة بن كليب من جهة عدم التوثيق،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مع اشتهار العمل بمضمونها مخالفة للأصل في اعتبار الحمل بتسعة أشهر من حين الطلاق، فإنّه لا يطابق شيئاً من الأقوال المتقدّمة في أقصى الحمل؛ لأنّ مدّته معتبرة من آخر وط‌ءٍ يقع بها لا من حين الطلاق، فلو فرض أنّه كان معتزلاً لها أزيد من ثلاثة أشهر تجاوزت مدّته أقصى الحمل على جميع الأقوال وقد يكون أزيد من شهر فيخالف القولين بالتسعة والعشرة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فاعتدادها بثلاثة أشهر بعد العلم ببراءتها من الحمل غيرمطابق لما سلف من الأُصول؛ لأنّه مع طروّ الحيض قبل تمام الثلاثة إن اعتبرت العدّة بالأقراء وإن طالت كما يقتضيه الضابط السابق، لم يتمّ الاكتفاء بجميع ذلك، وإن اعتبر خلوّ ثلاثة أشهر بيض بعد النقاء فالمعتبر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بخلوّها من الحمل حصول الثلاثة كذلك ولو قبل العلم؛ لانّ عدّة الطلاق لا يعتبر فيها القصد إليها بخصوصها بل لو مضت المدّة وهي غير عالمة بالطلاق كفت فكيف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ضعف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لم يكتف بالتسعة مع العلم بعدم الحمل؛ لأنّها لم تكن للاعتداد بل للاعتبار بكونها حاملاً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 في الرواية ما يدلّ على أنّه لمكان الحمل، بل في التقييد بالتسعة ما يشعر به وفي تقييدها بكونها من حين الطلاق ما قد يقتضي خلافه</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المسترابة بالحمل بعد انقضاء العدّة والنكاح، فالظاهر من الشرائع</w:t>
      </w:r>
      <w:r>
        <w:rPr>
          <w:rStyle w:val="FootnoteAnchor"/>
          <w:rtl w:val="true"/>
        </w:rPr>
        <w:footnoteReference w:id="1250"/>
      </w:r>
      <w:r>
        <w:rPr>
          <w:rFonts w:ascii="Amiri" w:hAnsi="Amiri" w:eastAsia="Amiri" w:cs="Amiri"/>
          <w:color w:val="111111"/>
          <w:sz w:val="28"/>
          <w:sz w:val="28"/>
          <w:szCs w:val="28"/>
          <w:rtl w:val="true"/>
          <w:lang w:bidi="ar-SA"/>
        </w:rPr>
        <w:t>وغيره،</w:t>
      </w:r>
      <w:r>
        <w:rPr>
          <w:rStyle w:val="FootnoteAnchor"/>
          <w:rtl w:val="true"/>
        </w:rPr>
        <w:footnoteReference w:id="1251"/>
      </w:r>
      <w:r>
        <w:rPr>
          <w:rFonts w:ascii="IRNazanin" w:hAnsi="IRNazanin" w:eastAsia="IRNazanin"/>
          <w:color w:val="111111"/>
          <w:sz w:val="28"/>
          <w:sz w:val="28"/>
          <w:szCs w:val="28"/>
          <w:rtl w:val="true"/>
          <w:lang w:bidi="fa-IR"/>
        </w:rPr>
        <w:t>بل من الجواهر</w:t>
      </w:r>
      <w:r>
        <w:rPr>
          <w:rStyle w:val="FootnoteAnchor"/>
          <w:rtl w:val="true"/>
        </w:rPr>
        <w:footnoteReference w:id="1252"/>
      </w:r>
      <w:r>
        <w:rPr>
          <w:rFonts w:ascii="Amiri" w:hAnsi="Amiri" w:eastAsia="Amiri" w:cs="Amiri"/>
          <w:color w:val="111111"/>
          <w:sz w:val="28"/>
          <w:sz w:val="28"/>
          <w:szCs w:val="28"/>
          <w:rtl w:val="true"/>
          <w:lang w:bidi="ar-SA"/>
        </w:rPr>
        <w:t>صحّة النكاح وانقضاء عدّتها بالأشهر الماضية وأنّه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بأصالة الصحّة في النكاح الثاني وبأنّه بعد انقضاء العدّة، ومثلها الاسترابة بالحمل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إليه استصحاب عدم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المرأة مرتابة في تمام الصور الثلاث في أنّ عدّتها وضع الحمل أو الشهور والثلاثة؟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المرتابة قبل انقضاء العدّة ففي الأخبار الدلالة على لزوم التربّص بأكثر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الأمرين من براءة الرحم والعدّة بالأشهر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المرتابة في الحمل بعد انقضاء العدّة أو بعدها وبعد النكاح فليست مورداً للأخبار، كما أنّ استصحاب عدم الحمل جارٍ في الصور الثلاث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إلغاء الخصوصيّة بضميمة الموافقة للاعتبار لزم التربّص بأكثر الأمرين؛ لأنّ المستفاد من الأخبار أنّ الشارع لا يرضى بوطئ المرأة الحاملة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النكاح والحكم بانقضاء العدّة؛ قضاءً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ليس بجزافٍ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ارتابت بالحمل بعد انقضاء العدّة والنكاح لم يبطل، وكذا لو حدثت الريبة بالحمل بعد العدّة وقبل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ارتابت به قبل انقضاء العدّة لم تنكح، ولو انقضت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بالجواز، ما لم يتيقّن الحمل كان حسناً، وعلى التقديرات لو ظهر حمل بطل النكاح الثاني؛ لتحقّق وقوعه في العدّة</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يخطر بالبال أنّ روايات النكاح في العدّة مختصّة بكون المرأة في العدّة، وما نحن فيه ممّا قد انقضت العدّة ولم تكن حاملاً، بالاستصحاب فلا تشمله الروايات؛ لانتفاء الموضوع وانقضائه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من أنّ الأمارة حكم ظاهري غير مجزٍ عن الواقع وإنّما تكون عذراً مع المخالفة لا وجه له؛ لأنّ الانقضاء المزبور من جانب الشارعفأدلّتها حاكمة على تلك الروايات كحكومة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شرطيّة الطهارة الخبثيّة </w:t>
      </w:r>
      <w:bookmarkStart w:id="476" w:name="pg9375_99761"/>
    </w:p>
    <w:p>
      <w:pPr>
        <w:pStyle w:val="BookText"/>
        <w:rPr/>
      </w:pPr>
      <w:bookmarkEnd w:id="4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في وفاة زوجها الحداد ما دامت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ترك الزينة في البدن بمثل التكحيل والتطيّب والخضاب وتحمير الوجه والخطاط ونحوها، وفي اللباس بلبس الأحمر والأصفر والحليّ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ارتباط للجمع على الحكومة بباب الإجزاء، بل الجمع بها كالجمع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أخبار الانقضاء تدلّ على الصحّة بالدلالة الالتزاميّة العقلائيّة، فإنّ جعل العدّة كذلك يلازم صحّة ترتيب آثار الانقضاء وإلّا فما معنى ذكر الحدّ هنا؟ مضافاً إلى أنّه قد حقّقنا في الأُصول أنّ الأمارات والأُصول مجزية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 أنّ الترديد المذكور في المتن ناشٍ من عدم وجود النصّ في المسألة، ومقتضى القاعدة تربّص أبعد الأجلين، ووجه التربّص في عدّة الوفاة إن كانت هي الأبعد فواضح، وأمّا الآخر، فلأنّ المستفاد من أدلّة العدّة حرمة الزواج للحامل وإن كان الحمل مشكوكاً فيه، ولكنّ الآثار إنّما تترتّب على عدّة الوفاة فقط، كترك الزينة والحداد، فما في المتن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بل الأظهر، الانتظار إلى أبعد الأجلين ولا يترتّب على تلك المدّة الزائدة، الحداد</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5416755_2870459653"/>
      <w:bookmarkStart w:id="478" w:name="_Toc170"/>
      <w:bookmarkEnd w:id="477"/>
      <w:r>
        <w:rPr>
          <w:rtl w:val="true"/>
        </w:rPr>
        <w:t>وجوب الحداد ومعناه</w:t>
      </w:r>
      <w:bookmarkEnd w:id="47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بإجماع الفريقين،</w:t>
      </w:r>
      <w:r>
        <w:rPr>
          <w:rStyle w:val="FootnoteAnchor"/>
          <w:rtl w:val="true"/>
        </w:rPr>
        <w:footnoteReference w:id="1254"/>
      </w:r>
      <w:r>
        <w:rPr>
          <w:rFonts w:ascii="Amiri" w:hAnsi="Amiri" w:eastAsia="Amiri" w:cs="Amiri"/>
          <w:color w:val="111111"/>
          <w:sz w:val="28"/>
          <w:sz w:val="28"/>
          <w:szCs w:val="28"/>
          <w:rtl w:val="true"/>
          <w:lang w:bidi="ar-SA"/>
        </w:rPr>
        <w:t>فضلاً عن الطائفة الحقّة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ترك كلّ ما يعدّ زينة تتزيّن به للزوج، وفي الأوقات المناسبة له في العادة كالأعياد والأعراس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ذلك بحسب الأشخاص والأزمان والبلاد، فيلاحظ في كلّ بلد ما هو المعتاد والمتعارف فيه للتزيين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بتنظيف البدن واللباس، وتسريح الشعر، وتقليم الأظفار، ودخول الحمّام، والافتراش بالفراش الفاخر والسكنى في المساكن المزيّنة، وتزيين أولادها وخدمها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به لغةً وشرعاً، والدليل على الحكم هو الأخبار المتظافرة من الخاصّة والعامّة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البيّنة على موته فعدّتها من يوم يأتيها الخبر أربعة أشهر وعشراً، لأنّ علیها أن تحدّ علیه في الموت أربعة أشهر وعشراً، فتمسك عن الكحل والطیب والأصباغ</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عفور،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تكتحل للزينة ولا تطيّب ولا تلبس ثوباً مصبوغاً ولا تبيت عن بيتها وتقضي الحقوق وتمتشط بغسلة وتحجّ وإن كان في عدّتها</w:t>
      </w:r>
      <w:r>
        <w:rPr>
          <w:rFonts w:eastAsia="IRNazanin" w:cs="IRNazanin"/>
          <w:color w:val="111111"/>
          <w:sz w:val="28"/>
          <w:szCs w:val="28"/>
          <w:rtl w:val="true"/>
          <w:lang w:bidi="fa-IR"/>
        </w:rPr>
        <w:t>».</w:t>
      </w:r>
      <w:r>
        <w:rPr>
          <w:rStyle w:val="FootnoteAnchor"/>
          <w:rtl w:val="true"/>
        </w:rPr>
        <w:footnoteReference w:id="125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 عنها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تكتحل لزينة ولا تطيّب ولا تلبس ثوباً مصبوغاً ولا تخرج نهاراً ولا تبيت عن 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إن أرادت أن تخرج إلى حقّ، كيف تصنع؟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تخرج </w:t>
      </w:r>
      <w:bookmarkStart w:id="479" w:name="pg9375_99763"/>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الحداد ليس شرطاً في صحّة العدّة، بل هو تكليف مستقلّ في زمانها، فلو تركته عصياناً أو جهلاً أو نسياناً في تمام المدّة أو بعضها لم يجب عليها استئنافها وتدارك مقدار ما اعتدّت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الحداد بين المسلمة والذمّيّة،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w:t>
      </w:r>
    </w:p>
    <w:p>
      <w:pPr>
        <w:pStyle w:val="BookText"/>
        <w:rPr/>
      </w:pPr>
      <w:r>
        <w:rPr>
          <w:rFonts w:ascii="Amiri" w:hAnsi="Amiri" w:eastAsia="Amiri" w:cs="Amiri"/>
          <w:color w:val="111111"/>
          <w:sz w:val="28"/>
          <w:sz w:val="28"/>
          <w:szCs w:val="28"/>
          <w:rtl w:val="true"/>
          <w:lang w:bidi="ar-SA"/>
        </w:rPr>
        <w:t>بعد نصف الليل وترجع عشاءً</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المتوفّى عنها زوجها ليس لها أن تطيّب ولا تزيّن حتّى تنقضي عدّتها أربعة أشهر وعشرة أيّام</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وتعارض الأخبار كلّها موثّقة الساباطي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عنه،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المرأة يموت عنها زوجها، هل يحلّ لها أن تخرج من منزلها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وتختضب وتكتحل وتمتشط وتصبغ وتلبس المصبّغ وتصنع ما شاءت بغير زينة لزوج</w:t>
      </w:r>
      <w:r>
        <w:rPr>
          <w:rFonts w:eastAsia="IRNazanin" w:cs="IRNazanin"/>
          <w:color w:val="111111"/>
          <w:sz w:val="28"/>
          <w:szCs w:val="28"/>
          <w:rtl w:val="true"/>
          <w:lang w:bidi="fa-IR"/>
        </w:rPr>
        <w:t>».</w:t>
      </w:r>
      <w:r>
        <w:rPr>
          <w:rStyle w:val="FootnoteAnchor"/>
          <w:rtl w:val="true"/>
        </w:rPr>
        <w:footnoteReference w:id="1259"/>
      </w:r>
      <w:r>
        <w:rPr>
          <w:rFonts w:ascii="Amiri" w:hAnsi="Amiri" w:eastAsia="Amiri" w:cs="Amiri"/>
          <w:color w:val="111111"/>
          <w:sz w:val="28"/>
          <w:sz w:val="28"/>
          <w:szCs w:val="28"/>
          <w:rtl w:val="true"/>
          <w:lang w:bidi="ar-SA"/>
        </w:rPr>
        <w:t>ولكنّها شاذّة</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5416757_2870459653"/>
      <w:bookmarkStart w:id="481" w:name="_Toc171"/>
      <w:bookmarkEnd w:id="480"/>
      <w:r>
        <w:rPr>
          <w:rtl w:val="true"/>
        </w:rPr>
        <w:t>عدم شرطيّة الحداد في صحّة العدّة</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غاية ما يستفاد من الروايات، ولا دلالة فيها على الشرطيّة ولا عليها دليل آخر حال الضرورة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5416759_2870459653"/>
      <w:bookmarkStart w:id="483" w:name="_Toc172"/>
      <w:bookmarkEnd w:id="482"/>
      <w:r>
        <w:rPr>
          <w:rtl w:val="true"/>
        </w:rPr>
        <w:t>عدم الفرق في الحداد بين المسلمة والذميّة والدائمة والمنقطعة</w:t>
      </w:r>
      <w:bookmarkEnd w:id="48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للإطلاق</w:t>
      </w:r>
      <w:r>
        <w:rPr>
          <w:rFonts w:eastAsia="IRNazanin" w:cs="IRNazanin"/>
          <w:color w:val="111111"/>
          <w:sz w:val="28"/>
          <w:szCs w:val="28"/>
          <w:rtl w:val="true"/>
          <w:lang w:bidi="fa-IR"/>
        </w:rPr>
        <w:t xml:space="preserve">. </w:t>
      </w:r>
      <w:bookmarkStart w:id="484" w:name="pg9375_99764"/>
    </w:p>
    <w:p>
      <w:pPr>
        <w:pStyle w:val="BookText"/>
        <w:rPr/>
      </w:pPr>
      <w:bookmarkEnd w:id="4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الدائمة والمنقطعة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وجوبه على من قصرت مدّة تمتّعها كيوم أو 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على الصغيرة والمجنونة أم لا؟ قولان، أشهرهما الوجوب؛ بمعنى وجوبه على وليّهما، فيجنّبهما عن التزيين ما دامتا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وإن كان 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العدّة عليها أيضاً وتشملها الروايات أيضاً؛ لأنّها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للانصراف</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5416761_2870459653"/>
      <w:bookmarkStart w:id="486" w:name="_Toc173"/>
      <w:bookmarkEnd w:id="485"/>
      <w:r>
        <w:rPr>
          <w:rtl w:val="true"/>
        </w:rPr>
        <w:t>في وجوب الحداد على الصغيرة والمجنونة وعدمه</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رفع القلم وإن كان مقتضياً لعدم الوجوب لهما إلّا أنّ التكليف على وليّهما، كباب قتل النفس وشرب الخمر وأمثالهما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على الوليّ وجوب مستقلّ يكون لأهميّة المكلّف به، بحيث أنّ وجوده مبغوضٌ ويريد الشارع تركه بأيّ نحوٍ كان، وذلك محتاج إلى الدليل كذلك وهو منتفٍ في المقام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رفع القلم الحاكم على أخبار المسألة هو المحكّم هنا مع أنّ حكمة الحداد في عدم رغبة الرجال، ومن المعلوم تحقّق تلك الحكمة في غير واحد من الصغيرات والمجنونات ممّا لا رغبة في زواجها ولو مع عدم الحداد من جهة الصغر أو الجنون، وبما ذكرناه يظهر عدم تماميّة ما في الجواهر من تشبيه الحداد بأمثال التكاليف التي تتوجّه إلى الوليّ</w:t>
      </w:r>
      <w:r>
        <w:rPr>
          <w:rStyle w:val="FootnoteAnchor"/>
          <w:rtl w:val="true"/>
        </w:rPr>
        <w:footnoteReference w:id="1260"/>
      </w:r>
      <w:r>
        <w:rPr>
          <w:rFonts w:ascii="Amiri" w:hAnsi="Amiri" w:eastAsia="Amiri" w:cs="Amiri"/>
          <w:color w:val="111111"/>
          <w:sz w:val="28"/>
          <w:sz w:val="28"/>
          <w:szCs w:val="28"/>
          <w:rtl w:val="true"/>
          <w:lang w:bidi="ar-SA"/>
        </w:rPr>
        <w:t>فإنّه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هذا،ولكن مع ادّعاء الإجماع عن بعض على عدم الفرق في الحكم وتوجهه إلى الوليّ فالتوجّه هو الأحوط الذي لا ينبغي تركه لا سيّما في من يرغب الرجال إلى نكاحها مع عدم الحداد</w:t>
      </w:r>
      <w:r>
        <w:rPr>
          <w:rFonts w:eastAsia="Amiri" w:cs="Amiri" w:ascii="Amiri" w:hAnsi="Amiri"/>
          <w:color w:val="111111"/>
          <w:sz w:val="28"/>
          <w:szCs w:val="28"/>
          <w:rtl w:val="true"/>
          <w:lang w:bidi="ar-SA"/>
        </w:rPr>
        <w:t xml:space="preserve">. </w:t>
      </w:r>
      <w:bookmarkStart w:id="487" w:name="pg9375_99765"/>
    </w:p>
    <w:p>
      <w:pPr>
        <w:pStyle w:val="BookText"/>
        <w:rPr/>
      </w:pPr>
      <w:bookmarkEnd w:id="4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للمعتدّة بعدّة الوفاة أن تخرج من بيتها في زمان عدّتها والتردّد في حوائجها خصوصاً إذا كانت ضروريّة أو كان خروجها لأُمور راجحة كالحجّ والزيارة وعيادة المرضى وزيارة أرحامها ولا سيّما والديها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بل الأحوط أن لا تبيت إلّا في بيتها الذي كانت تسكنه في حياة زوجها، أو تنتقل منه إليه للاعتداد بأن تخرج بعد الزوال وترجع عند العشيّ أو تخرج بعد نصف الليل وترجع صباحاً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416763_2870459653"/>
      <w:bookmarkStart w:id="489" w:name="_Toc174"/>
      <w:bookmarkEnd w:id="488"/>
      <w:r>
        <w:rPr>
          <w:rtl w:val="true"/>
        </w:rPr>
        <w:t>حكم خروج المعتدّة بعدّة الوفاة من بيتها</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 ويدلّ عليه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آنفاً</w:t>
      </w:r>
      <w:r>
        <w:rPr>
          <w:rStyle w:val="FootnoteAnchor"/>
          <w:rtl w:val="true"/>
        </w:rPr>
        <w:footnoteReference w:id="1261"/>
      </w:r>
      <w:r>
        <w:rPr>
          <w:rFonts w:ascii="IRNazanin" w:hAnsi="IRNazanin" w:eastAsia="IRNazanin"/>
          <w:color w:val="111111"/>
          <w:sz w:val="28"/>
          <w:sz w:val="28"/>
          <w:szCs w:val="28"/>
          <w:rtl w:val="true"/>
          <w:lang w:bidi="fa-IR"/>
        </w:rPr>
        <w:t>عن عمّار الساباطي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المرأة يموت عنها زوجها، هل يحلّ لها أن تخرج من منزلها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وتختضب وتكتحل وتمتشط وتصبغ وتلبس المصبّغ وتصنع ما شاءت بغير زينة لزوج</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أيضاً،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المتوفّى عنها زوجها، هل يحلّ لها أن تخرج من منزلها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عبيد بن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المتوفّىعنها زوجها، أ تحجّ وتشهد الحقوق؟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6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التي يتوفّى زوجها،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وتخرج وتنتقل من منزل إلى منزل</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إلى غيرها من الأخبار الخاصّة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الأخبار من المنع لابدّ من الحمل على الكراهة؛ حملاً للظاهر على النصّ، وهذا لا إشكال فيه وإنّما الإشكال في البيتوتة في غير بيتها بلا ضرورة وحاجة، ففي الحدائق</w:t>
      </w:r>
      <w:r>
        <w:rPr>
          <w:rStyle w:val="FootnoteAnchor"/>
          <w:rtl w:val="true"/>
        </w:rPr>
        <w:footnoteReference w:id="1266"/>
      </w:r>
      <w:r>
        <w:rPr>
          <w:rFonts w:ascii="IRNazanin" w:hAnsi="IRNazanin" w:eastAsia="IRNazanin"/>
          <w:color w:val="111111"/>
          <w:sz w:val="28"/>
          <w:sz w:val="28"/>
          <w:szCs w:val="28"/>
          <w:rtl w:val="true"/>
          <w:lang w:bidi="fa-IR"/>
        </w:rPr>
        <w:t>اختيار عدم الجواز إلّا لضرورة؛ قضاءً للجمع بين أخبار المنع الذي هو أكثر الأخبار وأخبار الجواز بما تضمّنته صحيحة الصفّار من إلجاء الحاجة إلى ذلك والضرورة فتخرج نهاراً وتبيت في غيره ليلاً، فبعد نقله أخبار الحداد وترك الزينة من صحيح ابن أبي يعفور وخبرأبي العبّاس وزرارة وأبي بصير ومحمّد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ومكاتبة الصفّار في الصحيح إلى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 عمّار الساباطي وابن بكير وخبر عبيد بن زرارة والبحث عن الزينة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هذه عبارته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اختلاف هذه الأخبار في جواز الخروج من بيتها والبيات في غيره، فإنّ أكثر الأخبار قد دلّ على المنع بآكد وجه إلّا مع الضرورة، فتخرج بعد نصف الليل وتعود عشاءً، وجملة منها قد دلّ على الجواز مطلقاً، وهي الأخبار الأخيرة، والظاهرالجمع بينها بما تضمّنته صحيحة الصفّار المتقدّمة من إلجاء الحاجة إلى ذلك والضرورة فتخرج نهاراً، وتبيت في غيره ليلاً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في كتابي الأخبار</w:t>
      </w:r>
      <w:r>
        <w:rPr>
          <w:rStyle w:val="FootnoteAnchor"/>
          <w:rtl w:val="true"/>
        </w:rPr>
        <w:footnoteReference w:id="1267"/>
      </w:r>
      <w:r>
        <w:rPr>
          <w:rFonts w:ascii="Amiri" w:hAnsi="Amiri" w:eastAsia="Amiri" w:cs="Amiri"/>
          <w:color w:val="111111"/>
          <w:sz w:val="28"/>
          <w:sz w:val="28"/>
          <w:szCs w:val="28"/>
          <w:rtl w:val="true"/>
          <w:lang w:bidi="ar-SA"/>
        </w:rPr>
        <w:t>جمع بينها بحمل أخبار النهي عن البيتوتة عن بيتها على الاستحباب كما هو قاعدته غالباً في جميع الأبواب، وظاهر الأخبار المانعة بآكد منع لا يساعده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أخبار المسألة زيادة على ما قدّمنا ما رواه أبو منصور أحمد بن أبي طالب الطبرسي في الاحتجاج والشيخ في كتاب الغيبة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كتب أجوبة مسائل محمّد بن عبدالله بن جعفر الحميري حيث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المرأة يموت زوجها، هل يجوز لها أن تخرج في جنازته أم لا؟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في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لها وهي في عدّتها أن تزور قبر زوجها أم لا؟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زوجها ولا تبيت عن بيتها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لها أن تخرج في قضاء حقّ يلزمها أم لا تخرج من بيتها وهي في عدّتها؟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حقّ خرجت فيه وقضته، وإن كان لها حاجة ولم يكن لها من ينظر فيها خرجت لها حتّى تقضيها، ولا تبيت إلّا في منزلها</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اشتمل على ما فصّلناه في تلك الأخبار بعد حمل مطلّقها على مقيّدها وملخّصه أنّه مع الضرورة إلى الخروج فلا إشكال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جواز الخروج وإن استلزم البيات في غير بيتها، ومع عدم الضرورة فإنّه يرخّص لها الخروج لقضاء الحقوق التي يلزمها من عيادة مريض أو حضور تعزية ونحو ذلك من‌الحقوق التي يقوم بها النساء بعضهنّ لبعض ونحو ذلك من الأُمور المستحبّة، لكن لا تبيت إلّا في بيتها، ولا ينافي ذلك الأخبار الدالّة على جواز الانتقال من منزل إلى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ما قدّمناه، ما رواه في الكافي عن معاوية بن عمّار في الموثّق،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المتوفّى عنها زوجها، تعتدّ في بيتها أو حيث شاءت؟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حيث شاءت،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عمر أتى أمّ كلثوم فانطلق بها إلى بيته</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وعن سليمان بن خالد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توفّي عنها زوجها، أين تعتدّ؟ في بيت زوجها تعتدّ أو حيث شاءت؟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حيث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أتى أمّ كلثوم فأخذ بيدها فانطلق بها إلى بيته</w:t>
      </w:r>
      <w:r>
        <w:rPr>
          <w:rFonts w:eastAsia="IRNazanin" w:cs="IRNazanin"/>
          <w:color w:val="111111"/>
          <w:sz w:val="28"/>
          <w:szCs w:val="28"/>
          <w:rtl w:val="true"/>
          <w:lang w:bidi="fa-IR"/>
        </w:rPr>
        <w:t>».</w:t>
      </w:r>
      <w:r>
        <w:rPr>
          <w:rStyle w:val="FootnoteAnchor"/>
          <w:rtl w:val="true"/>
        </w:rPr>
        <w:footnoteReference w:id="127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أ تخرج إلى بيت أبيها وأمّها من بيتها إن شاءت فتعتدّ؟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شاءت أن تعتدّ في بيت زوجها اعتدّت، وإن شاءت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اعتدّت في بيت أهلها، ولا تكتحل ولا تلبس حليّاً</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وعن يونس، عن رجل،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المتوفّى عنها زوجها تعتدّ في بيت تمكث فيه شهراً أو أقلّ من شهر أو أكثر، ثمّ تتحوّل منه إلى غيره فتمكث في المنزل الذي تحوّلت إليه مثل ما مكثت في المنزل الذي تحوّلت منه، كذا صنيعها حتّى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ذلك لها ولا بأس</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والشيخ ومن تبعه قد عملوا بهذه الأخبار، فقالوا بجواز ترك البيات في المنزل وجواز الخروج حيث شاءت، وحملوا أخبار النهي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 جواز الانتقال من منزل إلى آخر لا ينافي وجوب الاستقرار في ذلك المنزل الذي استقرّت فيه، فلا يجوز لها الخروج والرجوع إليه إلّا في الصورة التي قدّمنا ذكرها من الضرورة وقضاء الحقوق، فلا منافاة</w:t>
      </w:r>
      <w:r>
        <w:rPr>
          <w:rFonts w:eastAsia="Amiri" w:cs="Amiri" w:ascii="Amiri" w:hAnsi="Amiri"/>
          <w:color w:val="111111"/>
          <w:sz w:val="28"/>
          <w:szCs w:val="28"/>
          <w:rtl w:val="true"/>
          <w:lang w:bidi="ar-SA"/>
        </w:rPr>
        <w:t>.</w:t>
      </w:r>
      <w:r>
        <w:rPr>
          <w:rStyle w:val="FootnoteAnchor"/>
          <w:rtl w:val="true"/>
        </w:rPr>
        <w:footnoteReference w:id="1273"/>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وقع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الخلط؛ أمّا منه فمن حيث خلطه بين الخروج من المنزل والبيتوتة فيه وبين الخروج منه والبيتوتة في غيره حيث إنّ ما يدلّ على الجواز راجع إلى الأوّل لا الثانيوأخبار البيتوتة في غيره فكلّها على المنع، والبيتوتة هي الاستقرار في المنزل الذي استقرّت فيه، كما صرّح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أنّ جواز الانتقال</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وليس الخروج منافياً له أصلاً؛ كما أنّ الانتقال من منزل إلى منزل غير منافٍ له أيضاً وعليك بالمراجعة ثانياً إلى الأخبار حتّى تطمئنّ بذلك كمال الاطمئنان وتعلم عدم وجود رواية واحدة دالّة على جواز البيتوتة لها في غير منزلها، فارجع البصر كرتين حتّى تنقلب إليك البصر وهو يرى الخلط بينها وبين الخروج، فلا منافاة بينهما؛ لتغاير موضوعهما، مع أنّ أخبار الخروج ناصة على الجواز، فلابدّ من حمل أخبار المانعة على الكراهة، تقديماً للنصّ على الظاهر، كما مرّ، فلا حاجة في الجمع بين تلك الأخبار إلى المكاتبة، واختصاص الجواز بالضرورة، كما أنّ أخبار البيتوتة مقيدّة بالضرورة والحاجة للمكاتبة لا أنّها وجه للجمع بين أخبار الناهية عن البيتوتة في غير المنزل والدالّة على الجواز لعدم الثاني من رأس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فلما صرّح به الحدائق</w:t>
      </w:r>
      <w:r>
        <w:rPr>
          <w:rStyle w:val="FootnoteAnchor"/>
          <w:rtl w:val="true"/>
        </w:rPr>
        <w:footnoteReference w:id="1275"/>
      </w:r>
      <w:r>
        <w:rPr>
          <w:rFonts w:ascii="Amiri" w:hAnsi="Amiri" w:eastAsia="Amiri" w:cs="Amiri"/>
          <w:color w:val="111111"/>
          <w:sz w:val="28"/>
          <w:sz w:val="28"/>
          <w:szCs w:val="28"/>
          <w:rtl w:val="true"/>
          <w:lang w:bidi="ar-SA"/>
        </w:rPr>
        <w:t>من أنّ جواز الانتقال غير منافٍ للاستقرار فاستدلال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لجواز ترك البيت والخروج من المنزل بأخبار الانتقال ليس إلّا من خلط الاستقرار في المنزل بالخروج من الأوّل والاستقرار في الثاني بالخروج المستقل الذي دلّ على جوازه الأخبار الناصّة فيه وهل هذا إلّا خلطاً مع أنّه لا حاجة إلى تلك الأخباربعد الأخبار الناصّة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العجب تبعيّة الجواهر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الخلط إلى أنّ رمى الحدائق باختلال الطريقة بل إلى عدم معرفة اللسان، وقال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النصوص المزبورة ظاهرة لمن رزقه الله معرفة رمزهم واللحن في </w:t>
      </w:r>
      <w:bookmarkStart w:id="490" w:name="pg9375_99771"/>
    </w:p>
    <w:p>
      <w:pPr>
        <w:pStyle w:val="BookText"/>
        <w:rPr/>
      </w:pPr>
      <w:bookmarkEnd w:id="49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 في ما هو ظاهر الأصحاب من عدم منعها من ذلك وأنّه يجوزلها من دون ضرورة، لكن على كراهة، خصوصاً بعد ملاحظة النصوص المستفيضة الدالّة على جواز قضاء عدّتها فيما شاءت من المنازل ولو كلّ شهر في منزل</w:t>
      </w:r>
      <w:r>
        <w:rPr>
          <w:rFonts w:eastAsia="Amiri" w:cs="Amiri" w:ascii="Amiri" w:hAnsi="Amiri"/>
          <w:color w:val="111111"/>
          <w:sz w:val="28"/>
          <w:szCs w:val="28"/>
          <w:rtl w:val="true"/>
          <w:lang w:bidi="ar-SA"/>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ووجه الخلط ظاهر ممّا مرّ،</w:t>
      </w:r>
      <w:r>
        <w:rPr>
          <w:rStyle w:val="FootnoteAnchor"/>
          <w:rtl w:val="true"/>
        </w:rPr>
        <w:footnoteReference w:id="1277"/>
      </w:r>
      <w:r>
        <w:rPr>
          <w:rFonts w:ascii="Amiri" w:hAnsi="Amiri" w:eastAsia="Amiri" w:cs="Amiri"/>
          <w:color w:val="111111"/>
          <w:sz w:val="28"/>
          <w:sz w:val="28"/>
          <w:szCs w:val="28"/>
          <w:rtl w:val="true"/>
          <w:lang w:bidi="ar-SA"/>
        </w:rPr>
        <w:t>فلانعيده</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5416765_2870459653"/>
      <w:bookmarkStart w:id="492" w:name="_Toc175"/>
      <w:bookmarkEnd w:id="491"/>
      <w:r>
        <w:rPr>
          <w:rtl w:val="true"/>
        </w:rPr>
        <w:t>مسألة</w:t>
      </w:r>
      <w:r>
        <w:rPr>
          <w:rtl w:val="true"/>
        </w:rPr>
        <w:t xml:space="preserve">: </w:t>
      </w:r>
      <w:r>
        <w:rPr>
          <w:rtl w:val="true"/>
        </w:rPr>
        <w:t>في حداد الأمة</w:t>
      </w:r>
      <w:bookmarkEnd w:id="492"/>
    </w:p>
    <w:p>
      <w:pPr>
        <w:pStyle w:val="BookText"/>
        <w:rPr/>
      </w:pPr>
      <w:r>
        <w:rPr>
          <w:rFonts w:ascii="Amiri" w:hAnsi="Amiri" w:eastAsia="Amiri" w:cs="Amiri"/>
          <w:color w:val="111111"/>
          <w:sz w:val="28"/>
          <w:sz w:val="28"/>
          <w:szCs w:val="28"/>
          <w:rtl w:val="true"/>
          <w:lang w:bidi="ar-SA"/>
        </w:rPr>
        <w:t>ولنكتف في المسألة بنقل ما في الجواهر ففيه الكفاية،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زوجة ففيه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لاحداد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وفاقاً لجماعة،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الأشهر؛ لصحيح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الأمة والحرّة كلتيهما إذا مات عنهما زوجهما، سواء في العدّة، إلّا أن الحرّة تحدّ والأمة لا تحدّ</w:t>
      </w:r>
      <w:r>
        <w:rPr>
          <w:rFonts w:eastAsia="IRNazanin" w:cs="IRNazanin"/>
          <w:color w:val="111111"/>
          <w:sz w:val="28"/>
          <w:szCs w:val="28"/>
          <w:rtl w:val="true"/>
          <w:lang w:bidi="fa-IR"/>
        </w:rPr>
        <w:t>».</w:t>
      </w:r>
      <w:r>
        <w:rPr>
          <w:rStyle w:val="FootnoteAnchor"/>
          <w:rtl w:val="true"/>
        </w:rPr>
        <w:footnoteReference w:id="1278"/>
      </w:r>
      <w:r>
        <w:rPr>
          <w:rFonts w:ascii="Amiri" w:hAnsi="Amiri" w:eastAsia="Amiri" w:cs="Amiri"/>
          <w:color w:val="111111"/>
          <w:sz w:val="28"/>
          <w:sz w:val="28"/>
          <w:szCs w:val="28"/>
          <w:rtl w:val="true"/>
          <w:lang w:bidi="ar-SA"/>
        </w:rPr>
        <w:t>وبه يقيّد إطلاق الأدلّة إن لم يقل بانسياقه إلى الزوجة الحرّة، وإلّا لم يحتج إلى التقييد، وكان الصحيح مؤكّداً لأصل البراءة وغيره ممّا يقتضي نفي ذلك عنها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وخلافاً لصريح المحكيّ عن المبسوط</w:t>
      </w:r>
      <w:r>
        <w:rPr>
          <w:rStyle w:val="FootnoteAnchor"/>
          <w:rtl w:val="true"/>
        </w:rPr>
        <w:footnoteReference w:id="1279"/>
      </w:r>
      <w:r>
        <w:rPr>
          <w:rFonts w:ascii="IRNazanin" w:hAnsi="IRNazanin" w:eastAsia="IRNazanin"/>
          <w:color w:val="111111"/>
          <w:sz w:val="28"/>
          <w:sz w:val="28"/>
          <w:szCs w:val="28"/>
          <w:rtl w:val="true"/>
          <w:lang w:bidi="fa-IR"/>
        </w:rPr>
        <w:t>والسرائر</w:t>
      </w:r>
      <w:r>
        <w:rPr>
          <w:rStyle w:val="FootnoteAnchor"/>
          <w:rtl w:val="true"/>
        </w:rPr>
        <w:footnoteReference w:id="1280"/>
      </w:r>
      <w:r>
        <w:rPr>
          <w:rFonts w:ascii="Amiri" w:hAnsi="Amiri" w:eastAsia="Amiri" w:cs="Amiri"/>
          <w:color w:val="111111"/>
          <w:sz w:val="28"/>
          <w:sz w:val="28"/>
          <w:szCs w:val="28"/>
          <w:rtl w:val="true"/>
          <w:lang w:bidi="ar-SA"/>
        </w:rPr>
        <w:t>وظاهر أبي‌الصلاح</w:t>
      </w:r>
      <w:r>
        <w:rPr>
          <w:rStyle w:val="FootnoteAnchor"/>
          <w:rtl w:val="true"/>
        </w:rPr>
        <w:footnoteReference w:id="1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وسلّار</w:t>
      </w:r>
      <w:r>
        <w:rPr>
          <w:rStyle w:val="FootnoteAnchor"/>
          <w:rtl w:val="true"/>
        </w:rPr>
        <w:footnoteReference w:id="1282"/>
      </w:r>
      <w:r>
        <w:rPr>
          <w:rFonts w:ascii="Amiri" w:hAnsi="Amiri" w:eastAsia="Amiri" w:cs="Amiri"/>
          <w:color w:val="111111"/>
          <w:sz w:val="28"/>
          <w:sz w:val="28"/>
          <w:szCs w:val="28"/>
          <w:rtl w:val="true"/>
          <w:lang w:bidi="ar-SA"/>
        </w:rPr>
        <w:t>وابن حمزة، فأوجبوا الحداد عليها كالحرة،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لامرأة تؤمن بالله واليوم الآخر أن تحدّ على ميّت فوق ثلاث ليالٍ إلّا على زوج أربعة أشهر وعشراً</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ولم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هذه الرواية لم تصل إلينا مسندة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رواها الشيخ مرسلة، ولاحجّة فيها، والعجب أنّ ابن إدريس ترك مقتضى العقل وهو أصالة البراءة من التكليف بالحداد وما تضمّنته الرواية الصحيحة وعوّل على هذا الخبر المقطوع السند، مع ادّعائه أنّ الخبر الواحد المتّصل لا يعمل به فكيف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قصور قريحته وعدم تفطّنه لوجوه الاستدلال</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هذا الكلام لا يليق بابن إدريس الذي هو أوّل من فتح النظر والتحقيق، ولم يعتمد في المقام على الخبر المرسل، بل غرضه الاستدلال بإطلاق المتواتر من النصوص الدالّة على الحداد في الزوجة الشاملة للحرّة والأمة، والخبر الصحيح المزبور غير حجّة عنده، فلا يحكم على الإطلاق المزبور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منه في توجيه الجواب عن النبويّ المزبور بكونه مرسلاًغير حجّة وأنّه لم يصل إلينا مسنداً مع أنّ مضمونه مقطوع به في نصوصنا، </w:t>
      </w:r>
      <w:bookmarkStart w:id="493" w:name="pg9375_99773"/>
    </w:p>
    <w:p>
      <w:pPr>
        <w:pStyle w:val="BookText"/>
        <w:rPr/>
      </w:pPr>
      <w:bookmarkEnd w:id="4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مبدأ عدّة الطلاق من حين وقوعه؛ حاضراً كان الزوج أو غائباً، بلغ الزوجة الخبر أم لا، فلو طلّقها غائباً ولم يبلغها إلّا بعد مضيّ مقدار العدّة فقد انقضت عدّتها، وليس عليها عدّة بعد بلوغ الخبر، ومثل عدّة الطلاق عدّة الفسخ والانفساخ على الظاهر، وكذا عدّة وطء الشبهة وإن كان الأحوط الاعتداد من حين ارتفاع الشبهة، بل هذا الاحتياط لا يترك، وأمّا عدّة الوفاة، فإن مات الزوج غائباً فهي من حين بلوغ الخبر إليها، ولا يبعد عدم اختصاص الحكم بصورة غيبة الزوج، بل يعمّ صورة حضوره إن خفي عليها</w:t>
      </w:r>
    </w:p>
    <w:p>
      <w:pPr>
        <w:pStyle w:val="BookText"/>
        <w:rPr/>
      </w:pPr>
      <w:r>
        <w:rPr>
          <w:rFonts w:ascii="Amiri" w:hAnsi="Amiri" w:eastAsia="Amiri" w:cs="Amiri"/>
          <w:color w:val="111111"/>
          <w:sz w:val="28"/>
          <w:sz w:val="28"/>
          <w:szCs w:val="28"/>
          <w:rtl w:val="true"/>
          <w:lang w:bidi="ar-SA"/>
        </w:rPr>
        <w:t>ولم يتنبّه للجواب عنه بعدم تناوله للأمة بناءً على عدم اعتدادها بالأربعة والعشر، وبانسياق الحرة من الامرأة فيه، وبأنّه مقيّد بالصحيح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بعد وضوح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فيه بين الدائمة والمتمتّع بها، للإطلاق المزبور</w:t>
      </w:r>
      <w:r>
        <w:rPr>
          <w:rFonts w:eastAsia="Amiri" w:cs="Amiri" w:ascii="Amiri" w:hAnsi="Amiri"/>
          <w:color w:val="111111"/>
          <w:sz w:val="28"/>
          <w:szCs w:val="28"/>
          <w:rtl w:val="true"/>
          <w:lang w:bidi="ar-SA"/>
        </w:rPr>
        <w:t>.</w:t>
      </w:r>
      <w:r>
        <w:rPr>
          <w:rStyle w:val="FootnoteAnchor"/>
          <w:rtl w:val="true"/>
        </w:rPr>
        <w:footnoteReference w:id="1285"/>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5416767_2870459653"/>
      <w:bookmarkStart w:id="495" w:name="_Toc176"/>
      <w:bookmarkEnd w:id="494"/>
      <w:r>
        <w:rPr>
          <w:rtl w:val="true"/>
        </w:rPr>
        <w:t>فرع</w:t>
      </w:r>
      <w:r>
        <w:rPr>
          <w:rtl w:val="true"/>
        </w:rPr>
        <w:t xml:space="preserve">: </w:t>
      </w:r>
      <w:r>
        <w:rPr>
          <w:rtl w:val="true"/>
        </w:rPr>
        <w:t>في عدم عدّة الوفاة في الوط‌ء بالشبهة</w:t>
      </w:r>
      <w:bookmarkEnd w:id="49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الموطوءة بوط‌ء الشبهة المتوفّى عنها الواطي وقد انحلّت الشبهة فليس عليها عدّة الوفاة قطعاً؛ لعدم كونها زوجة ولكنّه عليها عدّة الطلاق كما في حال حياته، ولعلّ تصريح المحقّق في الشرائع</w:t>
      </w:r>
      <w:r>
        <w:rPr>
          <w:rStyle w:val="FootnoteAnchor"/>
          <w:rtl w:val="true"/>
        </w:rPr>
        <w:footnoteReference w:id="1286"/>
      </w:r>
      <w:r>
        <w:rPr>
          <w:rFonts w:ascii="Amiri" w:hAnsi="Amiri" w:eastAsia="Amiri" w:cs="Amiri"/>
          <w:color w:val="111111"/>
          <w:sz w:val="28"/>
          <w:sz w:val="28"/>
          <w:szCs w:val="28"/>
          <w:rtl w:val="true"/>
          <w:lang w:bidi="ar-SA"/>
        </w:rPr>
        <w:t>وغيره</w:t>
      </w:r>
      <w:r>
        <w:rPr>
          <w:rStyle w:val="FootnoteAnchor"/>
          <w:rtl w:val="true"/>
        </w:rPr>
        <w:footnoteReference w:id="1287"/>
      </w:r>
      <w:r>
        <w:rPr>
          <w:rFonts w:ascii="Amiri" w:hAnsi="Amiri" w:eastAsia="Amiri" w:cs="Amiri"/>
          <w:color w:val="111111"/>
          <w:sz w:val="28"/>
          <w:sz w:val="28"/>
          <w:szCs w:val="28"/>
          <w:rtl w:val="true"/>
          <w:lang w:bidi="ar-SA"/>
        </w:rPr>
        <w:t>بعدم عدّةالوفاة لها الذي يكون أمراً واضحاً من جهة عدم الزوجيّة هو لخلاف بعض العامّة الناشي من استحسان أو قياس أو اجتهاد فاسد</w:t>
      </w:r>
      <w:r>
        <w:rPr>
          <w:rFonts w:eastAsia="Amiri" w:cs="Amiri" w:ascii="Amiri" w:hAnsi="Amiri"/>
          <w:color w:val="111111"/>
          <w:sz w:val="28"/>
          <w:szCs w:val="28"/>
          <w:rtl w:val="true"/>
          <w:lang w:bidi="ar-SA"/>
        </w:rPr>
        <w:t xml:space="preserve">. </w:t>
      </w:r>
      <w:bookmarkStart w:id="496" w:name="pg9375_99774"/>
    </w:p>
    <w:p>
      <w:pPr>
        <w:pStyle w:val="BookText"/>
        <w:rPr/>
      </w:pPr>
      <w:bookmarkEnd w:id="496"/>
      <w:r>
        <w:rPr>
          <w:rFonts w:ascii="Amiri" w:hAnsi="Amiri" w:eastAsia="Amiri" w:cs="Amiri"/>
          <w:color w:val="111111"/>
          <w:sz w:val="28"/>
          <w:sz w:val="28"/>
          <w:szCs w:val="28"/>
          <w:rtl w:val="true"/>
          <w:lang w:bidi="ar-SA"/>
        </w:rPr>
        <w:t>موته لعلّة، فتعتدّ من حين إخبارها بموته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416769_2870459653"/>
      <w:bookmarkStart w:id="498" w:name="_Toc177"/>
      <w:bookmarkEnd w:id="497"/>
      <w:r>
        <w:rPr>
          <w:rtl w:val="true"/>
        </w:rPr>
        <w:t>مبدأ عدّة الطلاق والوفاة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مبدأ عدّة الطلاق من حين وقوعه ممّا لا إشكال فيه، وهو الموافق لقاعدة السبب والمسبّب، وقاعدة العدّة والطلاق من دون فرق بين الحاضر والغائب وبين بلوغ الخبر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الغائب من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وهو غائب فليشهد على ذلك، فإذا مضى ثلاثة أقراء من ذلك اليوم فقد انقضت عدّتها</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يطلّق امرأته وهو غائب عنها من أيّ يوم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لها بيّنة عَدل أنّها طلّقت في يوم معلوم وتيقّنت فلتعتدّ من يوم طلّقت وإن لم تحفظ في أيّ يوم وفي أيّ شهر فلتعتدّ من يوم يبلغها</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الفضلاء الثلاثة،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امرأته فإنّها تعتدّ من اليوم الذي طلّقها</w:t>
      </w:r>
      <w:r>
        <w:rPr>
          <w:rFonts w:eastAsia="IRNazanin" w:cs="IRNazanin"/>
          <w:color w:val="111111"/>
          <w:sz w:val="28"/>
          <w:szCs w:val="28"/>
          <w:rtl w:val="true"/>
          <w:lang w:bidi="fa-IR"/>
        </w:rPr>
        <w:t>».</w:t>
      </w:r>
      <w:r>
        <w:rPr>
          <w:rStyle w:val="FootnoteAnchor"/>
          <w:rtl w:val="true"/>
        </w:rPr>
        <w:footnoteReference w:id="1290"/>
      </w:r>
      <w:r>
        <w:rPr>
          <w:rFonts w:ascii="Amiri" w:hAnsi="Amiri" w:eastAsia="Amiri" w:cs="Amiri"/>
          <w:color w:val="111111"/>
          <w:sz w:val="28"/>
          <w:sz w:val="28"/>
          <w:szCs w:val="28"/>
          <w:rtl w:val="true"/>
          <w:lang w:bidi="ar-SA"/>
        </w:rPr>
        <w:t>إلى غيرها من الأخبار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والمحكيّ عن أبي الصلاح</w:t>
      </w:r>
      <w:r>
        <w:rPr>
          <w:rStyle w:val="FootnoteAnchor"/>
          <w:rtl w:val="true"/>
        </w:rPr>
        <w:footnoteReference w:id="1291"/>
      </w:r>
      <w:r>
        <w:rPr>
          <w:rFonts w:ascii="Amiri" w:hAnsi="Amiri" w:eastAsia="Amiri" w:cs="Amiri"/>
          <w:color w:val="111111"/>
          <w:sz w:val="28"/>
          <w:sz w:val="28"/>
          <w:szCs w:val="28"/>
          <w:rtl w:val="true"/>
          <w:lang w:bidi="ar-SA"/>
        </w:rPr>
        <w:t xml:space="preserve">الاعتداد من اعتبار البلوغ؛ لظاهر الأمر بالتربّص، فإنّ الامتثال والطاعة غير محقّق مع الجهل، ولأنّ الاعتداد عبادة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ذلك إلّا بالعلم، وفيهما ما لا يخفى، أمّا الأوّل، فإنّ التربّص لأن لا تتزوّج فهو واجب مقدّمي توصّلي والإطاعة في مثله بالتوصّل كيفما كان، وعباديّة الاعتداد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عدّة الوفاة في زوجة الغائب بلوغ الوفاة لا من حينها على المشهور، بل عن الناصريّات</w:t>
      </w:r>
      <w:r>
        <w:rPr>
          <w:rStyle w:val="FootnoteAnchor"/>
          <w:rtl w:val="true"/>
        </w:rPr>
        <w:footnoteReference w:id="1292"/>
      </w:r>
      <w:r>
        <w:rPr>
          <w:rFonts w:ascii="Amiri" w:hAnsi="Amiri" w:eastAsia="Amiri" w:cs="Amiri"/>
          <w:color w:val="111111"/>
          <w:sz w:val="28"/>
          <w:sz w:val="28"/>
          <w:szCs w:val="28"/>
          <w:rtl w:val="true"/>
          <w:lang w:bidi="ar-SA"/>
        </w:rPr>
        <w:t>الاتّفاق عليه، بل عن السرائر</w:t>
      </w:r>
      <w:r>
        <w:rPr>
          <w:rStyle w:val="FootnoteAnchor"/>
          <w:rtl w:val="true"/>
        </w:rPr>
        <w:footnoteReference w:id="1293"/>
      </w:r>
      <w:r>
        <w:rPr>
          <w:rFonts w:ascii="Amiri" w:hAnsi="Amiri" w:eastAsia="Amiri" w:cs="Amiri"/>
          <w:color w:val="111111"/>
          <w:sz w:val="28"/>
          <w:sz w:val="28"/>
          <w:szCs w:val="28"/>
          <w:rtl w:val="true"/>
          <w:lang w:bidi="ar-SA"/>
        </w:rPr>
        <w:t>والتحرير</w:t>
      </w:r>
      <w:r>
        <w:rPr>
          <w:rStyle w:val="FootnoteAnchor"/>
          <w:rtl w:val="true"/>
        </w:rPr>
        <w:footnoteReference w:id="1294"/>
      </w:r>
      <w:r>
        <w:rPr>
          <w:rFonts w:ascii="Amiri" w:hAnsi="Amiri" w:eastAsia="Amiri" w:cs="Amiri"/>
          <w:color w:val="111111"/>
          <w:sz w:val="28"/>
          <w:sz w:val="28"/>
          <w:szCs w:val="28"/>
          <w:rtl w:val="true"/>
          <w:lang w:bidi="ar-SA"/>
        </w:rPr>
        <w:t>نفي الخلاف، وعن ابن الجنيد</w:t>
      </w:r>
      <w:r>
        <w:rPr>
          <w:rStyle w:val="FootnoteAnchor"/>
          <w:rtl w:val="true"/>
        </w:rPr>
        <w:footnoteReference w:id="1295"/>
      </w:r>
      <w:r>
        <w:rPr>
          <w:rFonts w:ascii="Amiri" w:hAnsi="Amiri" w:eastAsia="Amiri" w:cs="Amiri"/>
          <w:color w:val="111111"/>
          <w:sz w:val="28"/>
          <w:sz w:val="28"/>
          <w:szCs w:val="28"/>
          <w:rtl w:val="true"/>
          <w:lang w:bidi="ar-SA"/>
        </w:rPr>
        <w:t>أنّها كالطلاق من حينها، وعن الشيخ في التهذيب</w:t>
      </w:r>
      <w:r>
        <w:rPr>
          <w:rStyle w:val="FootnoteAnchor"/>
          <w:rtl w:val="true"/>
        </w:rPr>
        <w:footnoteReference w:id="1296"/>
      </w:r>
      <w:r>
        <w:rPr>
          <w:rFonts w:ascii="Amiri" w:hAnsi="Amiri" w:eastAsia="Amiri" w:cs="Amiri"/>
          <w:color w:val="111111"/>
          <w:sz w:val="28"/>
          <w:sz w:val="28"/>
          <w:szCs w:val="28"/>
          <w:rtl w:val="true"/>
          <w:lang w:bidi="ar-SA"/>
        </w:rPr>
        <w:t>التفصيل بين المسافة القريبة كيوم أو يومين أو ثلاثة والبعيدة فالأولى تعتدّ من حين البلوغ، ومستند الكلّ الأخبار، فهي على طوائف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أنّ العدّة من حين بلوغ الخبر، وهي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مات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وهو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البيّنة على موته فعدّتها من يوم يأتيها الخبر أربعة أشهر وعشراً، لأنّ عليها أن تحدّ عليه في الموت أربعة أشهر وعشراً فتمسّك عن الكحل والطيب والأصباغ</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يموت وتحته امرأة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 يوم يبلغها وفاته</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الصباح،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يموت عنها زوجها وهو غائب فعدّتها من يوم يبلغها إن قامت البيّنة أو لم تقم</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الفضلاء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الغائب عنها زوجها إذا توفّي؟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المتوفّی عنها تعتدّ من يوم يأتيها الخبر، لأنّها تحدّ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نصر،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المتوفّى عنها زوجها تعتدّ من يوم يبلغها، لأنّها تريد أن تحدّ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الحسن بن زياد،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المرأة إذا بلغها نعي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يوم يبلغها، إنّما تريد أن تحدّ له</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ومنها غيرها من الروايات</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أنّ العدّة من حين الوفاة،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وهب بن وهب، عن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المتوفّىعنها زوجها إذا بلغها ذلك وقد انقضت عدّتها فالحداد يجب عليها؟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يبلغها ذلك حتّى تنقضي عدّتها فقد ذهب ذلك كلّه وتنكح من أحبّت</w:t>
      </w:r>
      <w:r>
        <w:rPr>
          <w:rFonts w:eastAsia="IRNazanin" w:cs="IRNazanin"/>
          <w:color w:val="111111"/>
          <w:sz w:val="28"/>
          <w:szCs w:val="28"/>
          <w:rtl w:val="true"/>
          <w:lang w:bidi="fa-IR"/>
        </w:rPr>
        <w:t>».</w:t>
      </w:r>
      <w:r>
        <w:rPr>
          <w:rStyle w:val="FootnoteAnchor"/>
          <w:rtl w:val="true"/>
        </w:rPr>
        <w:footnoteReference w:id="130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الحسن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المطلّقة يطلّقها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زوجها ولا تعلم إلّا بعد سنة، والمتوفّى عنها زوجها ولا تعلم بموته إلّا بعد 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شاهدان عدلان فلا تعتدّان وإلّا تعتدّان</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بلغها نعي زوجها بعد سنة أو نحو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حبلى فأجلها أن تضع حملها، وإن كانت ليست بحبلى فقد مضت عدّتها إذا قامت لها البيّنة أنّه مات في يوم كذا وكذا وإن لم يكن لها بيّنة فلتعتدّ من يوم سمعت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التفصيل بين قليل المسافة وكثيرها، وهي صحيحة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المرأة يموت زوجها أو يطلّقها وهو غائب،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مسيرة أيّام فمن يوم يموت زوجها تعتدّ، وإن كان من بعد فمن يوم يأتيها الخبر، لأنّها لابدّ من أن تحدّ له</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وفي التهذيب بعد نقله خبري الحسن بن زياد والحلبي،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الخبران شاذان نادران مخالفان للأحاديث كلّها، والتفصيل الذي تضمّن الحديث الأخير يخالفه أيضاً الخبر المتقدّم</w:t>
      </w:r>
      <w:r>
        <w:rPr>
          <w:rStyle w:val="FootnoteAnchor"/>
          <w:rtl w:val="true"/>
        </w:rPr>
        <w:footnoteReference w:id="1308"/>
      </w:r>
      <w:r>
        <w:rPr>
          <w:rFonts w:ascii="Amiri" w:hAnsi="Amiri" w:eastAsia="Amiri" w:cs="Amiri"/>
          <w:color w:val="111111"/>
          <w:sz w:val="28"/>
          <w:sz w:val="28"/>
          <w:szCs w:val="28"/>
          <w:rtl w:val="true"/>
          <w:lang w:bidi="ar-SA"/>
        </w:rPr>
        <w:t>ذكره عن أبي الصباح الكناني؛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من يوم يبلغها قام لها البيّنة أو لم 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فلايجوز العدول عن الأخبار الكثيرة إلى هذين الخبرين، على أنّه يجوز أن يكون الراوي وهم فسمع حكم المطلّقة فظنّه أنّه حكم المتوفّى عنها زوجها؛ لأنّ التفصيل الذي يتضمّنه الخبر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الأخير من اعتبار قيام البيّنة وانقضاء العدّة عند وضع الحمل وغير ذلك كلّه معتبر فيها، وعلى هذا التأويل لا تنافي بين الأخبار</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فيها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التعارض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التعارض كيف العلاج والعمل؟</w:t>
      </w:r>
    </w:p>
    <w:p>
      <w:pPr>
        <w:pStyle w:val="BookText"/>
        <w:rPr/>
      </w:pPr>
      <w:r>
        <w:rPr>
          <w:rFonts w:ascii="IRNazanin" w:hAnsi="IRNazanin" w:eastAsia="IRNazanin"/>
          <w:color w:val="111111"/>
          <w:sz w:val="28"/>
          <w:sz w:val="28"/>
          <w:szCs w:val="28"/>
          <w:rtl w:val="true"/>
          <w:lang w:bidi="fa-IR"/>
        </w:rPr>
        <w:t>فنقول في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التعارض بالجمع بينها بحمل الأُولی على الندب فالاعتداد من الوفاة وإن كان صحيحاً إلّا أنّ الاعتداد من البلوغ مستحبّ ومطلوب وعن المسالك</w:t>
      </w:r>
      <w:r>
        <w:rPr>
          <w:rStyle w:val="FootnoteAnchor"/>
          <w:rtl w:val="true"/>
        </w:rPr>
        <w:footnoteReference w:id="1310"/>
      </w:r>
      <w:r>
        <w:rPr>
          <w:rFonts w:ascii="Amiri" w:hAnsi="Amiri" w:eastAsia="Amiri" w:cs="Amiri"/>
          <w:color w:val="111111"/>
          <w:sz w:val="28"/>
          <w:sz w:val="28"/>
          <w:szCs w:val="28"/>
          <w:rtl w:val="true"/>
          <w:lang w:bidi="ar-SA"/>
        </w:rPr>
        <w:t>الجمع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الثالثة، فعلى الدلالة غير معارضة للأُوليين؛ لأنّها أخصّ منهما والشأن في الدلالة فإنّ من المحتمل كون شرطيّة مسيرة أيّام لبيان بعض مصاديق البلوغ، فإنّ المسيرة كذلك ملازم مع البلوغ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ذكر المسيرة من باب ذكرالعنوان المشير والكناية، لا الموضوعيّة والخصوصيّة وأمّا الأوليين فالبحث فيهما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يجمع بين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الاثبات والنفي وليس المثبت نصّاً في الجواز حتّى كان سبباً لتقديمه على ظهور النفي في عدمه لما حقّقناه في محلّه في الأُصول بأنّ النصوصيّة المستنقذة من الظهور ليست سبباً للجمع والتقديم عرفاً، بل هو مختصّ بالنصّ الحقيقي، فإنّ من أظهر مصاديق التعارض عند العرف التعارض بين النفيوالإثبات والأمر والنهي كما لا 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بينهما ثابت كما ذكرت لكنّ الجمع بشهادة ما في أخبار الثانية من التصريح بمضيّ العدّة وأنّها إذا لم يبلغها ذلك حتّى تنقضي عدّتها فقد ذهب ذلك كلّه وتنكح من احبّت فإنّه لابدّ مع هذه العبارات إلّا من حمل أخبار الأُولی على استحباب الاعتداد من البلوغ وأنّها تعتدّ منه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 العلّة في أخبار الأُولی الحداد الواجب فلابدّ وأن يكون المعلول أي الاعتداد من حين البلوغ واجباً أيضاً لعدم معقوليّة الانفكاك بين العلّة والمعلول في الوجوب والندب كما لا يخفى، فكيف يحمل الاعتداد فيها على الندب؟</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ليست هي الحداد الواجب عليها بل إرادتها الحداد والإرادة منها غير واجبة شرعاً وتعليق الوجوب بها غير صحيح أيضاً وكيف يمكن تعلّق التكليف بإرادتها في المستقبل المدلول عليها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تريد أن تحدّ له</w:t>
      </w:r>
      <w:r>
        <w:rPr>
          <w:rFonts w:eastAsia="IRNazanin" w:cs="IRNazanin"/>
          <w:color w:val="111111"/>
          <w:sz w:val="28"/>
          <w:szCs w:val="28"/>
          <w:rtl w:val="true"/>
          <w:lang w:bidi="fa-IR"/>
        </w:rPr>
        <w:t>».</w:t>
      </w:r>
      <w:r>
        <w:rPr>
          <w:rStyle w:val="FootnoteAnchor"/>
          <w:rtl w:val="true"/>
        </w:rPr>
        <w:footnoteReference w:id="1311"/>
      </w:r>
      <w:r>
        <w:rPr>
          <w:rFonts w:ascii="Amiri" w:hAnsi="Amiri" w:eastAsia="Amiri" w:cs="Amiri"/>
          <w:color w:val="111111"/>
          <w:sz w:val="28"/>
          <w:sz w:val="28"/>
          <w:szCs w:val="28"/>
          <w:rtl w:val="true"/>
          <w:lang w:bidi="ar-SA"/>
        </w:rPr>
        <w:t>هذا، مع أنّ اللازم من العلّيّة كون ابتداء عدّة الوفاة في الأمة حينها لعدم الحداد لها مع ما في الجواهر منقوله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لم أجد من صرّح بمقتضى التعليل المزبور في النصوص من كون ابتداء اعتداد الأمة من حين الوفاة، لما عرفت من أنّه لاحداد عليها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الشهيدين في الروضة خاصّة</w:t>
      </w:r>
      <w:r>
        <w:rPr>
          <w:rStyle w:val="FootnoteAnchor"/>
          <w:rtl w:val="true"/>
        </w:rPr>
        <w:footnoteReference w:id="1312"/>
      </w:r>
      <w:r>
        <w:rPr>
          <w:rFonts w:ascii="Amiri" w:hAnsi="Amiri" w:eastAsia="Amiri" w:cs="Amiri"/>
          <w:color w:val="111111"/>
          <w:sz w:val="28"/>
          <w:sz w:val="28"/>
          <w:szCs w:val="28"/>
          <w:rtl w:val="true"/>
          <w:lang w:bidi="ar-SA"/>
        </w:rPr>
        <w:t>وأمّا المسالك،</w:t>
      </w:r>
      <w:r>
        <w:rPr>
          <w:rStyle w:val="FootnoteAnchor"/>
          <w:rtl w:val="true"/>
        </w:rPr>
        <w:footnoteReference w:id="1313"/>
      </w:r>
      <w:r>
        <w:rPr>
          <w:rFonts w:ascii="Amiri" w:hAnsi="Amiri" w:eastAsia="Amiri" w:cs="Amiri"/>
          <w:color w:val="111111"/>
          <w:sz w:val="28"/>
          <w:sz w:val="28"/>
          <w:szCs w:val="28"/>
          <w:rtl w:val="true"/>
          <w:lang w:bidi="ar-SA"/>
        </w:rPr>
        <w:t>فقد جزم فيها بكونها كالحرّة في اعتدادها ببلوغ الخبر، بحمل التعليل المزبور على الحكمة دون العلّة</w:t>
      </w:r>
      <w:r>
        <w:rPr>
          <w:rFonts w:eastAsia="Amiri" w:cs="Amiri" w:ascii="Amiri" w:hAnsi="Amiri"/>
          <w:color w:val="111111"/>
          <w:sz w:val="28"/>
          <w:szCs w:val="28"/>
          <w:rtl w:val="true"/>
          <w:lang w:bidi="ar-SA"/>
        </w:rPr>
        <w:t>.</w:t>
      </w:r>
      <w:r>
        <w:rPr>
          <w:rStyle w:val="FootnoteAnchor"/>
          <w:rtl w:val="true"/>
        </w:rPr>
        <w:footnoteReference w:id="131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وكون عدّة مثل الحاضر المحبوس أو المريض أو غيرهما من يوم البلوغ كالغائب مع أنّ ظاهر الأصحاب كونها من يوم الوفاة وكون الحداد شرطاً في العدّة لاواجباً وتكليفاً فإنّ العلّيّة تناسب الشرطيّة مع ضعف القول بذلك خصوصاً مع ما دلّ من الإطلاق بانقضاء العدّة بتربّص أربعة أشهر وعشراً من الآية والرواية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ففي هذه الأُمور كلّها شهادة على كون الحداد في تلك الأخبار حكمة لاعلّة وإن أبيت عن هذه الشهادة والظهور في الحكمة فلا أقلّ من الاحتمال المسقط للاستدلال، وعلى كلّ حالٍ، فلا تعارض بين الروايات، والحداد أمرٌ مندوبٌ معتضدٌ بأنّ الوجوب غير مناسب للشريعة السمحة السهلة، وإن أبيت عن ذلك كلّه وأنّ التعارض محقّق فالكلام يقع في المقام الثاني، والحقّ فيه أيضاً الأخذ بالثانية؛ لأنّ الشهرة وإن كانت مميّزة للحجّة عن غير الحجّة في مقام التعارض ولكن يلزم أن تكون بنحو تجعل الخبر المخالف لها ممّا لا ريب في بطلانه وهو غير محرز في المقام لأنّه لعلّ إعراضهم عن الثانية والأخذ بالأُولی لأنّها أكثر عدداً أو كونها معلّلة أو موافقة للاحتياط ومعهفأعراض الأصحاب غير موجب للاطمئنان بالخلل في المخالف بحيث يصير ممّا لا ريب في بطلانه في مقابل </w:t>
      </w:r>
      <w:bookmarkStart w:id="499" w:name="pg9375_99781"/>
    </w:p>
    <w:p>
      <w:pPr>
        <w:pStyle w:val="BookText"/>
        <w:rPr/>
      </w:pPr>
      <w:bookmarkEnd w:id="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الإخبار الموجب للاعتداد من حينه كونه حجّة شرعيّة كعدلين ولا عدل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لها التزويج بالغير بلا حجّة شرعيّة على موته، فإذا ثبت ذلك بحجّة يكفى اعتداده من حين البلوغ، ولا يحتاج إليه من حين الثبوت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المشهود الذي لا ريب في صحّته من جهة أنّ الإعراض لعلّه كان من تلك الجهات والشهرة المفيدة للحجّيّة غير محرزة والطائفة الثانية موافقة لإطلاق الكتاب</w:t>
      </w:r>
      <w:r>
        <w:rPr>
          <w:rStyle w:val="FootnoteAnchor"/>
          <w:rtl w:val="true"/>
        </w:rPr>
        <w:footnoteReference w:id="1315"/>
      </w:r>
      <w:r>
        <w:rPr>
          <w:rFonts w:ascii="Amiri" w:hAnsi="Amiri" w:eastAsia="Amiri" w:cs="Amiri"/>
          <w:color w:val="111111"/>
          <w:sz w:val="28"/>
          <w:sz w:val="28"/>
          <w:szCs w:val="28"/>
          <w:rtl w:val="true"/>
          <w:lang w:bidi="ar-SA"/>
        </w:rPr>
        <w:t>فلابدّ إلّا من الأخذ بها وممّا ذكرناه يظهر ضعف الاستدلال للمشهور بتلك الأخبار</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5416771_2870459653"/>
      <w:bookmarkStart w:id="501" w:name="_Toc178"/>
      <w:bookmarkEnd w:id="500"/>
      <w:r>
        <w:rPr>
          <w:rtl w:val="true"/>
        </w:rPr>
        <w:t>عدم اشتراط الحجّة الشرعيّة في الإخبار بالموت للاعتداد</w:t>
      </w:r>
      <w:bookmarkEnd w:id="5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بلا خلاف بين الأصحاب ظاهراً؛ لعدم المنع عن الاعتداد بهذا الطريق، فإن صحّ الطريق وإلّا يكون اعتدادها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لها التزوّج إلّا أن يثبت الموت؛ قضاءً لاستصحاب حياته ولزوم النكاح وبقائه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في الجواهر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لإطلاق الأدلّة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الصباح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قامت لها البيّنة أو لم 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المناقشة بإرادة البلوغ الشرعي ولو خبر العدل الذي يصدق معه عدم قيام البيّنة، فلا ينافيه خبر أبي‌الصباح</w:t>
      </w:r>
      <w:r>
        <w:rPr>
          <w:rFonts w:eastAsia="IRNazanin" w:cs="IRNazanin"/>
          <w:color w:val="111111"/>
          <w:sz w:val="28"/>
          <w:szCs w:val="28"/>
          <w:rtl w:val="true"/>
          <w:lang w:bidi="fa-IR"/>
        </w:rPr>
        <w:t>.</w:t>
      </w:r>
      <w:r>
        <w:rPr>
          <w:rStyle w:val="FootnoteAnchor"/>
          <w:rtl w:val="true"/>
        </w:rPr>
        <w:footnoteReference w:id="1316"/>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مناقشة الجواهر في الاستدلال بالإطلاق والخبر لا تقدح لو فرضت تماميّتها أيضاً، فإنّ العمدة هي ما مرّ من عدم المنع من الاعتداد وأنّه غير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بالطلاق ولم تعلم وقت وقوعه حتّى تحسب العدّة من ذلك الوقت اعتدّت من الوقت الذي تعلم بعدم تأخّره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أن تعتدّ من حين بلوغ الخبر إليها، بل هذا الاحتياط 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الرجل وغاب غيبة منقطعة ولم يبلغ منه خبر ولا ظهر منه أثر ولم يعلم موته وحياته فإن بقي له مال تنفق به زوجته أو كان له وليّ يتولّى أُموره ويتصدّى لإنفاقه أو متبرّع للإنفاق عليها وجب عليها الصبر والانتظار، ولا يجوز لها أن تتزوّج أبداً حتّى تعلم بوفاة الزوج أو طلاقه، وإن لم يكن ذلك فإن صبرت</w:t>
      </w:r>
    </w:p>
    <w:p>
      <w:pPr>
        <w:pStyle w:val="BookText"/>
        <w:rPr/>
      </w:pPr>
      <w:r>
        <w:rPr>
          <w:rFonts w:ascii="Amiri" w:hAnsi="Amiri" w:eastAsia="Amiri" w:cs="Amiri"/>
          <w:color w:val="111111"/>
          <w:sz w:val="28"/>
          <w:sz w:val="28"/>
          <w:szCs w:val="28"/>
          <w:rtl w:val="true"/>
          <w:lang w:bidi="ar-SA"/>
        </w:rPr>
        <w:t>مضرٍّ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والاعتداد بمحض البلوغ كالاعتداد احتياطاً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المراد من البلوغ المعتبر في الاعتداد هو العرفي منه كغيره من الموضوعات، والحمل على الشرعي مخالف للظاهر ومحتاج إلى الدليل وأنّ الظاهر من خبر أبي الصباح هو قيام الحجّة وعدمه، ولا خصوصيّة للبيّنة وإنّما ذكرت مصداقاً للحجّة، فالخبر دليل على عدم اعتبار الحجّة كما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لصدق الاعتداد من حين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قاله في الجواهر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فرض علمها بسبق ذلك وإن لم تعلم بالخصوص، اعتدّت بمقدار ما علمته من المدّة ثمّ أكملته بعد ذلك بما يتمّها، لتطابق النصّ والفتوى على اعتداد المطلّقة من حين الطلاق وإن لم تعلمبه، ففي الفرض تعلم انقضاء جملة من عدّتها، فلتعتدّ باحتسابه، ولكن مع ذلك، فالاحتياط لا ينبغي تركه</w:t>
      </w:r>
      <w:r>
        <w:rPr>
          <w:rFonts w:eastAsia="Amiri" w:cs="Amiri" w:ascii="Amiri" w:hAnsi="Amiri"/>
          <w:color w:val="111111"/>
          <w:sz w:val="28"/>
          <w:szCs w:val="28"/>
          <w:rtl w:val="true"/>
          <w:lang w:bidi="ar-SA"/>
        </w:rPr>
        <w:t>.</w:t>
      </w:r>
      <w:r>
        <w:rPr>
          <w:rStyle w:val="FootnoteAnchor"/>
          <w:rtl w:val="true"/>
        </w:rPr>
        <w:footnoteReference w:id="1317"/>
      </w:r>
      <w:bookmarkStart w:id="502" w:name="pg9375_99783"/>
    </w:p>
    <w:p>
      <w:pPr>
        <w:pStyle w:val="BookText"/>
        <w:rPr/>
      </w:pPr>
      <w:bookmarkEnd w:id="502"/>
      <w:r>
        <w:rPr>
          <w:rFonts w:ascii="Amiri" w:hAnsi="Amiri" w:eastAsia="Amiri" w:cs="Amiri"/>
          <w:color w:val="111111"/>
          <w:sz w:val="28"/>
          <w:sz w:val="28"/>
          <w:szCs w:val="28"/>
          <w:rtl w:val="true"/>
          <w:lang w:bidi="ar-SA"/>
        </w:rPr>
        <w:t xml:space="preserve">فلها ذلك، وإن لم تصبر وأرادت الزواج رفعت أمرها إلى الحاكم الشرعي، فيؤجّلها أربع سنين من حين الرفع إليه ثمّ يتفحّص عنه في تلك المدّة، فإن لم يتبيّن موته ولا حياته، فإن كان للغائب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 كان يتولّى أُموره بتفويضه أو توكيله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الحاكم بطلاقها، وإن لم يقدم أجبره عليه، وإن لم يكن له وليّ أو لم يقدم ولم يمكن اجباره طلّقها الحاكم، ثمّ تعتدّ أربعة أشهر وعشراً عدّة الوفاة، فإذا تمّت هذه الأُمور جازلها التزويج بلا إشكال، وفي اعتبار بعض ما ذكر تأمّل ونظر، إلّا أنّ اعتبار الجميع هو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5416773_2870459653"/>
      <w:bookmarkStart w:id="504" w:name="_Toc179"/>
      <w:bookmarkEnd w:id="503"/>
      <w:r>
        <w:rPr>
          <w:rtl w:val="true"/>
        </w:rPr>
        <w:t>حكم المفقود زوجها</w:t>
      </w:r>
      <w:bookmarkEnd w:id="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الأحوط المتيقّن وإطلاق المتن كغيره من عبائر الأصحاب شامل لما كان البقاء على الزوجية حرجيّاً لها حتّى من جهة أنّها تريد ما تريد النساء المصرّح به في صحيح الحلبي</w:t>
      </w:r>
      <w:r>
        <w:rPr>
          <w:rStyle w:val="FootnoteAnchor"/>
          <w:rtl w:val="true"/>
        </w:rPr>
        <w:footnoteReference w:id="1318"/>
      </w:r>
      <w:r>
        <w:rPr>
          <w:rFonts w:ascii="Amiri" w:hAnsi="Amiri" w:eastAsia="Amiri" w:cs="Amiri"/>
          <w:color w:val="111111"/>
          <w:sz w:val="28"/>
          <w:sz w:val="28"/>
          <w:szCs w:val="28"/>
          <w:rtl w:val="true"/>
          <w:lang w:bidi="ar-SA"/>
        </w:rPr>
        <w:t>أو غير حرجيٍ كشموله لكلّ زوج مفقود بلا فرق بين الغيبة في البلد وغيرها، وبين كونها عن اختيار وغيره، وبين الفرار عن الديون وغيره، وغير ذلك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ويقع الكلام في مقامين؛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يقتضيه القواعد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المستفاد من النصوص والفتاوى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فمقتضاها لزوم الصبر عليها مطلقاً حتّى مع الحرج الشديد وحتّى مع الصبر إلى مأة سنة؛ قضاءً لاستصحاب حياته وحرمة الزواجعليها إلى معلوميّة الموت، ولكن مقتضى نفي الحرج ونفي الضرار وكذا ما يستفاد من الإشارة الموجودة في قوله تعالى فَإِمْسَاكٌ بِمَعْرُوفٍ أَوْ تَسْرِيحٌ بِإِحْسَانٍ</w:t>
      </w:r>
      <w:r>
        <w:rPr>
          <w:rStyle w:val="FootnoteAnchor"/>
          <w:rtl w:val="true"/>
        </w:rPr>
        <w:footnoteReference w:id="1319"/>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الفسخ لها إذا كان البقاء على الزوجيّة مستلزماً للضرر والحرج عليها من دون الفرق فى الحرج من أنّها تريد ما تريد النساء أو من غيره حتّى للحرج من جهة الاتّهام وصعوبة المعيشة من دون حضور الزوج ومن غيرهما من الجهات الموجبة للحرج وذلك لحكومة أدلّة الحرج على أدّلة لزوم النكاح فإنّه المنشأ للحرج، فكما أنّ العيوب الخاصّة في الزوج سبب لفسخ الزوجة بحكمة الحرج أو علّته فكذلك الحرج في المقام، بل وكيف لا يكون كذلك مع صحّة الفسخ من الزوج في عيوب الزوجة والحال أنّ بيده الطلاق ففسخ الزوجة للحرج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رعاية الاحتياط موجبة لوقوع الطلاق من الحاكم ولا ية ومع عدم بسط يده أو عدم إمكان وصول اليد، من عدول المؤمنين كذلك، ومن ذلك يظهر أنّه لا فرق بين وجود المنفق وعدمه، وبين وجود الوليّ وعدمه، وبين الرفع إلى الحاكم وعدمه، وبين مضيّ أربع سنوات وعدمه مع اشتراك الكلّ 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كان الفقدان من جانبها وكانت هي السبب له فهو حرج وضرر مقدم خارج عن الحكم المذكور، فإنّ القاعدة إمّا ظاهرة في غيره أو منصرفة عنه، فهي مختصّة بغير المقدم وبما كان الحرج من ناحية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عدّتها عدّة الطلاق فسخاً كان أو 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أنّ عموم القاعدة مخصّصة وغير جارية في المفقود زوجها؛ قضاءً لإطلاق فتوى الأصحاب في حكمها الخاصّ ولصراحة صحيح الحلبي بجريان الحكم ولو أنّها تريد ما تريد النساء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بالفحصوبعث الوالي وأمره الوليّ بالإنفاق عليها وأنّها امرأته ما أنفق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 فإنّي أُريد ما تريد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لها ولا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كما يأتي ظاهر في ما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دون الحرج بقرينة التعبير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فإطلاقه منافٍ ومعارض لقاعدة نفي الحرج وهي حاكمة على جميع الإطلاقات الأوّليّة والثانويّة حتّى قاعدة نفي الضرر، وأمّا إطلاق كلامهم فإن كان ويشمل صورة الحرج لكنّه منصرف عنه لعدم الابتلاء به وإن أبيت عن إطلاقه فمقيّد كإطلاق الأخبار بغير الحرج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كما أنّ مقتضى القاعدة بقاء الزوجيّة ولزوم الصبر إن لم يكن عليها حرج فيه؛ قضاءً للأُصول والقواعد، فالمتّبع هو القاعدة، والروايات إنّما هي في رتبة ثانية، فمع منافاة إطلاق الروايات أو ظاهرها للقاعدة يؤخذ بالقاعدة؛ لأنّها حاكمة على جميع الأدلّة، ولأنّ لسانها آبٍ عن التخصيص،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Fonts w:ascii="IRNazanin" w:hAnsi="IRNazanin" w:eastAsia="IRNazanin"/>
          <w:color w:val="111111"/>
          <w:sz w:val="28"/>
          <w:sz w:val="28"/>
          <w:szCs w:val="28"/>
          <w:rtl w:val="true"/>
          <w:lang w:bidi="fa-IR"/>
        </w:rPr>
        <w:t>،</w:t>
      </w:r>
      <w:r>
        <w:rPr>
          <w:rStyle w:val="FootnoteAnchor"/>
          <w:rtl w:val="true"/>
        </w:rPr>
        <w:footnoteReference w:id="1320"/>
      </w:r>
      <w:r>
        <w:rPr>
          <w:rFonts w:ascii="Amiri" w:hAnsi="Amiri" w:eastAsia="Amiri" w:cs="Amiri"/>
          <w:color w:val="111111"/>
          <w:sz w:val="28"/>
          <w:sz w:val="28"/>
          <w:szCs w:val="28"/>
          <w:rtl w:val="true"/>
          <w:lang w:bidi="ar-SA"/>
        </w:rPr>
        <w:t>فإنّ النفي قد تعلّق بأصل الجعل في الدين، وكذا غيره ممّا يدلّ على كون الشريعة سهلة 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ما قاله السيّد الطباطبائي في ملحقات عروته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المفقود الذي لم يعلم خبره وأنّه حيّ أو ميّت إذا لم يمكن إعمال الكيفيّات المذكورة في تخليص زوجته لمانع من الموانع ولو من جهة عدم النفقة لها في المدّة المضروبة، وعدم وجود باذلٍ من متبرّع أو من وليّ الزوج، لا يبعد جواز طلاقها للحاكم الشرعي مع مطالبتها وعدم صبرها، بل وكذا المفقود المعلوم حياته مع عدم تمكّن زوجته من الصبر، بل وفي غير المفقودممّن علم أنّه محبوسٌ في مكان لا يمكن مجيؤه أبداً، وكذا في الحاضر المعسر الذي لا يتمكّن من الانفاق مع عدم صبر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زوجته على هذه 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جميع هذه الصور وأشباهها وإن كان ظاهر كلماتهم عدم جواز فكّها وطلاقها للحاكم؛ لأنّ الطلاق بيد من أخذ بالساق، إلّا أنّه يمكن أن يقال بجوازه؛ لقاعدة نفي الحرج والضرر، خصوصاً إذا كانت شابّة واستلزم صبرها طول عمرها وقوعها في مشقّة شديدة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ولما يمكن أن يستفاد من بعض الأخبار، كصحيح ربعي والفضيل بن يسار،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قُدِرَ عَلَيْهِ رِزْقُهُ فَلْيُنفِقْ مِمَّا آتَاهُ اللهُ لَا يُكَلِّفُ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 عليها ما يقيم ظهرها مع كسوة وإلّا فرّق بينهما</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وصحيح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عنده امرأة فلم يكسها ما يواري عورتها ويطعمها ما يقيم صلبها كان حقّاً على الإمام أن يفرّق بينهما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والصحيح عن ابن أبي عمير، عن جميل بن 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يجبر الرجل إلّا في نفقة الأبوين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روى عنبسة،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كساها ما يواري عورتها ويطعمها ما يقيم صلبها قامت معه وإلّا طلّقها</w:t>
      </w:r>
      <w:r>
        <w:rPr>
          <w:rFonts w:eastAsia="Amiri" w:cs="Amiri" w:ascii="Amiri" w:hAnsi="Amiri"/>
          <w:color w:val="111111"/>
          <w:sz w:val="28"/>
          <w:szCs w:val="28"/>
          <w:rtl w:val="true"/>
          <w:lang w:bidi="ar-SA"/>
        </w:rPr>
        <w:t>».</w:t>
      </w:r>
      <w:r>
        <w:rPr>
          <w:rStyle w:val="FootnoteAnchor"/>
          <w:rtl w:val="true"/>
        </w:rPr>
        <w:footnoteReference w:id="1324"/>
      </w:r>
      <w:r>
        <w:rPr>
          <w:rFonts w:ascii="IRNazanin" w:hAnsi="IRNazanin" w:eastAsia="IRNazanin"/>
          <w:color w:val="111111"/>
          <w:sz w:val="28"/>
          <w:sz w:val="28"/>
          <w:szCs w:val="28"/>
          <w:rtl w:val="true"/>
          <w:lang w:bidi="fa-IR"/>
        </w:rPr>
        <w:t>إذ الظاهر أنّ</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أنّه يجبر على طلاقها، وإذا لم يمكن إجباره لغيبة فيتولّى الحاكم الشرعي طلاقها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والمرويّ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بكلّ مؤمن من نفسه، وعليّ أولى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ديناً أو ضياعاً فعليّ ومن ترك مالاً فللورثة، فالرجل ليست له على نفسه ولاية إذا لم يكن له مال، وليس له على عياله أمر ولا نهي إذا لم يجر عليهم النفقة،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بعدهما لزمهم هذا، فمن هنا صار أولى بهم من أنفسهم</w:t>
      </w:r>
      <w:r>
        <w:rPr>
          <w:rFonts w:eastAsia="IRNazanin" w:cs="IRNazanin"/>
          <w:color w:val="111111"/>
          <w:sz w:val="28"/>
          <w:szCs w:val="28"/>
          <w:rtl w:val="true"/>
          <w:lang w:bidi="fa-IR"/>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فيستفاد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عدم النفقة يجوز إجبار الزوج على الطلاق، وإذا لم يمكّن ذلك لعدم حضوره للإمام أن يتولّاه والحاكم الشرعي نائب عنه في ذلك، وإذا كان عدم طلاقها وإبقاؤها على الزوجيّة موجباً لوقوعها في الحرام قهراً أواختياراً فأولى، بل اللازم فكّها؛ حفظاً لها عن الوقوع في المعصية، ومن هذا يمكن أن يقال في مسألة المفقود إذا أمكن إعمال الكيفيّات المذكورة من ضرب الأجل والفحص، لكن كان موجباً للوقوع في المعصية يجوز المبادرة إلى طلاقها من دون ذلك</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أشار إلى قاعدة نفي الضرر والحرج،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في بعض</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فروع المسألة فراجع إن شئت</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xml:space="preserve">كما أنّ صاحب جامع الشتات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أشارإليه في بعض مسائله</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المفقود زوجهاوأمّا الروايات، فهي على 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الصبر أربع سنين وهي معمول بها عند الأصحاب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مطلقاً، وهذه ثلاث، فعن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تصبر امرأة المفقود حتّى يأتيها يقين موته أو طلاقه</w:t>
      </w:r>
      <w:r>
        <w:rPr>
          <w:rFonts w:eastAsia="Amiri" w:cs="Amiri" w:ascii="Amiri" w:hAnsi="Amiri"/>
          <w:color w:val="111111"/>
          <w:sz w:val="28"/>
          <w:szCs w:val="28"/>
          <w:rtl w:val="true"/>
          <w:lang w:bidi="ar-SA"/>
        </w:rPr>
        <w:t>».</w:t>
      </w:r>
      <w:r>
        <w:rPr>
          <w:rStyle w:val="FootnoteAnchor"/>
          <w:rtl w:val="true"/>
        </w:rPr>
        <w:footnoteReference w:id="1329"/>
      </w: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امرأة ابتليت فلتصبر</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 xml:space="preserve">وعن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المفقود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لاتتزوّج امرأته حتّى يبلغها موته أو طلاق أو لحوق بأهل الشرك</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العامّة من أوجب الصبر مطلقاً عملاً بالنبوي والعلوي، ولكن هذه الثلاث ليست بحجّة، فإنّه مضافاً إلى ضعف السند في الأُوليين أ‌نّها غير معمولٌ بها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عدم تماميّتها عند العامّة أيضاً، أمّا النبويّ فمرسل عندهم والعلوي قد ثبت خلافه عندهم، ولك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مطلّقة تتقيّد بالطائفة الأُولی كما يأتي، ولك أن تقول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ليست في مقام بيان الحكم بل هي ناظرة إلى أنّ الزوج المفقود ليس بحكم الميّت فلا تعارض فتبقى الطائفة الأُولى محلاً للكلام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الطائفة الأُولى،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بريد بن معاوية التي رواها المشايخ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المفقود كيف تصنع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سكتت عنه وصبرت فخلّ عنها، وإن هي رفعت أمرها إلى الوالي أجّلها أربع سنين ثمّ يكتب إلى الصقع الذي فقد فيه، فليسأل عنه، فإن خبر عنه بحياة صبرت وإن لم يخبر عنه بحياة حتّى تمضي الأربع سنين، دعا وليّ الزوج المفقود،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 فإن كان للمفقود مال أنفق عليها حتّى يعلم حياته من موته، وإن لم يكن له مال قيل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فإن فعل فلا سبيل لها إلى أن تتزوّج ما أنفق عليها، وإن أبي أن ينفق عليها أجبره الوالي على أن يطلّق تطليقة في استقبال العدّة وهي طاهر فيصير طلاق الوليّ طلاق الزوج فإن جاء زوجها قبل أن تنقضي عدّتها من يوم طلّقها الوليّ فبدا له أن يراجعها فهي امرأته وهي عنده على تطليقتين، وإن انقضت العدّة قبل أن يجيء ويراجع فقد حلّت للأزواج ولا سبيل للأوّل عليها</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لم يكن للزوج وليّ طلّقها الوالي ويشهد شاهدين عدلين، فيكون طلاق الوالي طلاق الزوج وتعتدّ</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أربعة أشهر وعشراً ثمّ تزوّج إن شاءت</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أنّه سئل عن المفقود،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إذا مضى له أربع سنين بعث الوالي أو يكتب إلى الناحية التي هو غائب فيها فإن لم يوجد له أثر أمر الوالي وليّه أن ينفق عليها، فما أنفق عليها فهي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أريد ما تريد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ذاك لها ولا كرامة، فإن لم ينفق عليها وليّه أو وكيله أمره أن يطلّقها فكان ذلك عليها طلاقاً واجباً</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الصباح الكناني،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غاب عنها زوجها أربع سنين ولم ينفق عليها ولم تدر أحيّ هو أم ميّت، أ يجبر وليّه على أن يطلّقها؟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لم يكن له وليّ طلّقها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أنفق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يجبر على 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مثل ما تريد النساء ولا أصبر ولا أقعد كما 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ذلك ولا كرامة إذا أنفق عليها</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المفقود،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 أنّه في أرض فهي منتظرة له أبداً حتّى يأتيها موته أو يأتيها طلاق، وإن لم تعلم أين هو من الأرض ولم يأتها منه كتاب ولا خبر فإنّها تأتي الإمامفيأمرها أن تنتظر أربع سنين فيطلب في الأرض فإن لم يوجد له خبر حتّى يمضي الأربع سنين، أمرها أن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تعتدّ أربعة أشهر وعشراً ثمّ تحلّ للأزواج فإن قدم زوجها بعد ما تنقضي عدّتها فليس له عليها رجعة وإن قدم وهي في عدّتها أربعة أشهر وعشراً فهو أملك برجعتها</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ويقع البحث في جهات منها؛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الصبر مع الانفاق عليها بعد الرفع إلى الحاكم بلغ ما بلغ بشرط المنفق لها كما يدلّ عليه صحيحة بريد وكذا صحيحة الحلبي ويشعر به أيضاً خبر أبي الصباح، وهذه الروايات وإن كانت مختصّة ببعد الرجوع إلى الحاكم إلّا أنّ الحكم كذلك قبل الرجوع أيضاً فإنّ خصوصيّة الرجوع ملغاة مناسبة للحكم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بإطلاقها دالّة على الطلاق وعدم وجوب الصبر بعد مضيّ أربع سنين ولو مع عدم الحرج في الصبر، وهذا مخالف للقواعد والأُصول، فلابدّ من الاقتصار في مثله على مورد النصّ وما اعتبر فيه من الشرائط نحو كون أربع سنين بعد الفحص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العدّة بعد الطلب أربع سنينالثالثة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لاختلاف هذه الأخبار في أنّه بعد الطلب أربع سنين إن لم يعرف له خبر فهل يكفي أمرالحاكم لها بالاعتداد عدّة الوفاة أم لابدّ من الطلاق أوّلاً من الوليّ أو الحاكم مع عدمه؟ وعلى تقدير الثانيفهل العدّة عدّة الطلاق أو عدّة الوفاة؟ أقوال؛ فذهب الشيخان</w:t>
      </w:r>
      <w:r>
        <w:rPr>
          <w:rStyle w:val="FootnoteAnchor"/>
          <w:rtl w:val="true"/>
        </w:rPr>
        <w:footnoteReference w:id="1337"/>
      </w:r>
      <w:r>
        <w:rPr>
          <w:rFonts w:ascii="IRNazanin" w:hAnsi="IRNazanin" w:eastAsia="IRNazanin"/>
          <w:color w:val="111111"/>
          <w:sz w:val="28"/>
          <w:sz w:val="28"/>
          <w:szCs w:val="28"/>
          <w:rtl w:val="true"/>
          <w:lang w:bidi="fa-IR"/>
        </w:rPr>
        <w:t>إلى الأوّل، وبه قال ابن</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البرّاج</w:t>
      </w:r>
      <w:r>
        <w:rPr>
          <w:rStyle w:val="FootnoteAnchor"/>
          <w:rtl w:val="true"/>
        </w:rPr>
        <w:footnoteReference w:id="1338"/>
      </w:r>
      <w:r>
        <w:rPr>
          <w:rFonts w:ascii="Amiri" w:hAnsi="Amiri" w:eastAsia="Amiri" w:cs="Amiri"/>
          <w:color w:val="111111"/>
          <w:sz w:val="28"/>
          <w:sz w:val="28"/>
          <w:szCs w:val="28"/>
          <w:rtl w:val="true"/>
          <w:lang w:bidi="ar-SA"/>
        </w:rPr>
        <w:t>وابن إدريس،</w:t>
      </w:r>
      <w:r>
        <w:rPr>
          <w:rStyle w:val="FootnoteAnchor"/>
          <w:rtl w:val="true"/>
        </w:rPr>
        <w:footnoteReference w:id="1339"/>
      </w:r>
      <w:r>
        <w:rPr>
          <w:rFonts w:ascii="Amiri" w:hAnsi="Amiri" w:eastAsia="Amiri" w:cs="Amiri"/>
          <w:color w:val="111111"/>
          <w:sz w:val="28"/>
          <w:sz w:val="28"/>
          <w:szCs w:val="28"/>
          <w:rtl w:val="true"/>
          <w:lang w:bidi="ar-SA"/>
        </w:rPr>
        <w:t>وهو الذي صرّح به العلّامة في القواعد</w:t>
      </w:r>
      <w:r>
        <w:rPr>
          <w:rStyle w:val="FootnoteAnchor"/>
          <w:rtl w:val="true"/>
        </w:rPr>
        <w:footnoteReference w:id="1340"/>
      </w:r>
      <w:r>
        <w:rPr>
          <w:rFonts w:ascii="IRNazanin" w:hAnsi="IRNazanin" w:eastAsia="IRNazanin"/>
          <w:color w:val="111111"/>
          <w:sz w:val="28"/>
          <w:sz w:val="28"/>
          <w:szCs w:val="28"/>
          <w:rtl w:val="true"/>
          <w:lang w:bidi="fa-IR"/>
        </w:rPr>
        <w:t>والإرشاد</w:t>
      </w:r>
      <w:r>
        <w:rPr>
          <w:rStyle w:val="FootnoteAnchor"/>
          <w:rtl w:val="true"/>
        </w:rPr>
        <w:footnoteReference w:id="1341"/>
      </w:r>
      <w:r>
        <w:rPr>
          <w:rFonts w:ascii="Amiri" w:hAnsi="Amiri" w:eastAsia="Amiri" w:cs="Amiri"/>
          <w:color w:val="111111"/>
          <w:sz w:val="28"/>
          <w:sz w:val="28"/>
          <w:szCs w:val="28"/>
          <w:rtl w:val="true"/>
          <w:lang w:bidi="ar-SA"/>
        </w:rPr>
        <w:t>والمحقّق في كتابيه، وعلى هذا القول تدلّ موثّقة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بالثاني وأنّ العدّة عدّة الوفاة، وهو مذهب الصدوق في المقنع</w:t>
      </w:r>
      <w:r>
        <w:rPr>
          <w:rStyle w:val="FootnoteAnchor"/>
          <w:rtl w:val="true"/>
        </w:rPr>
        <w:footnoteReference w:id="1342"/>
      </w:r>
      <w:r>
        <w:rPr>
          <w:rFonts w:ascii="Amiri" w:hAnsi="Amiri" w:eastAsia="Amiri" w:cs="Amiri"/>
          <w:color w:val="111111"/>
          <w:sz w:val="28"/>
          <w:sz w:val="28"/>
          <w:szCs w:val="28"/>
          <w:rtl w:val="true"/>
          <w:lang w:bidi="ar-SA"/>
        </w:rPr>
        <w:t>وابن حمزة</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قال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الوليّ أنْ يطلّق أجبره الوالي على أن يطلّقها، فيصير طلاق الوليّ طلاق الزوج، فإن لم يكن له وليّ طلّقها السلطان، واعتدّت أربعة أشهر وعشرة أيّام</w:t>
      </w:r>
      <w:r>
        <w:rPr>
          <w:rFonts w:eastAsia="Amiri" w:cs="Amiri" w:ascii="Amiri" w:hAnsi="Amiri"/>
          <w:color w:val="111111"/>
          <w:sz w:val="28"/>
          <w:szCs w:val="28"/>
          <w:rtl w:val="true"/>
          <w:lang w:bidi="ar-SA"/>
        </w:rPr>
        <w:t>.</w:t>
      </w:r>
      <w:r>
        <w:rPr>
          <w:rStyle w:val="FootnoteAnchor"/>
          <w:rtl w:val="true"/>
        </w:rPr>
        <w:footnoteReference w:id="1344"/>
      </w:r>
      <w:r>
        <w:rPr>
          <w:rFonts w:ascii="Amiri" w:hAnsi="Amiri" w:eastAsia="Amiri" w:cs="Amiri"/>
          <w:color w:val="111111"/>
          <w:sz w:val="28"/>
          <w:sz w:val="28"/>
          <w:szCs w:val="28"/>
          <w:rtl w:val="true"/>
          <w:lang w:bidi="ar-SA"/>
        </w:rPr>
        <w:t xml:space="preserve">ونحوه كلام ابن حمزة </w:t>
      </w:r>
      <w:r>
        <w:rPr>
          <w:rStyle w:val="FootnoteAnchor"/>
          <w:rtl w:val="true"/>
        </w:rPr>
        <w:footnoteReference w:id="1345"/>
      </w:r>
      <w:r>
        <w:rPr>
          <w:rFonts w:ascii="Amiri" w:hAnsi="Amiri" w:eastAsia="Amiri" w:cs="Amiri"/>
          <w:color w:val="111111"/>
          <w:sz w:val="28"/>
          <w:sz w:val="28"/>
          <w:szCs w:val="28"/>
          <w:rtl w:val="true"/>
          <w:lang w:bidi="ar-SA"/>
        </w:rPr>
        <w:t>واختاره العلّامة في المختلف</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طلاق الوليّ أكثر الأخبار المذكورة وعلى طلاق الوالي رواية أبي الصباح</w:t>
      </w:r>
      <w:r>
        <w:rPr>
          <w:rStyle w:val="FootnoteAnchor"/>
          <w:rtl w:val="true"/>
        </w:rPr>
        <w:footnoteReference w:id="1347"/>
      </w:r>
      <w:r>
        <w:rPr>
          <w:rFonts w:ascii="Amiri" w:hAnsi="Amiri" w:eastAsia="Amiri" w:cs="Amiri"/>
          <w:color w:val="111111"/>
          <w:sz w:val="28"/>
          <w:sz w:val="28"/>
          <w:szCs w:val="28"/>
          <w:rtl w:val="true"/>
          <w:lang w:bidi="ar-SA"/>
        </w:rPr>
        <w:t>والمرسلة المنقولة عن الفقية،</w:t>
      </w:r>
      <w:r>
        <w:rPr>
          <w:rStyle w:val="FootnoteAnchor"/>
          <w:rtl w:val="true"/>
        </w:rPr>
        <w:footnoteReference w:id="1348"/>
      </w:r>
      <w:r>
        <w:rPr>
          <w:rFonts w:ascii="Amiri" w:hAnsi="Amiri" w:eastAsia="Amiri" w:cs="Amiri"/>
          <w:color w:val="111111"/>
          <w:sz w:val="28"/>
          <w:sz w:val="28"/>
          <w:szCs w:val="28"/>
          <w:rtl w:val="true"/>
          <w:lang w:bidi="ar-SA"/>
        </w:rPr>
        <w:t>وعلى كون العدّة في هذه الصورة عدّة الوفاة المرسلة المذكورة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في هذهالصورة إنّما هي عدّة الطلاق، وهو ظاهر أكثر الأخبار المذكورة، وإليه يميل كلام السيّد السند في شرح النافع</w:t>
      </w:r>
      <w:r>
        <w:rPr>
          <w:rStyle w:val="FootnoteAnchor"/>
          <w:rtl w:val="true"/>
        </w:rPr>
        <w:footnoteReference w:id="1349"/>
      </w:r>
      <w:r>
        <w:rPr>
          <w:rFonts w:ascii="IRNazanin" w:hAnsi="IRNazanin" w:eastAsia="IRNazanin"/>
          <w:color w:val="111111"/>
          <w:sz w:val="28"/>
          <w:sz w:val="28"/>
          <w:szCs w:val="28"/>
          <w:rtl w:val="true"/>
          <w:lang w:bidi="fa-IR"/>
        </w:rPr>
        <w:t>وقبله</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جدّهرحمه الله عليه في المسالك</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ويظهر من هذه الأخبار أنّ العدّة عدّة الطلاق، إلّا أنّ القائلين بالطلاق صرّحوا بأنّ العدّة عدّة الوفاة، ولا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بأنّ المستفاد من عبارات المحقّقين عدم التعارض بين تلك الأخبار وموثّقة سماعة</w:t>
      </w:r>
      <w:r>
        <w:rPr>
          <w:rStyle w:val="FootnoteAnchor"/>
          <w:rtl w:val="true"/>
        </w:rPr>
        <w:footnoteReference w:id="1351"/>
      </w:r>
      <w:r>
        <w:rPr>
          <w:rFonts w:ascii="Amiri" w:hAnsi="Amiri" w:eastAsia="Amiri" w:cs="Amiri"/>
          <w:color w:val="111111"/>
          <w:sz w:val="28"/>
          <w:sz w:val="28"/>
          <w:szCs w:val="28"/>
          <w:rtl w:val="true"/>
          <w:lang w:bidi="ar-SA"/>
        </w:rPr>
        <w:t>لسكوت الأخير عن لزوم الطلاق وعدمه، ففيه ما لا يخفى، لأنّ الظاهر من الموثّقة أنّ العدّة عدّة وفاة والزوج محكوم بالموت فهي معارضة لتلك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هذه الأخبار بعد ضم مطلقها إلى مقيّدها ومجملها إلى مبيّنها أنّه يطلقها الوليّ ومع عدمه فالحاكم، وتعتد عدّة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موثّقة سماعة أنّه بعد تحقّق انقطاع خبره يأتي الإمام فيأمرها بالاعتداد عدّة الوفاة وهي بالنسبة إلى الطلاق وعدمه مطلّقة فيمكن تقييدها بالأخبار الدالّة على الطلاق بمعنى أنّها تعتدّ بعد الطلاق عدّة الوفاة وأخبار الطلاق بالنسبة إلى العدّة وأنّها عدّة وفاة أو طلاق مجملة مطلّقة فيجب حملها على مادلّت عليه موثّقة سماعة من عدّة الوفاة وسند ما ذكرناه مرسلة الصدوق؛ حيث تضمنت عدّة الوفاة بعد الطلاق من الوليّ أو الوالي، ولا ينافي ذلك جواز المراجعة في العدّة لو قدم وهي في العدّة؛ لأنّ هذه العدّة عدّة طلاق من جهة وعدّة وفاة من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 الاعتداد بعدّة الوفاة هو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ظهر ممّا ذكرناه أنّ الاعتداد بالمذكور هو عدّة الطلاق وإنكان بقدر</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عدّة الوفاة، وتظهر الثمرة في مثل السكنى والحداد والتوارث ولا مانع من عدّة الوفاة في الطلاق ثبوتاً لأنّه طلاق خاصّ فله عدّة خاصّة تكون كعدّة الوفاة في الأيّام والمدّة فقط، قضاءً للدليل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ليس لهذا الطلاق حكم خاصّ به من حيث الرجعي والبائن وغيره بل يكون كغيره محكوماً بأحكام الطلاق؛ قضاءً لإطلاق أدلّة الأحكام وعدم الدليل على تقييده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التربّص مشروط بالرجوع إلى الحاكم أم لا؟الرابعة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التربّص أربع سنين مشروط بكونه بعد الرجوع إلى الحاكم أو غير مشروط به بل مطلق التربّص كافٍ ولو من حين الغيبة والفقدان؟ فالظاهر من الحدائق</w:t>
      </w:r>
      <w:r>
        <w:rPr>
          <w:rStyle w:val="FootnoteAnchor"/>
          <w:rtl w:val="true"/>
        </w:rPr>
        <w:footnoteReference w:id="1352"/>
      </w:r>
      <w:r>
        <w:rPr>
          <w:rFonts w:ascii="Amiri" w:hAnsi="Amiri" w:eastAsia="Amiri" w:cs="Amiri"/>
          <w:color w:val="111111"/>
          <w:sz w:val="28"/>
          <w:sz w:val="28"/>
          <w:szCs w:val="28"/>
          <w:rtl w:val="true"/>
          <w:lang w:bidi="ar-SA"/>
        </w:rPr>
        <w:t>عدم الخلاف في الاشتراط وهو الظاهر من صحيحة بريد وموثّقة سماعة وبه صرّح في القواعد،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أربع سنين إلى الحاكم فلو لم ترفع خبرها إليه فلا عدّة حتّى تضرب لها المدّة ثمّ تعتدّ ولو صبرت مأة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وابتداء المدّة من رفع القضيّة إلى الحاكم وثبوت الحال عنده لا من وقت انقطاع الخبر</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الظاهر من صحيحة الحلبي وخبر أبي الصباح عدم الاشتراط وكفاية التربّص ولو من حين الفقد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ظاهر أكثر الفتاوى والصحيح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المدّة الرفع المذكور إذا لم يكن ثمّة فحص سابق من الحاكم إلّا أنّ في المحكيّ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تصبر أربع سنين، ثمّ ترفع أمرها لتنتظر من يتعرّف خبر زوجها في الآفاق، فإن عرف له خبر لم يكن لها طريق إلى التزويج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له أربع سنين بعث الوالي</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 xml:space="preserve">ومن المعلوم أنّه لا مدّة عليها لابتداء رفع أمرها، بل متى انقطع خبره وصدق عليه اسم المفقود ولم يكن لها منفق ولو متبرّع رفعت أمرها إلى الحاكم، فلابدّ من حمل ذلك على إرادة خصوص من يتوقّف صدق اسم الفقد عليه على مضي المدّة المزبورة لبعد جهة سفره أو غيره، وأمّا إطلاقه إرسال الوالي فيحمل على ما في غيره من المدّة المزبورة، كما أنّه يحمل خبر أبي الصباح على ما إذا كان ذلك بأمر الحاكم، والله العالم </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ذكره من الحمل موافق للاحتياط إلّا أنّه تبرّعي لا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ولصاحب الحدائق جمع آخر،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الوجه في الجمع بين هذه الأخبار هو أنّه إن لم ترفع أمرها إلى الحاكم إلّا بعد مضيّ الأربع من حين الفقد فإنّه يفحص عنه حتّى يعلم أمره وأنّه مع ظهور فقده وعدم العلم بحياته يجري عليه الحكم المذكور من غير تقييد بمدّة، وإن رفعت أمرها منأوّل الأمر قبل مضيّ الأربع من حين الفقد أو في أثنائها فإنّه يجب عليها التربّص مدة الأربع أو تمامها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والفحص في تلك المدّة ثمّ إجراء الحكم المذكور</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والحمل كذلك على ما صرّح به أنّ ذكر الرفع من باب التمثيل لا الحصر،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الرفع في صحيحة بريد وموثّقة سماعة إنّما خرج مخرج التمثيل لا الحصر، وأصل الحكم إنّما يدور ويبنى على مضيّ الأربع سنين مع حصول الفحص كيف كان</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غير بعيد، فإنّ في الإتيان إلى الإمام المأمور به في الموثّقة احتمالين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للاشتراط وأنّ الفحص والتربّص من شؤون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لدفع النزاع والاختلاف المحتمل مع مجيء الزوج في مضيّ الأربعة من حين الفقد وفي الفحص، فالإتيان لمقام الإثبات لا الثبوت، حيث لا يدّعي عليها الزوج إن عاد، فالحكم بالتربّص والفحص ليس من شؤون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أنّ ترجيح الاحتمال الثاني عرفاً غير بعيد فجمعه وحمله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Style w:val="FootnoteAnchor"/>
          <w:rtl w:val="true"/>
        </w:rPr>
        <w:footnoteReference w:id="1358"/>
      </w:r>
      <w:r>
        <w:rPr>
          <w:rFonts w:ascii="Amiri" w:hAnsi="Amiri" w:eastAsia="Amiri" w:cs="Amiri"/>
          <w:color w:val="111111"/>
          <w:sz w:val="28"/>
          <w:sz w:val="28"/>
          <w:szCs w:val="28"/>
          <w:rtl w:val="true"/>
          <w:lang w:bidi="ar-SA"/>
        </w:rPr>
        <w:t>أيضاً غير بعيدٍ، وأمّا الرفع في صحيح بريد</w:t>
      </w:r>
      <w:r>
        <w:rPr>
          <w:rStyle w:val="FootnoteAnchor"/>
          <w:rtl w:val="true"/>
        </w:rPr>
        <w:footnoteReference w:id="1359"/>
      </w:r>
      <w:r>
        <w:rPr>
          <w:rFonts w:ascii="Amiri" w:hAnsi="Amiri" w:eastAsia="Amiri" w:cs="Amiri"/>
          <w:color w:val="111111"/>
          <w:sz w:val="28"/>
          <w:sz w:val="28"/>
          <w:szCs w:val="28"/>
          <w:rtl w:val="true"/>
          <w:lang w:bidi="ar-SA"/>
        </w:rPr>
        <w:t>فليس بأزيد من بيان صورة الرفع ولا دلالة فيه على الاشتراط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كلّهفإنّ الحكم مخالفٌ للقاعدة، فالذهاب إليه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التربّص بالرفع موجب للحرج في بعض الموارد، مثل ما كان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الرفع منها بعد مضيّ سنوات فزيادة الأربع عليها موجبة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المفقود عنها زوجها مربوطة بحيثيّة الفقدان بما هو هو وإلّا فمع طروّ الحرج هو المناط في الطلاق مستقلّا ًبلا دخالة شيء آخر كما مرّمنّا، فلا تغفل حتّى لا يحصل لك الخلط في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بعد اليأس من الوصول إليه قبل أربع سنين، هل يجب الفحص أربع سنين كاملاً أم لا؟ الحقّ هو الأوّل، وتوهّم أنّه طريق ولا موضوعيّة له، لا وجه له؛ لقوّة احتمال الموضوعيّة، وذلك لاتّفاق الروايات على لزوم التربّص أربع سنين مع تفاوت المفقودين، ويؤيّده حكم العامّة أيضاً بالتربّص المذكور، ومنه يظهر لزوم التربّص في مورد اليأس عن الوصول من ابتداء الأمر فإنّه أيضاً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المفقود وأحكامه مختصّة بالفقد في السفر أو أعمّ منه؟الخامسة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المفقود وأحكامه من رفع الأمر إلى الحاكم والتأجيل والتفحص تختصّ بالفقد في السفر أو هي أعمّ منه ومن الفقد في البحر لكسر السفينة أو في معركة القتال أو غيرهما؟ فاستشكل الحدائق في الإطلاق والشمول بأنّ ظاهر الأخبار الاختصاص، وردّ عليه الجواهر بالشمول وأنّ عنوان المفقود في النصوص شامل لجميع افراده من السفر وكسر السفينة والحرب وغيرها، ولننقل كلامهما مع ما في الأوّل من الطول ثمّ نتعرّض لما فيهما من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الحدائق بعد حكاية قول الشهيد في المسالك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المفقود بين من اتّفق فقده في جوف البلد أو في السفر وفي القتال،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إذا انكسرت سفينة ولم يعلم حاله، لشمول النصّ لذلك كلّه وحصول المعنى، ولا يكفى دلالة القرائن على موته بدون البحث، إلّا أن تنضمّ إليها أخبار من يتآخم قوله العلم بوفاته، فيحكم بها حينئذٍ من غير أن تتربّص به المدة المذكورة، ولا فرق حينئذٍ بين أن يحكم الحاكم بموته وعدمه، بل إذا ثبت ذلك عندها جاز لها التزويج ولم يجز لغيرها أن يتزوجها إلّا أن يثبت عنده ذلك أيضاً، ولو حكم الحاكم بها كفى في حقّ الزوج بغير إشكال</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ما ذكره من الإطلاق في الفقد وشموله لهذه الأفراد المعدودة من النصوص نظر، فإنّ ظاهر الأخبار المتقدّمة</w:t>
      </w:r>
      <w:r>
        <w:rPr>
          <w:rStyle w:val="FootnoteAnchor"/>
          <w:rtl w:val="true"/>
        </w:rPr>
        <w:footnoteReference w:id="1361"/>
      </w:r>
      <w:r>
        <w:rPr>
          <w:rFonts w:ascii="Amiri" w:hAnsi="Amiri" w:eastAsia="Amiri" w:cs="Amiri"/>
          <w:color w:val="111111"/>
          <w:sz w:val="28"/>
          <w:sz w:val="28"/>
          <w:szCs w:val="28"/>
          <w:rtl w:val="true"/>
          <w:lang w:bidi="ar-SA"/>
        </w:rPr>
        <w:t>تخصيص الحكم بالسفر إلى قطر من الأقطار، أو مطلقاً من غير معلوميّة أرض مخصوصة، وأنّه يكتب أو يرسل في الفحص عنه إلى ذلك القطر أو في الجوانب الأربعة أو بعضها ممّا يعلم أو يظنّ السفر إليه، وأمّا الفقد في البلد أو في معركة القتال أو السفينة التي انكسرت في البحر فلا يكاد يشمّ له رائحة من هذه الأخبار، بل ربما كانت ظاهرة في خلافه، إذ لا يتحقّق الفحص في شيء من هذه المواضع المعدودة، وأيضاً فإنّه بالنسبة إلى هذه الأفراد المعدودة فلتدلّ القرائن الموجبة للعلم العادي على الموت،بخلاف مجرّد السفر إلى بلد وفقد خبره، والفرق بين الأمرين</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ظاهر غاية الظهور لمن أعطى التأمّل حقّه في هذه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 بعض مشايخنا المحقّقين من متأخّري المتأخّرين يحكم بخروج هذه الأفراد عن حكم المفقود المذكور في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حصل العلم العادي بعدم حياته فإنّه يجوز نكاح زوجته وإن لم ترفع أمرها إلى الحاكم، ومثله يأتي أيضاً في قسمة الميراث؛ لأنّ المفقود في مثل البحر مع كثرة المتردّدين من السواحل المحيطة بموضع الغرق يحصل العلم من مجاري العادة بهلاكهم كما هو واضح، وهو أقوى من العلم بالشاهدين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المفقود في المفاوز في شدّ الحرّ والبرد مع إحاطة الأودان بالأطراف ولم يخبر عنه منها مع كثرة المتردّدين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المفقود في المعارك العظام لا يحتاج فيه إلى التأجيل أربع سنوات ليفحص فيها عن حاله في الأطراف؛ لأنّ ذلك إنّما هو في المفقود لا كذلك، وأمّا هنا فيكفي في مثله حصول المتردّدين في الأطراف التي يظنّ بجاري العادة أنّه لو كان حيّاً لكان فيها وأتى بخبره المتردّدون، وحيث لم يأت له خبره علم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هذا أيضاً كان الآخوند المولى محمّد جعفر الأصفهاني المشهور بالكرباسي صاحب الحواشي على الكفاية وهو من فضلائنا المعاصرين، وقد زوّج جملة من النساء اللاتي فقدتأزواجهنّ في معركة قتال الأفغان مع عسكر شاه سلطان حسين في مفازة قرب 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فإنّ مورد الأخبار المتقدّمة السفر، وأنّ الفقد حصل فيه فيرسل إلى الفحص عنه في تلك الجهة أو الجهات، وما ذكره ليس</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كذلك، والاشتراك في مجرّد الفقد لا يوجب الإلحاق، فإنّه قياس محض، وأيضاً فإنّ الفحص المأمور به في الأخبار لا يتحقّق في هذه الأفراد، فإذا كان الفقد في مفازة كطريق الحجّ مثلاً إذا قطع على قفل الحاجّ جملة من المتغلّبين وقتلوهم وأخذوا أموالهم فإلى من يرسل وممّن يفحص، وهكذا في معركة القتال</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بعد أن قضى العجب بما في كلام الحدائق من الاقتصار على خصوص المفقود بسبب سفر وغيبة، دون المفقود بانكسار سفينة أو معركة أو نحو ذلك ممّا لا أثر له في النصوص المزبورة، فتتزوّج هذه من دون رفع أمرها إلى الحاكم، ومن دون تأجيل، بل بالقرائن الدالّة على موته، قال ما هذه عبارته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يخفى عليك ما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ما ذكره حرمة التزويج إلى حصول العلم بالموت للمرأة ولمن يريد نكاحها ممّن هو عالم بحالها، لا التزويج بالقرائن التي لا توجبه، ومع فرض حصوله بها لا بحث فيه، بل وفي مسألة المفقود بالسفر أيضاً وإن لم يكن ثمّ مخبر بذلك وإن توهّمه في المسالك، ضرورة أنّه ما بعد العلم 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العنوان في النصوص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لهذه الأفراد، ولا ينافي ذلك ما في بعضها من الإرسال إلى النواحي، فإنّ المدار على التجسّس عنه في الوجه الذي نفذ فيه، ليعلم حاله،وليس هذا من القياس في شيء، بل هو مقتضى إطلاق اللفظ الذي لا داعي إلى تخصيصه بذكر حال بعض أفراده، كما هو واضح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لم أجد أحداً من أساطين الأصحاب تردّد في شيء من ذلك، وقد جعلوا العنوان ما في النصوص من المفقود الشامل لجميع الأفراد المزبورة، كما هو واضح بأدنى تأمّل</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شمول المفقود لغير المفقود في السفر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مادّة المفقود ولفظه للأعمّ من السفر ممّا لا كلام فيه ويكون أمراً واضحاً غير قابل للإنكار وإنّما الكلام في قرينيّة الفحص والكتابة والإرسال إلى القطر المفقود فيها أو الجوانب الأربعة أو بعضها التي تكون من أحكام المفقود عنها زوجها للاختصاص بالسفر؛ حيث إنّ التجسّس والتفحّص ليس إلّا لتحصيل العلم والحجّة على الحياة أو الموت والموارد المذكورة في المسالك والحدائق لا سيّما في زمانهما لا فائدة لها في الفحص بمعلوميّة الحال بمحض الفقد؛ لما بيّنه بعض مشايخي صاحب الحدائق من متأخّري المتأخّرين كما مرّت عبارته،</w:t>
      </w:r>
      <w:r>
        <w:rPr>
          <w:rStyle w:val="FootnoteAnchor"/>
          <w:rtl w:val="true"/>
        </w:rPr>
        <w:footnoteReference w:id="1364"/>
      </w:r>
      <w:r>
        <w:rPr>
          <w:rFonts w:ascii="Amiri" w:hAnsi="Amiri" w:eastAsia="Amiri" w:cs="Amiri"/>
          <w:color w:val="111111"/>
          <w:sz w:val="28"/>
          <w:sz w:val="28"/>
          <w:szCs w:val="28"/>
          <w:rtl w:val="true"/>
          <w:lang w:bidi="ar-SA"/>
        </w:rPr>
        <w:t>ومع عدم الفائدة لا محلّ للفحص فلا محلّ لأحكام المفقود عنها زوجها؛ لانتفاء المشروط بانتفاء الشرط، فالنصوص بقرينة الفحص مختصّة وليست بعامّة كما ذكره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ذكرناه يظهر ما في تأييده من عدم تردّد الأساطين في العموميّة لجعلهم العنوان ما في النصوص من المفقود، فإنّ الفتاوى كالنصوص بقرينة الشرط مختصّة بالسفر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ولكن ما في الحدائق</w:t>
      </w:r>
      <w:r>
        <w:rPr>
          <w:rStyle w:val="FootnoteAnchor"/>
          <w:rtl w:val="true"/>
        </w:rPr>
        <w:footnoteReference w:id="1365"/>
      </w:r>
      <w:r>
        <w:rPr>
          <w:rFonts w:ascii="Amiri" w:hAnsi="Amiri" w:eastAsia="Amiri" w:cs="Amiri"/>
          <w:color w:val="111111"/>
          <w:sz w:val="28"/>
          <w:sz w:val="28"/>
          <w:szCs w:val="28"/>
          <w:rtl w:val="true"/>
          <w:lang w:bidi="ar-SA"/>
        </w:rPr>
        <w:t>أيضاً منظور فيه حيث إنّه صرّح في الجمع بين</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الأخبار بكفاية مضيّ أربع سنين ولو قبل الرفع إلّا أنّه على الحاكم بعد الرفع الفحص بمقدار الاطمئنان بعدم وجدانه وبعدم العلم بحاله، وفحوى هذا الحكم والأخبار الدالّة عليه أنّ الصبر لابدّ وأن لا يكون زائداً على الأربع وأنّ الأربع موجب للحكم بالطلاق والاعتداد وأن يمكن فيه تحقّق الشرط مثل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فحوى الأخبار على حمله وجمعه مقتضية لكفاية الأربع مطلقاً حتّى فيما لا محلّ للشرط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الفحص إمّا فيه وإمّا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بالزوجة أو يشمل سائر أحكام الموت؟السادسة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مختصّ بالزوجة فلا يتعدّى إلى ميراثه ولا عتق أمّ ولده وقوفاً فيما خالف الأصل على مورده، فيتوقّف ميراثه وما يترتّب على موته من عتق أم الولد والمدبّر والوصيّة وغيرها إلى أن تمضي مدّة لا يعيش مثله إليها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الزوجة وغيرها مع ما اشتهر من أنّ الفروج مبنيّة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النصّ الدالّة على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الحاصل على المرأة بالصبر دون غيرها من الوراث ونحوهم، وأنّ للمرأة الخروج من النكاح بالجَبّ والعُنّة لفوات الاستمتاع وبالإعسار بالنفقة على قول لفوات المال، فلأن تخرجهاهنا وقد اجتمع الضرران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الحكم بموته أنّها لو صبرت بقيت الزوجيّة، فزوالها على تقدير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عدمه لدفع الضرر خاصّة، فيتقيّد بمورده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مقتضى الأصل واستصحاب حكم الزوجيّة وأصالة الحياة بعد ثبوتها هو توقّف جميع هذه الأُمور من خروج الزوجة عن الزوجيّة وقسمة الميراث وانعتاق أمّ الولد ونحو ذلك ما ذكره على العلم بالموت إلّا أنّه كما قد قام الدليل من روايات الباب على خروج الزوجة من هذا الأصل بمجرّد الفقد وإن لم يتحقّق موته فكذلك الميراث أيضاً بموثّقة سماعة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يحبس ماله على الورثة قدر ما يطلب في الأرض أربع سنين، فإن لم يقدر عليه قسّم ماله بين الورثة، فإن كان له ولد حبس المال وأنفق على ولده تلك الأربع سنين</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يتربصّ بماله أربع سنين ثمّ يقسّم</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وإن كانت مطلقة بالنسبة إلى طلبه مدّة الأربع، إلّاأنّه يجب حمل إطلاقها على ما تضمّنه الخبر الأوّل من الطلب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مال جملة من الأصحاب منهم الصدوق</w:t>
      </w:r>
      <w:r>
        <w:rPr>
          <w:rStyle w:val="FootnoteAnchor"/>
          <w:rtl w:val="true"/>
        </w:rPr>
        <w:footnoteReference w:id="1369"/>
      </w:r>
      <w:r>
        <w:rPr>
          <w:rFonts w:ascii="IRNazanin" w:hAnsi="IRNazanin" w:eastAsia="IRNazanin"/>
          <w:color w:val="111111"/>
          <w:sz w:val="28"/>
          <w:sz w:val="28"/>
          <w:szCs w:val="28"/>
          <w:rtl w:val="true"/>
          <w:lang w:bidi="fa-IR"/>
        </w:rPr>
        <w:t>والمرتضى</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وأبوالصلاح</w:t>
      </w:r>
      <w:r>
        <w:rPr>
          <w:rFonts w:eastAsia="IRNazanin" w:cs="IRNazanin"/>
          <w:color w:val="111111"/>
          <w:sz w:val="28"/>
          <w:szCs w:val="28"/>
          <w:rtl w:val="true"/>
          <w:lang w:bidi="fa-IR"/>
        </w:rPr>
        <w:t>.</w:t>
      </w:r>
      <w:r>
        <w:rPr>
          <w:rStyle w:val="FootnoteAnchor"/>
          <w:rtl w:val="true"/>
        </w:rPr>
        <w:footnoteReference w:id="1371"/>
      </w:r>
      <w:r>
        <w:rPr>
          <w:rFonts w:ascii="Amiri" w:hAnsi="Amiri" w:eastAsia="Amiri" w:cs="Amiri"/>
          <w:color w:val="111111"/>
          <w:sz w:val="28"/>
          <w:sz w:val="28"/>
          <w:szCs w:val="28"/>
          <w:rtl w:val="true"/>
          <w:lang w:bidi="ar-SA"/>
        </w:rPr>
        <w:t>واستوجهه في المسالك</w:t>
      </w:r>
      <w:r>
        <w:rPr>
          <w:rStyle w:val="FootnoteAnchor"/>
          <w:rtl w:val="true"/>
        </w:rPr>
        <w:footnoteReference w:id="1372"/>
      </w:r>
      <w:r>
        <w:rPr>
          <w:rFonts w:ascii="Amiri" w:hAnsi="Amiri" w:eastAsia="Amiri" w:cs="Amiri"/>
          <w:color w:val="111111"/>
          <w:sz w:val="28"/>
          <w:sz w:val="28"/>
          <w:szCs w:val="28"/>
          <w:rtl w:val="true"/>
          <w:lang w:bidi="ar-SA"/>
        </w:rPr>
        <w:t>أيضاً، إلّا أنّه اختار فيه القول المشهور، وهو أنّه ينتظر به مدّة لا يعيش إليها عادة، مع أنّه لا دليل عليه إلّا ما ذكرنا من الأصل الذي يجب الخروج عنه بالدليل، وهو هنا موجودٌ كما عرفت، وتؤيدّه أخبار الزوجة المذكورة؛ لأنّه متى جاز ذلك في الزوجة مع أنّ عصمة الفروج أشدّ وأهمّ في نظر الشارع فليجز في قسمة المال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في الفرق بين الزوجة والمال 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كما دل على حكم الزوجة فخرجت به عن حريم الأصل المذكور كذلك المال قد خرج بالموثّقتين المذكورتين، إلّا أنّ له أن يقول بردّ الموثّقتين المذكورتين لضعفهما عنده، وعدّه الموثّق في قسم الضعيف وترجيح الأصل عليهما، بناءً على تصلّبه في هذا الاصطلاح الذي هو إلى الفساد أقرب من الصلاح، وهو عندنا غير مسموع كما لا يخفى على من له إلى الإنصاف أدنى 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تكون الحكمة في الاعتداد بعد المدّة دفع الضرر من الزوجة فيجوز أن تكون الحكمة أيضاً في قسمة الميراث دفع الضرر عن الوارث بعين ما قاله في إعسار الزوج بالنفقة، وإن كان أحد الضررين أشدّ وأشدّيّة الضرر عليها دون الوارثمقابلة بمطلوبيّة العصمة في الفروج للشارع زيادة على الأموال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وبالجملة، فالأصل في ذلك هو النصّ، وهذه التوجيهات تصلح لأن تكون بياناً لوجه الحكمة فيه، لا عللاً مؤسّسة للحكم، وحيث كان النصّ فيما تدعيه موجوداً صحّ البناء عليه، ويبقى ما عدا مورد النصّ في هذين الموضعين على حكم حريم الأصل كما ذكروه</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ذكره من الرواية والدراية 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 الله عن الإسلام أجود الجزاء، لكنّه مع ذلك لم ينقل جميع أخبار المسألة، ففيها ما يستدلّ به على المحكيّ من الإسكافي</w:t>
      </w:r>
      <w:r>
        <w:rPr>
          <w:rStyle w:val="FootnoteAnchor"/>
          <w:rtl w:val="true"/>
        </w:rPr>
        <w:footnoteReference w:id="1374"/>
      </w:r>
      <w:r>
        <w:rPr>
          <w:rFonts w:ascii="IRNazanin" w:hAnsi="IRNazanin" w:eastAsia="IRNazanin"/>
          <w:color w:val="111111"/>
          <w:sz w:val="28"/>
          <w:sz w:val="28"/>
          <w:szCs w:val="28"/>
          <w:rtl w:val="true"/>
          <w:lang w:bidi="fa-IR"/>
        </w:rPr>
        <w:t>من شرطيّة انقضاء عشر سنة في تقسيم أمواله على الورثة، كصحيح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كانت لامرأة وكان لها ابن وابنة، فغاب الابن بالبحر وماتت المرأة فادّعت ابنتها أنّ أُمّها كانت صيّرت هذه الدار لها وباعت أشقاصاً منها وبقيت في الدار قطعة إلى جنب دار رجل من أصحابنا وهو يكره أن يشتريها لغيبة الابن، وما يتخوّف أن لا يحلّ شراؤها وليس يعرف للابن خبر؟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ومنذ كم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سنين كثيرة،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ينتظر به غيبة عشر سنين ثمّ يشترى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انتظر به غيبة عشر سنين يحلّ شراؤها؟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يستدلّ به على ذلك مقيّد بملاءة الورثة، كموثّق إسحاق بن عمّار،</w:t>
      </w:r>
      <w:r>
        <w:rPr>
          <w:rStyle w:val="FootnoteAnchor"/>
          <w:rtl w:val="true"/>
        </w:rPr>
        <w:footnoteReference w:id="1376"/>
      </w:r>
      <w:r>
        <w:rPr>
          <w:rFonts w:ascii="Amiri" w:hAnsi="Amiri" w:eastAsia="Amiri" w:cs="Amiri"/>
          <w:color w:val="111111"/>
          <w:sz w:val="28"/>
          <w:sz w:val="28"/>
          <w:szCs w:val="28"/>
          <w:rtl w:val="true"/>
          <w:lang w:bidi="ar-SA"/>
        </w:rPr>
        <w:t>فإنّه وإن كان مطلقاً، لكنّه يقيّد بما في الصحيح جمعاً</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مع ما في الجواهر من إعراض المشهور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وإجمال البحث أنّ الموثّقتين مع معارضتهما بالصحيح والموثّق الآخر مورد لإعراض المشهور فالاعتماد عليهما والفتوى بهما مشكلٌ، لا سيّما في مثل المسألة المخالفة للأُصول، وتفصيل البحث في محلّه في كتاب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بالدائمة أو يشمل المنقطعة أيضاً؟السابعة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بالدائمة أو هو أعمّ منها ومن المنقطعة؟ ففي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اختصاص الحكم بالدائمة دون المتمتّع بها، لإشعار الأمر بالطلاق والإنفاق في ذلك</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الحقّ عموم الحكم، لإلغاء الخصوصيّة وتنقيح المناط؛ لأنّ المستفاد من الروايات عرفاً كون المناط في الحكم تسهيل الأمر عليها والإرفاق بها، وهو موجود فيهما والإشعار مع أنّه ليس بظهور أنّ الأمر بالطلاق والإنفاق لعلّه للغلبة، بل هو المتفاهم عرفاً وعلى الظهور فليس بأزيد من القصور غير المنافي للعموم الثابت بالفحوى والإلغاء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فالحاكم حينئذٍ يهب المدّة وتعتدّ عدّة الوفاة على الأحوط، بل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أنفق عليها الوليّ أو الحاكم من مال الغائب في المدّة ثمّ انكشف موته قبل ذلك فهل على المرأة أو المنفق ضمان أم لا؟ ففيالمسالك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أنفق عليها الوليّ أو الحاكم من ماله ثمّ تبيّن تقدّم موته على زمن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الإنفاق أو بعضه فلا ضمان عليها ولا على المنفق، للأمر به شرعاً، ولأنّها محبوسة لأجله، وقد كانت زوجته ظاهراً، والحكم مبنيّ على الظاهر</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وردّه الجواهر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ذلك كلّه لا ينافي قواعد الضمان بالإتلاف واليد ونحوهما، والظاهر بعد ظهور الحال لا يدفع الضمان، كما في الوكيل الذي قد بان انعزاله بموت الموكّل مثلاً، إذ المسألة ليست من خواصّ المقام، والدفع بعنوان النفقة يوجب الضمان بعد ظهور عدم استحقاقها، كما هو واضح</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التحقيق هو ما في المسالك، حيث إنّ اليد أمانيّة لا ضمان عليها وما على الأمين إلّا اليمين وأنّ قاعدة الإتلاف مختصّة بغير المأذون فيه كإتلاف الغاصب وإفساد شاهد الزور، وأمّا المأذون فيه كالولِىّ الذي يأكل من مال اليتيم على المعروف ويصرفه في معيشته أو في معيشة اليتيم فغير شاملة له ولا ضمان فيه قطعاً؛ لعدم صدق الإفساد الذي هو المناط والموضوع في أدلّة القاعدة وكلّ من الوليّ والحاكم كانا مأذونين في التصرّف وكانا وليّين للغائب فكيف عليهما الضمان، وأمّا الزوجة، فغير ضامنة لأقوائيّة السبب عن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مع أنّهما كانا محسنين وعاملين بالوظيفة المأمور بها شرعاًوما على المحسنين من سبيل، بل جعل الضمان على المأمور به بالأمر الواجب غير صادر من الحكيم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كالتكليف بالمحال والظاهر أنّ ما في المسالك</w:t>
      </w:r>
      <w:r>
        <w:rPr>
          <w:rStyle w:val="FootnoteAnchor"/>
          <w:rtl w:val="true"/>
        </w:rPr>
        <w:footnoteReference w:id="1380"/>
      </w:r>
      <w:r>
        <w:rPr>
          <w:rFonts w:ascii="IRNazanin" w:hAnsi="IRNazanin" w:eastAsia="IRNazanin"/>
          <w:color w:val="111111"/>
          <w:sz w:val="28"/>
          <w:sz w:val="28"/>
          <w:szCs w:val="28"/>
          <w:rtl w:val="true"/>
          <w:lang w:bidi="fa-IR"/>
        </w:rPr>
        <w:t>راجع إلى</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للفحص والطلب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ما يعدّ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ذكره كلّه أو إلى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واغتنم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مهامّ المسألة، وأمّا غيرها من المسائل والفروع فحالها تظهر من الرجوع إلى المتن وإلى الكتب الأُخرى</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كيفيّة خاصّة في الفحص والطلب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قضاءً لإطلاق الأخبار وعدم التقييد فيها بوجهٍ خاصّ من الأخبار، ففي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فيطلب في الأرض، فإن لم يوجد له خبر حتّى تمضي الأربع سنين</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وليس فيها إلّا الدلالة على أصل الفحص والطلب من الحاكم على نحو الإطلاق من دون التقييد بكيفيّة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وإن كانت مطلقة، لكن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الوالي يبعث أو يكتب إلى الناحية التي هو غائب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وكذا في صحيح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الوالي يكتب إلى الصقع الذي فقد فيه</w:t>
      </w:r>
      <w:r>
        <w:rPr>
          <w:rFonts w:eastAsia="Amiri" w:cs="Amiri" w:ascii="Amiri" w:hAnsi="Amiri"/>
          <w:color w:val="111111"/>
          <w:sz w:val="28"/>
          <w:szCs w:val="28"/>
          <w:rtl w:val="true"/>
          <w:lang w:bidi="ar-SA"/>
        </w:rPr>
        <w:t>».</w:t>
      </w:r>
      <w:r>
        <w:rPr>
          <w:rStyle w:val="FootnoteAnchor"/>
          <w:rtl w:val="true"/>
        </w:rPr>
        <w:footnoteReference w:id="1384"/>
      </w:r>
      <w:r>
        <w:rPr>
          <w:rFonts w:ascii="Amiri" w:hAnsi="Amiri" w:eastAsia="Amiri" w:cs="Amiri"/>
          <w:color w:val="111111"/>
          <w:sz w:val="28"/>
          <w:sz w:val="28"/>
          <w:szCs w:val="28"/>
          <w:rtl w:val="true"/>
          <w:lang w:bidi="ar-SA"/>
        </w:rPr>
        <w:t>فبالصحيحين الدالّين على اعتبار كيفيّة خاصّة في الطلب والفحص يحصل التقييد في مثل الموثّقة</w:t>
      </w:r>
      <w:r>
        <w:rPr>
          <w:rFonts w:eastAsia="Amiri" w:cs="Amiri" w:ascii="Amiri" w:hAnsi="Amiri"/>
          <w:color w:val="111111"/>
          <w:sz w:val="28"/>
          <w:szCs w:val="28"/>
          <w:rtl w:val="true"/>
          <w:lang w:bidi="ar-SA"/>
        </w:rPr>
        <w:t xml:space="preserve">.)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طلباً وفحصاً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ببعث من يعرف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باسمه وشخصه أو بحليته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مظانّ وجوده للظفر به وبالكتابة وغيرها كالتلغراف وسائر الوسائل المتداولة في كلّ عصر ليتفقّد عنه، وبالالتماس من المسافرين كالزوّار والحجّاج والتجّار وغيرهم بأن يتفقّدوا عنه في مسيرهم ومنازلهم ومقامهم، وبالاستخبار منهم حين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المبعوث والمكتوب إليه والمستخبر منهم من المسافرين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 الوثاقة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الصحيحين ليسا بصدد بيان كيفيّة خاصّة في الفحص والطلب وإنّما ذكر البعث والكتابة فيهما لأجل كونهما الطريق المتعارف في هذه الأزمنة، فهذه الخصوصيّة اقتضت تخصيصها بالذكر لا أنّ لهما الموضوعيّة في الطلب والفحص، فالمدار، كما قال في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التجسّس عنه في الوجه الذي نفذ فيه ليعلم حاله</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يتحقّق الموضوع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الأمثلة بيان للمصاديق العرفيّة لا بيان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العدالة في المبعوث</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لبناء العقلاء في العمل بالخبر، فإنّ خبر الثقة عندهم حجّة، ومن الواضح أنّ الباب ليس باب الشهادة المعتبرة فيها العدد والعدالة بلالباب باب النبأ والخبر، بل لا يخفى كفاية الوثوق بالخبر الذي هو المناط عند العقلاء في اعتبار</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الوثاقة في المخبر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الرسول العدالة ليركن إلى خبره حيث لا يظهر ولا يشترط التعدّد؛ لأنّ ذلك من باب الخبر لا الشهادة وإلّا لم تسمع، لأنّها شهادة على النفي، ومثل هذا البحث لا يكون حصراً للنفي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مجوّز للشهادة وإنّما هو استعلام وتفحصّ عنه ممّن يكون معرفته له عادة لا استقصاء كلّي</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وردّه صاحب الجواهر بقوله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ذلك إذا كان استعلاماً وتفحصّاً فلا مدخليّة للعدالة فيه أيضاً، ضرورة كونه كغيره ممّا يبحث عنه ويفحص، وقد سمعت ما في موثّق سماعة من اعتبار عدم علمها من الأرض وعدم إتيان كتاب منه، ولا خبر في رفع أمرها إلى الحاكم، كما أنّك سمعت اعتبار عدم وجدان الحاكم أثراً له في الفعل المزبور، بل قد عرفت تضمّنها الاعتماد على الكتابة التي هي ليس طريقاً شرعيّاً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مدخليّة للعدالة في المقام والله العالم</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وكيف كان، فالمستفاد من المسالك والجواهر اتّفاقهما على أنّ المورد من باب الخبر فيعتبر فيه ما اعتبر في الخبر فكلّ على مبناه من اعتبارالعدالة أو الوثاقة في الخبر الناشئ من دليله على الاعتبار من آية النبأ </w:t>
      </w:r>
      <w:r>
        <w:rPr>
          <w:rStyle w:val="FootnoteAnchor"/>
          <w:rtl w:val="true"/>
        </w:rPr>
        <w:footnoteReference w:id="1388"/>
      </w:r>
      <w:r>
        <w:rPr>
          <w:rFonts w:ascii="Amiri" w:hAnsi="Amiri" w:eastAsia="Amiri" w:cs="Amiri"/>
          <w:color w:val="111111"/>
          <w:sz w:val="28"/>
          <w:sz w:val="28"/>
          <w:szCs w:val="28"/>
          <w:rtl w:val="true"/>
          <w:lang w:bidi="ar-SA"/>
        </w:rPr>
        <w:t>والروايات ومن سيرة العقلاء</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أن يكون الفحص بالبعث أو الكتابة ونحوها من الحاكم، بل يكفي من كلّ أحد حتّى نفس الزوجة إذا كان بأمره بعد رفع الأمر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وليس للاستعلام خصوصيّة، بل هو المنشأ للخبر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الفحص من جانب الحاكم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الاكتفاء بالفحص من كلّ أحد ولو من الزوجة؛ قضاءً للإطلاق والفحوى، وأمّا اعتباركونه بأمره وبعد الرفع إليه وعدم كفاية مطلق الفحص من دون الأمر والرفع، فمع كونه أحوط أنّه المورد للنصوص فإنّها بين صريح وظاهر في مدخليّة الوالي في ذلك، وإن أبيت عن الدلالة على المدخليّة فلا أقلّ من عدم الدليل مع عدم الرفع فلابدّ من الاقتصار على مورد النصّ لكون الحكم على خلاف القواعد والضوابط، وما في خبر السكوني،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امرأته حتّى يبلغها موته أو طلاق أو لحوق بأهل الشرك</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وفي خبر أبي الصباح،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غاب عنها زوجها أربع سنين، ولم ينفق عليها ولم تدر أ حيّ هو، أم ميّت؟ أ يجبر وليّه على أن يطلّقها؟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وإن لم يكن له وليّ طلّقها السلطان </w:t>
      </w:r>
      <w:r>
        <w:rPr>
          <w:rFonts w:eastAsia="IRNazanin" w:cs="IRNazanin"/>
          <w:color w:val="111111"/>
          <w:sz w:val="28"/>
          <w:szCs w:val="28"/>
          <w:rtl w:val="true"/>
          <w:lang w:bidi="fa-IR"/>
        </w:rPr>
        <w:t>...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في مقام البيان لذلك بل الأوّل في مقام بيان المجوّزلتزوّجها من الموت أو الطلاق أو اللحوق بأهل الشرك لا في مقام بيان خصوصيّات تلك الأُمور، والثاني في مقام جواز إجبار الوليّ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الجابر الحاكم والوالي وليس فيه دلالة على كيفيّة جبره من اشتراطه بأمره بالفحص</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الفحص بحسب الزمان أربعة أعوام، ولا يعتبر فيه الاتّصال التامّ، بل هو على الظاهر نظير تعريف اللقطة سنة كاملة يكفي فيه ما يصدق عرفاً أنّه قد تفحّص عنه في تلك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اللازم من الفحص هو المتعارف لأمثال ذلك وما هو المعتاد، فلا يعتبر استقصاء الممالك والبلاد، ولا يعتنى بمجرّد إمكان وصوله إلى مكان ولا بالاحتمالات البعيدة، بل إنّما يتفحّص عنه في مظانّ وجوده فيه ووصوله إليه وما احتمل فيه احتمالاً قريباً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المعلوم الاختلاف في الصدق وفي اختلاف التوالي وعدمه في فحص السنة واليوم فالفحص في مثل العام غير الفحص في مثل يوم واحد، فالمعيار ما يعدّه العرف الفحص أربعة أعوام، وإن لم يكن فيه الاتّصال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اللازم في الفحص</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الاختفاء والافتقاد يختلف باختلاف الأفراد والموارد وبتبعه يختلف الفحص عنه، فإنّ مظانّ وجود من خفي عن شخص في دين ونحوه غير مظانّ من خفي عن دولة في ذنب سياسي مثل التجسّس لمصالح الأجنبيّ وكذا فرق بين مظانّ خفاء الأفراد ذوي المروّة والشرف وبين غيرهم، فالمقدار اللازم من الفحص هو المتعارف لأمثال هؤلاء الأفراد في مثل هذه الموارد وأمّا الزائد عليه فغير لازم إمّا لعدم صدق الفحصعلى غير المتعارف من رأس حيث إنّ الألفاظ العرفيّة صادقة على المتعارف من مصاديقها دون غيره أو للانصراف عنه على تسليم الصدق</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قد كان في بلد معيّن في زمان ثمّ انقطع أثره يتفحّص عنه أوّلاً في ذلك البلد على المعتاد، فيكفي التفقّد عنه في جوامعه ومجامعه وأسواقه ومتنزّهاته ومستشفياته وخاناته المعدّة لنزول الغرباء ونحوها، ولا يلزم استقصاء تلك المحالّ بالتفتيش أو السؤال، بل يكفي الاكتفاء بما هو المعتدّ به من مشتهراتها، وينبغي ملاحظة زيّ المفقود وصنعته وحرفته، فيتفقّد عنه في المحالّ المناسبة له ويسأل عنه من أبناء صنفه وحرفته مثلاً، فإذا تمّ الفحص في ذلك البلد ولم يظهر منه أثر ولم يعلم موته ولا حياته فإن لم يحتمل انتقاله إلى محلّ آخر بقرائن الأحوال سقط الفحص والسؤال، واكتفي بانقضاء مدّة التربّص أربع سنين، وإن احتمل الانتقال، فإن تساوت الجهات فيه تفحّص عنه في تلك الجهات، ولا يلزم الاستقصاء التامّ، بل يكفي الاكتفاء ببعض المحالّ المهمّة والمشتركة في كلّ جهة مراعياً للأقرب ثمّ الأقرب إلى البلد الأوّل، وإن كان الاحتمال في بعضها أقوى جاز جعل محلّ الفحص ذلك البعض والاكتفاء به، خصوصاً إذا بعُد احتمال انتقاله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أنّه قد كان في مملكة أو سافر إليها ثمّ انقطع أثره كفى أن يتفحّص عنه مدّة التربّص في بلادها المشهورة التي تشدّ إليها الرحال، وإن سافر إلى بلد معيّن من مملكة كالعراقي سافر إلى خراسان يكفي الفحص في البلاد والمنازل الواقعة في طريقه إلى ذلك البلد وفي نفس ذلك البلد، ولا ينظر إلى الأماكن البعيدة عن الطريق، فضلاً عن البلاد الواقعة في أطراف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من منزله مريداً للسفر أو هرب ولا يدري إلى أين توجّه وانقطع أثره، تفحّص عنه مدّة التربّص في الأطراف والجوانب ممّا يحتمل قريباً وصوله إليه، ولا ينظر إلى ما بعد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الأحوط أن يكون الفحص والطلاق بعد رفع أمرها إلى الحاكم، فلو لم يمكن الوصول إليه، فإن كان له وكيل ومأذون في التصدّي للأُمور الحسبيّة فلا يبعد قيامه مقامه في هذا الأمر، ومع فقده أيضاً فقيام عدول</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مقامه محلّ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الفحص لا ينفع ولا يترتّب عليه أثر، فالظاهر سقوط وجوبه، وكذا لو حصل اليأس من الاطّلاع عليه في أثناء المدّة، فيكفي مضيّ المدّة في جواز الطلاق والزواج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اختيار البقاء على الزوجيّة بعد رفع الأمر إلى الحاكم قبل أن تطلّق ولو بعد الفحص وانقضاء الأجل، ولها أن تعدل عن اختيار البقاء إلى اختيار الطلاق، وحينئذٍ لا يلزم تجديد ضرب الأجل والفحص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العدّة الواقعة بعد الطلاق عدّة طلاق وإن كانت بقدر عدّة الوفاة، ويكون الطلاق رجعيّاً، فتستحقّ النفقة في أيّامها وإن ماتت فيها يرثها لو كان في الواقع حيّاً، وإن تبيّن موته فيها ترثه، وليس عليها حداد بعد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موته قبل انقضاء المدّة أو بعده قبل الطلاق وجب عليها عدّة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الأدلّة قامت على اشتراطه برفع الأمر إلى الحاكم الشرعي فمع تعذّر الوصول إليه وإلى وكيله المأذون في الأُمور الحسبيّة يقع الشكّ في أنّ نظره دخيل فيه مطلقاً أو مع إمكان الوصول إليه؟ ومع الشكّ كان الحكم بقيام عدول المؤمنين مقامه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الفحص أن لا يترتّب عليه أثر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فيهما هو الأصل؛ لعدم الموضوعيّة للفحصوالطلب وهو إنّما يكون طريقاً للعلم بحال الزوج من الحياة والممات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واضح</w:t>
      </w:r>
      <w:r>
        <w:rPr>
          <w:rFonts w:eastAsia="IRNazanin" w:cs="IRNazanin"/>
          <w:color w:val="111111"/>
          <w:sz w:val="28"/>
          <w:szCs w:val="28"/>
          <w:rtl w:val="true"/>
          <w:lang w:bidi="fa-IR"/>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تبيّن بعد انقضاء العدّة اكتفي بها؛ سواء كان التبيّن قبل التزويج أو بعده، وسواء كان موته المتبيّن وقع قبل المدّه أو بعدها أو في أثنائها أو بعد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لو تبيّن موته في أثناء العدّة فهل يكتفى بإتمامها أو تستأنف عدّة الوفاة من حين التبيّن؟ وجهان بل قولان أحوطهما الثاني لو لم يكن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الزوج بعد الفحص وانقضاء الأجل، فإن كان قبل الطلاق فهي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ما تزوّجت بالغير فلا سبيل 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العدّة عدّة الطلاق كما مرّ، فلافرق في انقضائها بين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موته قبل انقضاء المدّة أو بعده أو في أثناءها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إطلاق الروايات الدالّة على أنّ عدّة المفقود عنها زوجها أربعة أشهر وعشراً ووجه الثاني إطلاق أخبار المتوفّى عنها زوجها وأنّ ما مضى من العدّة كانت عدّة 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فإن وقع موت الزوج أثناء العدّة فلا يبعد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استئناف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وقع قبل ذلك ثمّ تبين في أثناء العدّة،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عدّة المتوفّى عنها زوجها من يوم موته لا من حين بلوغ الخبر 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إتمام عدّة المفقود عنها زوجها ولا استئنافها بل يكفي الاعتداد من يوم موت الزوج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الزوج بعد الفحص وانقضاء الأجل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الطلاق الرافع للزوجيّة، فلابدّ إلّا من بقائها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النصوص ولكونها مطلّقة مزوّجة والطلاق وإن لم يكن عن الزوج</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في أثناء العدّة فله الرجوع إليها كما أنّ له إبقاءها على حالها حتّى تنقضي عدّتها وتبين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بعد انقضاء العدّة وقبل التزويج ففي جواز رجوعها إليها وعدمه قولان؛ أقواهما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لكنّه من الوليّ للغائب وهو الحاكم فيكون كالطلاق من الزوج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على أنّها بحكم العدّة الرجعيّة وإن كانت بقدر عدّة الوفاة، ففي صحيح بريد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زوجها قبل أن تنقضي عدّتها من يوم طلّقها الوليّ فبدأ له أن يراجعها فهي امرأته</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قدم زوجها بعد ما تنقضي عدّتها فليس له عليها رجعة، وإن قدم وهي في عدّتها أربعة أشهر وعشراً فهو أملك برجعتها</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لإطلاق الموثّقة الصريحة في عدم جواز الرجوع بعد الانقضاء، وصحيحة بريد الظاهرة في ذلك بالمفهوم، فإنّهما مطلقتان شاملتان لما قبل التزويج بالغير وبعده، وما في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خرجت من العدّة ولم تتزوّج، فيه روايتان، أشهرهما أنّه لا سبيل له عليها</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ففي الجواهر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نقف على رواية الرجوع فيما وصل إلينا كما اعترف به غير واحد ممّن سبقنا، بل في المسالك لم نقف عليها بعد التتّبع التامّ، وكذا قال جماعة ممّن سبقنا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صريح النصوص السابقة أنّه لا سبيل له عليها حتّى موثّق</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لزوجة الغائب بسبب القرائن وتراكم الأمارات العلم بموته جاز لها بينها وبين الله أن تتزوّج بعد العدّة من دون حاجة إلى مراجعة الحاكم</w:t>
      </w:r>
      <w:r>
        <w:rPr>
          <w:rStyle w:val="FootnoteAnchor"/>
          <w:rtl w:val="true"/>
        </w:rPr>
        <w:footnoteReference w:id="1394"/>
      </w:r>
      <w:r>
        <w:rPr>
          <w:rFonts w:ascii="Amiri" w:hAnsi="Amiri" w:eastAsia="Amiri" w:cs="Amiri"/>
          <w:color w:val="111111"/>
          <w:sz w:val="28"/>
          <w:sz w:val="28"/>
          <w:szCs w:val="28"/>
          <w:rtl w:val="true"/>
          <w:lang w:bidi="ar-SA"/>
        </w:rPr>
        <w:t>وليس لاحدٍ عليها اعتراض ما لم يعلم كذبها في دعوى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جواز الاكتفاء بقولها واعتقادها لمن أراد تزويجها، وكذا لمن يصير وكيلاً عنها في إيقاع العقد عليها إشكال، والأحوط لها أن تتزوّج ممّن لم يطّلع بالحال ولم يدر أن زوجها قد فقد ولم يكن في البين إلّا دعواها بأنّ زوجها مات،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سماعة الذي لم يذكر فيه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يعلم ما في تفصيل الفاضل في المختلف</w:t>
      </w:r>
      <w:r>
        <w:rPr>
          <w:rStyle w:val="FootnoteAnchor"/>
          <w:rtl w:val="true"/>
        </w:rPr>
        <w:footnoteReference w:id="1395"/>
      </w:r>
      <w:r>
        <w:rPr>
          <w:rFonts w:ascii="Amiri" w:hAnsi="Amiri" w:eastAsia="Amiri" w:cs="Amiri"/>
          <w:color w:val="111111"/>
          <w:sz w:val="28"/>
          <w:sz w:val="28"/>
          <w:szCs w:val="28"/>
          <w:rtl w:val="true"/>
          <w:lang w:bidi="ar-SA"/>
        </w:rPr>
        <w:t xml:space="preserve">بأنّ العدّة إن كانت بعد طلاق الوليّ فلاسبيل للزوج عليها وإن كانت بأمر الحاكم من غير طلاق كان أملك بها؛ وذلك لأنّ الأوّل طلاق شرعي قد انقضت عدّته، بخلاف الثانى، فإنّ أمرها بالاعتداد كان مبنيّاً على الظنّ بوفاته وقد ظهر بطلانه، فلا أثر لتلك العدّة، والزوجيّة باقية لبطلان الحكم بالوفاة، مضافاً إلى اقتضاء ذلك أولويّته بها،حتّى لو تزوجت، وقد عرفت الإجماع على خلافه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قد حكم به ظاهراً، فلا يلتفت إلى العقد الأوّل، بخلاف ما لوكان قبل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اتّحاد حكم الشارع بالتزويج وحكمه بالعدّة بالنفوذ</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يقدم على تزويجها مستنداً إلى دعواها أنّها خليّة بلا مانع، وكذا توكّل من كان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فما عن الشيخ في النهاية</w:t>
      </w:r>
      <w:r>
        <w:rPr>
          <w:rStyle w:val="FootnoteAnchor"/>
          <w:rtl w:val="true"/>
        </w:rPr>
        <w:footnoteReference w:id="1396"/>
      </w:r>
      <w:r>
        <w:rPr>
          <w:rFonts w:ascii="IRNazanin" w:hAnsi="IRNazanin" w:eastAsia="IRNazanin"/>
          <w:color w:val="111111"/>
          <w:sz w:val="28"/>
          <w:sz w:val="28"/>
          <w:szCs w:val="28"/>
          <w:rtl w:val="true"/>
          <w:lang w:bidi="fa-IR"/>
        </w:rPr>
        <w:t>والخلاف</w:t>
      </w:r>
      <w:r>
        <w:rPr>
          <w:rStyle w:val="FootnoteAnchor"/>
          <w:rtl w:val="true"/>
        </w:rPr>
        <w:footnoteReference w:id="1397"/>
      </w:r>
      <w:r>
        <w:rPr>
          <w:rFonts w:ascii="Amiri" w:hAnsi="Amiri" w:eastAsia="Amiri" w:cs="Amiri"/>
          <w:color w:val="111111"/>
          <w:sz w:val="28"/>
          <w:sz w:val="28"/>
          <w:szCs w:val="28"/>
          <w:rtl w:val="true"/>
          <w:lang w:bidi="ar-SA"/>
        </w:rPr>
        <w:t>وفخر المحقّقين</w:t>
      </w:r>
      <w:r>
        <w:rPr>
          <w:rStyle w:val="FootnoteAnchor"/>
          <w:rtl w:val="true"/>
        </w:rPr>
        <w:footnoteReference w:id="1398"/>
      </w:r>
      <w:r>
        <w:rPr>
          <w:rFonts w:ascii="Amiri" w:hAnsi="Amiri" w:eastAsia="Amiri" w:cs="Amiri"/>
          <w:color w:val="111111"/>
          <w:sz w:val="28"/>
          <w:sz w:val="28"/>
          <w:szCs w:val="28"/>
          <w:rtl w:val="true"/>
          <w:lang w:bidi="ar-SA"/>
        </w:rPr>
        <w:t>واضح الضعف، بل هو كالاجتهاد في مقابلة النصّ، والله العالم</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تكلّمنا حول أُصول البحث في هذه المسائل كلّها فيما مرّمنّا</w:t>
      </w:r>
      <w:r>
        <w:rPr>
          <w:rStyle w:val="FootnoteAnchor"/>
          <w:rtl w:val="true"/>
        </w:rPr>
        <w:footnoteReference w:id="1400"/>
      </w:r>
      <w:r>
        <w:rPr>
          <w:rFonts w:ascii="Amiri" w:hAnsi="Amiri" w:eastAsia="Amiri" w:cs="Amiri"/>
          <w:color w:val="111111"/>
          <w:sz w:val="28"/>
          <w:sz w:val="28"/>
          <w:szCs w:val="28"/>
          <w:rtl w:val="true"/>
          <w:lang w:bidi="ar-SA"/>
        </w:rPr>
        <w:t>تفصيلاً، ولا نعيده</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عدّة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اشارةوالمراد به وطء الأجنبيّة بشبهة أنّها حليلته؛ إمّا لشبهة في الموضوع، كما لو وطئ مرأة باعتقاد أنّها زوجته أو لشبهة في الحكم، كما إذا عقد على أُخت الموطوء معتقداً صحّته ودخل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المراد به وطء الشبهة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تفصيل لموارد الوطء بالشبهة ولا بحث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يقع البحث في تعريفه حيث إنّه عرّف تارة بأنّه ما لم يكن زناءً بلا قيد وأُخرى مع إضافة عدم إيجابه الحدّ، والأجود بل المتعيّن الأوّل؛ لعدم الانعكاس في الثاني، لشموله الزنا عن إكراه على تسلم تحقّق الإكراه فيه، فإنّه زناً لا حدّ فيه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المعلوم عدم كونه محكوماً بالشبهة من حيث العدّة وغيرها من الأحكام، بل عدم العدّة مستفاد من حديث الرفع أيضاً على العموميّة كما لا يخفى، فتعريف الثاني غير مانع منه دون الأوّل؛ حيث إنّ الزنا عن إكراهٍ زناءً قطعاً، لكنّ الأمر في التعاريف من حيث الاطّراد وعدم الانعكاسسهلٌ؛ لأنّها كاللفظيّة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المزنيّ بها؛ سواء حملت من الزنا أم لا،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العدّة على المزنيّ بها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للأصل ولانصراف الإطلاقات عن الزنا، فإنّ ما يدلّ على أنّ العدّة من الماء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أو الدخول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العدّة</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والمهر والعدّة</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منصرفة عن الزنا؛ لأنّها راجعة إلى الوطء المتعارف المشروع لا غير المشروع منه، مع أنّ بعض هذه الإطلاقات ورد في الزواج فغير شامل للزنا موضوعاً، فراجع إن شئت، ولا فرق فيه بين الحامل والحائل كما هو مقتضى الأصل، أمّا الحامل، فلا خلاف في عدم العدّة عليها وأمّا الحائل، ففي الحدائق</w:t>
      </w:r>
      <w:r>
        <w:rPr>
          <w:rStyle w:val="FootnoteAnchor"/>
          <w:rtl w:val="true"/>
        </w:rPr>
        <w:footnoteReference w:id="1404"/>
      </w:r>
      <w:r>
        <w:rPr>
          <w:rFonts w:ascii="Amiri" w:hAnsi="Amiri" w:eastAsia="Amiri" w:cs="Amiri"/>
          <w:color w:val="111111"/>
          <w:sz w:val="28"/>
          <w:sz w:val="28"/>
          <w:szCs w:val="28"/>
          <w:rtl w:val="true"/>
          <w:lang w:bidi="ar-SA"/>
        </w:rPr>
        <w:t>وعن تحرير العلّامة</w:t>
      </w:r>
      <w:r>
        <w:rPr>
          <w:rStyle w:val="FootnoteAnchor"/>
          <w:rtl w:val="true"/>
        </w:rPr>
        <w:footnoteReference w:id="1405"/>
      </w:r>
      <w:r>
        <w:rPr>
          <w:rFonts w:ascii="Amiri" w:hAnsi="Amiri" w:eastAsia="Amiri" w:cs="Amiri"/>
          <w:color w:val="111111"/>
          <w:sz w:val="28"/>
          <w:sz w:val="28"/>
          <w:szCs w:val="28"/>
          <w:rtl w:val="true"/>
          <w:lang w:bidi="ar-SA"/>
        </w:rPr>
        <w:t xml:space="preserve">وجوب الاعتداد عليها بل ظاهر الوسائل في عنوانه الباب المنعقد لحكم عدّة الزانية وجوبه عليها مطلقاً،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العدّة على الزانية إذا أرادت أن تتزوّج الزاني أو غيره</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واستدلّ صاحب الحدائق بخبر إسحاق بن جرير،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يفجر بالمرأة ثمّ يبدو له في تزويجها، هل يحلّ له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هو اجتنبها حتّى تنقضي عدّتها باستبراء رحمها من ماء الفجور فله أن يتزوّجها،</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يجوز له تزويجها بعد أن يقف على توبتها</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وبخبر تحف العقول، عن أبي جعفر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نكح امرأة على زنا، أ يحلّ له أن يتزوّجها؟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يدعها حتّى يستبرئها من نطفته ونطفة غيره، إذ لا يؤمن منها أن تكون قد أحدثت مع غيره حدثاً كما أحدثت معه، ثمّ يتزوّج بها إن أراد فإنّما مثلها مثل نخلة أكل رجل منها حراماً ثمّ اشتراها فأكل منها حلالاً</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ما في الاستدلال بهما؛ لأنّهما يوجبان العدّة في غير محلّ الفرض الذي لا عدّة فيه إجماعاً، فإنّ الروايتين تقتضيان العدّة على المزنيّ بها للزاني والعدّة إنّما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حكم بها مثل الطلاق والفسخ وسائر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الزوج والواطي، فإنّ الزوج المطلّق يجوزله تزويج زوجته المختلعة في أثناء العدّة ويجوز للفاسخ التزوّج في عدّة فسخه، وكذا في المتعة يجوزله تزويج المتمتّع بها في عدّة نفسه بعد انتهاء المدّة أو هبتها، فالعدّة إنّما جعلت للغير في نكاحه للمعتدّة لا لنفس الزوج في المعتدّة عنه والزواج بعد الزنا ليس بأولى من الزواج في عدّة الطلاق والفسخ والمتعة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أنّ الروايتين ليستا بصدد بيان العدّة المعهودة بل ليس بأزيد من التكليف بالانتظار إلى استبراء الرحم؛ سواء كان تحريميّاً أوتنزيهيّاً إن لم يكن إرشاداً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الموطوءة شبهة فعليها عدّة؛ سواء كانت ذات بعل أو خليّة، وسواء</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العدّة وهي عدم اختلاط المياه موجودة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حكمة لاعلّة، 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اختلاط المياه بالنسبة إلى الزوج نفسه غير معقول والرواية الأُولى أيضاً ظاهرة في الاعتداد باستبراء رحمها من ماء فجور الزاني نفسه، فالرواية الثانية وإن كانت ظاهرة في الاستبراء من نطفته ونطفة غيره ولكن علّله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يؤمن منها أن تكون قد أحدثت مع غيره حدثاً كما أحدثت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التعليل دالّ على احتمال ماء الغير في الرحم ولكنّ الأصل عدمه ما لم يقم عليه حجّة، فالعدّة إن كانت، إنّما تكون للزاني نفسه ومعه لا يعقل اختلاط المياه، مضافاً إلى ضعف سند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الأُولى، وإن كانت بطريق الكليني مرسلة،</w:t>
      </w:r>
      <w:r>
        <w:rPr>
          <w:rStyle w:val="FootnoteAnchor"/>
          <w:rtl w:val="true"/>
        </w:rPr>
        <w:footnoteReference w:id="1409"/>
      </w:r>
      <w:r>
        <w:rPr>
          <w:rFonts w:ascii="Amiri" w:hAnsi="Amiri" w:eastAsia="Amiri" w:cs="Amiri"/>
          <w:color w:val="111111"/>
          <w:sz w:val="28"/>
          <w:sz w:val="28"/>
          <w:szCs w:val="28"/>
          <w:rtl w:val="true"/>
          <w:lang w:bidi="ar-SA"/>
        </w:rPr>
        <w:t>ولكنّها صحيحة بطريق الشيخ</w:t>
      </w:r>
      <w:r>
        <w:rPr>
          <w:rStyle w:val="FootnoteAnchor"/>
          <w:rtl w:val="true"/>
        </w:rPr>
        <w:footnoteReference w:id="1410"/>
      </w:r>
      <w:r>
        <w:rPr>
          <w:rFonts w:ascii="Amiri" w:hAnsi="Amiri" w:eastAsia="Amiri" w:cs="Amiri"/>
          <w:color w:val="111111"/>
          <w:sz w:val="28"/>
          <w:sz w:val="28"/>
          <w:szCs w:val="28"/>
          <w:rtl w:val="true"/>
          <w:lang w:bidi="ar-SA"/>
        </w:rPr>
        <w:t>مع أنّهما مطلقتان شاملتان للحائل والحامل واختصاصه بالحائل غير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إلى أنّ المستفاد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لَكُمْ عَلَيْهِنَّ مِنْ عِدَّةٍ</w:t>
      </w:r>
      <w:r>
        <w:rPr>
          <w:rStyle w:val="FootnoteAnchor"/>
          <w:rtl w:val="true"/>
        </w:rPr>
        <w:footnoteReference w:id="1411"/>
      </w:r>
      <w:r>
        <w:rPr>
          <w:rFonts w:ascii="Amiri" w:hAnsi="Amiri" w:eastAsia="Amiri" w:cs="Amiri"/>
          <w:color w:val="111111"/>
          <w:sz w:val="28"/>
          <w:sz w:val="28"/>
          <w:szCs w:val="28"/>
          <w:rtl w:val="true"/>
          <w:lang w:bidi="ar-SA"/>
        </w:rPr>
        <w:t>كون العدّة حقّاً للزوج، فإنّها جعلت رعاية لحرمة الزوج ولا حرمة لماء البغي وأنّ 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1412"/>
      </w:r>
      <w:bookmarkStart w:id="505" w:name="pg9375_99823"/>
    </w:p>
    <w:p>
      <w:pPr>
        <w:pStyle w:val="BookText"/>
        <w:rPr/>
      </w:pPr>
      <w:bookmarkEnd w:id="505"/>
      <w:r>
        <w:rPr>
          <w:rFonts w:ascii="Amiri" w:hAnsi="Amiri" w:eastAsia="Amiri" w:cs="Amiri"/>
          <w:color w:val="111111"/>
          <w:sz w:val="28"/>
          <w:sz w:val="28"/>
          <w:szCs w:val="28"/>
          <w:rtl w:val="true"/>
          <w:lang w:bidi="ar-SA"/>
        </w:rPr>
        <w:t>كانت لشبهة من الطرفين أو من طرف الواطئ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لزومها إن كانت من طرف الموطوءة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5416775_2870459653"/>
      <w:bookmarkStart w:id="507" w:name="_Toc180"/>
      <w:bookmarkEnd w:id="506"/>
      <w:r>
        <w:rPr>
          <w:rtl w:val="true"/>
        </w:rPr>
        <w:t>وجوب العدّة على الموطوءة شبهة</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لإطلاق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أدخله وجب الغسل والمهر والعدّة</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دخل بامرأة،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الختانان وجب المهر والعدّة</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متى يجب عليهما الغسل؟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والمهر والرجم</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فإنّ هذه المطلقات دالّة على وجوب العدّة بمجرّد الدخول؛ سواء أنزل أم لا، وسواء كان الدخول عن زواج أو شبهة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للإطلاقات، وعدمها؛ للأصل، ولأنّها لحرمة الزوج ولا حرمة لماء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الثاني؛ لأنّ الانصراف الموجود في الزنا المتحقّق من الطرفين موجود هنا أيضاً فالإطلاقات منصرفة عن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الانصراف هو أنّ العدّة إنّما جعلت رعاية لحرمة الزوج ولا حرمة لماء البغيّ، فإنّ الولد للفراشوللعاهر الحجر،</w:t>
      </w:r>
      <w:r>
        <w:rPr>
          <w:rStyle w:val="FootnoteAnchor"/>
          <w:rtl w:val="true"/>
        </w:rPr>
        <w:footnoteReference w:id="1416"/>
      </w:r>
      <w:r>
        <w:rPr>
          <w:rFonts w:ascii="Amiri" w:hAnsi="Amiri" w:eastAsia="Amiri" w:cs="Amiri"/>
          <w:color w:val="111111"/>
          <w:sz w:val="28"/>
          <w:sz w:val="28"/>
          <w:szCs w:val="28"/>
          <w:rtl w:val="true"/>
          <w:lang w:bidi="ar-SA"/>
        </w:rPr>
        <w:t>فالأحوط لزوم العدّة إن كانت الشبهة من طرف الموطوءة خاصّةً، وإن كان عدم اللزوم لا يخلو عن قوّة</w:t>
      </w:r>
      <w:r>
        <w:rPr>
          <w:rFonts w:eastAsia="Amiri" w:cs="Amiri" w:ascii="Amiri" w:hAnsi="Amiri"/>
          <w:color w:val="111111"/>
          <w:sz w:val="28"/>
          <w:szCs w:val="28"/>
          <w:rtl w:val="true"/>
          <w:lang w:bidi="ar-SA"/>
        </w:rPr>
        <w:t xml:space="preserve">. </w:t>
      </w:r>
      <w:bookmarkStart w:id="508" w:name="pg9375_99824"/>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وطء الشبهة كعدّة الطلاق بالأقراء والشهور وبوضع الحمل لو حملت من هذا الوطء على التفصيل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عليها عدّة الطلاق كالصغيرة واليائسة ليس عليها هذه العدّة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الموطوءة شبهة ذات بعل لا يجوز لزوجها وطؤها في مدّة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له سائر الاستمتاعات منها أم لا؟ أحوطهما الثاني وأقواهما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تسقط نفقتها في أيّام العدّة وإن قلنا بحرمة جميع الاستمتاعات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المتبادر من العدّة هو عدّة الطلاق لا المتعة، فإنّها الأصل في العدّة 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زيادة الفرع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لأنّها في عدّة الغير</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5416777_2870459653"/>
      <w:bookmarkStart w:id="510" w:name="_Toc181"/>
      <w:bookmarkEnd w:id="509"/>
      <w:r>
        <w:rPr>
          <w:rtl w:val="true"/>
        </w:rPr>
        <w:t>جواز التزوّج بالموطوءة شبهة للواطي إن كانت خليّة</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لأنّها زوجته، والأصل بقاء جواز سائر الاستمتاعات، وعدم الجواز؛ لإلحاقها بالوطء، والأقوى هو الأوّل؛ لعدم الدليل على المنع والإلحاق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تحرم في المرأة الأجنبيّة لكنّها لا لكونها في عدّة الغير بل لكونها أجنبيّة، فلا دليل على المنع من الاستمتاعات غير الوطء في عدّة الغير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زوجته، فلها النفقة وعدم التمكين نشأ من وجه شرعي</w:t>
      </w:r>
      <w:r>
        <w:rPr>
          <w:rFonts w:eastAsia="Amiri" w:cs="Amiri" w:ascii="Amiri" w:hAnsi="Amiri"/>
          <w:color w:val="111111"/>
          <w:sz w:val="28"/>
          <w:szCs w:val="28"/>
          <w:rtl w:val="true"/>
          <w:lang w:bidi="ar-SA"/>
        </w:rPr>
        <w:t>.</w:t>
      </w:r>
      <w:r>
        <w:rPr>
          <w:rStyle w:val="FootnoteAnchor"/>
          <w:rtl w:val="true"/>
        </w:rPr>
        <w:footnoteReference w:id="1417"/>
      </w:r>
      <w:bookmarkStart w:id="511" w:name="pg9375_99825"/>
    </w:p>
    <w:p>
      <w:pPr>
        <w:pStyle w:val="BookText"/>
        <w:rPr/>
      </w:pPr>
      <w:bookmarkEnd w:id="5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خليّة يجوز لواطئها أن يتزوّج بها في زمن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 فإنّه لا يجوز له ذلك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وطء الشبهة من حيث العدّة وغيرها بين أن يكون مجرّداً عن العقد أو يكون بعده بأن وطئ المعقود عليها بشبهة صحّة العقد مع فساده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معتدّة بعدّة الطلاق أو الوفاة فوطئت شبهة أو وطئت ثمّ طلّقها أو مات عنها زوجها فعليها عدّتان على الأحوط لو لم يكن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للأصل ولإطلاقات باب النكاح وعموماتها، ولأنّ الموطوءة بالشبهة كالمطلّقة ولا تزيد عليها، فكما أنّ المطلِّق يجوزله تزويج زوجته المطلّقة في عدّة نفسه فكذا الواطي يجوزله تزويج موطوءته شبهة في عدّة نفسه إذا كانت 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لإطلاق ما يدلّ على عدم جواز الزواج في عدّة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هذه المسألة أنّه لا فرق في أحكام الوطئ بالشبهة بين أن تكون الشبهة موضوعيّة كما لو وطء امرأة بتخيل أنّها زوجته وبين أن تكون حكميّة كما لو زعم أنّه يجوز الجمع بين الأختين أو زعم أنّه يجوز التزويج في عدّة الغير فزوّج ووطئها بتخيل صحّة العقد؛ وذلك لإطلاق أدلّة أحكام الوطئ بالشبهة</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416779_2870459653"/>
      <w:bookmarkStart w:id="513" w:name="_Toc182"/>
      <w:bookmarkEnd w:id="512"/>
      <w:r>
        <w:rPr>
          <w:rtl w:val="true"/>
        </w:rPr>
        <w:t>حكم الوطى‌ء شبهة في عدّة الطلاق أو الوفاة</w:t>
      </w:r>
      <w:bookmarkEnd w:id="51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المسألة فرعٌ لمسألة كلّيّة أُخرى، وهي مسألة تداخل العدّتين وعدمه، وفيها وجهان بل قولان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التداخل، وهو المشهور بين الأصحاب، بل عن الشيخ في الخلاف</w:t>
      </w:r>
      <w:r>
        <w:rPr>
          <w:rStyle w:val="FootnoteAnchor"/>
          <w:rtl w:val="true"/>
        </w:rPr>
        <w:footnoteReference w:id="141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المحكيّ عن ابن جنيد،</w:t>
      </w:r>
      <w:r>
        <w:rPr>
          <w:rStyle w:val="FootnoteAnchor"/>
          <w:rtl w:val="true"/>
        </w:rPr>
        <w:footnoteReference w:id="1419"/>
      </w:r>
      <w:r>
        <w:rPr>
          <w:rFonts w:ascii="Amiri" w:hAnsi="Amiri" w:eastAsia="Amiri" w:cs="Amiri"/>
          <w:color w:val="111111"/>
          <w:sz w:val="28"/>
          <w:sz w:val="28"/>
          <w:szCs w:val="28"/>
          <w:rtl w:val="true"/>
          <w:lang w:bidi="ar-SA"/>
        </w:rPr>
        <w:t>وعليه الصدوق في المقنع</w:t>
      </w:r>
      <w:r>
        <w:rPr>
          <w:rStyle w:val="FootnoteAnchor"/>
          <w:rtl w:val="true"/>
        </w:rPr>
        <w:footnoteReference w:id="1420"/>
      </w:r>
      <w:r>
        <w:rPr>
          <w:rFonts w:ascii="Amiri" w:hAnsi="Amiri" w:eastAsia="Amiri" w:cs="Amiri"/>
          <w:color w:val="111111"/>
          <w:sz w:val="28"/>
          <w:sz w:val="28"/>
          <w:szCs w:val="28"/>
          <w:rtl w:val="true"/>
          <w:lang w:bidi="ar-SA"/>
        </w:rPr>
        <w:t>والهداية</w:t>
      </w:r>
      <w:r>
        <w:rPr>
          <w:rFonts w:eastAsia="Amiri" w:cs="Amiri" w:ascii="Amiri" w:hAnsi="Amiri"/>
          <w:color w:val="111111"/>
          <w:sz w:val="28"/>
          <w:szCs w:val="28"/>
          <w:rtl w:val="true"/>
          <w:lang w:bidi="ar-SA"/>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واستدلّ للأوّل بالأصل؛ أي القاعدة والروايات والاعتبار، أمّا الأصل، فهو أنّ كلّ سبب وكلّ موضوع يقتضي مسبّباً وتكليفاً مستقلاً، وأمّا الروايات،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الحبلى يموت زوجها فتضع وتزوّج قبل أن تمضي لها أربعة أشهر وعشراً؟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دخل بها فرّق بينهما ولم تحلّ له أبداً واعتدّت ما بقي عليها من الأوّل واستقبلت عدّة أُخرى من الآخر ثلاثة قروء وإن لم يكن دخل بها فرّق بينهما واعتدّت بما بقي عليها من الأوّل وهو خاطب من الخطّاب</w:t>
      </w:r>
      <w:r>
        <w:rPr>
          <w:rFonts w:eastAsia="IRNazanin" w:cs="IRNazanin"/>
          <w:color w:val="111111"/>
          <w:sz w:val="28"/>
          <w:szCs w:val="28"/>
          <w:rtl w:val="true"/>
          <w:lang w:bidi="fa-IR"/>
        </w:rPr>
        <w:t>».</w:t>
      </w:r>
      <w:r>
        <w:rPr>
          <w:rStyle w:val="FootnoteAnchor"/>
          <w:rtl w:val="true"/>
        </w:rPr>
        <w:footnoteReference w:id="142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الحبلى يتوفّى عنها زوجها فتضع وتتزوّج قبل أن تعتدّ أربعة أشهر وعشراً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الذي تزوّجها دخل بها فرّق بينهما ولمتحلّ له أبداً واعتدّت بما بقي عليها من عدّة الأوّل واستقبلت عدّة أُخرى من الآخر ثلاثة قروء، وإن لم يكن دخل بها فرّق بينهما وأتمّت ما بقي من عدّتها وهو خاطب من الخطّاب</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عليّ بن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في عدّتها ولم يعلم وكانت هي قد علمت أنّه قد بقي من عدّتها وأنّه قذفها بعد علمه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علمت أنّ الذي صنعت يحرم عليها فقدمت على ذلك فإنّ عليها الحدّ حدّ الزاني ولا أرى على زوجها حين قذفها شيئاً، وإن فعلت ذلك بجهالة منها ثمّ قذفها بالزنا ضرب قاذفها الحدّ وفرّق بينهما وتعتدّ ما بقي من عدّتها الأُولى وتعتدّ بعد ذلك عدّة كاملة</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وأمّا الاعتبار،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حقّ للرجل كالدين، فمع التعدّد يلزم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لغير المشهور بروايات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تزوّجت قبل أن تنقضي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العبّاس،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تزوّج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جميل بن درّاج،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تزوّج في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 وتعتدّ عدّة واحدة منهما جميعاً وإن جاءت بولد لستة أشهر أو أكثر فهو للاخير وإن جاءت بولد لأقلّ من ستّة أشهر فهو للأوّل</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ابن أبي عمير، عن ابن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فقد زوجها أو نعي إليها فتزوّجت ثمّ قدم زوجها بعد ذلك فطلقها،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جميعاً ثلاثة أشهر عدّة واحدة وليس للآخر أن يتزوّجها أبداً</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هذا، وقد قال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نسبة الرواية إلى الشهرة أنّ المراد بها الشهرة في الفتوى، فإنّ المشهور هو التعدّد كما عرفت وإلّا فالشهرة في الرواية إنّما هي في جانب الروايات الدالّة على الاتّحاد</w:t>
      </w:r>
      <w:r>
        <w:rPr>
          <w:rFonts w:eastAsia="Amiri" w:cs="Amiri" w:ascii="Amiri" w:hAnsi="Amiri"/>
          <w:color w:val="111111"/>
          <w:sz w:val="28"/>
          <w:szCs w:val="28"/>
          <w:rtl w:val="true"/>
          <w:lang w:bidi="ar-SA"/>
        </w:rPr>
        <w:t>.</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تعارض الروايات في المسألة، وقد ذكر لرفع التعارض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عن الشيخ</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النصوص الدالّة على التداخل، على قبل الدخول،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منهما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تعتدّ منهما وإن لم تكن العدّة للثاني؛ لعدم الدخول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الحمل بعيدٌ لا يمكن أن يصار إليه؛ لأنّ المذكور فيها هو الاعتداد منهما جميعاً والظاهر منه وجوب الاعتداد منهما لكون العدّة لكلّ واحدمنهما وليس للرجل قبل الدخول عدّة؛ مضافاً إلى أنّ حمل الشيخ في روايتي زرارة وأبي العبّاس دون الأُخريين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المذكور في كلام صاحب المدارك،</w:t>
      </w:r>
      <w:r>
        <w:rPr>
          <w:rStyle w:val="FootnoteAnchor"/>
          <w:rtl w:val="true"/>
        </w:rPr>
        <w:footnoteReference w:id="1431"/>
      </w:r>
      <w:r>
        <w:rPr>
          <w:rFonts w:ascii="IRNazanin" w:hAnsi="IRNazanin" w:eastAsia="IRNazanin"/>
          <w:color w:val="111111"/>
          <w:sz w:val="28"/>
          <w:sz w:val="28"/>
          <w:szCs w:val="28"/>
          <w:rtl w:val="true"/>
          <w:lang w:bidi="fa-IR"/>
        </w:rPr>
        <w:t>هو حمل روايات عدم التداخل على الاستحباب والأُخرى على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كما ترى، فإنّ التعبير بالاعتداد في كلتا الروايتين على نهج واحد، فإنّ في كلتا الطائفتين التعبير بصورة الجملة الخبريّة، بل في بعض الطائفة الأُولی كالطائفة الثانية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الافتراق بينهما بحمل إحداهما على الاستحباب والأُخرى على الوجوب، بل قد يلزم الافتراق في نفس الرواية الواحدة بين الفقرتين منها بحمل إحداهما على الوجوب والأُخرى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ذهب إليه صاحب الحدائق،</w:t>
      </w:r>
      <w:r>
        <w:rPr>
          <w:rStyle w:val="FootnoteAnchor"/>
          <w:rtl w:val="true"/>
        </w:rPr>
        <w:footnoteReference w:id="1432"/>
      </w:r>
      <w:r>
        <w:rPr>
          <w:rFonts w:ascii="IRNazanin" w:hAnsi="IRNazanin" w:eastAsia="IRNazanin"/>
          <w:color w:val="111111"/>
          <w:sz w:val="28"/>
          <w:sz w:val="28"/>
          <w:szCs w:val="28"/>
          <w:rtl w:val="true"/>
          <w:lang w:bidi="fa-IR"/>
        </w:rPr>
        <w:t>حمل روايات العدم على التقيّة ويشهد له خبر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نعي إليها زوجها فاعتدّت فتزوّجت فجاء زوجها الأوّل ففارقها وفارقها الآخر، كم تعتدّ للناس؟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بثلاثة قروء، وإنّما يستبرء رحمها بثلاثة قروء تحلّها للناس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أناساً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عدّتين لكلّ واحدة عدّة، فأبى ذلك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تعتدّ ثلاثة قروء فتحلّ للرجال</w:t>
      </w:r>
      <w:r>
        <w:rPr>
          <w:rFonts w:eastAsia="IRNazanin" w:cs="IRNazanin"/>
          <w:color w:val="111111"/>
          <w:sz w:val="28"/>
          <w:szCs w:val="28"/>
          <w:rtl w:val="true"/>
          <w:lang w:bidi="fa-IR"/>
        </w:rPr>
        <w:t>».</w:t>
      </w:r>
      <w:r>
        <w:rPr>
          <w:rStyle w:val="FootnoteAnchor"/>
          <w:rtl w:val="true"/>
        </w:rPr>
        <w:footnoteReference w:id="143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مرسلة يونس عن بعض أصحابه في امرأة نعي إليها زوجها فتزوّجت ثمّ قدم زوجها الأوّل فطلّقها وطلّقها الآخر، فقال إبراهيم النخعي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أن تعتدّ عدّتين، فحملها زرارة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عليها عدّة واحدة</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الطائفة الثانية؛ لإعراض المشهور عنها والعمل بالأُولی لعمل المشهور بها، فإنّ الشهرة العمليّة من مميّزات الحجّة عن اللاحجّة، كما 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 ودع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عند أصحابك فيؤخذ به من حكمنا ويترك الشاذّ الذي ليس بمشهور عند أصحابك، فإنّ المجمع عليه لا ريب فيه</w:t>
      </w:r>
      <w:r>
        <w:rPr>
          <w:rFonts w:eastAsia="Amiri" w:cs="Amiri" w:ascii="Amiri" w:hAnsi="Amiri"/>
          <w:color w:val="111111"/>
          <w:sz w:val="28"/>
          <w:szCs w:val="28"/>
          <w:rtl w:val="true"/>
          <w:lang w:bidi="ar-SA"/>
        </w:rPr>
        <w:t>»</w:t>
      </w:r>
      <w:r>
        <w:rPr>
          <w:rStyle w:val="FootnoteAnchor"/>
          <w:rtl w:val="true"/>
        </w:rPr>
        <w:footnoteReference w:id="1436"/>
      </w:r>
      <w:r>
        <w:rPr>
          <w:rFonts w:ascii="Amiri" w:hAnsi="Amiri" w:eastAsia="Amiri" w:cs="Amiri"/>
          <w:color w:val="111111"/>
          <w:sz w:val="28"/>
          <w:sz w:val="28"/>
          <w:szCs w:val="28"/>
          <w:rtl w:val="true"/>
          <w:lang w:bidi="ar-SA"/>
        </w:rPr>
        <w:t>من مرجّحات الحجيّة حتّى يقال بأنّ الأخذ بها مقدّم على سائر المرحّجات أم لا؟ وعلى هذا، فلا تعارض بين الطائفتين لعدم التعارض بين الحجّة واللاحجّة فلا يصل دور الموافقة للتقيّة أو الأصحّيّة أو غيرهما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الشهرة ليست من المميّزات ولا من المرجّحات؛ لأنّها هي التي توجب الاطمينان بالمشهورة وبالخلل في غيرها، فإنّ من المحتمل هنا أن تكون فتوى الأصحاب من باب موافقة المشهورة للاحتياط والاشتغال فالشهرة المفيدة غير ثابتة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حمل الشيخ الروايات المخالفة على قبل الدخول كما مرّ</w:t>
      </w:r>
      <w:r>
        <w:rPr>
          <w:rStyle w:val="FootnoteAnchor"/>
          <w:rtl w:val="true"/>
        </w:rPr>
        <w:footnoteReference w:id="1437"/>
      </w:r>
      <w:r>
        <w:rPr>
          <w:rFonts w:ascii="Amiri" w:hAnsi="Amiri" w:eastAsia="Amiri" w:cs="Amiri"/>
          <w:color w:val="111111"/>
          <w:sz w:val="28"/>
          <w:sz w:val="28"/>
          <w:szCs w:val="28"/>
          <w:rtl w:val="true"/>
          <w:lang w:bidi="ar-SA"/>
        </w:rPr>
        <w:t>ولم يحملها على الشذوذ ولم يطرحها، وكذا يؤيّده أنّ الشيخ في الخلاف غير متعرّض لروايات الخاصّة،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موضع تجتمع على المرأة عدّتان، فإنّهما لا تتداخلان، بل تأتي بكلّ واحدة منهما على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ذلك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وعمر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العزيز، وبه قال الشافعي</w:t>
      </w:r>
      <w:r>
        <w:rPr>
          <w:rFonts w:eastAsia="Amiri" w:cs="Amiri" w:ascii="Amiri" w:hAnsi="Amiri"/>
          <w:color w:val="111111"/>
          <w:sz w:val="28"/>
          <w:szCs w:val="28"/>
          <w:rtl w:val="true"/>
          <w:lang w:bidi="ar-SA"/>
        </w:rPr>
        <w:t>.</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وذهب مالك، وأبوحنيفة وأصحابه إلى أنّهما تتداخلان وتعتدّ عدّة واحدة 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إجماع الفرقة، وأيضاً فقد ثبت وجوب العدّتين عليها وتداخلهما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سعيد بن المسيب وسليمان بن يسار أنّ طليحة كانت تحت رشيد الثققي،</w:t>
      </w:r>
      <w:r>
        <w:rPr>
          <w:rStyle w:val="FootnoteAnchor"/>
          <w:rtl w:val="true"/>
        </w:rPr>
        <w:footnoteReference w:id="1439"/>
      </w:r>
      <w:r>
        <w:rPr>
          <w:rFonts w:ascii="Amiri" w:hAnsi="Amiri" w:eastAsia="Amiri" w:cs="Amiri"/>
          <w:color w:val="111111"/>
          <w:sz w:val="28"/>
          <w:sz w:val="28"/>
          <w:szCs w:val="28"/>
          <w:rtl w:val="true"/>
          <w:lang w:bidi="ar-SA"/>
        </w:rPr>
        <w:t>فطلّقها البتة فنكحت في آخر عدّتها، ففرّق عمر بينهما وضربها بالمخففة ضربات، وزوّجها،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تزوّج امرأة في عدّتها، فإن لم يكن دخل بها زوجها الذي تزوّجها فرق بينهما، وتأتي ببقيّة عدّة الأوّل، ثمّ تستأنف عدّة الثاني، ثمّ لا تحلّ له أبداً</w:t>
      </w:r>
      <w:r>
        <w:rPr>
          <w:rFonts w:eastAsia="Amiri" w:cs="Amiri" w:ascii="Amiri" w:hAnsi="Amiri"/>
          <w:color w:val="111111"/>
          <w:sz w:val="28"/>
          <w:szCs w:val="28"/>
          <w:rtl w:val="true"/>
          <w:lang w:bidi="ar-SA"/>
        </w:rPr>
        <w:t>.</w:t>
      </w:r>
      <w:r>
        <w:rPr>
          <w:rStyle w:val="FootnoteAnchor"/>
          <w:rtl w:val="true"/>
        </w:rPr>
        <w:footnoteReference w:id="1440"/>
      </w: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ذلك،</w:t>
      </w:r>
      <w:r>
        <w:rPr>
          <w:rStyle w:val="FootnoteAnchor"/>
          <w:rtl w:val="true"/>
        </w:rPr>
        <w:footnoteReference w:id="1441"/>
      </w:r>
      <w:r>
        <w:rPr>
          <w:rFonts w:ascii="Amiri" w:hAnsi="Amiri" w:eastAsia="Amiri" w:cs="Amiri"/>
          <w:color w:val="111111"/>
          <w:sz w:val="28"/>
          <w:sz w:val="28"/>
          <w:szCs w:val="28"/>
          <w:rtl w:val="true"/>
          <w:lang w:bidi="ar-SA"/>
        </w:rPr>
        <w:t>ولا مخالف لهما في الصحابة</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هذا كلّه مع أنّه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الروايات في المسألة غير محقّق من رأس</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التداخل إنّما هي مختصّة بما إذا كان العدّتانكلاهما لحكمة حفظ الأنساب وعدم اختلاط المياه المناسب للاعتداد بعدّة واحدة فالاستبراء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محقّقة وروايات عدم التداخل مختصّة بما إذا كان إحداهما لحكمة مثل حرمة الزواج كعدّة الوفاة، فالمناسب في اجتماعه مع مثل عدّة الطلاق التي تكون لحكمة الاستبراء التعدّد؛ لأنّ الحرمة غير متحقّقة بمثل عدّة الطلاق كما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فتلك الروايات محمولة عليه، حيث لا يتحقّق مثل حرمة الزوج بعدّة الاستبراء فينبغي الرجوع إلى النصوص مرّة أُخرى وملاحظتها، فراجع إن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يبقى الكلام في رواية عليّ بن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في عدّتها ولم يعلم، وكانت هي قد علمت أنّه قد بقي من عدّتها وأنّه قذفها بعد علمه بذلك؟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علمت أنّ الذي صنعت يحرم عليها فقدمت على ذلك فإنّ عليها الحدّ حدّ الزاني ولا أرى على زوجها حين قذفها شيئاً، وإن فعلت ذلك بجهالة منها ثمّ قذفها بالزنا ضرب قاذفها الحدّ وفرّق بينهما وتعتدّ ما بقي من عدّتها الأُولى وتعتدّ بعد ذلك عدّة كاملة</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عدّة واحدة، وهي أطولها</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وعلى كلّحالٍ، فإنّ عدم التداخل هو الأحوط، والتداخل لا يخلو من قوّة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طلّق زوجته ثمّ وطئها هو شبهة ففيه وجهان بل قولان؛ من تعدّد السبب فيقتضي تعدّد المسبب كما ذهب إليه الشيخ</w:t>
      </w:r>
      <w:r>
        <w:rPr>
          <w:rStyle w:val="FootnoteAnchor"/>
          <w:rtl w:val="true"/>
        </w:rPr>
        <w:footnoteReference w:id="1445"/>
      </w:r>
      <w:r>
        <w:rPr>
          <w:rFonts w:ascii="Amiri" w:hAnsi="Amiri" w:eastAsia="Amiri" w:cs="Amiri"/>
          <w:color w:val="111111"/>
          <w:sz w:val="28"/>
          <w:sz w:val="28"/>
          <w:szCs w:val="28"/>
          <w:rtl w:val="true"/>
          <w:lang w:bidi="ar-SA"/>
        </w:rPr>
        <w:t>وابن إدريس</w:t>
      </w:r>
      <w:r>
        <w:rPr>
          <w:rStyle w:val="FootnoteAnchor"/>
          <w:rtl w:val="true"/>
        </w:rPr>
        <w:footnoteReference w:id="1446"/>
      </w:r>
      <w:r>
        <w:rPr>
          <w:rFonts w:ascii="Amiri" w:hAnsi="Amiri" w:eastAsia="Amiri" w:cs="Amiri"/>
          <w:color w:val="111111"/>
          <w:sz w:val="28"/>
          <w:sz w:val="28"/>
          <w:szCs w:val="28"/>
          <w:rtl w:val="true"/>
          <w:lang w:bidi="ar-SA"/>
        </w:rPr>
        <w:t xml:space="preserve">بل في كشف اللثام نسبته </w:t>
      </w:r>
    </w:p>
    <w:p>
      <w:pPr>
        <w:pStyle w:val="BookText"/>
        <w:rPr/>
      </w:pPr>
      <w:r>
        <w:rPr>
          <w:rFonts w:ascii="IRNazanin" w:hAnsi="IRNazanin" w:eastAsia="IRNazanin"/>
          <w:color w:val="111111"/>
          <w:sz w:val="28"/>
          <w:sz w:val="28"/>
          <w:szCs w:val="28"/>
          <w:rtl w:val="true"/>
          <w:lang w:bidi="fa-IR"/>
        </w:rPr>
        <w:t>فإن كانت حاملاً من أحدهما تقدّمت عدّة الحمل، فبعد وضعه تستأنف العدّة الأُخرى أو تستكمل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كانت حائلاً يقدم الأسبق منهما، وبعد تمامها استقبلت العدّة الأُخرى من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إطلاق الأكثر</w:t>
      </w:r>
      <w:r>
        <w:rPr>
          <w:rStyle w:val="FootnoteAnchor"/>
          <w:rtl w:val="true"/>
        </w:rPr>
        <w:footnoteReference w:id="1447"/>
      </w:r>
      <w:r>
        <w:rPr>
          <w:rFonts w:ascii="Amiri" w:hAnsi="Amiri" w:eastAsia="Amiri" w:cs="Amiri"/>
          <w:color w:val="111111"/>
          <w:sz w:val="28"/>
          <w:sz w:val="28"/>
          <w:szCs w:val="28"/>
          <w:rtl w:val="true"/>
          <w:lang w:bidi="ar-SA"/>
        </w:rPr>
        <w:t>وفي غيره</w:t>
      </w:r>
      <w:r>
        <w:rPr>
          <w:rStyle w:val="FootnoteAnchor"/>
          <w:rtl w:val="true"/>
        </w:rPr>
        <w:footnoteReference w:id="1448"/>
      </w:r>
      <w:r>
        <w:rPr>
          <w:rFonts w:ascii="Amiri" w:hAnsi="Amiri" w:eastAsia="Amiri" w:cs="Amiri"/>
          <w:color w:val="111111"/>
          <w:sz w:val="28"/>
          <w:sz w:val="28"/>
          <w:szCs w:val="28"/>
          <w:rtl w:val="true"/>
          <w:lang w:bidi="ar-SA"/>
        </w:rPr>
        <w:t>إلى المشهور، ومن كون العدّة من شخص واحد فتتداخل العدّتان كما ذهب إليه الفاضلان</w:t>
      </w:r>
      <w:r>
        <w:rPr>
          <w:rStyle w:val="FootnoteAnchor"/>
          <w:rtl w:val="true"/>
        </w:rPr>
        <w:footnoteReference w:id="1449"/>
      </w:r>
      <w:r>
        <w:rPr>
          <w:rFonts w:ascii="IRNazanin" w:hAnsi="IRNazanin" w:eastAsia="IRNazanin"/>
          <w:color w:val="111111"/>
          <w:sz w:val="28"/>
          <w:sz w:val="28"/>
          <w:szCs w:val="28"/>
          <w:rtl w:val="true"/>
          <w:lang w:bidi="fa-IR"/>
        </w:rPr>
        <w:t>واختاره صاحب الجواهر</w:t>
      </w:r>
      <w:r>
        <w:rPr>
          <w:rStyle w:val="FootnoteAnchor"/>
          <w:rtl w:val="true"/>
        </w:rPr>
        <w:footnoteReference w:id="1450"/>
      </w:r>
      <w:r>
        <w:rPr>
          <w:rFonts w:ascii="Amiri" w:hAnsi="Amiri" w:eastAsia="Amiri" w:cs="Amiri"/>
          <w:color w:val="111111"/>
          <w:sz w:val="28"/>
          <w:sz w:val="28"/>
          <w:szCs w:val="28"/>
          <w:rtl w:val="true"/>
          <w:lang w:bidi="ar-SA"/>
        </w:rPr>
        <w:t>وقوّاه بأنّهما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السبب يوجب تعدّد المسبب يلزم القول بعدّتين هنا ولا فرق بين أن يكون من واحد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السببيّة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فقد وجب الغسل والمهر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عن وطء شبهة الزوج نفسه، ويشهد له أنّه لا يوجد أثر ولا سؤال عن وطء شخص واحد في روايات تعدّد العدّة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هذه الأحكام يقع على القول بعدم التداخل والمستند فيها هو القواعد والدراية لا الرواية فإن كانت حاملاً من أحدهما تقدّمت عدّة الحمل؛ سواء كان سبب الأُخرى مقدّماً أو مؤخّراً أو مقارناً؛ وذلك لعدم إمكان تأخير عدّته التي هي وضع الحمل فلو وطء المطلّقة شبهة أثناءالعدّة فحملت تقدّم 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الوطء بالشبهة فبعد وضعه تستكمل عدّة الطلاق وكذلك العكس؛ أي إذا وطء شبهة ثمّ جامعها زوجها فحملت ثمّ طلّقها فتقدّم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حائلاً، فمقتضى القاعدة العقليّة رعاية تقدّم السبب المقتضي لتقدّم المسبّب، فمع وجود مسبّب لا معنى لتحقّق مسبّب آخر في ظرفه بعد فرض عدم التداخل بين العدّتين، فيمنع عن تأثير السبب اللاحق في ظرف المسبّب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يحتمل أنّ عدّة الطلاق مقدّمة على عدّة وطء الشبهة وإن كان سببه مؤخّراً؛ وذلك لأقوائيّة الطلاق في السببيّة، ولأنّه الأصل في العدّة؛ لكن لا يخفى عليك ما فيه، فإنّه مع عدم كونه بأزيد من الاعتبار مع أنّه غير تامّ أنّ المستفاد من الروايات أنّ الوطئ بالشبهة سبب للعدّة كالطلاق من دون دلالة على أقوائيّة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عدّة الطلاق قد وردت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w:t>
      </w:r>
      <w:r>
        <w:rPr>
          <w:rStyle w:val="FootnoteAnchor"/>
          <w:rtl w:val="true"/>
        </w:rPr>
        <w:footnoteReference w:id="1451"/>
      </w:r>
      <w:r>
        <w:rPr>
          <w:rFonts w:ascii="Amiri" w:hAnsi="Amiri" w:eastAsia="Amiri" w:cs="Amiri"/>
          <w:color w:val="111111"/>
          <w:sz w:val="28"/>
          <w:sz w:val="28"/>
          <w:szCs w:val="28"/>
          <w:rtl w:val="true"/>
          <w:lang w:bidi="ar-SA"/>
        </w:rPr>
        <w:t>دون عدّة الوطئ بالشبهة ولكن ذلك لا يفيد الأقوائيّة، مضافاً إلى عدم الملازمة بين أقوائيّة السبب والتأثير متقدّماً ولو كان وجوده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التقارن بين السببين مثل الوطء بالشبهة في زمان وقوع الطلاق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العدّة إن كانت حقّاً للزوج والواطي فتتعيّن ولقائل أن يذهب إلى القول بتخيير المرأة بين جعل أيّهما مقدّمة والأُخرى مؤخّراً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في الرجوع والتزويج في عدّة البائن فإن تقدّمت عدّةالوطء بالشبهة، فلو كان الطلاق بائناً فلا يجوز للزوج المطلق تزويجها أثناء عدّة الوط‌ء بالشبهة؛ لأنّه تزويج في عدّة الغير وأمّا لو كان الطلاق رجعيّاً فهل يجوز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بائناً ثمّ وطئها شبهة اعتدّت عدّة أُخرى على الأحوط بالتفصيل المتقدّم في المسألة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والطلاق بأقسامه، والفسخ بالعيوب، والانفساخ بمثل الارتداد أو الإسلام أو الرضاع، والوطء بالشبهة، مجرّداً عن العقد أو معه، وانقضاء المدّة أو هبتها في المتعة، ويشترط في الجميع كونها مدخولاً بها إلّا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فيها أم لا؟</w:t>
      </w:r>
    </w:p>
    <w:p>
      <w:pPr>
        <w:pStyle w:val="BookText"/>
        <w:rPr/>
      </w:pPr>
      <w:r>
        <w:rPr>
          <w:rFonts w:ascii="Amiri" w:hAnsi="Amiri" w:eastAsia="Amiri" w:cs="Amiri"/>
          <w:color w:val="111111"/>
          <w:sz w:val="28"/>
          <w:sz w:val="28"/>
          <w:szCs w:val="28"/>
          <w:rtl w:val="true"/>
          <w:lang w:bidi="ar-SA"/>
        </w:rPr>
        <w:t>والتحقيق أنّه مبنيّ على أنّ جواز الرجوع هل هو مشروط بكون المرأة في العدّة أو هو منوط بعدم انقضاء العدّة؟ فعلى الأوّل لا يجوز وعلى الثاني، كما قوّاه في الجواهر،</w:t>
      </w:r>
      <w:r>
        <w:rPr>
          <w:rStyle w:val="FootnoteAnchor"/>
          <w:rtl w:val="true"/>
        </w:rPr>
        <w:footnoteReference w:id="1452"/>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حكم المسألة مشترك بين البائن والرجعي لعدم الخصوصيّة، إلّا أنّ الجمع بين الشبهة والرجعي إنّما يكون مبنيّاً على عدم كون مطلق الوطء رجوعاً وأنّ تحقّق الرجوع منوط بالقصد وإلّا فمع تحقّق الرجوع بمطلق الوطء فالجمع غير محقّق ولمّا أنّ مختار المتن في مسألة الرجوع كونه رجوعاً مطلقاً وإن قصد به عدم الرجوع فاختصّ البائن بالذكر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قضاءً 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ascii="IRNazanin" w:hAnsi="IRNazanin" w:eastAsia="IRNazanin"/>
          <w:color w:val="111111"/>
          <w:sz w:val="28"/>
          <w:sz w:val="28"/>
          <w:szCs w:val="28"/>
          <w:rtl w:val="true"/>
          <w:lang w:bidi="fa-IR"/>
        </w:rPr>
        <w:t>،</w:t>
      </w:r>
      <w:r>
        <w:rPr>
          <w:rStyle w:val="FootnoteAnchor"/>
          <w:rtl w:val="true"/>
        </w:rPr>
        <w:footnoteReference w:id="1453"/>
      </w:r>
      <w:r>
        <w:rPr>
          <w:rFonts w:ascii="Amiri" w:hAnsi="Amiri" w:eastAsia="Amiri" w:cs="Amiri"/>
          <w:color w:val="111111"/>
          <w:sz w:val="28"/>
          <w:sz w:val="28"/>
          <w:szCs w:val="28"/>
          <w:rtl w:val="true"/>
          <w:lang w:bidi="ar-SA"/>
        </w:rPr>
        <w:t>وللروايات الخاصّة، كمامرّ</w:t>
      </w:r>
      <w:r>
        <w:rPr>
          <w:rStyle w:val="FootnoteAnchor"/>
          <w:rtl w:val="true"/>
        </w:rPr>
        <w:footnoteReference w:id="1454"/>
      </w:r>
      <w:r>
        <w:rPr>
          <w:rFonts w:ascii="Amiri" w:hAnsi="Amiri" w:eastAsia="Amiri" w:cs="Amiri"/>
          <w:color w:val="111111"/>
          <w:sz w:val="28"/>
          <w:sz w:val="28"/>
          <w:szCs w:val="28"/>
          <w:rtl w:val="true"/>
          <w:lang w:bidi="ar-SA"/>
        </w:rPr>
        <w:t>تفصيلاً في أصل المسألة</w:t>
      </w:r>
      <w:r>
        <w:rPr>
          <w:rFonts w:eastAsia="Amiri" w:cs="Amiri" w:ascii="Amiri" w:hAnsi="Amiri"/>
          <w:color w:val="111111"/>
          <w:sz w:val="28"/>
          <w:szCs w:val="28"/>
          <w:rtl w:val="true"/>
          <w:lang w:bidi="ar-SA"/>
        </w:rPr>
        <w:t xml:space="preserve">. </w:t>
      </w:r>
      <w:bookmarkStart w:id="514" w:name="pg9375_99836"/>
    </w:p>
    <w:p>
      <w:pPr>
        <w:pStyle w:val="BookText"/>
        <w:rPr/>
      </w:pPr>
      <w:bookmarkEnd w:id="51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5416781_2870459653"/>
      <w:bookmarkStart w:id="516" w:name="_Toc183"/>
      <w:bookmarkEnd w:id="515"/>
      <w:r>
        <w:rPr>
          <w:rtl w:val="true"/>
        </w:rPr>
        <w:t>في عدّة الحامل بالتلقيح</w:t>
      </w:r>
      <w:bookmarkEnd w:id="516"/>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حملت المرأة بتلقيح نطفة الزوج أو غيره شبهةً بلا دخول فهل عليها العدّة أم لا؟ الحقّ هو عدم الاعتداد مطلقاً؛ لأنّ الحصر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العدّة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إضافي في مقابل الإيلاج بلا ماء، فيرجع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العدّة من الماء مع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سئل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واقعها في الفرج ولم ينزل؟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والمهر والعدّة</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وكذا ما رواه محمّد بن مسلم، عن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لا تحبل مثلها لا عدّة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کتاب الطلاق، أبواب العدد،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وغيرهما من النصوص، كما أنّه مختار الشيخ في مقطوع الذكر،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قد قطع جميع ذكره فالنسب يلحقه؛ لأنّ الخصيتين إذا كانتا باقيتين فالإنزال ممكنٌ، ويمكنه أن يساحق وينزل، فإن حملت عنه اعتدّت بوضع الحمل، وإن لم تكن حاملاً اعتدّت بالشهور، ولا يتصوّر أن يعتدّ بالأقراء؛ لأنّ عدّة الأقراء إنّما تكون عن طلاق بعد دخول، والدخول متعذّر من جهته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وما ذكره الشيخ يرتضعان من ثدي واحدة وإن كان في تفرقته بين الموردين بالشهور والأقراء منعٌ وإشكال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حصر حكمة لزوم الاعتداد في مثل الاجتناب عن اختلاط المياه ممنوعٌ، لكن هناك فرقٌ بين كون الاعتداد لخصوص التحرّز عن مثل ذلك وبين كون التحرّز عن اختلاط المياه أيضاً موجباً للاعتداد، فإنّه على الثاني لا منافاة ولا إشكال في أن يكون الدخول وإن لم ينزل أو الإنزال، لكن مع انتفاء الرحم، أيضاً موجباً للاعتداد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إنّ لزوم الاعتداد له سببان؛ الدخول بها وإن لم ينزل، ودخول الماء وإن لم يدخل بها، وكذا وإن لم تحمل، فإنّ 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النطفة التي استقرّت في الرحم أو الماء الذي تكوّن الولد منه أيضاً من الفراش، وإضافيّة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كون خصوص الماء أيضاً موجباً لها، كما أنّ وجوبها لالتقاء الختانين أيضاً لا ينافي وجوبها لدخول الماء أيضاً، فإنّ المراد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الختانان وجب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وإن لم ينزل، وليس فيه حصر؛ لوجوبها في التقائهما، ولو سلّم الحصر فهو إضافي يرجع إلى التأكيد على وجوب الاعتداد عند الالتقاء وإن لم ينزل، في قبال توهّم بعض الناس بأنّ العدّة بدخول الماء أو بدخوله مقارناً لدخول الرجل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بعد أن ذكر أنّ المعتبر من الوطء غيبوبة الحشفة قبلاً أو دبراً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حكمه دخول منيّه المحترم فرجاً، فيلحق به الولد إن فرض وتعتدّ بوضعه، وظاهر الأصحاب عدم وجوبها بدون الحمل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المتّجه مع فرضه كونه بحكم الاعتداد قبل ظهور الحمل مخافة اختلاط المائين، بل لعلّ وجوب العدّة لها حاملاً يقتضي ذلك أيضاً، ضرورة معلوميّة اشتراط العدّة بطلاقها الدخولي، فإن لم يكن ذلك بحكمه لم يكن لها عدّة حتّى معه أيضاً؛ لظهور النصوص المزبورة في اعتبار الالتقاء والإدخال والمسّ ونحوها ممّا لا يندرج فيها المساحقة من غير فرق بين الحامل وغيرها، والآية إنّما يراد منها بيان مدّة العدّة للحامل، لا أنّ المراد منها بيان وجوب العدّة على الحامل وإن لم تكن مدخولاً بها، كما هو واضح بأدنى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ذلك قد أظهر صاحب الجواهر غرابة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حكمهم بعدم العدّة في المجبوب الذي لا فرق بينه وبين مقطوع الذكر خاصّة، بعد فرض حصول ماء من مساحقته يمكن تكوّن الولد منه ولو على خلاف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يفيدنا فيما نحن فيه أيضاً، فإنّه قال في وجه الغرابة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شمولهلمساحقة سليم الأنثيين، ولو كان الذي ألجأهم إلى ذلك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العدّة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إرادة بيان الحكمة لا السبب، ولذا أعقبه باعتبار الإدخال في العدّة، ولم يجعلوا ذلك سببين للعدّة، وحمل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منه ولذّ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خصوص الالتذاذ بالإدخال لا مطلقاً، بحيث يشمل المساحقة، لكن كان المتّجه عدم التزام العدّة حتّى مع الحمل منه، وكون منيّه محترماً لا ينافي سقوط العدّة المشترطة بالدخول، والفرض عدمه، فيكون حملها نحو حملها باستدخال قطنة من منيّه أو بمساحقة زوجة كانت تحته، وصعوبة التزام ذلك باعتبار كونها حاملاً منه كصعوبة التزام عدم العدّة المحترم فيها المحتمل تكوّن ولد منه، مع أنّ مشروعيّة العدّة للحفظ من اختلاط الماء، والحكمة وإن لم تطرد لكن ينتفي الحكم الذي شرع لها معها، فليس إلّا القول بأنّ للعدّة سببين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مائه المحترم فيها بالمساحقة أو بإيلاج دون تمام الحشفة،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إيلاج الحشفة وإن لم ينزل، بل وإن كان صغيراً غير قابل لنزول ماء منه، فتأمّل جيّداً، فإنّ المقام غير منقّح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ماء الزوج أو غيره شبهة يوجب العدّة وإن لم تحمل، كما أنّ الدخول يوجبها وإن لم ينزل أو لم تحمل أو لا يمكن حملها لانتفاء الرحم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ما أشرنا إليه من الحكمة والمصلحة في الاعتداد يشير بعض النصوص ويرشد إليه؛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محمّد بن سنان أنّ أبا الحسن عليّ بن موسى‌الرضا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الزنا؛ لما فيه من الفساد من قتل الأنفس وذهاب الأنساب وترك التربية للأطفال وفساد المواريث وما أشبه ذلك من وجوه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باب العلّة التي من أجلها حرم الزنا،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کتاب النکاح، أبواب النكاح المحرّم،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بنفس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فيما كتب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عزّوجلّ قذف المحصنات لما فيه من فساد الأنساب ونفي الولد وإبطال المواريث وترك التربية وذهاب المعارف وما فيه من المساوئ والعلل التي تؤدّي إلى فساد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باب العلّة التي من أجلها حرم قذف المحصنات، الحدیث</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أبواب حدّ القذف،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في كلام الأُستاذ من خبر إسحاق بن جرير،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کتاب الطلاق، أبواب العدد،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أيضاً في كلامه من خبر ابن شعبة، عن أبي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کتاب الطلاق، أبواب العدد،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ظهر ممّا ذكرنا الإشكال والتأمّل في قولهم بعدم العدّة على المزنيّ بها وفيما استدلّ به الأُستاذ على ذلك، فإنّ انصراف إطلاق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العدّة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بالتقاء الختانين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وكون بعضها في الزواج لا يمنع من إطلاق غيرها، وإيجاب الاعتداد على الرجل في روايتي ابن جرير وابن شعبة معلوم أنّ المراد منه انتظاره حتّى تعتدّ المرأة لا وجوب العدّة عليه فهو مثل ما عبّر عن اعتداد الرجال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عليهنّ من عدّة تعتدّونها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هو المستفاد في كلامه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 عليهنّ من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فهو أنّ للزوج حقّ العدّة لا أنّ العدّة كلّها له ولأجله، ولذا وطئ الشبهة أيضاً يوجب العدّة، مع أنّ الماء فيه ليس للزوج، وعدم الحرمة لماء البغي يمكن أن يجعل نفسه سبباً للزوم الاعتداد، وذلك ليتبيّن ماء البغي من الماء المحترم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ذكرناه ما أرسله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أدخله فقد وجبت العدّة والغسل والمهر والرجم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کتاب الطلاق، أبواب العدد،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يسهّل الأمر أنّ الولد للفراش فما دام يمكن لحوق الولد بالزوج شرعاً لا وجه للتحرّز عن اختلاط المياه ولا يضرّ ذلك، وإن لم تكن ذات بعل فكذلك لا يوجب اختلاطها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تكن حاملاً ولا ذات بعل فأرادت التزوّج فيأتي الإشكال، كما أنّ الشهيد الثاني أيضاً مال إلى لزوم العدّة، فإنّه بعد ذكر تقريب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التحرير أنّ العدّة عليها مع عدم الحمل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به؛ حذراً من اختلاط المياه وتشويش الأنساب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مسالك الأفهام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الفيض الكاشاني في المفاتيح إلى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ثبوتها مطلقاً؛ عملاً بالعمومات وحذراً من اختلاط المياه وتشويش الأنساب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ولصاحب الحدائق هنا كلام جدير بالذكر على طوله، إتماماً للفائدة وإكمالاً للكلام في عدّة المزنيّ بها، بل وتأييداً لما مرّ منّا في أوّل التعليقة،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في كلام الأصحاب، بل الظاهر أنّه لا خلاف فيه أنّه لا عدّة على الزانية إذا كانت ذات حمل من الزاني، أمّا لو لم تكن كذلك فالمشهور أيضاً أنّه لا عدّة عليها،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بوجوبها، وإليه مال العلاّمة في التحرير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في التحرير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زنت امرأة خالية من بعلفحملت لم يكن عليها عدّة من الزنا، وجاز لها التزويج، ولو لم يحمل فالأقرب أنّ عليها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المحدّث الكاشاني في المفاتيح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عدّة للزاني مع الحمل بلا خلاف؛ إذ لا حرمة له، وبدونه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أشهرهما العدم وأثبتها في التحرير،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ثبوتها مطلقاً؛ عملاً بالعمومات وحذراً من اختلاط المياه وتشويش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أراد بالعمومات ما ورد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عدّة روايات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الغسل والعدّة والمهر والرجم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کتاب النکاح، أبواب المهور، 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کتاب النکاح، أبواب المهور، الباب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الحديث</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 ذلك وهو شاملٌ بإطلاقه للزنا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العلّة الثانية، وهي المحاذرة من اختلاط المياه وتشويش الأنساب، فهي لا تنطبق على الإطلاق الذي اختاره؛ إذ مع الحمل لا يلزم ذلك كما لا يخفى، وإنّما يتّجه في غير صورة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وقفت عليه من الأخبار المتعلّقة بذلك رواية إسحاق بن جرير المتقدّمة في القسم الثالث، وهي دالّة على أنّه لا يجوز لمن فجر بالمرأة أن يتزوّجها حتّى تنقضي عدّتها باستبراء رحمها من ماء الفجور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کتاب الطلاق، أبواب العدد،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الحسن بن عليّ بن شعبة في كتاب تحف العقول عن أبي جعفر محمّد بن عليّ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رجل نكح امرأة على زنا، أ يحلّ له أن يتزوّجها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يدعها حتّى يستبرئها من نطفته ونطقة غيره، إذ لا يؤمن منها أن تكون قد أحدثت مع غيره حدثاً كما أحدثت معه، ثمّ يتزوّج بها إذا أراد، فإنّما مثلها مثل نخلة أكل رجل منها حراماً، ثمّ اشتراها فأكل منها حلالاً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کتاب الطلاق، أبواب العدد، 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فى التهذيب عن زرعة، عن سماعة في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جارية فوثب عليها ابن له ففجر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رجل عنده جارية وله زوجة فأمرت ولدها أن يثب على جارية أبيه ففجر بها فسئل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ذلك على أبيه، إلّا أنّه لا ينبغي له أن يأتيها حتّى يستبرئها للولد، فإن وقع فيما بينهما ولد فالولد للأب إن كانا جامعاها في يوم واحد وشهر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179/627</w:t>
      </w:r>
      <w:r>
        <w:rPr>
          <w:rFonts w:ascii="IRNazanin" w:hAnsi="IRNazanin" w:eastAsia="IRNazanin"/>
          <w:color w:val="111111"/>
          <w:sz w:val="28"/>
          <w:sz w:val="28"/>
          <w:szCs w:val="28"/>
          <w:rtl w:val="true"/>
          <w:lang w:bidi="fa-IR"/>
        </w:rPr>
        <w:t xml:space="preserve">، باب لحوق الأولاد بالآباء وثبوت الأنساب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کتاب النکاح، أبواب نكاح العبيد والإماء، الباب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العمل بهذه الأخبار مال المحدّث الشيخ محمّد بن الحسن الحرّ العاملي، فقال في بدايته بوجوب العدّة على الزانية إذا أرادت أن يتزوّج الزاني أو غيره، وهو جيّد، إلّا أنّ عبارته مطلقة في وجوب العدّة على الزانية؛ حاملاً كانت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الروايات المذكورة من حيث التعليل فيها باستبراء الرحم، التخصيص بغير الحامل كما لا يخفى، وما تعلّق به أصحابنا النافين للعدّة من حيث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ماء الزاني لا حرمة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 النصوص</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خبيرٌ بأنّ المستفاد من روايتي إسحاق بن جرير ورواية كتاب تحف العقول تخصيص وجوب الاستبراء بغير ذات البعل إذا أرادت أن يتزوّج الزاني وغيره، وهو الذي صرّح به القائلون بوجوب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كانت ذات بعل فإشكال ينشأ من دلالة الأخبار على أنّ الولد للفراش، فيلحق بالزوج، وإن احتمل كونه من الزاني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کتاب النکاح، أبواب نكاح العبيد والإماء، 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فلا يضرّ اختلاط المياه؛ لأنّ الشارع ألحقه بالزوج، ومن ظاهر موثّقة سماعة المذكورة، ولعلّ الموثّقة المذكورة محمولة على استحباب الاستبراء وكراهة الجماع بدونه، ويخرج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بأن يحمل على ما هو المتعارف من الكراهة، إلّا أنّ عبارة الشيخ المفيدالمتقدّمة ظاهرة فيما دلّت عليه الرواية المذكورة، والاحتياط ظاهر،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الحدائق الناضرة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7" w:name="pg9375_99841"/>
      <w:bookmarkStart w:id="518" w:name="pg9375_99841"/>
      <w:bookmarkEnd w:id="518"/>
    </w:p>
    <w:p>
      <w:pPr>
        <w:pStyle w:val="BookText"/>
        <w:rPr/>
      </w:pPr>
      <w:bookmarkStart w:id="519" w:name="pg9375_99841"/>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رجعيّاً بعد الدخول ثمّ رجع ثمّ طلّقها قبل الدخول لا يجري عليه حكم الطلاق قبل الدخول حتّى لا يحتاج إلى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كون الطلاق الثاني رجعيّاً أو بائناً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5416783_2870459653"/>
      <w:bookmarkStart w:id="521" w:name="_Toc184"/>
      <w:bookmarkEnd w:id="520"/>
      <w:r>
        <w:rPr>
          <w:rtl w:val="true"/>
        </w:rPr>
        <w:t>في الطلاق بعد الرجوع وقبل الدخول</w:t>
      </w:r>
      <w:bookmarkEnd w:id="5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العدّة الأُولى بالرجعة المقتضية لفسخ الطلاق وعود النكاح السابق، بل هو معنى الرجوع في الحقيقة وليست هي سبباً لإنشاء نكاح جديد، وإلّا لتوقّف على رضاها، فيصدق حينئذٍ على الطلاق الثاني أنّه طلاق امرأة مدخول بها بالنكاح الذي يريد فسخه بالطلاق، خلاقاً للعامّة، فأوجبوا علیها إکمال العدّة الأولی التي بطلت بالفراش الحاصل بالرجعة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للاشتراك في الوجه، خلافاً للشيخ</w:t>
      </w:r>
      <w:r>
        <w:rPr>
          <w:rFonts w:eastAsia="Amiri" w:cs="Amiri" w:ascii="Amiri" w:hAnsi="Amiri"/>
          <w:color w:val="111111"/>
          <w:sz w:val="28"/>
          <w:szCs w:val="28"/>
          <w:rtl w:val="true"/>
          <w:lang w:bidi="ar-SA"/>
        </w:rPr>
        <w:t xml:space="preserve">. </w:t>
      </w:r>
      <w:bookmarkStart w:id="522" w:name="pg9375_99842"/>
    </w:p>
    <w:p>
      <w:pPr>
        <w:pStyle w:val="BookText"/>
        <w:rPr/>
      </w:pPr>
      <w:bookmarkEnd w:id="522"/>
      <w:r>
        <w:rPr>
          <w:rFonts w:ascii="Amiri" w:hAnsi="Amiri" w:eastAsia="Amiri" w:cs="Amiri"/>
          <w:color w:val="111111"/>
          <w:sz w:val="28"/>
          <w:sz w:val="28"/>
          <w:szCs w:val="28"/>
          <w:rtl w:val="true"/>
          <w:lang w:bidi="ar-SA"/>
        </w:rPr>
        <w:t>وكذا الحال لو طلّقها بائناً ثمّ جدّد نكاحها في أثناء العدّة ثمّ طلّقها قبل الدخول لا يجري عليها حكم الطلاق قبل الدخول، وكذا الحال فيما إذا عقد عليها منقطعاً ثمّ وهب مدّتها بعد الدخول ثمّ تزوّجها ثمّ طلّقها قبل الدخول، فتوهّم جواز الاحتيال بنكاح جماعة في يوم واحد امرأة شابّة ذات عدّة بما ذكر في غاية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5416785_2870459653"/>
      <w:bookmarkStart w:id="524" w:name="_Toc185"/>
      <w:bookmarkEnd w:id="523"/>
      <w:r>
        <w:rPr>
          <w:rtl w:val="true"/>
        </w:rPr>
        <w:t>فساد توهّم نكاح جماعة في يوم واحد امرأة شابّة بالاحتيال</w:t>
      </w:r>
      <w:bookmarkEnd w:id="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التوهّم أنّ الطلاق بعد النكاح في العدّة أو التزوّج بعد الهبة طلاق غير مدخول بها وذلك نكاح جديد، بخلاف ما كان بعد الرجوع؛ لما مرّ من أنّه هدم للطلاق المانع من النكاح السابق بقاءً، فمع ارتفاع ذلك المانع بالرجوع يبقى النكاح السابق على حاله، فالطلاق الثاني طلاق عن نكاح 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الفساد ولزوم العدّة هو أنّ أدلّة العدّة في المدخول بها ليس فيها تقييد المدخول بها الملحوق بالطلاق حتّى يحصل الفرق بين الرجوع وغيره بل الموضوع فيها المطلّقة المدخول بها وإن كان اتّصافها بالدخول من العقد السابق، فالمرأة المدخول بها مطلقاً لابدّ عليها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نَكَحْتُمُ الْمُؤْمِنَاتِ ثُمَّ طَلَّقْتُمُوهُنَّ مِن قَبْلِ أَن تَمَسُّوهُنَّ فَمَا لَكُمْ عَلَيْهِنَّ مِنْ عِدَّةٍ تَعْتَدُّونَهَا</w:t>
      </w:r>
      <w:r>
        <w:rPr>
          <w:rStyle w:val="FootnoteAnchor"/>
          <w:rtl w:val="true"/>
        </w:rPr>
        <w:footnoteReference w:id="1457"/>
      </w:r>
      <w:r>
        <w:rPr>
          <w:rFonts w:ascii="Amiri" w:hAnsi="Amiri" w:eastAsia="Amiri" w:cs="Amiri"/>
          <w:color w:val="111111"/>
          <w:sz w:val="28"/>
          <w:sz w:val="28"/>
          <w:szCs w:val="28"/>
          <w:rtl w:val="true"/>
          <w:lang w:bidi="ar-SA"/>
        </w:rPr>
        <w:t>هو عدم العدّة قبل الدخول مطلقاً، وهذا هو وجه جواز الاحتيال فيها وفي المنقطعة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ولعدم جوازه هنا يمكن التمسّك بعدّة 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أكّد عليه سيّدنا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حرمة حيل باب الربا العرفي من استلزام تلك الحيل اللّغويّة في حرمة الربا، فإنّ ذلك الوجه جار في توهّم الاحتيال هنا أيضاً، بل قد سبق الأُستاذ،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الوجه على الملكيّة في باب استعمال الحيل، ففيه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شيء تضمّن نقض غرض أصل مشروعيّة الحكم يحكم ببطلانه كما أومأ إلى ذلك غير واحد من الأساطين، ولا ينافي ذلك عدم اعتبار اطّراد الحكمة، ضرورة كون المراد هنا ما عاد على نقض أصل المشروعيّة، كما هو واضح</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آخر وهو أنّ للعدّة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ذي العدّة مثل التوارث والنفقة والرجوع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بغيره من الأجانب حيث لا يجوز لهم التزوّج بها فيها، فعند صيرورتها غير مدخول بها ليست لها عدّة، ولكن تستمرّ أحكام العدّة الأُولى التي تخصّ غير الزوج، ويشهد له روايات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في حديث أنّه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أن يستقبل أمراً جديداً فعل، وليس عليها العدّة منه، وعليها من غيره خمسة وأربعون ليلة</w:t>
      </w:r>
      <w:r>
        <w:rPr>
          <w:rFonts w:eastAsia="IRNazanin" w:cs="IRNazanin"/>
          <w:color w:val="111111"/>
          <w:sz w:val="28"/>
          <w:szCs w:val="28"/>
          <w:rtl w:val="true"/>
          <w:lang w:bidi="fa-IR"/>
        </w:rPr>
        <w:t>».</w:t>
      </w:r>
      <w:r>
        <w:rPr>
          <w:rStyle w:val="FootnoteAnchor"/>
          <w:rtl w:val="true"/>
        </w:rPr>
        <w:footnoteReference w:id="145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ابن أبي عمير في مضمرته،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الرجل المرأة متعة كان عليها عدّة لغيره، فإذا أراد هو أن يتزوّجها لم يكنعليها عدّة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يتزوّجها إذا شاء</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إلى غيرهما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أحسن الوجوه، أنّ المستفاد من قوله تعالى، ليس هو عدم العدّة بل لزوم الاعتداد، فإنّ النكاح المذكور ليس له موضوعيّة بل له طريقيّة، فكأنّه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طَلَّقْتُمُوهُنَّ مِن قَبْلِ أَن تَمَسُّوهُنَّ</w:t>
      </w:r>
      <w:r>
        <w:rPr>
          <w:rStyle w:val="FootnoteAnchor"/>
          <w:rtl w:val="true"/>
        </w:rPr>
        <w:footnoteReference w:id="1461"/>
      </w:r>
      <w:r>
        <w:rPr>
          <w:rFonts w:ascii="Amiri" w:hAnsi="Amiri" w:eastAsia="Amiri" w:cs="Amiri"/>
          <w:color w:val="111111"/>
          <w:sz w:val="28"/>
          <w:sz w:val="28"/>
          <w:szCs w:val="28"/>
          <w:rtl w:val="true"/>
          <w:lang w:bidi="ar-SA"/>
        </w:rPr>
        <w:t>فذكر النكاح لتحقّق الموضوع، ويشهد له الحكمة في العدّة وهي استبراء الرحم وحفظ الأنساب وعدم اختلاط المياه</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وكذلك لو تمتّع رجل بامرأة ودخل بها ،ثمّ وهبها المدّة أو انقضت مدّتها ،ثمّ عقد عليها أيضاً متعة، ثمّ وهبها المدّة قبل الدخول أو انقضت قبله فإنّ المرأة لا عدّة عليها ثانياً، والعدّة الأُولى بطلت بالعقد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هذه الحيلة إلى الشيخ علي لم تثبت، وعلى تقدير الثبوت هو مطالب بالدليل التامّ، فإنّ ما أورده هنا غير تامّ، بل هو مشتمل على تسامح وتساهل وغفلة عجيبة عن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العدّة الأُولى لم تسقط بالعقد الثاني إلّا بالنسبة إلى صاحب العدّة، وأمّا بالنسبة إلى غيره فهي باقية ولا دليل عندنا على إسقاطها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الطلاق الثاني وانقضاء المدّة الثانية أو هبتها ليس شيء منها موجباً للعدّة، والنصّ إنّما دلّ على هذا القدر ولا دلالة له على سقوط العدّة السابقة بوجهٍ وإنّما العدّة المنفية فيه العدّة الثانية، بل نصوص وجوب العدّة في الطلاق بعد الدخول وانقضاء المدّة وهبتها بعده فيها عموم وإطلاق شامل لهذه الصورة وغيرها، بل وقع التصريح في الأحاديث الكثيرة في فتوى علمائنا بأنّ العدّة هنا واجبة على المرأة بالنسبة إلى غير الزوج ساقطة عنها بالنسبة إليه، فمن ادّعى تخصيص هذا العامّ وتقييد هذا المطلق فعليه البيان وإثبات الدعوى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استدلّ بعموم ما دلّ على سقوط العدّة في الحالة الثانية أجبنا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العموم فإنّه إنّما دلّ على عدم وجوب عدّة جديدة بالسبب الحادث، ولا دلالة له على سقوط الأُولى بعموم ولا 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تعارض العمومان وكلّ منهما قابل للتخصيص بالآخر، والنصّ والفتوى والاحتياط يؤيّد ما قلناه، وكذا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أبداً وإنّما تنقضه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والعدّة الأُولى متيقّنة حتّى يحصل اليقين بسقوطها، 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أن ينشد صاحب هذه الحيلة قول أبي فراس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لمن يدّعي خيراً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الفائدة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9375_99845"/>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بالطلاق الرجعي بحكم الزوجة في الأحكام، فما لم يدلّ دليل على الاستثناء يترتّب عليها حكمها ما دامت في العدّة؛ من استحقاق النفقة والسكنى والكسوة إذا لم تكن ولم تصر ناشزة، ومن التوارث بينهما، وعدم جواز نكاح أُختها والخامسة، وكون كفنها وفطرتها عليه، وأمّا البائنة كالمختلعة والمباراة والمطلّقة ثلاثاً فلا يترتّب عليها آثار الزوجيّة مطلقاً لا في العدّة ولا بعدها، نعم لو كانت حاملاً من زوجها استحقّت النفقة والكسوة والسكنى عليه حتّى تضع حملها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5416787_2870459653"/>
      <w:bookmarkStart w:id="527" w:name="_Toc186"/>
      <w:bookmarkEnd w:id="526"/>
      <w:r>
        <w:rPr>
          <w:rtl w:val="true"/>
        </w:rPr>
        <w:t>المطلّقة الرجعيّة بحكم الزوجة بخلاف البائن</w:t>
      </w:r>
      <w:bookmarkEnd w:id="52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كلام في البائن؛ لتحقّق الانفصال والبينونة وقطع العصمة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الرجعي، فإنّها زوجته 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مريضاً ترثه الزوجة ما بين الطلاق وبين سنة؛ بمعنى أنّه إن مات الزوج بعد ما طلّقها في حال المرض بالمرض المزبور لا بسبب آخر على الأقرب، فإن كان موته بعد سنة من حين الطلاق ولو يوماً أو أقلّ لا ترثه، وإن كان</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إلغاء الخصوصيّة من موارد كثيرة واستفادة القاعدة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معلّى بن محمّد، عن بعض أصحابه، عن أبان،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واحدة، ثمّ راجعها قبل أن تنقضي عدّتها ولم يشهد على رجعتها،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امرأته ما لم تنقض العدّة، وقد كان ينبغي له أن يشهد على رجعتها، فإن جهل ذلك فليشهد حين علم ولا أدري بالذي صنع بأساً وإنّ كثيراً من الناس لو أرادوا البيّنة على نكاحهم اليوم لم يجدوا أحداً يثبت الشهادة على ما كان من أمرهما، ولا أرى بالذي صنع بأساً وإن يشهد فهو أحسن</w:t>
      </w:r>
      <w:r>
        <w:rPr>
          <w:rFonts w:eastAsia="IRNazanin" w:cs="IRNazanin"/>
          <w:color w:val="111111"/>
          <w:sz w:val="28"/>
          <w:szCs w:val="28"/>
          <w:rtl w:val="true"/>
          <w:lang w:bidi="fa-IR"/>
        </w:rPr>
        <w:t>».</w:t>
      </w:r>
      <w:r>
        <w:rPr>
          <w:rStyle w:val="FootnoteAnchor"/>
          <w:rtl w:val="true"/>
        </w:rPr>
        <w:footnoteReference w:id="146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طلاق الحبلى؟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يطلّقها واحدة للعدّة بالشهور والشهود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أنيراجعها؟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وهي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راجعها ومسّها ثمّ أراد أن يطلّقها تطليقة أُخرى،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يطلّقها حتّى يمضي لها بعد ما يمسّها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طلّقها ثانية وأشهد ثمّ راجعها وأشهد على رجعتها ومسّها ثمّ طلّقها التطليقة الثالثة وأشهد على طلاقها لكلّ عدّة شهر، هل تبين منه كما تبين المطلّقة للعدّة التي لا تحلّ لزوجها حتّى تنكح زوجاً 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عدّتها أن </w:t>
      </w:r>
      <w:bookmarkStart w:id="528" w:name="pg9375_99847"/>
    </w:p>
    <w:p>
      <w:pPr>
        <w:pStyle w:val="BookText"/>
        <w:rPr/>
      </w:pPr>
      <w:bookmarkEnd w:id="528"/>
      <w:r>
        <w:rPr>
          <w:rFonts w:ascii="Amiri" w:hAnsi="Amiri" w:eastAsia="Amiri" w:cs="Amiri"/>
          <w:color w:val="111111"/>
          <w:sz w:val="28"/>
          <w:sz w:val="28"/>
          <w:szCs w:val="28"/>
          <w:rtl w:val="true"/>
          <w:lang w:bidi="ar-SA"/>
        </w:rPr>
        <w:t>بمقدار سنة وما دونها ترثه؛ سواء كان الطلاق رجعيّاً أو بائناً، وذلك بشروط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تتزوّج المرأة، فلو تزوّجت بعد انقضاء عدّتها، ثمّ مات الزوج لم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يبرأ من المرض الذي طلّقها فيه، فلو برأ منه، ثمّ مرض ومات في أثناء السنة لم ترثه إلّا إذا مات في أثناء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الطلاق بالتماس منها، فلا ترث المختلعة والمباراة؛ لأنّ الطلاق بالتماسهما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 ما في بطنها ثمّ قد حلّت للأزواج</w:t>
      </w:r>
      <w:r>
        <w:rPr>
          <w:rFonts w:eastAsia="Amiri" w:cs="Amiri" w:ascii="Amiri" w:hAnsi="Amiri"/>
          <w:color w:val="111111"/>
          <w:sz w:val="28"/>
          <w:szCs w:val="28"/>
          <w:rtl w:val="true"/>
          <w:lang w:bidi="ar-SA"/>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هذا، وتوهّم دلالتها على كونها زوجته بعد الرجوع لا قبله، فلا دلالة لهما على المطلوب مدفوعٌ بأنّ من الواضح انسداد باب هذا الاحتمال في رواية محمّد بن مسلم، لعدم المعنى لكونها امرأته بعد الرجوع إلى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الاحتمال في الثانية في محلّه، ولكن إبهامها مرتفع بالأُولی؛ مضافاً إلى أنّ الظاهر من الواو حاليّة وذلك الاحتمال موافق للظاهر مع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المفيدين للترتيب والتفريع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المسألة بعد التذكرة التالية</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5416789_2870459653"/>
      <w:bookmarkStart w:id="530" w:name="_Toc187"/>
      <w:bookmarkEnd w:id="529"/>
      <w:r>
        <w:rPr>
          <w:rtl w:val="true"/>
        </w:rPr>
        <w:t>تذكرة</w:t>
      </w:r>
      <w:r>
        <w:rPr>
          <w:rtl w:val="true"/>
        </w:rPr>
        <w:t xml:space="preserve">: </w:t>
      </w:r>
      <w:r>
        <w:rPr>
          <w:rtl w:val="true"/>
        </w:rPr>
        <w:t>في کراهة طلاق المریض وحرمته</w:t>
      </w:r>
      <w:bookmarkEnd w:id="53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هنا مسألة لم يذكرها في المتن، وهي كراهة طلاق المريض، كما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الكراهة هي مضافة إلى أصل الكراهة الموجودة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المحكيّ عن ظاهري المقنعة</w:t>
      </w:r>
      <w:r>
        <w:rPr>
          <w:rStyle w:val="FootnoteAnchor"/>
          <w:rtl w:val="true"/>
        </w:rPr>
        <w:footnoteReference w:id="1466"/>
      </w:r>
      <w:r>
        <w:rPr>
          <w:rFonts w:ascii="Amiri" w:hAnsi="Amiri" w:eastAsia="Amiri" w:cs="Amiri"/>
          <w:color w:val="111111"/>
          <w:sz w:val="28"/>
          <w:sz w:val="28"/>
          <w:szCs w:val="28"/>
          <w:rtl w:val="true"/>
          <w:lang w:bidi="ar-SA"/>
        </w:rPr>
        <w:t>والتهذيب</w:t>
      </w:r>
      <w:r>
        <w:rPr>
          <w:rStyle w:val="FootnoteAnchor"/>
          <w:rtl w:val="true"/>
        </w:rPr>
        <w:footnoteReference w:id="1467"/>
      </w:r>
      <w:r>
        <w:rPr>
          <w:rFonts w:ascii="Amiri" w:hAnsi="Amiri" w:eastAsia="Amiri" w:cs="Amiri"/>
          <w:color w:val="111111"/>
          <w:sz w:val="28"/>
          <w:sz w:val="28"/>
          <w:szCs w:val="28"/>
          <w:rtl w:val="true"/>
          <w:lang w:bidi="ar-SA"/>
        </w:rPr>
        <w:t>هو الحرمة حيث عبّرا بعدم الجواز، بل هو المحكيّ عن ظاهر الاستبصار،</w:t>
      </w:r>
      <w:r>
        <w:rPr>
          <w:rStyle w:val="FootnoteAnchor"/>
          <w:rtl w:val="true"/>
        </w:rPr>
        <w:footnoteReference w:id="1468"/>
      </w:r>
      <w:r>
        <w:rPr>
          <w:rFonts w:ascii="IRNazanin" w:hAnsi="IRNazanin" w:eastAsia="IRNazanin"/>
          <w:color w:val="111111"/>
          <w:sz w:val="28"/>
          <w:sz w:val="28"/>
          <w:szCs w:val="28"/>
          <w:rtl w:val="true"/>
          <w:lang w:bidi="fa-IR"/>
        </w:rPr>
        <w:t>فقبل التعرّض للمسألة نتكلّم حول هذه التي لم يذكرها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الظاهرة في عدم الجواز 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للمريض أن يطلّق، وله أن يتزوّج، فإن هو تزوّج ودخل بها فهو جائز، وإن لم يدخل بها حتّى مات في مرضه فنكاحه باطل، ولا مهر لها ولا ميراث</w:t>
      </w:r>
      <w:r>
        <w:rPr>
          <w:rFonts w:eastAsia="IRNazanin" w:cs="IRNazanin"/>
          <w:color w:val="111111"/>
          <w:sz w:val="28"/>
          <w:szCs w:val="28"/>
          <w:rtl w:val="true"/>
          <w:lang w:bidi="fa-IR"/>
        </w:rPr>
        <w:t>».</w:t>
      </w:r>
      <w:r>
        <w:rPr>
          <w:rStyle w:val="FootnoteAnchor"/>
          <w:rtl w:val="true"/>
        </w:rPr>
        <w:footnoteReference w:id="1469"/>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المريض أ له أن يطلّق امرأته في تلك الحال؟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له أن يتزوّج إن شاء، فإن دخل بها ورثته وإن لم يدخل بها فنكاحه باطل</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موثّق عبيد بن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يجوز طلاق المريض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71"/>
      </w:r>
      <w:r>
        <w:rPr>
          <w:rFonts w:ascii="Amiri" w:hAnsi="Amiri" w:eastAsia="Amiri" w:cs="Amiri"/>
          <w:color w:val="111111"/>
          <w:sz w:val="28"/>
          <w:sz w:val="28"/>
          <w:szCs w:val="28"/>
          <w:rtl w:val="true"/>
          <w:lang w:bidi="ar-SA"/>
        </w:rPr>
        <w:t>ويجوز نكاحه</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للمريض أن يطلّق، وله أن يتزوّج</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نسبة عدم الجواز في الثالث إلى الطلاق الذي يكون مقصوداً للغير، كالبيع والإجارة هو البطلان فعدم الجواز والنهي المتعلّق بمثله ظاهر في البطلان وعدم النفوذ عرفاً؛ حيث إنّ الغرض منه البينونة لا نفس الطلاق بما هو هو، فالطلاق مثل البيع؛ حيث إنّه ليس مطلوباً بنفسه بل يكون مطلوباً لغرض النقل والانتقال،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في مثل موثّقة زرارة أيضاً بنفي السلطة له دليل على البطلان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مقابلها أخبار مستفيضة، إن لم نقل أنّها متواترة، متكفلّة لبيان حكم إرث تلك الزوجة، فإنّها تدلّ على صحّة الطلاق كما سنذكرها،مضافاً إلى أنّ صحيحة الحلبي معارضة على نحو التباين للثالث الموثّق، ففيها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يحضره الموت فيطلّق امرأته، هل يجوز طلاقه؟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مات ورثته، وإن ماتت لم يرثها</w:t>
      </w:r>
      <w:r>
        <w:rPr>
          <w:rFonts w:eastAsia="Amiri" w:cs="Amiri" w:ascii="Amiri" w:hAnsi="Amiri"/>
          <w:color w:val="111111"/>
          <w:sz w:val="28"/>
          <w:szCs w:val="28"/>
          <w:rtl w:val="true"/>
          <w:lang w:bidi="ar-SA"/>
        </w:rPr>
        <w:t>».</w:t>
      </w:r>
      <w:r>
        <w:rPr>
          <w:rStyle w:val="FootnoteAnchor"/>
          <w:rtl w:val="true"/>
        </w:rPr>
        <w:footnoteReference w:id="147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والتعارض بين الجواز المدلول عليه في الصحيحة وعدمه المذكور في الموثّق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بل هي معارضة للثلاث الأُخرى أيضاً، بناءً على دلالة هذه الثلاث على الفساد، بل وبناءً على الدلالة على الحرمة، فإنّ الجواز في الصحيحة مقابل لعدم الجواز ولعدم كون الطلاق بيده في تلك الأخبار، فإن كان المراد منها التكليفي فكذلك الصحيحة، وإن كان المراد الوضعي فكذلك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رفع التعارض والجمع بين الطائفتين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الأربعة تدلّ على الحرمة، والروايات الأُخرى على النفوذ والصحّة، ولامنافاة بين صحّة المعاملة وحرمتها كالبيع وقت النداء، وتشهد له صحيحة الحلبي كما مرّ آنفاً، فإنّ المراد من الجواز هو النفوذ؛ لأنّ السؤال هو بعد الوقوع، فكأنّه سأل أنّ هذا الطلاق هل هو نافذ أم لا؟</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في تلك الروايات أيضاً ظاهرٌ في عدم الصحّة، كما مرّ بيانه</w:t>
      </w:r>
      <w:r>
        <w:rPr>
          <w:rFonts w:eastAsia="Amiri" w:cs="Amiri" w:ascii="Amiri" w:hAnsi="Amiri"/>
          <w:color w:val="111111"/>
          <w:sz w:val="28"/>
          <w:szCs w:val="28"/>
          <w:rtl w:val="true"/>
          <w:lang w:bidi="ar-SA"/>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بينهما بأنّ الجواز وعدم الجواز في الطائفتين إضافي، فإنّ الطائفة الأُولی تدلّ على عدم نفوذ الطلاق بالنسبة إلى الإرث والطائفة الثانية على نفوذه بالنسبة إلى غير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ترى جمع تبرّعي لا شاهد له، مع أنّه مخالفٌ لنصّ الحلبي الدالّ على النفوذ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الأربعة المذكورة على الكراهة بين الطائفتين، فإنّ نفي الجواز ظاهر في الحرمة وإثباته نصّ في الجواز والنصّ مقدّم على الظاهر ويكون محمولاً على الكراهة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غير جارية في مثل التعبير بكلمتي المثبت والمنفيّ مثل كلمة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من أظهر مصاديق التعارض بين النفي والإثبات والأمر والنهي، والجمع المذكور تبرّعي غير عرفي وإلّا فاللازم من صحّة الجمع كذلك وعرفيّته عدم وجود التعارض أصلاً في الأدلّة؛ لأنّه بعد إمكان الجمع بين النفي والإثبات لم يبق مورد للتعارض ولا للأخبار العلاجيّة على كثرتها وهو كما تری، والفرق الفارق بين مثل النصّ والظاهر كذلك مع غيرهما منهما أنّ النصوصيّة في مثل المورد بالدلالة الالتزاميّة وفي غيره بالمطابقة والتقديم منحصرٌ عرفاً في الثاني دون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بالنصّ المدلول عليه بالدلالة الالتزاميّة وتقديمه على الظاهر موجبٌ لعدم الأخذ، فوجوده سببٌ لعدمه، وتحقيق البحث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الأربع ليست دالّة على الحرمة لا وضعاً ولا تكليفاً، ولا يفيد في نفسها أزيد من الكراهة، فإنّها قاصرة عن الدلالة على الحرمة، أمّا عدم إفادتها الحرمة، فلأنّ الجملة المستدلّ بها على الحرمة خبريّة لا ناهية، ودلالة الجملة النافية الخبريّة على الحرمة محلّ إشكالٍ، بل منع إلّا إذا اُعقبه بإيعاد العذاب، مضافاً إلى أنّ المناسبة بين الحكم والموضوع أيضاً مقتضية لذلك، فلو كان المراد هو الحرمة كان اللازم الإتيان بالنهي أو التعقيب ببيان العذاب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إفادتها الفساد، فلأنّه إنّما يتمّ على دلالة الروايات على نفي السلطنة وهي غير تمام، فإنّ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ذلك؛لاستلزامه ذكر المعلول لإفادة العلّة، حيث إنّ عدم الطلاق له معلول عن نفي سلطنته عليه، وذكر المعلول وإرادة العلّة مجاز لا يصار إليه إلّا بالقرينة، فإن كان المراد هو نفى السلطنة كان </w:t>
      </w:r>
      <w:bookmarkStart w:id="531" w:name="pg9375_99852"/>
    </w:p>
    <w:p>
      <w:pPr>
        <w:pStyle w:val="BookText"/>
        <w:rPr/>
      </w:pPr>
      <w:bookmarkEnd w:id="5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الطلاق بيد المريض، ويشهد له روايات السلطنة،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xml:space="preserve">ولعلّ مراد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المقنعة</w:t>
      </w:r>
      <w:r>
        <w:rPr>
          <w:rStyle w:val="FootnoteAnchor"/>
          <w:rtl w:val="true"/>
        </w:rPr>
        <w:footnoteReference w:id="1477"/>
      </w:r>
      <w:r>
        <w:rPr>
          <w:rFonts w:ascii="Amiri" w:hAnsi="Amiri" w:eastAsia="Amiri" w:cs="Amiri"/>
          <w:color w:val="111111"/>
          <w:sz w:val="28"/>
          <w:sz w:val="28"/>
          <w:szCs w:val="28"/>
          <w:rtl w:val="true"/>
          <w:lang w:bidi="ar-SA"/>
        </w:rPr>
        <w:t>والتهذيب</w:t>
      </w:r>
      <w:r>
        <w:rPr>
          <w:rStyle w:val="FootnoteAnchor"/>
          <w:rtl w:val="true"/>
        </w:rPr>
        <w:footnoteReference w:id="1478"/>
      </w:r>
      <w:r>
        <w:rPr>
          <w:rFonts w:ascii="Amiri" w:hAnsi="Amiri" w:eastAsia="Amiri" w:cs="Amiri"/>
          <w:color w:val="111111"/>
          <w:sz w:val="28"/>
          <w:sz w:val="28"/>
          <w:szCs w:val="28"/>
          <w:rtl w:val="true"/>
          <w:lang w:bidi="ar-SA"/>
        </w:rPr>
        <w:t>وكذا الاستبصار</w:t>
      </w:r>
      <w:r>
        <w:rPr>
          <w:rStyle w:val="FootnoteAnchor"/>
          <w:rtl w:val="true"/>
        </w:rPr>
        <w:footnoteReference w:id="1479"/>
      </w:r>
      <w:r>
        <w:rPr>
          <w:rFonts w:ascii="Amiri" w:hAnsi="Amiri" w:eastAsia="Amiri" w:cs="Amiri"/>
          <w:color w:val="111111"/>
          <w:sz w:val="28"/>
          <w:sz w:val="28"/>
          <w:szCs w:val="28"/>
          <w:rtl w:val="true"/>
          <w:lang w:bidi="ar-SA"/>
        </w:rPr>
        <w:t>من عدم الجواز، أيضاً هو الكراهة، كما أفاد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480"/>
      </w:r>
      <w:r>
        <w:rPr>
          <w:rFonts w:ascii="Amiri" w:hAnsi="Amiri" w:eastAsia="Amiri" w:cs="Amiri"/>
          <w:color w:val="111111"/>
          <w:sz w:val="28"/>
          <w:sz w:val="28"/>
          <w:szCs w:val="28"/>
          <w:rtl w:val="true"/>
          <w:lang w:bidi="ar-SA"/>
        </w:rPr>
        <w:t>بأنّهما قد أرادا الكراهة من عدم الجواز غير مرّة</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416791_2870459653"/>
      <w:bookmarkStart w:id="533" w:name="_Toc188"/>
      <w:bookmarkEnd w:id="532"/>
      <w:r>
        <w:rPr>
          <w:rtl w:val="true"/>
        </w:rPr>
        <w:t>مقامات في أصل المسألة</w:t>
      </w:r>
      <w:r>
        <w:rPr>
          <w:rtl w:val="true"/>
        </w:rPr>
        <w:t>:</w:t>
      </w:r>
      <w:bookmarkEnd w:id="533"/>
    </w:p>
    <w:p>
      <w:pPr>
        <w:pStyle w:val="Heading4"/>
        <w:numPr>
          <w:ilvl w:val="3"/>
          <w:numId w:val="1"/>
        </w:numPr>
        <w:rPr/>
      </w:pPr>
      <w:bookmarkStart w:id="534" w:name="__RefHeading___Toc5416793_2870459653"/>
      <w:bookmarkStart w:id="535" w:name="_Toc189"/>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أمّا الكلام في أصل المسألة يقع في مقامات</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416795_2870459653"/>
      <w:bookmarkStart w:id="537" w:name="_Toc190"/>
      <w:bookmarkEnd w:id="536"/>
      <w:r>
        <w:rPr>
          <w:rtl w:val="true"/>
        </w:rPr>
        <w:t>المقام الأوّل</w:t>
      </w:r>
      <w:r>
        <w:rPr>
          <w:rtl w:val="true"/>
        </w:rPr>
        <w:t xml:space="preserve">: </w:t>
      </w:r>
      <w:r>
        <w:rPr>
          <w:rtl w:val="true"/>
        </w:rPr>
        <w:t>في ثبوت التوارث في الرجعيّة وعدمه في البائن</w:t>
      </w:r>
      <w:bookmarkEnd w:id="537"/>
    </w:p>
    <w:p>
      <w:pPr>
        <w:pStyle w:val="BookText"/>
        <w:rPr/>
      </w:pPr>
      <w:r>
        <w:rPr>
          <w:rFonts w:ascii="Amiri" w:hAnsi="Amiri" w:eastAsia="Amiri" w:cs="Amiri"/>
          <w:color w:val="111111"/>
          <w:sz w:val="28"/>
          <w:sz w:val="28"/>
          <w:szCs w:val="28"/>
          <w:rtl w:val="true"/>
          <w:lang w:bidi="ar-SA"/>
        </w:rPr>
        <w:t>إنّ ثبوت التوارث بين الزوجين في الرجعيّة وعدمه في البائن على المشهور، بل ادّعى عليه الإجماع</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 xml:space="preserve">ويدلّ على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الشهرة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العصمة بينهما بالطلاق البائن، والزوج خاطب من الخطاب في هذا القسم، وهذا بخلاف الرجعي فإنّها زوجته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طلّقالرجل امرأته توارثا ما كانت في العدّة، فإذا طلّقها التطليقة الثالثة فليس له عليها الرجعة ولا ميراث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يطلّق المرأة؟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يرثها وترثه ما دام له عليها رجعة</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وتوهّم أنّ الموثّقة تدلّ على التوارث من الطرفين في العدّة الرجعيّة من دون الدلالة على عدم الإرث لكلّ واحد منها في غير الرجعيّة إلّا بالمفهوم وهو ليس بأزيد من عدم المطلق في غير الرجعيّة وعدم المطلق كذلك أعمّ من عدم الإرث من الطرفين أو من طرف واحد ولا معيّن لخصوص الأوّل، فالاستدلال بها لعدم الإرث في البائن من الطرفين غير 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بأنّ السؤال لمّا كان عن مطلق إرث المطلّق والمطلّقة لا الرجعيّة فقط فلو لم يكن المراد من الجواب عدم الإرث في البائن مطلقاً وكان مجملاً ومردّداً بين الأمرين كان الجواب ناقصاً وهو كما ترى؛ فعلى هذا، إنّ المفهوم منها هو عدم إرث كلّ واحد منهما في الطلاق البائن صوناً لكلام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الإبهام والنقص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زياد،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ترث وتورث ما کان له الرجعة بين التطليقتين الأوّلتين حتّى تغتسل</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زياد هذا هو الصيقل ظاهراً؛ لنقل ابن مسكان عنه وهو وإن لم يوثّق كغيره من المسمّين بمثله إلّا ابن زياد العطّار، لكن نقل ابن مسكان ويونس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وأبان بن عثمان من أصحاب الإجماع عنه، وكذا نقل جعفر بن بشير الذي روى عن الثقات ورووا عنه وجماعة عنه وكثرة رواياته وكون كتابه معتمد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استفاده السيّد المحقّق صدر الدين في حواشي المنتهى من دلالة الرواية على تسليمه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تنقيح المقال</w:t>
      </w:r>
      <w:r>
        <w:rPr>
          <w:rStyle w:val="FootnoteAnchor"/>
          <w:rtl w:val="true"/>
        </w:rPr>
        <w:footnoteReference w:id="1485"/>
      </w:r>
      <w:r>
        <w:rPr>
          <w:rFonts w:ascii="Amiri" w:hAnsi="Amiri" w:eastAsia="Amiri" w:cs="Amiri"/>
          <w:color w:val="111111"/>
          <w:sz w:val="28"/>
          <w:sz w:val="28"/>
          <w:szCs w:val="28"/>
          <w:rtl w:val="true"/>
          <w:lang w:bidi="ar-SA"/>
        </w:rPr>
        <w:t>وغيره</w:t>
      </w:r>
      <w:r>
        <w:rPr>
          <w:rStyle w:val="FootnoteAnchor"/>
          <w:rtl w:val="true"/>
        </w:rPr>
        <w:footnoteReference w:id="1486"/>
      </w:r>
      <w:r>
        <w:rPr>
          <w:rFonts w:ascii="Amiri" w:hAnsi="Amiri" w:eastAsia="Amiri" w:cs="Amiri"/>
          <w:color w:val="111111"/>
          <w:sz w:val="28"/>
          <w:sz w:val="28"/>
          <w:szCs w:val="28"/>
          <w:rtl w:val="true"/>
          <w:lang w:bidi="ar-SA"/>
        </w:rPr>
        <w:t>من الأُمور الموجبة للمدح، كافية في اعتباره وصحّة الاستناد إلى خبره، ودلالته بالمفهوم كالسابقة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المراد من الاغتسال هو الغسل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في العدّة من تماميّة الطهر الثالث المخالف لمذهب الإماميّة من كفاية رؤية الدم الثالث ولذا حمل على التقيّة لمذهب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في المرأة إذا طلّقها، ثمّ توفّي عنها زوجها وهي في عدّة منه، ما لم تحرم عليه فإنّها ترثه ويرثها ما دامت في الدم من حيضتها الثالثة في التطليقتين الأوّلتين، فإن طلّقها ثلاثاً فإنّها لا ترث من زوجها ولا يرث منها، فإن قتلت ورث من ديتها، وإن قتل ورثت من ديته ما لم يقتل أحدهما صاحبه</w:t>
      </w:r>
      <w:r>
        <w:rPr>
          <w:rFonts w:eastAsia="IRNazanin" w:cs="IRNazanin"/>
          <w:color w:val="111111"/>
          <w:sz w:val="28"/>
          <w:szCs w:val="28"/>
          <w:rtl w:val="true"/>
          <w:lang w:bidi="fa-IR"/>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يدلّ على الحكمين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نصوص عدّة الوفاة،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امرأته، ثمّ توفّي عنها وهي في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ترثه وتعتدّ عدّة المتوفّى عنها زوجها، وإن توفّيت هي في عدّتها فإنّه يرثها،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واحد منهما يرث من دية صاحبه لو قتل ما لم يقتل أحدهما الآخر</w:t>
      </w:r>
      <w:r>
        <w:rPr>
          <w:rFonts w:eastAsia="Amiri" w:cs="Amiri" w:ascii="Amiri" w:hAnsi="Amiri"/>
          <w:color w:val="111111"/>
          <w:sz w:val="28"/>
          <w:szCs w:val="28"/>
          <w:rtl w:val="true"/>
          <w:lang w:bidi="ar-SA"/>
        </w:rPr>
        <w:t>».</w:t>
      </w:r>
      <w:r>
        <w:rPr>
          <w:rStyle w:val="FootnoteAnchor"/>
          <w:rtl w:val="true"/>
        </w:rPr>
        <w:footnoteReference w:id="1488"/>
      </w:r>
      <w:r>
        <w:rPr>
          <w:rFonts w:ascii="Amiri" w:hAnsi="Amiri" w:eastAsia="Amiri" w:cs="Amiri"/>
          <w:color w:val="111111"/>
          <w:sz w:val="28"/>
          <w:sz w:val="28"/>
          <w:szCs w:val="28"/>
          <w:rtl w:val="true"/>
          <w:lang w:bidi="ar-SA"/>
        </w:rPr>
        <w:t>وفي تقييد التوارث في الجواب بالمعتدّة الرجعيّة لأنّها التي عليها عدّة الوفاة دون المعتدّة البائنة دلالة مفهوميّة على عدمه في البائن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ثمّ إنّه مات قبل أن تنقضي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المتوفّى عنها زوجها، ولها الميراث</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ودلالتها كالسابق بالمفهوم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ناقش ما ذهب إليه صاحب المدارك</w:t>
      </w:r>
      <w:r>
        <w:rPr>
          <w:rStyle w:val="FootnoteAnchor"/>
          <w:rtl w:val="true"/>
        </w:rPr>
        <w:footnoteReference w:id="1490"/>
      </w:r>
      <w:r>
        <w:rPr>
          <w:rFonts w:ascii="Amiri" w:hAnsi="Amiri" w:eastAsia="Amiri" w:cs="Amiri"/>
          <w:color w:val="111111"/>
          <w:sz w:val="28"/>
          <w:sz w:val="28"/>
          <w:szCs w:val="28"/>
          <w:rtl w:val="true"/>
          <w:lang w:bidi="ar-SA"/>
        </w:rPr>
        <w:t>وتبعه في ذلك صاحب الكفاية،</w:t>
      </w:r>
      <w:r>
        <w:rPr>
          <w:rStyle w:val="FootnoteAnchor"/>
          <w:rtl w:val="true"/>
        </w:rPr>
        <w:footnoteReference w:id="1491"/>
      </w:r>
      <w:r>
        <w:rPr>
          <w:rFonts w:ascii="Amiri" w:hAnsi="Amiri" w:eastAsia="Amiri" w:cs="Amiri"/>
          <w:color w:val="111111"/>
          <w:sz w:val="28"/>
          <w:sz w:val="28"/>
          <w:szCs w:val="28"/>
          <w:rtl w:val="true"/>
          <w:lang w:bidi="ar-SA"/>
        </w:rPr>
        <w:t>فإنّهما ذهبا إلى أنّ الزوج المطلّق بالرجعي في حال المرض لا يرث في العدّة كالبائن، واستدلّا بما مرّ من 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يحضره الموت فيطلّق امرأته، هل يجوز طلاقه؟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مات ورثته وإن ماتت لم يرثها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حيث إنّ إطلاقها يشمل الرجعي والبائن، والبائن لا كلام فيه والرجعي هنا يختصّ بطلاق المريض، وهي مقدّمة على غيرها من النصوص؛ لأنّها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الجواهر</w:t>
      </w:r>
      <w:r>
        <w:rPr>
          <w:rStyle w:val="FootnoteAnchor"/>
          <w:rtl w:val="true"/>
        </w:rPr>
        <w:footnoteReference w:id="1493"/>
      </w:r>
      <w:r>
        <w:rPr>
          <w:rFonts w:ascii="Amiri" w:hAnsi="Amiri" w:eastAsia="Amiri" w:cs="Amiri"/>
          <w:color w:val="111111"/>
          <w:sz w:val="28"/>
          <w:sz w:val="28"/>
          <w:szCs w:val="28"/>
          <w:rtl w:val="true"/>
          <w:lang w:bidi="ar-SA"/>
        </w:rPr>
        <w:t xml:space="preserve">بأنّها مختصّة ببعد العدّة واستشهد برواية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الحلبي وأبي بصير وأبي العبّاس جميعاً،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ولا يرثها إذا انقضت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المعلوم كون الموضوع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المريض كما لا يخفى على من لاحظ الكافي، فإنّه رواه بعد أن روى عن أبي العبّاس طلاق المريض على وجه يعلم منه أنّ مرجع الضمير فيه ذلك على أنّه لا يتمّ بقرينة غيره من النصوص إلّاعلى ذلك فهو حينئذٍ مقيّد لصحيح الحلبي</w:t>
      </w:r>
      <w:r>
        <w:rPr>
          <w:rFonts w:eastAsia="Amiri" w:cs="Amiri" w:ascii="Amiri" w:hAnsi="Amiri"/>
          <w:color w:val="111111"/>
          <w:sz w:val="28"/>
          <w:szCs w:val="28"/>
          <w:rtl w:val="true"/>
          <w:lang w:bidi="ar-SA"/>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ويرد عليه أنّ رواية هؤلاء الثلاثه مرسلة فلا يكاد أن يكون شاهداً على حمل الصحيحة بعد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ينبغي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يعتمد على ما رواه المشائخ الثلاثة عن ابن أبي عمير، عن جميل، عن أبي العبّاس،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ويستشهد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في مرضه ورثته ما دام في مرضه ذلك وإن انقضت عدّتها إلّا أن يصحّ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 به المرض؟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بينه وبين سنة</w:t>
      </w:r>
      <w:r>
        <w:rPr>
          <w:rFonts w:eastAsia="IRNazanin" w:cs="IRNazanin"/>
          <w:color w:val="111111"/>
          <w:sz w:val="28"/>
          <w:szCs w:val="28"/>
          <w:rtl w:val="true"/>
          <w:lang w:bidi="fa-IR"/>
        </w:rPr>
        <w:t>».</w:t>
      </w:r>
      <w:r>
        <w:rPr>
          <w:rStyle w:val="FootnoteAnchor"/>
          <w:rtl w:val="true"/>
        </w:rPr>
        <w:footnoteReference w:id="1496"/>
      </w:r>
      <w:r>
        <w:rPr>
          <w:rFonts w:ascii="Amiri" w:hAnsi="Amiri" w:eastAsia="Amiri" w:cs="Amiri"/>
          <w:color w:val="111111"/>
          <w:sz w:val="28"/>
          <w:sz w:val="28"/>
          <w:szCs w:val="28"/>
          <w:rtl w:val="true"/>
          <w:lang w:bidi="ar-SA"/>
        </w:rPr>
        <w:t>فإنّ التهذيب ذكر تلك الرواية بعد هذه الصحيحة فكان ينبغي إرجاع الأمر إلى ما فعله في التهذيب، وأمّا أصل الحمل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ويخطر بالبال أنّ ما أجاب به صاحب الجواهر ليس بتمام ومناقشةالسيّد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w:t>
      </w:r>
      <w:r>
        <w:rPr>
          <w:rStyle w:val="FootnoteAnchor"/>
          <w:rtl w:val="true"/>
        </w:rPr>
        <w:footnoteReference w:id="1497"/>
      </w:r>
      <w:r>
        <w:rPr>
          <w:rFonts w:ascii="Amiri" w:hAnsi="Amiri" w:eastAsia="Amiri" w:cs="Amiri"/>
          <w:color w:val="111111"/>
          <w:sz w:val="28"/>
          <w:sz w:val="28"/>
          <w:szCs w:val="28"/>
          <w:rtl w:val="true"/>
          <w:lang w:bidi="ar-SA"/>
        </w:rPr>
        <w:t>والسبزواري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في محلّها؛</w:t>
      </w:r>
      <w:r>
        <w:rPr>
          <w:rStyle w:val="FootnoteAnchor"/>
          <w:rtl w:val="true"/>
        </w:rPr>
        <w:footnoteReference w:id="1498"/>
      </w:r>
      <w:r>
        <w:rPr>
          <w:rFonts w:ascii="Amiri" w:hAnsi="Amiri" w:eastAsia="Amiri" w:cs="Amiri"/>
          <w:color w:val="111111"/>
          <w:sz w:val="28"/>
          <w:sz w:val="28"/>
          <w:szCs w:val="28"/>
          <w:rtl w:val="true"/>
          <w:lang w:bidi="ar-SA"/>
        </w:rPr>
        <w:t xml:space="preserve">لأنّ رواية أبي العبّاس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السابقة على رواية هؤلاء الثلاثة في الطلاق البائن لا الرجعي، حيث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وهو مريض تطليقة وقد كان طلّقها قبل ذلك تطليقتين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في الطلاق الثالث وهو بائن فأجاب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ترثه إذا كان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هؤلاء الثلاثة لا يكاد يمكن أن يكون ذيلاً لرواية أبي العبّاس السابقة لاستلزامه كون التقييد بانقضاء العدّة في غير محلّه، فإنّ الزوج المطلّق لا ترثها المطلَّقه البائنة؛ سواء ماتت قبل انقضاء العدّة أو بعده، وسواء وقع الطلاق حال المرض أم لا، وإذا لم يكن ذيلاً لها فصدر الرواية غير معلومة هل كان في الطلاق الرجعي أم البائن، حال السلامة أم المرض فيحتمل أن يكون جواباً عن الطلاق الرجعي حال المرض فيكون معارضاً لصحيحة الحلبي الدالّة على عدم إرثه منها أيّام العدّة لا شاهداً للجمع بينها وبين ما دلّ على إرثه منها ما دامت في العدّة، مضافاً إلى أنّه يناسب الاعتبار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قاله بعض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حرمان الزوج عن الإرث أيّام العدّة غير موافق للحكمة، مدفوعٌ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w:t>
      </w:r>
      <w:r>
        <w:rPr>
          <w:rStyle w:val="FootnoteAnchor"/>
          <w:rtl w:val="true"/>
        </w:rPr>
        <w:footnoteReference w:id="1499"/>
      </w:r>
      <w:r>
        <w:rPr>
          <w:rFonts w:ascii="Amiri" w:hAnsi="Amiri" w:eastAsia="Amiri" w:cs="Amiri"/>
          <w:color w:val="111111"/>
          <w:sz w:val="28"/>
          <w:sz w:val="28"/>
          <w:szCs w:val="28"/>
          <w:rtl w:val="true"/>
          <w:lang w:bidi="ar-SA"/>
        </w:rPr>
        <w:t>فإنّ الزوج المريض أراد بالطلاق حرمان زوجته عن الإرث، فحكم الشارع بحرمان نفسه عن الإرث منها عقوبة له، فهذا مناسب للاعتبار والحكمة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صحيحة الحلبي المتقدّمة؛ فما ذهب إليه صاحب المدارك</w:t>
      </w:r>
      <w:r>
        <w:rPr>
          <w:rStyle w:val="FootnoteAnchor"/>
          <w:rtl w:val="true"/>
        </w:rPr>
        <w:footnoteReference w:id="1500"/>
      </w:r>
      <w:r>
        <w:rPr>
          <w:rFonts w:ascii="Amiri" w:hAnsi="Amiri" w:eastAsia="Amiri" w:cs="Amiri"/>
          <w:color w:val="111111"/>
          <w:sz w:val="28"/>
          <w:sz w:val="28"/>
          <w:szCs w:val="28"/>
          <w:rtl w:val="true"/>
          <w:lang w:bidi="ar-SA"/>
        </w:rPr>
        <w:t>وصاحب الكفاية</w:t>
      </w:r>
      <w:r>
        <w:rPr>
          <w:rStyle w:val="FootnoteAnchor"/>
          <w:rtl w:val="true"/>
        </w:rPr>
        <w:footnoteReference w:id="1501"/>
      </w:r>
      <w:r>
        <w:rPr>
          <w:rFonts w:ascii="Amiri" w:hAnsi="Amiri" w:eastAsia="Amiri" w:cs="Amiri"/>
          <w:color w:val="111111"/>
          <w:sz w:val="28"/>
          <w:sz w:val="28"/>
          <w:szCs w:val="28"/>
          <w:rtl w:val="true"/>
          <w:lang w:bidi="ar-SA"/>
        </w:rPr>
        <w:t>من عدم إرثه منها صحيح تامٌّ</w:t>
      </w:r>
      <w:r>
        <w:rPr>
          <w:rFonts w:eastAsia="Amiri" w:cs="Amiri" w:ascii="Amiri" w:hAnsi="Amiri"/>
          <w:color w:val="111111"/>
          <w:sz w:val="28"/>
          <w:szCs w:val="28"/>
          <w:rtl w:val="true"/>
          <w:lang w:bidi="ar-SA"/>
        </w:rPr>
        <w:t xml:space="preserve">. </w:t>
      </w:r>
      <w:bookmarkStart w:id="538" w:name="pg9375_99858"/>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ما إذا قصد الإضرار بالطلاق كما ذهب إليه كاشف اللثام</w:t>
      </w:r>
      <w:r>
        <w:rPr>
          <w:rFonts w:eastAsia="Amiri" w:cs="Amiri" w:ascii="Amiri" w:hAnsi="Amiri"/>
          <w:color w:val="111111"/>
          <w:sz w:val="28"/>
          <w:szCs w:val="28"/>
          <w:rtl w:val="true"/>
          <w:lang w:bidi="ar-SA"/>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واستشكل عليه في الجواهر بأنّه لا وجه له</w:t>
      </w:r>
      <w:r>
        <w:rPr>
          <w:rFonts w:eastAsia="Amiri" w:cs="Amiri" w:ascii="Amiri" w:hAnsi="Amiri"/>
          <w:color w:val="111111"/>
          <w:sz w:val="28"/>
          <w:szCs w:val="28"/>
          <w:rtl w:val="true"/>
          <w:lang w:bidi="ar-SA"/>
        </w:rPr>
        <w:t>.</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ولكن لا يخفى أنّ منعه بأنّه لا وجه له غير تمام، فإنّ له وجهاً وهو الروايات المتعرّضة لطلاق المريض الدالّة على عدم إرث الزوج إذا طلّق زوجته في حال الإضرار، فلا بأس لذلك الحمل</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5416797_2870459653"/>
      <w:bookmarkStart w:id="540" w:name="_Toc191"/>
      <w:bookmarkEnd w:id="539"/>
      <w:r>
        <w:rPr>
          <w:rtl w:val="true"/>
        </w:rPr>
        <w:t>المقام الثاني</w:t>
      </w:r>
      <w:r>
        <w:rPr>
          <w:rtl w:val="true"/>
        </w:rPr>
        <w:t xml:space="preserve">: </w:t>
      </w:r>
      <w:r>
        <w:rPr>
          <w:rtl w:val="true"/>
        </w:rPr>
        <w:t>إرث الزوج في البائن وبعد العدّة الرجعيّة وعدمه</w:t>
      </w:r>
      <w:bookmarkEnd w:id="540"/>
    </w:p>
    <w:p>
      <w:pPr>
        <w:pStyle w:val="BookText"/>
        <w:rPr/>
      </w:pPr>
      <w:r>
        <w:rPr>
          <w:rFonts w:ascii="Amiri" w:hAnsi="Amiri" w:eastAsia="Amiri" w:cs="Amiri"/>
          <w:color w:val="111111"/>
          <w:sz w:val="28"/>
          <w:sz w:val="28"/>
          <w:szCs w:val="28"/>
          <w:rtl w:val="true"/>
          <w:lang w:bidi="ar-SA"/>
        </w:rPr>
        <w:t>إنّ الزوج المطلّق في حال المرض لا يرث الزوجة المطلّقة في البائن ولا بعد العدّة الرجعيّة على المشهور بين الأصحاب؛ بل عن الخلاف</w:t>
      </w:r>
      <w:r>
        <w:rPr>
          <w:rStyle w:val="FootnoteAnchor"/>
          <w:rtl w:val="true"/>
        </w:rPr>
        <w:footnoteReference w:id="1504"/>
      </w:r>
      <w:r>
        <w:rPr>
          <w:rFonts w:ascii="Amiri" w:hAnsi="Amiri" w:eastAsia="Amiri" w:cs="Amiri"/>
          <w:color w:val="111111"/>
          <w:sz w:val="28"/>
          <w:sz w:val="28"/>
          <w:szCs w:val="28"/>
          <w:rtl w:val="true"/>
          <w:lang w:bidi="ar-SA"/>
        </w:rPr>
        <w:t>الإجماع عليه كما عن المبسوط</w:t>
      </w:r>
      <w:r>
        <w:rPr>
          <w:rStyle w:val="FootnoteAnchor"/>
          <w:rtl w:val="true"/>
        </w:rPr>
        <w:footnoteReference w:id="1505"/>
      </w:r>
      <w:r>
        <w:rPr>
          <w:rFonts w:ascii="IRNazanin" w:hAnsi="IRNazanin" w:eastAsia="IRNazanin"/>
          <w:color w:val="111111"/>
          <w:sz w:val="28"/>
          <w:sz w:val="28"/>
          <w:szCs w:val="28"/>
          <w:rtl w:val="true"/>
          <w:lang w:bidi="fa-IR"/>
        </w:rPr>
        <w:t>نفي الخلاف لانتفاء الزوجيّة وانقطاع العصمة بينهما، فأصالة عدم الإرث بحاله، ويدلّ عليه مضافاً إلى ما ذكر، ما مرّ آنفاً في مرسلة يونس، والتعليل الوارد في خبر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المختلعة والمباراة والمستأمرة في طلاقها من الزوج شيئاً إذا كان ذلك منهنّ في مرضالزوج وإن مات في مرضه، لأنّ العصمة قد انقطعت منهنّ ومنه</w:t>
      </w:r>
      <w:r>
        <w:rPr>
          <w:rFonts w:eastAsia="IRNazanin" w:cs="IRNazanin"/>
          <w:color w:val="111111"/>
          <w:sz w:val="28"/>
          <w:szCs w:val="28"/>
          <w:rtl w:val="true"/>
          <w:lang w:bidi="fa-IR"/>
        </w:rPr>
        <w:t>».</w:t>
      </w:r>
      <w:r>
        <w:rPr>
          <w:rStyle w:val="FootnoteAnchor"/>
          <w:rtl w:val="true"/>
        </w:rPr>
        <w:footnoteReference w:id="150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نوقش فيما ذهب إليه المشهور بما أورده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مع ذهابه في الخلاف إلى نفي الخلاف بين علماء الإسلام في عدم التوارث في البائن، لكن اختار </w:t>
      </w:r>
      <w:bookmarkStart w:id="541" w:name="pg9375_99859"/>
    </w:p>
    <w:p>
      <w:pPr>
        <w:pStyle w:val="BookText"/>
        <w:rPr/>
      </w:pPr>
      <w:bookmarkEnd w:id="5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النهاية ثبوته، فإنّه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طلّق الرجل امرأته، وهو مريض، فإنّهما يتوارثان ما دامت في العدّة؛ فإن انقضت عدّتها، ورثته ما بينها وبين سنة ما لم تتزوّج، فإن تزوّجت، فلا ميراث لها؛ وإن زاد على السنة يوم واحد، لم يكن لها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في جميع هذه الأحكام بين أن تكون التطليقة هي الأُولی أو الثانية أو الثالثة، وسواء كان له عليها رجعة أو لم يكن، فإنّ الموارثة ثابتة بينهما على ما قدّمناه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الشيخ خارج عن محلّ النزاع ولا يرتبط به ولا يخالف ما ذهب اليه المشهور فإنّه في المطلّقة حال المرض، فإنّه لافرق في ذلك بين البائن والرجعي إلى سنة ما لم تتزوّج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5416799_2870459653"/>
      <w:bookmarkStart w:id="543" w:name="_Toc192"/>
      <w:bookmarkEnd w:id="542"/>
      <w:r>
        <w:rPr>
          <w:rtl w:val="true"/>
        </w:rPr>
        <w:t>المقام الثالث</w:t>
      </w:r>
      <w:r>
        <w:rPr>
          <w:rtl w:val="true"/>
        </w:rPr>
        <w:t xml:space="preserve">: </w:t>
      </w:r>
      <w:r>
        <w:rPr>
          <w:rtl w:val="true"/>
        </w:rPr>
        <w:t>إرث المطلّقة في حال المرض إلى سنة</w:t>
      </w:r>
      <w:bookmarkEnd w:id="543"/>
    </w:p>
    <w:p>
      <w:pPr>
        <w:pStyle w:val="Heading5"/>
        <w:numPr>
          <w:ilvl w:val="4"/>
          <w:numId w:val="1"/>
        </w:numPr>
        <w:rPr/>
      </w:pPr>
      <w:bookmarkStart w:id="544" w:name="__RefHeading___Toc5416801_2870459653"/>
      <w:bookmarkStart w:id="545" w:name="_Toc193"/>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إنّ المطلّقة في حال المرض ترث الزوج المطلّق ما بين الطلاق وبين سنة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النصوص الواردة فيها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العبّاس،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في مرضه ورثته ما دام في مرضه ذلك، وإن انقضت عدّتها إلّا أن يصحّ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طال به المرض،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بينه وبين سنة</w:t>
      </w:r>
      <w:r>
        <w:rPr>
          <w:rFonts w:eastAsia="Amiri" w:cs="Amiri" w:ascii="Amiri" w:hAnsi="Amiri"/>
          <w:color w:val="111111"/>
          <w:sz w:val="28"/>
          <w:szCs w:val="28"/>
          <w:rtl w:val="true"/>
          <w:lang w:bidi="ar-SA"/>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أبان بن عثمان،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امرأته تطليقتين في صحّة، ثمّ طلّق التطليقة الثالثة، وهو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ترثه ما دام في مرضه وإن كان إلى سنة</w:t>
      </w:r>
      <w:r>
        <w:rPr>
          <w:rFonts w:eastAsia="IRNazanin" w:cs="IRNazanin"/>
          <w:color w:val="111111"/>
          <w:sz w:val="28"/>
          <w:szCs w:val="28"/>
          <w:rtl w:val="true"/>
          <w:lang w:bidi="fa-IR"/>
        </w:rPr>
        <w:t>».</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وهو مريض؟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ما دامت في عدّتها وإن طلّقها في حال إضرار فهي ترثه إلى سنة، فإن زاد على السنة يوماً واحداً لم ترثه، وتعتدّ منه أربعة أشهر وعشراً عدّة المتوفّى عنها زوجها</w:t>
      </w:r>
      <w:r>
        <w:rPr>
          <w:rFonts w:eastAsia="IRNazanin" w:cs="IRNazanin"/>
          <w:color w:val="111111"/>
          <w:sz w:val="28"/>
          <w:szCs w:val="28"/>
          <w:rtl w:val="true"/>
          <w:lang w:bidi="fa-IR"/>
        </w:rPr>
        <w:t>».</w:t>
      </w:r>
      <w:r>
        <w:rPr>
          <w:rStyle w:val="FootnoteAnchor"/>
          <w:rtl w:val="true"/>
        </w:rPr>
        <w:footnoteReference w:id="1511"/>
      </w:r>
      <w:r>
        <w:rPr>
          <w:rFonts w:ascii="Amiri" w:hAnsi="Amiri" w:eastAsia="Amiri" w:cs="Amiri"/>
          <w:color w:val="111111"/>
          <w:sz w:val="28"/>
          <w:sz w:val="28"/>
          <w:szCs w:val="28"/>
          <w:rtl w:val="true"/>
          <w:lang w:bidi="ar-SA"/>
        </w:rPr>
        <w:t>وقد مرّ عنه آنفاً 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يشترط في إرث المطلّقة في حال المرض طول السنة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تتزوّج المرأة، فلو تزوّج بعد انقضاء عدّتها، ثمّ مات الزوج لم ترثه بلا خلاف، بل ادّعى صاحب الجواهر الإجماع بقسميه عليه</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الورد،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تطليقة في مرضه، ثمّ مكث في مرضه حتّى انقضت عدّتها فإنّها ترثه ما لم تتزوّج، فإن كانت تزوّجت بعد انقضاء العدّة فإنّها لا ترثه</w:t>
      </w:r>
      <w:r>
        <w:rPr>
          <w:rFonts w:eastAsia="IRNazanin" w:cs="IRNazanin"/>
          <w:color w:val="111111"/>
          <w:sz w:val="28"/>
          <w:szCs w:val="28"/>
          <w:rtl w:val="true"/>
          <w:lang w:bidi="fa-IR"/>
        </w:rPr>
        <w:t>».</w:t>
      </w:r>
      <w:r>
        <w:rPr>
          <w:rStyle w:val="FootnoteAnchor"/>
          <w:rtl w:val="true"/>
        </w:rPr>
        <w:footnoteReference w:id="1513"/>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عبد الرحمن بن الحجّاج،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امرأته، وهو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مرضه ولم تتزوّج ورثته، وإن كانت تزوّجت فقد رضيت بالذي صنع، لا ميراث لها</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إلى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يبرأ الزوج من المرض الذي طلّقها فيه، فلو برء منه ثمّ مات لم ترثه إلّا في العدّة الرجعيّة بلاخلاف، بل ادّعى صاحب الجواهر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أبوالعبّاس،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المرأة في مرضه ورثته مادام في مرضه ذلك وإن انقضت عدّتها، إلّا أن يصحّ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 به المرض؟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بينه وبين سنة</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أبوالعبّاس في خبره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وهو مريض؟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في مرضه ما بينها وبين سنة إن مات في مرضه ذلك</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عبيد بن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قالسألته عن رجل طلّق امرأته، وهو مريض حتّى مضى لذلك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إذا كان في مرضه الذي طلّقها، لم يصحّ بين ذلك</w:t>
      </w:r>
      <w:r>
        <w:rPr>
          <w:rFonts w:eastAsia="IRNazanin" w:cs="IRNazanin"/>
          <w:color w:val="111111"/>
          <w:sz w:val="28"/>
          <w:szCs w:val="28"/>
          <w:rtl w:val="true"/>
          <w:lang w:bidi="fa-IR"/>
        </w:rPr>
        <w:t>».</w:t>
      </w:r>
      <w:r>
        <w:rPr>
          <w:rStyle w:val="FootnoteAnchor"/>
          <w:rtl w:val="true"/>
        </w:rPr>
        <w:footnoteReference w:id="1517"/>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الطلاق بالتماس منها، فلا ترث المختلعة والمباراة؛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 بالتماسهما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خبر محمّد بن القاسم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ترث المختلعة ولا المباراة ولا المستأمرة في طلاقها من الزوج شيئاً إذا كان ذلك منهنّ في مرض الزوج وإن مات، لأنّ العصمة قد انقطعت منهنّ ومنه</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وأمّا الإشكال بضعف سنده بمحمّد بن القاسم الهاشمي فإنّه لا توثيق فيه، مندفعٌ بأنّ الضعف منجبرٌ بعمل الأصحاب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به غير معلومٍ؛ إذ من المحتمل أنّ فتوى الأصحاب كان مستنداً إلى المفهوم المستفاد من الجملة الشرطيّة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طلّقها حال إضرار فهي ترثه إلى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9"/>
      </w:r>
      <w:r>
        <w:rPr>
          <w:rFonts w:ascii="IRNazanin" w:hAnsi="IRNazanin" w:eastAsia="IRNazanin"/>
          <w:color w:val="111111"/>
          <w:sz w:val="28"/>
          <w:sz w:val="28"/>
          <w:szCs w:val="28"/>
          <w:rtl w:val="true"/>
          <w:lang w:bidi="fa-IR"/>
        </w:rPr>
        <w:t>وإلى التعليل الوارد في مرسلة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ما العلّة التي من أجلها إذا طلّق الرجل امرأته، وهو مريض في حال الإضرار ورثته ولم يرثها؟ وما حدّ الإضرار عليه؟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الإضرار ومعنى الإضرار منعه إيّاها ميراثها منه، فألزم الميراث عقوبة</w:t>
      </w:r>
      <w:r>
        <w:rPr>
          <w:rFonts w:eastAsia="IRNazanin" w:cs="IRNazanin"/>
          <w:color w:val="111111"/>
          <w:sz w:val="28"/>
          <w:szCs w:val="28"/>
          <w:rtl w:val="true"/>
          <w:lang w:bidi="fa-IR"/>
        </w:rPr>
        <w:t>».</w:t>
      </w:r>
      <w:r>
        <w:rPr>
          <w:rStyle w:val="FootnoteAnchor"/>
          <w:rtl w:val="true"/>
        </w:rPr>
        <w:footnoteReference w:id="152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فإنّهما تدلّان على عدم إرثها منه مع عدم الإضرار، مضافاً إلى اعتضادهما بما دلّ على أنّها إن تزوّجت فقد رضيت بالذي صنع، فلاميراث لها الظاهر في أنّ المعيار هو الإضرار وعدم رضاها، وحيث أنّ الإضرار في الخلع والمباراة منتفٍ أفتى الأصحاب بعدم إرثها منه، فاستناد فتواهم برواية محمّد بن القاسم غير معلومٍ، فلا جابر لضعف سنده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الإضرار في الخلع والمباراة موجودٌ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الإضرار المتحقّق فيهما من أظهر مصاديقه، فإنّ الزوج قد أكثر الضيق والأذى عليها حتّى رضيت ببذل مهرها أو أكثر؛ لتخلّص نفسها ولو لمدّة قليلة،</w:t>
      </w:r>
      <w:r>
        <w:rPr>
          <w:rStyle w:val="FootnoteAnchor"/>
          <w:rtl w:val="true"/>
        </w:rPr>
        <w:footnoteReference w:id="1521"/>
      </w:r>
      <w:r>
        <w:rPr>
          <w:rFonts w:ascii="Amiri" w:hAnsi="Amiri" w:eastAsia="Amiri" w:cs="Amiri"/>
          <w:color w:val="111111"/>
          <w:sz w:val="28"/>
          <w:sz w:val="28"/>
          <w:szCs w:val="28"/>
          <w:rtl w:val="true"/>
          <w:lang w:bidi="ar-SA"/>
        </w:rPr>
        <w:t>فلا يكاد يمكن أن يكون مستند الأصحاب إلّا رواية خاصّة، مثل خبر محمّد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ويشهد له أنّ الأصحاب قد اتّفقوا في عدم إرث المختلعة والمبارئة مع اختلافهم أنّ المريض بما هو هو موضوعٌ للحكم بالإرث إلى سنة أم هو بقصد الإضرار، فإنّ الاتّفاق هنا مع الاختلاف في أصل المسألة يدلّ على أنّ للمورد خصوصيّة اقتضت الحكم بعدم الإرث وليست هي إلّا رواية محمّد 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المعروف بين الأصحاب هو جريان الحكم على طلاق المريض مطلقاً مع قصد الإضرار وعدمه؛ مستدلاً بالإطلاقات، لكنّ الأخذ به مشكلٌ، كما يرشدنا إليه مرسلة يونس، عن بعض رجاله،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ما العلّة من أجلها إذا طلّق الرجل امرأته، وهو مريض في حال الإضرار ورثته ولم يرثها؟ وما حدّ الإضرار عليه؟فقال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الإضرار، ومعنى الإضرار منعه إيّاها ميراثها منه، فألزم الميراث عقوبة</w:t>
      </w:r>
      <w:r>
        <w:rPr>
          <w:rFonts w:eastAsia="IRNazanin" w:cs="IRNazanin"/>
          <w:color w:val="111111"/>
          <w:sz w:val="28"/>
          <w:szCs w:val="28"/>
          <w:rtl w:val="true"/>
          <w:lang w:bidi="fa-IR"/>
        </w:rPr>
        <w:t>».</w:t>
      </w:r>
      <w:r>
        <w:rPr>
          <w:rStyle w:val="FootnoteAnchor"/>
          <w:rtl w:val="true"/>
        </w:rPr>
        <w:footnoteReference w:id="1522"/>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امرأته، وهو 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ترثه ما دامت في عدّتها، فإن طلّقها في حال الإضرار فإنّها ترثه إلى سنة، وإن زاد </w:t>
      </w:r>
      <w:bookmarkStart w:id="546" w:name="pg9375_99864"/>
    </w:p>
    <w:p>
      <w:pPr>
        <w:pStyle w:val="BookText"/>
        <w:rPr/>
      </w:pPr>
      <w:bookmarkEnd w:id="5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السنة في عدّتها يوم واحد فلا ترثه</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وقريب منها ما رواه الكليني</w:t>
      </w:r>
      <w:r>
        <w:rPr>
          <w:rStyle w:val="FootnoteAnchor"/>
          <w:rtl w:val="true"/>
        </w:rPr>
        <w:footnoteReference w:id="1524"/>
      </w:r>
      <w:r>
        <w:rPr>
          <w:rFonts w:ascii="Amiri" w:hAnsi="Amiri" w:eastAsia="Amiri" w:cs="Amiri"/>
          <w:color w:val="111111"/>
          <w:sz w:val="28"/>
          <w:sz w:val="28"/>
          <w:szCs w:val="28"/>
          <w:rtl w:val="true"/>
          <w:lang w:bidi="ar-SA"/>
        </w:rPr>
        <w:t>عنه باختلاف يسير وبزيادة في آخرها يأتي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التعليل في عدم إرثها عند التزوج برضاها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يخفى أنّ الأصل في طلاق المريض هو وقوعه بقصد الإضرار فلا احتياج إلى احراز القصد بل ترثه ما لم يحرز عدم قصده الإضرار فالمانع لإرثها إلى سنة هو إحراز عدم قصده الإضرار لا إحراز قصد الإضرار؛ وذلك لأنّ المذكور في موثّق سماعة ومرسل يونس هو وقوع الطلاق في حال الإضرار لا وقوعه إضراراً حتّى يحتاج إلى إثبات وقوعه إضراراً فإنّ طبع طلاق المريض يقتضي وقوعه إضراراً فلا يحتاج إلى إحرازه، بل عدم إرثها يحتاج إلى إحراز عدم قصده الإضرار لمخالفته لمقتضى الأصل</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5416803_2870459653"/>
      <w:bookmarkStart w:id="548" w:name="_Toc194"/>
      <w:bookmarkEnd w:id="547"/>
      <w:r>
        <w:rPr>
          <w:rtl w:val="true"/>
        </w:rPr>
        <w:t>فرع</w:t>
      </w:r>
      <w:r>
        <w:rPr>
          <w:rtl w:val="true"/>
        </w:rPr>
        <w:t xml:space="preserve">: </w:t>
      </w:r>
      <w:r>
        <w:rPr>
          <w:rtl w:val="true"/>
        </w:rPr>
        <w:t>فيما لو طلّق المريض الكتابيّة أو الأمة</w:t>
      </w:r>
      <w:bookmarkEnd w:id="54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طلّق المريض زوجته الكتابيّة أو الأمة ثمّ أسلمت أو اعتقت فهل ترثه كالمطلّقة المسلمة الحرّة إلى سنة على خلاف القواعد أو يكون إرثهاتابعاً لقواعد الإرث؟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إرثها إلى سنة وإرثها على القواعد العامّة فترثها في العدّة إن كان الطلاق رجعيّاً وإلّا فلا والظاهر أنّ منشأ الخلاف الاختلاف في مسألة شرطيّة الاتّهام بالإضرار في طلاق المريض وعدمها فعلى الشرطيّة يتّجه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لأخبار الطلاق، حيث إنّ موضوعها طلاق المريض وفي الشرائع بعد قوله بإرثها العدّة فقط إذا اعتقت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ترثه كان حسناً، ولو طلقها بائناً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نظراً إلى عدم دخالة التهمة في الحكم، بل الموضوع هو طلاق المريض بما هو مريض وهو أشار إلى وجه ثالث لعدم الإرث ولخروج المورد من الأخبار وبيّنه الجواهر</w:t>
      </w:r>
      <w:r>
        <w:rPr>
          <w:rStyle w:val="FootnoteAnchor"/>
          <w:rtl w:val="true"/>
        </w:rPr>
        <w:footnoteReference w:id="1526"/>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الباب مختّصة بمرأة كان لها الإرث إن لم يكن يحدث الطلاق وأنّها بصدد بيان الخصوصيّة لطلاق المريض وأنّه سبب للإرث إلى سنة لا أنّه سبب مستقّل ولو بالنسبة إلى غير الوارث ولمّا أنّ الأمة وكذا الكافرة لا ترثان من رأس فالأخبار غير شاملة لمثلهما، والوجه وجيهٌ وتمام، فالأقوى هو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عن الفخر</w:t>
      </w:r>
      <w:r>
        <w:rPr>
          <w:rFonts w:eastAsia="IRNazanin" w:cs="IRNazanin"/>
          <w:color w:val="111111"/>
          <w:sz w:val="28"/>
          <w:szCs w:val="28"/>
          <w:rtl w:val="true"/>
          <w:lang w:bidi="fa-IR"/>
        </w:rPr>
        <w:t>;</w:t>
      </w:r>
      <w:r>
        <w:rPr>
          <w:rStyle w:val="FootnoteAnchor"/>
          <w:rtl w:val="true"/>
        </w:rPr>
        <w:footnoteReference w:id="1527"/>
      </w:r>
      <w:r>
        <w:rPr>
          <w:rFonts w:ascii="Amiri" w:hAnsi="Amiri" w:eastAsia="Amiri" w:cs="Amiri"/>
          <w:color w:val="111111"/>
          <w:sz w:val="28"/>
          <w:sz w:val="28"/>
          <w:szCs w:val="28"/>
          <w:rtl w:val="true"/>
          <w:lang w:bidi="ar-SA"/>
        </w:rPr>
        <w:t>من الاستدلال لعدم الإرث بأنّ نكاحهما لا يوجب الإرث فكيف مع طلاقهما؟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نظرٌ؛ لمنع أنّ النكاح لا يوجب الميراث بل هو موجب له مطلقاً، ولكنّ الكفر والرقّ مانعان من الإرث، إذ الإسلام والحريّة شرطان فيه وتخلّف الحكم عن السبب لوجود مانع أو فقد شرط لا يقدح في سببيّته فإذا فقد المانع ووجد الشرط عمل السبب عمله كما حقّق في الأُصول والأمر هناكذلك، والأقوى ثبوت الإرث مع زوال المانع في العدّة الرجعيّة وفي البائن مع زوال المانع قبل القسمة خاصّة</w:t>
      </w:r>
      <w:r>
        <w:rPr>
          <w:rFonts w:eastAsia="Amiri" w:cs="Amiri" w:ascii="Amiri" w:hAnsi="Amiri"/>
          <w:color w:val="111111"/>
          <w:sz w:val="28"/>
          <w:szCs w:val="28"/>
          <w:rtl w:val="true"/>
          <w:lang w:bidi="ar-SA"/>
        </w:rPr>
        <w:t xml:space="preserve">. </w:t>
      </w:r>
      <w:bookmarkStart w:id="549" w:name="pg9375_99866"/>
    </w:p>
    <w:p>
      <w:pPr>
        <w:pStyle w:val="BookText"/>
        <w:rPr/>
      </w:pPr>
      <w:bookmarkEnd w:id="549"/>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5416805_2870459653"/>
      <w:bookmarkStart w:id="551" w:name="_Toc195"/>
      <w:bookmarkEnd w:id="550"/>
      <w:r>
        <w:rPr>
          <w:rtl w:val="true"/>
        </w:rPr>
        <w:t>فرع</w:t>
      </w:r>
      <w:r>
        <w:rPr>
          <w:rtl w:val="true"/>
        </w:rPr>
        <w:t xml:space="preserve">: </w:t>
      </w:r>
      <w:r>
        <w:rPr>
          <w:rtl w:val="true"/>
        </w:rPr>
        <w:t>في وقوع الطلاق في حال المرض وعدمه</w:t>
      </w:r>
      <w:bookmarkEnd w:id="551"/>
    </w:p>
    <w:p>
      <w:pPr>
        <w:pStyle w:val="BookText"/>
        <w:rPr/>
      </w:pPr>
      <w:r>
        <w:rPr>
          <w:rFonts w:ascii="Amiri" w:hAnsi="Amiri" w:eastAsia="Amiri" w:cs="Amiri"/>
          <w:color w:val="111111"/>
          <w:sz w:val="28"/>
          <w:sz w:val="28"/>
          <w:szCs w:val="28"/>
          <w:rtl w:val="true"/>
          <w:lang w:bidi="ar-SA"/>
        </w:rPr>
        <w:t>لو وقع الاختلاف في وقوع الطلاق في حال المرض وعدمه، فأنكره الوارث وادّعته المرأة فعليها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عدم الفرق بين مجهولي التاريخ وبين كون أحدهما معلوم التاريخ والآخر مجهول التاريخ، لأنّ أصل عدم الحادث مثبت، كما حقّق في محلّه</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5416807_2870459653"/>
      <w:bookmarkStart w:id="553" w:name="_Toc196"/>
      <w:bookmarkEnd w:id="552"/>
      <w:r>
        <w:rPr>
          <w:rtl w:val="true"/>
        </w:rPr>
        <w:t>فرع</w:t>
      </w:r>
      <w:r>
        <w:rPr>
          <w:rtl w:val="true"/>
        </w:rPr>
        <w:t xml:space="preserve">: </w:t>
      </w:r>
      <w:r>
        <w:rPr>
          <w:rtl w:val="true"/>
        </w:rPr>
        <w:t>في إمكان إرث أكثر من زوجات أربع من المريض</w:t>
      </w:r>
      <w:bookmarkEnd w:id="553"/>
    </w:p>
    <w:p>
      <w:pPr>
        <w:pStyle w:val="BookText"/>
        <w:rPr/>
      </w:pPr>
      <w:r>
        <w:rPr>
          <w:rFonts w:ascii="Amiri" w:hAnsi="Amiri" w:eastAsia="Amiri" w:cs="Amiri"/>
          <w:color w:val="111111"/>
          <w:sz w:val="28"/>
          <w:sz w:val="28"/>
          <w:szCs w:val="28"/>
          <w:rtl w:val="true"/>
          <w:lang w:bidi="ar-SA"/>
        </w:rPr>
        <w:t>يمكن أن ترث المريضَ أكثر من زوجات أربع وهو واضح كما إذا طلّق المريض الأربعَ بائناً وتزوّج بأربع أُخرى ودخل بهنّ فإنّ الدخول شرط في الإرث كما سيأتي، ثمّ مات قبل تمام السنة أو طلّقهن رجعيّاً ثمّ تزوّج بأربع أُخرى بعد انقضاء العدّة ولا إرث للزائد من أربعة زوجة إلّا في مثل المورد كما لا يخفى</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5416809_2870459653"/>
      <w:bookmarkStart w:id="555" w:name="_Toc197"/>
      <w:bookmarkEnd w:id="554"/>
      <w:r>
        <w:rPr>
          <w:rtl w:val="true"/>
        </w:rPr>
        <w:t>فرع</w:t>
      </w:r>
      <w:r>
        <w:rPr>
          <w:rtl w:val="true"/>
        </w:rPr>
        <w:t xml:space="preserve">: </w:t>
      </w:r>
      <w:r>
        <w:rPr>
          <w:rtl w:val="true"/>
        </w:rPr>
        <w:t>فيما لو مات المريض بعلّة أُخرى</w:t>
      </w:r>
      <w:bookmarkEnd w:id="55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في المسألة كما مرّ</w:t>
      </w:r>
      <w:r>
        <w:rPr>
          <w:rStyle w:val="FootnoteAnchor"/>
          <w:rtl w:val="true"/>
        </w:rPr>
        <w:footnoteReference w:id="1528"/>
      </w:r>
      <w:r>
        <w:rPr>
          <w:rFonts w:ascii="Amiri" w:hAnsi="Amiri" w:eastAsia="Amiri" w:cs="Amiri"/>
          <w:color w:val="111111"/>
          <w:sz w:val="28"/>
          <w:sz w:val="28"/>
          <w:szCs w:val="28"/>
          <w:rtl w:val="true"/>
          <w:lang w:bidi="ar-SA"/>
        </w:rPr>
        <w:t xml:space="preserve">مبنيّ على موت المريض بمرضه، وأمّا إن مات بعلّة أُخرى كالقتل، ففيه وجهان؛ من استظهار إناطة الحكم في النصوص بموته بذلك المرض، ومن أنّ الحكم فيها مبنيّ بحسب الظاهر على موته في المرض وإن لم يكن بالمرض، وما هو الموافق للحكمة والاعتبار هو الثاني حيث إنّ الإضرار محقّق بطلاقه فيه من دون فرقبين موته بالمرض أو بسبب آخر والحكم دائر مدار الحكمة وجوداً وإن لم يكن دائراً معها عدماً فمع الحكمة لابدّ من الحكم وإلّا </w:t>
      </w:r>
      <w:bookmarkStart w:id="556" w:name="pg9375_99867"/>
    </w:p>
    <w:p>
      <w:pPr>
        <w:pStyle w:val="BookText"/>
        <w:rPr/>
      </w:pPr>
      <w:bookmarkEnd w:id="5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 الحكمة بحكمة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الحكم ليس دائراً مدار عدمها وإلّا كانت علّة لا حكمة فالفرق بينهما في الدوران وعدمه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حكم تبدّل المرض حيث إنّ الحكم ثابت معه لكون الطلاق والموت كلاهما في المرض واتّحاد المرض فيهما لا دليل عليه بل الإطلاق على خلافه</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416811_2870459653"/>
      <w:bookmarkStart w:id="558" w:name="_Toc198"/>
      <w:bookmarkEnd w:id="557"/>
      <w:r>
        <w:rPr>
          <w:rtl w:val="true"/>
        </w:rPr>
        <w:t>فرع</w:t>
      </w:r>
      <w:r>
        <w:rPr>
          <w:rtl w:val="true"/>
        </w:rPr>
        <w:t xml:space="preserve">: </w:t>
      </w:r>
      <w:r>
        <w:rPr>
          <w:rtl w:val="true"/>
        </w:rPr>
        <w:t>في عدم لحوق سائر أسباب الفراق</w:t>
      </w:r>
      <w:bookmarkEnd w:id="558"/>
    </w:p>
    <w:p>
      <w:pPr>
        <w:pStyle w:val="BookText"/>
        <w:rPr/>
      </w:pPr>
      <w:r>
        <w:rPr>
          <w:rFonts w:ascii="Amiri" w:hAnsi="Amiri" w:eastAsia="Amiri" w:cs="Amiri"/>
          <w:color w:val="111111"/>
          <w:sz w:val="28"/>
          <w:sz w:val="28"/>
          <w:szCs w:val="28"/>
          <w:rtl w:val="true"/>
          <w:lang w:bidi="ar-SA"/>
        </w:rPr>
        <w:t>لا يلحق بالطلاق في المرض غيره من أسباب الفراق كاللعان كما لو قذفها وهو مريض فلاعنها وبانت باللعان فلا ترثه بلاإشكال ولاخلاف لاختصاص موضوع الحكم نصّاً وفتوىً بالطلاق، ولانتفاء التهمة بالإيمان وحرمة القياس عندنا ومثله الفسخ بالردّة منها أو منه أو تجدّد التحريم المؤبّد المستند إليها برضاع أو غيره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تجدّد التحريم المؤبّد المستند إليه كاللواط إن قلنا به نظر من الأصل ومن التهمة والمعتمد الأوّل وأمّا الفسخ بالعيب فإن كان من قبلها فلا ميراث لها بلا إشكال ولا خلاف لما مرّ في اللعان وبعده من اختصاص الموضوع بالطلاق ولعدم التهمة وعدم المحلّ للقياس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من قبله لعيب الزوجة ففيه نظر من الأصل والخروج عن موضوع الدليل ومن كونه بمعنى الطلاق في كون الفرقة من قبله وإن كانت هي الباعثة له عليها والاعتماد على الأصل والخروج فلا ميراث لها أيضاً كالفسخ من قبلها</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5416813_2870459653"/>
      <w:bookmarkStart w:id="560" w:name="_Toc199"/>
      <w:bookmarkEnd w:id="559"/>
      <w:r>
        <w:rPr>
          <w:rtl w:val="true"/>
        </w:rPr>
        <w:t>فرع</w:t>
      </w:r>
      <w:r>
        <w:rPr>
          <w:rtl w:val="true"/>
        </w:rPr>
        <w:t xml:space="preserve">: </w:t>
      </w:r>
      <w:r>
        <w:rPr>
          <w:rtl w:val="true"/>
        </w:rPr>
        <w:t>فيما لو طلّقها ثمّ لاعنها أو حصل الارتداد أو تجدّد التحريم المؤبّد</w:t>
      </w:r>
      <w:bookmarkEnd w:id="56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طلّقها ثمّ لاعنها أو حصل الارتداد الفاسخ منه أو منها أو تجدّد التحريم </w:t>
      </w:r>
      <w:bookmarkStart w:id="561" w:name="pg9375_99868"/>
    </w:p>
    <w:p>
      <w:pPr>
        <w:pStyle w:val="BookText"/>
        <w:rPr/>
      </w:pPr>
      <w:bookmarkEnd w:id="5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المؤبّد منها فلا ميراث لها لأنّها يمنع الإرث وهي في النكاح فأولى بالمنع وهي مطلقة وإن كانت في العدّة الرجعيّة إلّا أن يعود إلى الإسلام فيها فيرث في وجه كما في السرائر</w:t>
      </w:r>
      <w:r>
        <w:rPr>
          <w:rStyle w:val="FootnoteAnchor"/>
          <w:rtl w:val="true"/>
        </w:rPr>
        <w:footnoteReference w:id="1529"/>
      </w:r>
      <w:r>
        <w:rPr>
          <w:rFonts w:ascii="Amiri" w:hAnsi="Amiri" w:eastAsia="Amiri" w:cs="Amiri"/>
          <w:color w:val="111111"/>
          <w:sz w:val="28"/>
          <w:sz w:val="28"/>
          <w:szCs w:val="28"/>
          <w:rtl w:val="true"/>
          <w:lang w:bidi="ar-SA"/>
        </w:rPr>
        <w:t>وإذا طلّقها ثمّ لاط لواطاً أوجب عليه تحريمها مؤبّداً أشكل من عموم الأخبار المورّثة لها وأنّه لا يوجب التحريم ولا يستعقب الفسخ إذا كانت في النكاح فلا يمنعها الإرث ليقال بالأولويّة وهي مطلّقة، ومن أنّ الإرث أثر النكاح وهو يمنع النكاح فيمنع آثاره، وفيه أنّ الإرث من آثار النكاح المتقدّم وهو إنّما يمنع من النكاح ثانياً</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5416815_2870459653"/>
      <w:bookmarkStart w:id="563" w:name="_Toc200"/>
      <w:bookmarkEnd w:id="562"/>
      <w:r>
        <w:rPr>
          <w:rtl w:val="true"/>
        </w:rPr>
        <w:t>فرع</w:t>
      </w:r>
      <w:r>
        <w:rPr>
          <w:rtl w:val="true"/>
        </w:rPr>
        <w:t xml:space="preserve">: </w:t>
      </w:r>
      <w:r>
        <w:rPr>
          <w:rtl w:val="true"/>
        </w:rPr>
        <w:t>في اعتبار المرض السابق على حال النزع وعدمه</w:t>
      </w:r>
      <w:bookmarkEnd w:id="563"/>
    </w:p>
    <w:p>
      <w:pPr>
        <w:pStyle w:val="BookText"/>
        <w:rPr/>
      </w:pPr>
      <w:r>
        <w:rPr>
          <w:rFonts w:ascii="Amiri" w:hAnsi="Amiri" w:eastAsia="Amiri" w:cs="Amiri"/>
          <w:color w:val="111111"/>
          <w:sz w:val="28"/>
          <w:sz w:val="28"/>
          <w:szCs w:val="28"/>
          <w:rtl w:val="true"/>
          <w:lang w:bidi="ar-SA"/>
        </w:rPr>
        <w:t>الظاهر من الأخبار اعتبار المرض السابق على حال النزع فلا يترتّب الحكم على الصحيح الذي حضره الموت وتشاغل بالنزع فيه مع احتمال عدّه مرضاً سابقاً حكماً وأنّ اللحوق موافق مع حكمة التهمة، ومع ما جاء في صحيح الحلبي من التعليق ولابدّ من الاعتماد عليه وتخصيص الأخبار به على العموميّة والعمل به وبها على عدم العموميّة وقصورها عن شمول مورد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الاقتصار على المتيقّن تقتضي الأوّل إلّا إذا كان حضور الموت لحضور مرض اقتضاه</w:t>
      </w:r>
      <w:r>
        <w:rPr>
          <w:rFonts w:eastAsia="Amiri" w:cs="Amiri" w:ascii="Amiri" w:hAnsi="Amiri"/>
          <w:color w:val="111111"/>
          <w:sz w:val="28"/>
          <w:szCs w:val="28"/>
          <w:rtl w:val="true"/>
          <w:lang w:bidi="ar-SA"/>
        </w:rPr>
        <w:t>»</w:t>
      </w:r>
      <w:r>
        <w:rPr>
          <w:rStyle w:val="FootnoteAnchor"/>
          <w:rtl w:val="true"/>
        </w:rPr>
        <w:footnoteReference w:id="1530"/>
      </w:r>
      <w:r>
        <w:rPr>
          <w:rFonts w:ascii="Amiri" w:hAnsi="Amiri" w:eastAsia="Amiri" w:cs="Amiri"/>
          <w:color w:val="111111"/>
          <w:sz w:val="28"/>
          <w:sz w:val="28"/>
          <w:szCs w:val="28"/>
          <w:rtl w:val="true"/>
          <w:lang w:bidi="ar-SA"/>
        </w:rPr>
        <w:t>فإن كان مراده من المرض المقتضي المرض الحادث المقارن مع النزع فهو راجع إلى ما ذكرناه ويكون تماماً وفي محلّه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مراده المرض السابق فمخالف لظاهر الصحيح وهو كما ترى</w:t>
      </w:r>
      <w:r>
        <w:rPr>
          <w:rFonts w:eastAsia="Amiri" w:cs="Amiri" w:ascii="Amiri" w:hAnsi="Amiri"/>
          <w:color w:val="111111"/>
          <w:sz w:val="28"/>
          <w:szCs w:val="28"/>
          <w:rtl w:val="true"/>
          <w:lang w:bidi="ar-SA"/>
        </w:rPr>
        <w:t xml:space="preserve">. </w:t>
      </w:r>
      <w:bookmarkStart w:id="564" w:name="pg9375_99869"/>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طلّق رجعيّاً أن يخرج المطلّقة من بيته حتّى تنقضي عدّتها إلّا أن تأتي بفاحشة توجب الحدّ أو تأتي بما يوجب النشوز، وأمّا مطلّق المعصية فلا توجب جواز إخراجها، وأمّا البذاء باللسان وإيذاء الأهل إذا لم ينته إلى النشوز ففي كونه موجباً له إشكال وتأمّل، ولا يبعد أن يكون ما يوجب الحدّ موجباً لسقوط حقّها مطلقاً، وما يوجب النشوز موجباً لسقوطه ما دام بقائها عليه، وإذا رجعت رجع حقّها، وكذا لا يجوز لها الخروج بدون إذن زوجها إلّا لضرورة أو أداء واجب مضيّق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5416817_2870459653"/>
      <w:bookmarkStart w:id="566" w:name="_Toc201"/>
      <w:bookmarkEnd w:id="565"/>
      <w:r>
        <w:rPr>
          <w:rtl w:val="true"/>
        </w:rPr>
        <w:t>حكم سكنى الرجعيّة وإخراجها من البيت</w:t>
      </w:r>
      <w:bookmarkEnd w:id="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الأمر في المسألة أنّه لا خلاف نصّاً وفتوىً في وجوب السكنى للمطلّقة الرجعيّة كما يجب لها النفقة، بل عليه الإجماع محصّلاً ومنقولاً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 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اللهِ أَنزَلَهُ إِلَيْكُمْ وَمَن يَتَّقِ اللهَ يُكَفِّرْ عَنْهُ سَيِّئَاتِهِ وَيُعْظِمْ لَهُ أَجْراً أَسْكِنُوهُنَّ مِنْ حَيْثُ سَكَنتُم مِّن وُجْدِكُمْ وَلَا تُضَارُّوهُنَّ لِتُضَيِّقُواعَلَيْهِنَّ وَإِن كُنَّ أُولَاتِ حَمْلٍ فَأَنفِقُوا عَلَيْهِنَّ حَتَّى يَضَعْنَ حَمْلَهُنَّ فَإِنْ أَرْضَعْنَ لَكُمْ فَآتُوهُنَّ أُجُورَهُنَّ وَأْتَمِرُوا بَيْنَكُم بِمَعْرُوفٍ وَإِن تَعَاسَرْتُمْ فَسَتُرْضِعُ لَهُ أُخْرَى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وللأخبار المتكاثرة،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سعد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 الرجل امرأته طلاقاً لا يملك فيه الرجعة فقد بانت منه ساعة طلّقها وملكت نفسها ولا سبيل له عليها، وتعتدّ حيث شاءت ولا نفقة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ليس الله عزّ 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وَلَا يَخْرُجْنَ</w:t>
      </w:r>
      <w:r>
        <w:rPr>
          <w:rStyle w:val="FootnoteAnchor"/>
          <w:rtl w:val="true"/>
        </w:rPr>
        <w:footnoteReference w:id="1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بذلك التي تطلّق تطليقة بعد تطليقة فتلك التي لا تُخرج ولا تَخرج حتّى تطلّق الثالثة فإذا طلّقت الثالثة فقد بانت منه ولا نفقة لها، والمرأة التي يطلّقها الرجل تطليقة ثمّ يدعها حتّى يخلو أجلها فهذه أيضاً تقعد في منزل زوجها ولها النفقة والسكنى حتّى تنقضي عدّتها</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بيتها لا تخرج وإن أرادت زيارة خرجت بعد نصف الليل ولا تخرج نهاراً، وليس لها أن تحجّ حتّى تنقضي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المتوفّى عنها زوجها أ كذلك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وتحجّ إن‌شاءت</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أين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بيت زوجها</w:t>
      </w:r>
      <w:r>
        <w:rPr>
          <w:rFonts w:eastAsia="IRNazanin" w:cs="IRNazanin"/>
          <w:color w:val="111111"/>
          <w:sz w:val="28"/>
          <w:szCs w:val="28"/>
          <w:rtl w:val="true"/>
          <w:lang w:bidi="fa-IR"/>
        </w:rPr>
        <w:t>».</w:t>
      </w:r>
      <w:r>
        <w:rPr>
          <w:rStyle w:val="FootnoteAnchor"/>
          <w:rtl w:val="true"/>
        </w:rPr>
        <w:footnoteReference w:id="1536"/>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الصباح الكناني،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المطلّقة في بيتها ولا ينبغي للزوج إخراجها، ولا تخرج هي</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بصير،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المطلّقة أين تعتدّ؟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بيتها إذا كان طلاقاً له عليها رجعة ليس له أن يخرجها، ولا لها أن تخرج حتّى تنقضي عدّتها</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 ثلاثة قروء أو ثلاثة أشهر إن لم تحض</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للمطلّقة أن تخرج إلّا بإذن زوجها حتّى تنقضي عدّتها ثلاثة قروء أو ثلاثة أشهر إن لم تحض</w:t>
      </w:r>
      <w:r>
        <w:rPr>
          <w:rFonts w:eastAsia="Amiri" w:cs="Amiri" w:ascii="Amiri" w:hAnsi="Amiri"/>
          <w:color w:val="111111"/>
          <w:sz w:val="28"/>
          <w:szCs w:val="28"/>
          <w:rtl w:val="true"/>
          <w:lang w:bidi="ar-SA"/>
        </w:rPr>
        <w:t>».</w:t>
      </w:r>
      <w:r>
        <w:rPr>
          <w:rStyle w:val="FootnoteAnchor"/>
          <w:rtl w:val="true"/>
        </w:rPr>
        <w:footnoteReference w:id="154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تعتدّ في بيتها، ولا ينبغي لها أن تخرج حتّى تنقضي عدّتها، وعدّتها ثلاثة قروء أو ثلاثة أشهر إلّا أن تكون تحيض</w:t>
      </w:r>
      <w:r>
        <w:rPr>
          <w:rFonts w:eastAsia="IRNazanin" w:cs="IRNazanin"/>
          <w:color w:val="111111"/>
          <w:sz w:val="28"/>
          <w:szCs w:val="28"/>
          <w:rtl w:val="true"/>
          <w:lang w:bidi="fa-IR"/>
        </w:rPr>
        <w:t>».</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بتبع الكتاب وباعتبار الملابسة، كما هو واضح؛ إذ من المعلوم عدم إرادة بيت الزوجة المطلّقة حقيقة، لعدم المعنى لنهي الزوج عن إخراج الزوجة عن بيتها، فإنّ الإخراج منهيّ عنه قبل ذلك من باب عدم جواز التصرّف في ملك الغير، 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هو الحرمة بقرينة الكتاب وبقيّة الأخبار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إشكال ولا خلاف في عدم جواز الإخراج ولا الخروج للمطلّقة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الجملة، لكن الخلاف واقع في أنّ حرمة الخروج هل هي مطلّقة أو منوطة بعدم إذن الزوج؟ فالمحكيّ عن ظاهر المشهور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الآية هو الحرمة مطلقاً، وسيأتي 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المرام</w:t>
      </w:r>
      <w:r>
        <w:rPr>
          <w:rStyle w:val="FootnoteAnchor"/>
          <w:rtl w:val="true"/>
        </w:rPr>
        <w:footnoteReference w:id="1542"/>
      </w:r>
      <w:r>
        <w:rPr>
          <w:rFonts w:ascii="IRNazanin" w:hAnsi="IRNazanin" w:eastAsia="IRNazanin"/>
          <w:color w:val="111111"/>
          <w:sz w:val="28"/>
          <w:sz w:val="28"/>
          <w:szCs w:val="28"/>
          <w:rtl w:val="true"/>
          <w:lang w:bidi="fa-IR"/>
        </w:rPr>
        <w:t>وظاهر الشرائع</w:t>
      </w:r>
      <w:r>
        <w:rPr>
          <w:rStyle w:val="FootnoteAnchor"/>
          <w:rtl w:val="true"/>
        </w:rPr>
        <w:footnoteReference w:id="1543"/>
      </w:r>
      <w:r>
        <w:rPr>
          <w:rFonts w:ascii="IRNazanin" w:hAnsi="IRNazanin" w:eastAsia="IRNazanin"/>
          <w:color w:val="111111"/>
          <w:sz w:val="28"/>
          <w:sz w:val="28"/>
          <w:szCs w:val="28"/>
          <w:rtl w:val="true"/>
          <w:lang w:bidi="fa-IR"/>
        </w:rPr>
        <w:t xml:space="preserve">والمتن، الثاني، وهو الحقّ؛ وذلك مضافاً إلى أنّه لا يبعد كون الآية ظاهرة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السكنى في العدّة الرجعيّة كالسكنى في النكاح الدائم وليس بأزيد منه، فكما أنّ للزوجة حقّ السكنى في النكاح الدائم ولا يجوز للزوج إخراجه فكذلك أيّام العدّة أيضاً، وكما أنّه لا يجوز للزوجة الخروج من بيت زوجها في النكاح الدائم إلّا بإذنه فكذلك بعد الطلاق، ما دامت في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 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4"/>
      </w:r>
      <w:r>
        <w:rPr>
          <w:rFonts w:ascii="Amiri" w:hAnsi="Amiri" w:eastAsia="Amiri" w:cs="Amiri"/>
          <w:color w:val="111111"/>
          <w:sz w:val="28"/>
          <w:sz w:val="28"/>
          <w:szCs w:val="28"/>
          <w:rtl w:val="true"/>
          <w:lang w:bidi="ar-SA"/>
        </w:rPr>
        <w:t>ومثلها خبر أبي العبّاس</w:t>
      </w:r>
      <w:r>
        <w:rPr>
          <w:rStyle w:val="FootnoteAnchor"/>
          <w:rtl w:val="true"/>
        </w:rPr>
        <w:footnoteReference w:id="1545"/>
      </w:r>
      <w:r>
        <w:rPr>
          <w:rFonts w:ascii="Amiri" w:hAnsi="Amiri" w:eastAsia="Amiri" w:cs="Amiri"/>
          <w:color w:val="111111"/>
          <w:sz w:val="28"/>
          <w:sz w:val="28"/>
          <w:szCs w:val="28"/>
          <w:rtl w:val="true"/>
          <w:lang w:bidi="ar-SA"/>
        </w:rPr>
        <w:t>وفيهما الصراحة بالاختصاص</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الشهيد الثاني</w:t>
      </w:r>
      <w:r>
        <w:rPr>
          <w:rStyle w:val="FootnoteAnchor"/>
          <w:rtl w:val="true"/>
        </w:rPr>
        <w:footnoteReference w:id="1546"/>
      </w:r>
      <w:r>
        <w:rPr>
          <w:rFonts w:ascii="Amiri" w:hAnsi="Amiri" w:eastAsia="Amiri" w:cs="Amiri"/>
          <w:color w:val="111111"/>
          <w:sz w:val="28"/>
          <w:sz w:val="28"/>
          <w:szCs w:val="28"/>
          <w:rtl w:val="true"/>
          <w:lang w:bidi="ar-SA"/>
        </w:rPr>
        <w:t xml:space="preserve">لعموميّة الحرمة بإطلاق الآية الشريفة، ثمّ فرّق بين السكنى المستحقّة بالنكاح والسكنى أيّام العدّة بأنّ في السكنى أيّام العدّة حقّاً لله تعالى، كما أنّ في العدّة حقّاً له تعالى، بخلاف السكنى المستحقّةبالنكاح، فإنّ حقّها مختصّ بالزوجين وفرّع عليه فلو اتّفقا على الخروج منعهما الحاكم منه، ثمّ استدلّ للاختصاص بصحيحة الحلبي، ولكن مع ذلك ذهب إلى أنّ الأجود التحريم مطلقاً؛ عملاً بظاهر الآية، ويؤيّد ما ذهب إليه الشهيد قوله تعالى في ذيل الآية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يُحْدِثُ بَعْدَ ذَلِكَ أَمْراً</w:t>
      </w:r>
      <w:r>
        <w:rPr>
          <w:rStyle w:val="FootnoteAnchor"/>
          <w:rtl w:val="true"/>
        </w:rPr>
        <w:footnoteReference w:id="1547"/>
      </w:r>
      <w:r>
        <w:rPr>
          <w:rFonts w:ascii="Amiri" w:hAnsi="Amiri" w:eastAsia="Amiri" w:cs="Amiri"/>
          <w:color w:val="111111"/>
          <w:sz w:val="28"/>
          <w:sz w:val="28"/>
          <w:szCs w:val="28"/>
          <w:rtl w:val="true"/>
          <w:lang w:bidi="ar-SA"/>
        </w:rPr>
        <w:t>فإنّ هذه الحكمة تقتضي كونها مصاحبة للزوج؛ إذ ربما تؤدّي إلى رجوعها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على المسالك بأنّه لا وجه مع وجود الصحيحة للأخذ بإطلاق الآية، فإنّه مقيّد بالصحيحة، فيرد عليه بأنّ الإشكال عليه مبنائي لا بنائي، فقوله تمام على مذهبه في حجيّة الروايات، وهو حجيّة رواية العَدل الذي شهد على عدالته البيّنة، فخبر الموثّق والعَدل بالدراية غير حجّة عنده، وفي السند إبراهيم بن هاشم القمي فإنّه ثقة وأيّ ثقة، لكنّه بالدراية لا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48"/>
      </w:r>
      <w:r>
        <w:rPr>
          <w:rFonts w:ascii="Amiri" w:hAnsi="Amiri" w:eastAsia="Amiri" w:cs="Amiri"/>
          <w:color w:val="111111"/>
          <w:sz w:val="28"/>
          <w:sz w:val="28"/>
          <w:szCs w:val="28"/>
          <w:rtl w:val="true"/>
          <w:lang w:bidi="ar-SA"/>
        </w:rPr>
        <w:t>بأنّه لا رادّ لخبر ابن هاشم، والشهيد نفسه قد عمل به في غير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الحدائق بعد نقل كلام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الرواية المذكورة معتبرة الإسناد عندهم؛ إذ حسنها على تقدير عدّها من الحسن إنّما هو بإبراهيم بن هاشم الذي لا رادّ لروايته منهم، كما صرّح به غير واحد، فالواجب تخصيص إطلاق الآية بها وهم قد جرّوا على هذه القاعدة في غير موضع، ولهذا مال سبطه في شرح النافع إلى ما ذكرناه،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بهذه الرواية متجّهٌ وإن كان المنع مطلقاً أحوط، وهو جيّد</w:t>
      </w:r>
      <w:r>
        <w:rPr>
          <w:rFonts w:eastAsia="Amiri" w:cs="Amiri" w:ascii="Amiri" w:hAnsi="Amiri"/>
          <w:color w:val="111111"/>
          <w:sz w:val="28"/>
          <w:szCs w:val="28"/>
          <w:rtl w:val="true"/>
          <w:lang w:bidi="ar-SA"/>
        </w:rPr>
        <w:t>.</w:t>
      </w:r>
      <w:r>
        <w:rPr>
          <w:rStyle w:val="FootnoteAnchor"/>
          <w:rtl w:val="true"/>
        </w:rPr>
        <w:footnoteReference w:id="154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الردّ لروايته أمر وتخصيص الكتاب به أمر آخر ولا ملازمة بينهما، ولذلك اختلف القائلون بحجيّة الخبر الواحد في جوازتخصيص الكتاب به وعدمه، فلعلّ الشهيد الثاني أيضاً يكون ممّن يعمل بمثل خبر إبراهيم بن هاشم، لکنّه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لا يرى تخصيص الكتاب به وإنّما يرى التخصيص بخبر العَدل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كلام المسالك مقتضٍ للقول بالفرق بين سكنى الزوجة والمعتدّة فينبغي نقله،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عليه إخراجها من المسكن يحرم عليها الخروج أيضاً وإن اتّفقا عليه لدلالة الآية على تحريمه من كلّ منهما فلو اتّفقا على الخروج منعهما الحاكم منه؛ لأنّ فيه حقّاً لله تعالى، كما أنّ في العدّة حقّاً له تعالى، بخلاف السكنى المستحقّة بالنكاح، فإنّ حقّها مختصّ بالزوجين، وذهب جماعة من الأصحاب، منهم أبوالصلاح</w:t>
      </w:r>
      <w:r>
        <w:rPr>
          <w:rStyle w:val="FootnoteAnchor"/>
          <w:rtl w:val="true"/>
        </w:rPr>
        <w:footnoteReference w:id="1550"/>
      </w:r>
      <w:r>
        <w:rPr>
          <w:rFonts w:ascii="Amiri" w:hAnsi="Amiri" w:eastAsia="Amiri" w:cs="Amiri"/>
          <w:color w:val="111111"/>
          <w:sz w:val="28"/>
          <w:sz w:val="28"/>
          <w:szCs w:val="28"/>
          <w:rtl w:val="true"/>
          <w:lang w:bidi="ar-SA"/>
        </w:rPr>
        <w:t>والعلّامة في التحرير،</w:t>
      </w:r>
      <w:r>
        <w:rPr>
          <w:rStyle w:val="FootnoteAnchor"/>
          <w:rtl w:val="true"/>
        </w:rPr>
        <w:footnoteReference w:id="1551"/>
      </w:r>
      <w:r>
        <w:rPr>
          <w:rFonts w:ascii="IRNazanin" w:hAnsi="IRNazanin" w:eastAsia="IRNazanin"/>
          <w:color w:val="111111"/>
          <w:sz w:val="28"/>
          <w:sz w:val="28"/>
          <w:szCs w:val="28"/>
          <w:rtl w:val="true"/>
          <w:lang w:bidi="fa-IR"/>
        </w:rPr>
        <w:t>إلى تقييد التحريم بعدم اتّفاقهما عليه، فلو خرجت بإذنه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حسنة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 ثلاثة قروء أو ثلاثة أشهر إن لم تحض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والأجود التحريم مطلقاً؛ عملاً بظاهر الآية</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ثمّ إنّه لا إشكال في جواز الإخراج عند إتيانها بفاحشة مبيّنة، وإنّما الإشكال في المراد منها،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إتيانها بكلّ ما يوجب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أدناه إيذاؤها أهل الزوج وسبّهم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إيذاؤها أهل الزوج وسبّهم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الروايات يوجد اختلاف في تفسيرها، فبعضها قد فسّرها بإيذاء الزوج وأهله، وبعضها بالسحق، وبعضها بالزنا، ودونك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عليّ بن إبراهيم، عن أبيه، عن بعض أصحابه،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ascii="IRNazanin" w:hAnsi="IRNazanin" w:eastAsia="IRNazanin"/>
          <w:color w:val="111111"/>
          <w:sz w:val="28"/>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أذاها لأهل زوجها وسوء خلقها</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المأمون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بالفاحشة المبيّنة أن تؤذّي أهل زوجها، فإذا فعلت فإن شاء أن يخرجها من قبل أن تنقضي عدّتها فعل</w:t>
      </w:r>
      <w:r>
        <w:rPr>
          <w:rFonts w:eastAsia="Amiri" w:cs="Amiri" w:ascii="Amiri" w:hAnsi="Amiri"/>
          <w:color w:val="111111"/>
          <w:sz w:val="28"/>
          <w:szCs w:val="28"/>
          <w:rtl w:val="true"/>
          <w:lang w:bidi="ar-SA"/>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رَبَّكُمْ لَا تُخْرِجُوهُنَّ مِن بُيُوتِهِنَّ وَلا يخْرُجْنَ إِلَّا أَن يَأْتِينَ بِفَاحِشَةٍ مُّبَيِّنَةٍ؟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تزني فتخرج ويقام عليها الحدّ</w:t>
      </w:r>
      <w:r>
        <w:rPr>
          <w:rFonts w:eastAsia="Amiri" w:cs="Amiri" w:ascii="Amiri" w:hAnsi="Amiri"/>
          <w:color w:val="111111"/>
          <w:sz w:val="28"/>
          <w:szCs w:val="28"/>
          <w:rtl w:val="true"/>
          <w:lang w:bidi="ar-SA"/>
        </w:rPr>
        <w:t>».</w:t>
      </w:r>
      <w:r>
        <w:rPr>
          <w:rStyle w:val="FootnoteAnchor"/>
          <w:rtl w:val="true"/>
        </w:rPr>
        <w:footnoteReference w:id="1556"/>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سعد بن عبدالله،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الفاحشة المبيّنة التي إذا أتت المرأة بها في أيّام عدّتهاحلّ للزوج أن يخرجها من بيته،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الفاحشة المبيّنة هي السحق دون الزنا، فإنّ المرأة إذا زنت وأقيم عليها الحدّ ليس لمن أرادها أن يمتنع بعد ذلك من التزويج بها لأجل الحدّ، وإذا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سحقت وجب عليها الرجم، والرجم خزي ومن قد أمر الله عزّ وجلّ برجمه فقد أخزاه، ومن أخزاه فقد أبعده، ومن أبعده فليس لأحد أن يقربه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الطبرسي في مجمع البيان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تُخْرِجُوهُنَّ مِن بُيُوتِهِنَّ وَلَا يَخْرُجْنَ إِلَّا أَن يَأْتِينَ بِفَاحِشَةٍ مُّبَيِّنَة</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البذاء على أهلها فيحلّ لهم إخراجها، وهو المرويّ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مرسلته أيضاً عن عليّ بن أسباط،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الفاحشة أن تؤذّي أهل زوجها وتسبّهم</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وأنت ترى أنّ سندها كلّها مخدوشٌ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ادّعى الشيخ في الخلاف الإجماع على أنّ الفاحشة المبيّنة تشمل الإيذاء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يمكن جبر سندها بعمل الأصحاب، وكذا الشهرة المدّعاة على أنّ أدناها إيذاؤها زوجها وأهله، فلا جابر لأسناد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الروايات المفسّرة بالسبّ والإيذاء هي أكثر عدداً من غيرها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مرسلة الصدوق</w:t>
      </w:r>
      <w:r>
        <w:rPr>
          <w:rStyle w:val="FootnoteAnchor"/>
          <w:rtl w:val="true"/>
        </w:rPr>
        <w:footnoteReference w:id="1560"/>
      </w:r>
      <w:r>
        <w:rPr>
          <w:rFonts w:ascii="Amiri" w:hAnsi="Amiri" w:eastAsia="Amiri" w:cs="Amiri"/>
          <w:color w:val="111111"/>
          <w:sz w:val="28"/>
          <w:sz w:val="28"/>
          <w:szCs w:val="28"/>
          <w:rtl w:val="true"/>
          <w:lang w:bidi="ar-SA"/>
        </w:rPr>
        <w:t>حيث إنّها من مقطوعاته لاتخلو من اعتبار، لكن لا يخفى أنّه لو سلّم ذلك، لكن لا تدلّ على الحصر، بل هي مبيّنة للمصداق كما هو الدأب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الكتاب،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ذكرت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نموذجاً من بعض الذنوب كالزنا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جمع صاحب الجواهر</w:t>
      </w:r>
      <w:r>
        <w:rPr>
          <w:rStyle w:val="FootnoteAnchor"/>
          <w:rtl w:val="true"/>
        </w:rPr>
        <w:footnoteReference w:id="1561"/>
      </w:r>
      <w:r>
        <w:rPr>
          <w:rFonts w:ascii="Amiri" w:hAnsi="Amiri" w:eastAsia="Amiri" w:cs="Amiri"/>
          <w:color w:val="111111"/>
          <w:sz w:val="28"/>
          <w:sz w:val="28"/>
          <w:szCs w:val="28"/>
          <w:rtl w:val="true"/>
          <w:lang w:bidi="ar-SA"/>
        </w:rPr>
        <w:t>وبعض آخر بين تلك النصوص بأنّ كلاً منها مبيّن لمصداق، فالملاك هو ما يوجب الحدّ أو ما يؤذّي الزوج والأهل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وجيهٌ، لكنّه غير ملائم مع خبر سعد</w:t>
      </w:r>
      <w:r>
        <w:rPr>
          <w:rStyle w:val="FootnoteAnchor"/>
          <w:rtl w:val="true"/>
        </w:rPr>
        <w:footnoteReference w:id="1562"/>
      </w:r>
      <w:r>
        <w:rPr>
          <w:rFonts w:ascii="Amiri" w:hAnsi="Amiri" w:eastAsia="Amiri" w:cs="Amiri"/>
          <w:color w:val="111111"/>
          <w:sz w:val="28"/>
          <w:sz w:val="28"/>
          <w:szCs w:val="28"/>
          <w:rtl w:val="true"/>
          <w:lang w:bidi="ar-SA"/>
        </w:rPr>
        <w:t>بما فيه من أنّ الفاحشة المبيّنة هي السحق دون الزنا فيكون معارضاً بمرسلة الصدوق، ففيها التفسير بالزنا، فالتعارض بالنفي والإثبات وغير قابل للجمع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يتعارضان فيتساقطان ويبقى من الأخبار ما فيه تفسير الفاحشة بإيذاء الزوج وأهله وسبّهم، لكنّه غير تمام أيضاً؛ لكونها معارضة لخبر سعد أيضاً، حيث إنّ نفي الزنا ملازم مع نفي دونه كما لا يخفى وبعد تعارض الأخبار فيأتي دور الرجوع إلى ظاهر الكتاب ثمّ الرجوع إلى الأصل في المسألة إن لم يفد ظاهر، والظاهر عدم وضوح المراد من ظاهره ولا يحصل الاطمئنان بما قالوا في معناه فيجب الرجوع إلى الأصل في المسألة، 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بعموم المستثنى منه والاقتصار بالقدر المتيقّن في المستثنى، والمتيقّن في المستثنى هو الزنا فيبقى غيره داخلاً في عموم حرمة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إجمال المخصّص والمقيّد المتّصل يسري إلى العامّ والمطلق،كما بيّن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إجمال المتّصل يسري في المتباينين لا في الأقلّ والأكثر؛ لأنّ ما نحن فيه أيضاً هو من مصاديق المتباينين، كما لا يخفى</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بالاستصحاب، فإنّه يقتضي حرمة الإخراج إلّا ما تيقّن أنّه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مصاديق الفاحشة، فيجب الاكتفاء بالزنا أو بما يوجب الحدّ، إن قلنا بالتعدّي عن الزنا إلى كلّ ما يوجب الحدّ؛ بأن كان ذكر الزنا في المرسلة من باب النموذج لما يوجب الحدّ والأُستاذ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سلك في المتن مسلكاً آخر،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 إلى جواز الإخراج إذا أتت بفاحشة مبيّنة وهي ما يوجب الحدّ، أخذاً بظاهر الآية</w:t>
      </w:r>
      <w:r>
        <w:rPr>
          <w:rStyle w:val="FootnoteAnchor"/>
          <w:rtl w:val="true"/>
        </w:rPr>
        <w:footnoteReference w:id="1563"/>
      </w:r>
      <w:r>
        <w:rPr>
          <w:rFonts w:ascii="Amiri" w:hAnsi="Amiri" w:eastAsia="Amiri" w:cs="Amiri"/>
          <w:color w:val="111111"/>
          <w:sz w:val="28"/>
          <w:sz w:val="28"/>
          <w:szCs w:val="28"/>
          <w:rtl w:val="true"/>
          <w:lang w:bidi="ar-SA"/>
        </w:rPr>
        <w:t>أو بمرسلة الصدوق</w:t>
      </w:r>
      <w:r>
        <w:rPr>
          <w:rFonts w:eastAsia="Amiri" w:cs="Amiri" w:ascii="Amiri" w:hAnsi="Amiri"/>
          <w:color w:val="111111"/>
          <w:sz w:val="28"/>
          <w:szCs w:val="28"/>
          <w:rtl w:val="true"/>
          <w:lang w:bidi="ar-SA"/>
        </w:rPr>
        <w:t>;</w:t>
      </w:r>
      <w:r>
        <w:rPr>
          <w:rStyle w:val="FootnoteAnchor"/>
          <w:rtl w:val="true"/>
        </w:rPr>
        <w:footnoteReference w:id="1564"/>
      </w:r>
      <w:r>
        <w:rPr>
          <w:rFonts w:ascii="IRNazanin" w:hAnsi="IRNazanin" w:eastAsia="IRNazanin"/>
          <w:color w:val="111111"/>
          <w:sz w:val="28"/>
          <w:sz w:val="28"/>
          <w:szCs w:val="28"/>
          <w:rtl w:val="true"/>
          <w:lang w:bidi="fa-IR"/>
        </w:rPr>
        <w:t xml:space="preserve">بناءً على كون ذكر الزنا نموذجاً لما يوجب الحدّ، أو أتت بما يوجب النشوز، أخذاً بقاعدة النشوز، فإنّه موجب لسقوط حقّ الزوجة للنفقة والسكنى ولمّا كانت المطلّقة الرجعيّة زوجة فيجري عليها ما يجري على الزوجة من حقّ النفقة والسكنى ومن سقوطه إذا صار ناشزة فالبذاء باللسان وإيذاء الأهل إذا وصل إلى حدّ النشوز يجوز إخراجها؛ لأنّ حقّ السكنى لها بما أنّها زوجة غير ناشزة وأمّا إذا لم ينته إلى النشوز فاستشكل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كونه موجباً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حسنٌ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ولو سلّم صدق النشوز على مثل البذاء باللسان، كما تسلّمه صاحب الجواهر بالقبول ردّاً على الشهيد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تحقّق النشوز بالعبوس والإعراض والتثاقل وإظهار الكراهة له بالفعل والقول ونحوهما ممّا ينقص استمتاعه بها وتلذّذه بها، بل لا ينبغي التأمّل في تحقّقه بتبرّمها بحوائجه المتعلّقة بالاستمتاع أو الدالّة على كراهتها له، بل لعلّ ما سمعته من الفخر يراد منه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أين ذلك ممّا نحن فيه الذي هو لا يريد منها الاستمتاع إلّا أن يريد به الرجوع فيها وبالرجوع ينتفي موضوع البحث، كما أنّ مع تحقّق النشوز أو أماراته يجوز للزوج الوعظ والهجر والضرب على ما فصّل في محلّه لا أنّه يزيل منها حقّ السكنى ويخرجها من بيته، فإناطة الحكم بحقّها للسكنى المشروط بكونها زوجة غير ناشزة والتفريع عليه ليس في محلّه وإن استحسنه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أنّ النشوز أو أماراته هناك في الزوجيّة لو سلّمنا أنّه يسقط حقّ السكنى بمجرّد تحقّقه، لكن قياس أيّام العدّة بذلك ممنوع فلعلّ حضورها في بيته يوجب رفع الخصومة من البين وتحقّق التلائم بينهما ورجوعه إليها أثر ذلك، كما أشار إليه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 يحدث بعد ذلك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کتاب الطلاق، أبواب أقسام الطلاق وأحکامه،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إنّ مثل الإيذاء والسبّ إن كان من مصاديق الفاحشة المبيّنة فهو وإلّا ليس للنشوز ولا لمقدّماته وأماراته عنوان خاصّ ومستقلّ في سقوط حقّها للسكنى وجواز إخراجها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ذلك كلّه، أنّ تحقّق النشوز بمثل ذلك فيه إشكال وتأمّل، مضافاً إلى أنّ النشوز هنا لا معنى له إلّا أن يريد الزوج الرجوع ومعه ينتفي الموضوع، وثالثاً مع صدق النشوز حتّى في باب الزوجيّة يتحقّق جواز الوعظ والهجر والضرب، وجواز أخراجها من أوّل الأمر محلّ تأمّلٍ ظاهر بل منع، ورابعاً لا تلازم بين سقوط حقّ السكنى هناك وسقوطه فيما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ويتفرّع عليه أنّ الإتيان بما يوجب الحدّ يكون موجباًلسقوط</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لسقوط </w:t>
      </w:r>
      <w:bookmarkStart w:id="567" w:name="pg9375_99880"/>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حقّها مطلقاً، فلا يجب إعادتها إذا تاب ورجع عمّا ارتكبها؛ لعدم الدليل عليه، بل الظاهر من الآية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الإتيان بما يوجب النشوز يكون موجباً لسقوط حقّها مادام بقائها عليه؛ لقاعدة النشوز، فلو رجع عن النشوز تجب الإعادة</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5416819_2870459653"/>
      <w:bookmarkStart w:id="569" w:name="_Toc202"/>
      <w:bookmarkEnd w:id="568"/>
      <w:r>
        <w:rPr>
          <w:rtl w:val="true"/>
        </w:rPr>
        <w:t>المراد من الخروج والإخراج المحرّم</w:t>
      </w:r>
      <w:bookmarkEnd w:id="569"/>
    </w:p>
    <w:p>
      <w:pPr>
        <w:pStyle w:val="BookText"/>
        <w:rPr/>
      </w:pPr>
      <w:r>
        <w:rPr>
          <w:rFonts w:ascii="Amiri" w:hAnsi="Amiri" w:eastAsia="Amiri" w:cs="Amiri"/>
          <w:color w:val="111111"/>
          <w:sz w:val="28"/>
          <w:sz w:val="28"/>
          <w:szCs w:val="28"/>
          <w:rtl w:val="true"/>
          <w:lang w:bidi="ar-SA"/>
        </w:rPr>
        <w:t>ثمّ إنّ المراد بالخروج والإخراج المحرّم هل هو مختصّ بما معه قصد عدم العود أم أعمّ منه وما معه قصد العود أيضاً كالخروج لزيارة الأقرباء وعيادة المرضى، كما ورد نظيرها في أخبار عدّة الوفاة،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بعضى الأصحاب ككاشف اللثام</w:t>
      </w:r>
      <w:r>
        <w:rPr>
          <w:rStyle w:val="FootnoteAnchor"/>
          <w:rtl w:val="true"/>
        </w:rPr>
        <w:footnoteReference w:id="1566"/>
      </w:r>
      <w:r>
        <w:rPr>
          <w:rFonts w:ascii="Amiri" w:hAnsi="Amiri" w:eastAsia="Amiri" w:cs="Amiri"/>
          <w:color w:val="111111"/>
          <w:sz w:val="28"/>
          <w:sz w:val="28"/>
          <w:szCs w:val="28"/>
          <w:rtl w:val="true"/>
          <w:lang w:bidi="ar-SA"/>
        </w:rPr>
        <w:t>إشارة إلى الاختصاص إن لم نقل بظهورها فيه، وأورد عليه في الجواهر</w:t>
      </w:r>
      <w:r>
        <w:rPr>
          <w:rStyle w:val="FootnoteAnchor"/>
          <w:rtl w:val="true"/>
        </w:rPr>
        <w:footnoteReference w:id="1567"/>
      </w:r>
      <w:r>
        <w:rPr>
          <w:rFonts w:ascii="Amiri" w:hAnsi="Amiri" w:eastAsia="Amiri" w:cs="Amiri"/>
          <w:color w:val="111111"/>
          <w:sz w:val="28"/>
          <w:sz w:val="28"/>
          <w:szCs w:val="28"/>
          <w:rtl w:val="true"/>
          <w:lang w:bidi="ar-SA"/>
        </w:rPr>
        <w:t>بكونه مخالفاً لمذاق الفقه، ولكن يمكن أن يستدلّ له بظهور الآية الشريفة؛</w:t>
      </w:r>
      <w:r>
        <w:rPr>
          <w:rStyle w:val="FootnoteAnchor"/>
          <w:rtl w:val="true"/>
        </w:rPr>
        <w:footnoteReference w:id="1568"/>
      </w:r>
      <w:r>
        <w:rPr>
          <w:rFonts w:ascii="Amiri" w:hAnsi="Amiri" w:eastAsia="Amiri" w:cs="Amiri"/>
          <w:color w:val="111111"/>
          <w:sz w:val="28"/>
          <w:sz w:val="28"/>
          <w:szCs w:val="28"/>
          <w:rtl w:val="true"/>
          <w:lang w:bidi="ar-SA"/>
        </w:rPr>
        <w:t>لأنّ من المعلوم أنّ المراد من الآية الخروج والإخراج رغماً للزوج والمطلّق لا الأعمّ منه ومن الخروج إلى فناء الدار بأن تكون الزوجة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ذلك بل يشهد له هو كلام الفضل بن شاذان على ما حكاه في الجواهر، قال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معنى الخروج والإخراج ليس هو أن تخرج المرأة إلى أبيها أو تخرج في حاجة لها أو في حقّ بإذن زوجها، مثل مأتم وماأشبه ذلك، وإنّما الخروج والإخراج أن تخرج مراغمة ويخرجها مراغمة، فهذا الذي نهى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عنه، فلو أنّ امرأة استأذنت أن تخرج إلى أبويها أو تخرج إلى حقّ لم يقل إنّها خرجت من بيت زوجها،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أخرج زوجته من بيتها، إنّما يقال ذلك إذا كان ذلك على الرغم والسخطة، وعلى أنّها لا تريد العود إلى بيتها وإمساكها على ذلك؛ لأنّ المستعمل في اللغة هذا الذي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الأثر وأصحاب الرأي وأصحاب التشيّع قد رخّصوا لها في الخروج الذي ليس على السخط والرغم، وأجمعوا على ذلك</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هذا بحسب الكتاب، وأمّا بحسب أخبار الباب ففيها التعرّض لهما، ففي صحيحة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المطلّقة تعتدّ في بيتها، ولا ينبغي لها أن تخرج حتّى تنقضي عدّتها </w:t>
      </w:r>
      <w:r>
        <w:rPr>
          <w:rFonts w:eastAsia="IRNazanin" w:cs="IRNazanin"/>
          <w:color w:val="111111"/>
          <w:sz w:val="28"/>
          <w:szCs w:val="28"/>
          <w:rtl w:val="true"/>
          <w:lang w:bidi="fa-IR"/>
        </w:rPr>
        <w:t>... ».</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فإنّ الجملة الأُولی منها راجعة إلى حرمة النقل والانتقال، والثانية منها إلى الخروج بقصد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المطلّقه أين تعتدّ؟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بيتها لا تخرج، وإن أرادت زيارة خرجت بعد نصف الليل ولا تخرج نهاراً </w:t>
      </w:r>
      <w:r>
        <w:rPr>
          <w:rFonts w:eastAsia="IRNazanin" w:cs="IRNazanin"/>
          <w:color w:val="111111"/>
          <w:sz w:val="28"/>
          <w:szCs w:val="28"/>
          <w:rtl w:val="true"/>
          <w:lang w:bidi="fa-IR"/>
        </w:rPr>
        <w:t>... ».</w:t>
      </w:r>
      <w:r>
        <w:rPr>
          <w:rStyle w:val="FootnoteAnchor"/>
          <w:rtl w:val="true"/>
        </w:rPr>
        <w:footnoteReference w:id="1571"/>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يضارّ الرجل امرأته إذا طلّقها فيضيق عليها قبل أن تنتقل قبل أن تنقضيعدّتها </w:t>
      </w:r>
      <w:r>
        <w:rPr>
          <w:rFonts w:eastAsia="IRNazanin" w:cs="IRNazanin"/>
          <w:color w:val="111111"/>
          <w:sz w:val="28"/>
          <w:szCs w:val="28"/>
          <w:rtl w:val="true"/>
          <w:lang w:bidi="fa-IR"/>
        </w:rPr>
        <w:t>... ».</w:t>
      </w:r>
      <w:r>
        <w:rPr>
          <w:rStyle w:val="FootnoteAnchor"/>
          <w:rtl w:val="true"/>
        </w:rPr>
        <w:footnoteReference w:id="1572"/>
      </w:r>
      <w:r>
        <w:rPr>
          <w:rFonts w:ascii="IRNazanin" w:hAnsi="IRNazanin" w:eastAsia="IRNazanin"/>
          <w:color w:val="111111"/>
          <w:sz w:val="28"/>
          <w:sz w:val="28"/>
          <w:szCs w:val="28"/>
          <w:rtl w:val="true"/>
          <w:lang w:bidi="fa-IR"/>
        </w:rPr>
        <w:t>وفي صحيحته الأُخرى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للمطلّقة أن تخرج إلّا بإذن زوجها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تنقضي عدّتها </w:t>
      </w:r>
      <w:r>
        <w:rPr>
          <w:rFonts w:eastAsia="Amiri" w:cs="Amiri" w:ascii="Amiri" w:hAnsi="Amiri"/>
          <w:color w:val="111111"/>
          <w:sz w:val="28"/>
          <w:szCs w:val="28"/>
          <w:rtl w:val="true"/>
          <w:lang w:bidi="ar-SA"/>
        </w:rPr>
        <w:t>... ».</w:t>
      </w:r>
      <w:r>
        <w:rPr>
          <w:rStyle w:val="FootnoteAnchor"/>
          <w:rtl w:val="true"/>
        </w:rPr>
        <w:footnoteReference w:id="1573"/>
      </w:r>
    </w:p>
    <w:p>
      <w:pPr>
        <w:pStyle w:val="BookText"/>
        <w:rPr/>
      </w:pPr>
      <w:r>
        <w:rPr>
          <w:rFonts w:ascii="IRNazanin" w:hAnsi="IRNazanin" w:eastAsia="IRNazanin"/>
          <w:color w:val="111111"/>
          <w:sz w:val="28"/>
          <w:sz w:val="28"/>
          <w:szCs w:val="28"/>
          <w:rtl w:val="true"/>
          <w:lang w:bidi="fa-IR"/>
        </w:rPr>
        <w:t xml:space="preserve">فإنّ الصحيحة الأُولی في الخروج بقصد عدم العود والثانية فيه بقصد العود وليس في هذه الروايات دلالة على حرمة الخروج والإخراج بقصد العود؛ لما فيها من التعبير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أعمّ من الحرمة ولا يصار إليها من دون قرينة وشاهد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منكم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بقرينة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قلناه سابقاً كان على أن يكون المراد من الخروج في الآية الشريفة هو الأعمّ من قصد العود وعدمه، وأمّا على ما ذهبنا إليه من عدم إفادة الآية الشريفة أزيد من حرمة النقل والانتقال، فلا تكون قرينة على إرادة الحرمة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فالحقّ هو ما اختاره العلّامة في القواعد؛</w:t>
      </w:r>
      <w:r>
        <w:rPr>
          <w:rStyle w:val="FootnoteAnchor"/>
          <w:rtl w:val="true"/>
        </w:rPr>
        <w:footnoteReference w:id="1574"/>
      </w:r>
      <w:r>
        <w:rPr>
          <w:rFonts w:ascii="Amiri" w:hAnsi="Amiri" w:eastAsia="Amiri" w:cs="Amiri"/>
          <w:color w:val="111111"/>
          <w:sz w:val="28"/>
          <w:sz w:val="28"/>
          <w:szCs w:val="28"/>
          <w:rtl w:val="true"/>
          <w:lang w:bidi="ar-SA"/>
        </w:rPr>
        <w:t>حيث ذهب إلى التفريق بين الانتقال من منزل إلى منزل، فإنّه لا يجوز حتّى مع إذن الزوج، ولو اتّفقا عليه منعهما الحاكم؛ لأنّ حقّ الله تعالى تعلّق بالسكنى هنا لنهيه عن الخروج والإخراج، بخلاف مدّة النكاح فإنّ السكنى فيها حقّ الزوج وبين الخروج إلى الحَجَّة المندوبة، فإنّه يجوز مع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كاشف اللثام</w:t>
      </w:r>
      <w:r>
        <w:rPr>
          <w:rStyle w:val="FootnoteAnchor"/>
          <w:rtl w:val="true"/>
        </w:rPr>
        <w:footnoteReference w:id="1575"/>
      </w:r>
      <w:r>
        <w:rPr>
          <w:rFonts w:ascii="Amiri" w:hAnsi="Amiri" w:eastAsia="Amiri" w:cs="Amiri"/>
          <w:color w:val="111111"/>
          <w:sz w:val="28"/>
          <w:sz w:val="28"/>
          <w:szCs w:val="28"/>
          <w:rtl w:val="true"/>
          <w:lang w:bidi="ar-SA"/>
        </w:rPr>
        <w:t>في وجهه أنّ هذا الخروج ليس ممّا لا يفيد فيهالإذن، فإنّه الانتقال للسكنى</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الخلط في كلام الشهيد الثاني؛</w:t>
      </w:r>
      <w:r>
        <w:rPr>
          <w:rStyle w:val="FootnoteAnchor"/>
          <w:rtl w:val="true"/>
        </w:rPr>
        <w:footnoteReference w:id="1576"/>
      </w:r>
      <w:r>
        <w:rPr>
          <w:rFonts w:ascii="Amiri" w:hAnsi="Amiri" w:eastAsia="Amiri" w:cs="Amiri"/>
          <w:color w:val="111111"/>
          <w:sz w:val="28"/>
          <w:sz w:val="28"/>
          <w:szCs w:val="28"/>
          <w:rtl w:val="true"/>
          <w:lang w:bidi="ar-SA"/>
        </w:rPr>
        <w:t xml:space="preserve">حيث استدلّ لذهاب جماعة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الأصحاب منهم أبو الصلاح</w:t>
      </w:r>
      <w:r>
        <w:rPr>
          <w:rStyle w:val="FootnoteAnchor"/>
          <w:rtl w:val="true"/>
        </w:rPr>
        <w:footnoteReference w:id="1577"/>
      </w:r>
      <w:r>
        <w:rPr>
          <w:rFonts w:ascii="Amiri" w:hAnsi="Amiri" w:eastAsia="Amiri" w:cs="Amiri"/>
          <w:color w:val="111111"/>
          <w:sz w:val="28"/>
          <w:sz w:val="28"/>
          <w:szCs w:val="28"/>
          <w:rtl w:val="true"/>
          <w:lang w:bidi="ar-SA"/>
        </w:rPr>
        <w:t>والعلّامة في التحرير</w:t>
      </w:r>
      <w:r>
        <w:rPr>
          <w:rStyle w:val="FootnoteAnchor"/>
          <w:rtl w:val="true"/>
        </w:rPr>
        <w:footnoteReference w:id="1578"/>
      </w:r>
      <w:r>
        <w:rPr>
          <w:rFonts w:ascii="IRNazanin" w:hAnsi="IRNazanin" w:eastAsia="IRNazanin"/>
          <w:color w:val="111111"/>
          <w:sz w:val="28"/>
          <w:sz w:val="28"/>
          <w:szCs w:val="28"/>
          <w:rtl w:val="true"/>
          <w:lang w:bidi="fa-IR"/>
        </w:rPr>
        <w:t>إلى جواز الخروج بإذن الزوج بصحيحة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للمطلّقة أن تخرج إلّا بإذن زوجها حتّى تنقضي عدّتها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وذهب نفسه إلى عدم جوازه مطلقاً حتّى مع إذن الزوج؛ لدلالة الآية على تحريمه من دون أن يفرّق بين الخروج بقصد العود وعدمه؛ لأنّ صحيحة الحلبي المعبّر عنها في المسالك</w:t>
      </w:r>
      <w:r>
        <w:rPr>
          <w:rStyle w:val="FootnoteAnchor"/>
          <w:rtl w:val="true"/>
        </w:rPr>
        <w:footnoteReference w:id="1579"/>
      </w:r>
      <w:r>
        <w:rPr>
          <w:rFonts w:ascii="Amiri" w:hAnsi="Amiri" w:eastAsia="Amiri" w:cs="Amiri"/>
          <w:color w:val="111111"/>
          <w:sz w:val="28"/>
          <w:sz w:val="28"/>
          <w:szCs w:val="28"/>
          <w:rtl w:val="true"/>
          <w:lang w:bidi="ar-SA"/>
        </w:rPr>
        <w:t>بالحسنة تدلّ على الخروج بقصد العود، والآية الشريفة</w:t>
      </w:r>
      <w:r>
        <w:rPr>
          <w:rStyle w:val="FootnoteAnchor"/>
          <w:rtl w:val="true"/>
        </w:rPr>
        <w:footnoteReference w:id="1580"/>
      </w:r>
      <w:r>
        <w:rPr>
          <w:rFonts w:ascii="Amiri" w:hAnsi="Amiri" w:eastAsia="Amiri" w:cs="Amiri"/>
          <w:color w:val="111111"/>
          <w:sz w:val="28"/>
          <w:sz w:val="28"/>
          <w:szCs w:val="28"/>
          <w:rtl w:val="true"/>
          <w:lang w:bidi="ar-SA"/>
        </w:rPr>
        <w:t>تدلّ على عدم الجواز في الانتقال من منزل إلى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فلادليل على الحرمة مطلقاً حتّى مع قصد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يتطرّق الكلام في موارد الجواز من حيث الاضطرار أو الحاجة أو وقت الخروج والعود كنصف الليل، كما جاء في بعض الأخبار؛ وهي على طوائف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جواز الخروج للضرورة والحاجة،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صفّار إلى أبي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طلّقها زوجها ولم يجر عليها النفقة للعدّة وهي محتاجة، هل يجوز لها أن تخرج وتبيت عن منزلها للعمل أو الحاجة؟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إذا علم الله‌الصحّة منها</w:t>
      </w:r>
      <w:r>
        <w:rPr>
          <w:rFonts w:eastAsia="IRNazanin" w:cs="IRNazanin"/>
          <w:color w:val="111111"/>
          <w:sz w:val="28"/>
          <w:szCs w:val="28"/>
          <w:rtl w:val="true"/>
          <w:lang w:bidi="fa-IR"/>
        </w:rPr>
        <w:t>».</w:t>
      </w:r>
      <w:r>
        <w:rPr>
          <w:rStyle w:val="FootnoteAnchor"/>
          <w:rtl w:val="true"/>
        </w:rPr>
        <w:footnoteReference w:id="1581"/>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عدم دلالتها على الحرمة مع عدم الضرورة والحاجة؛ حيث إنّ البأس أعمّ من الحرمة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الحجّ،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تحجّ وتشهد الحقوق</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معاوية بن عمّار،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المطلّقة تحجّ في عدّتها إن طابت نفس زوجها</w:t>
      </w:r>
      <w:r>
        <w:rPr>
          <w:rFonts w:eastAsia="IRNazanin" w:cs="IRNazanin"/>
          <w:color w:val="111111"/>
          <w:sz w:val="28"/>
          <w:szCs w:val="28"/>
          <w:rtl w:val="true"/>
          <w:lang w:bidi="fa-IR"/>
        </w:rPr>
        <w:t>».</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المطلّقة أين تعتدّ؟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بيتها لا تخرج، وإن أرادت زيارة خرجت بعد نصف الليل ولا تخرج نهاراً، وليس لها أن تحجّ حتّى تنقضي عدّتها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المتوفّى عنها زوجها، كذلك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وتحجّ إن شاءت</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أمّا الأُولی، فبإطلاقها تعمّ الرجعيّة أيضاً كالبائنة، وتدلّ على جواز الحجّ بدون إذن الزوج، والثالثة في نفسها قاصرة عن الدلالة على الحرمة، بل تدلّ على الجواز والكراهة بقرينة جواز الزيارة، إلّا أن يقال بالحرمة في خصوص الحجّ، ومعه أيضاً يقيد إطلاقها بمنطوق موثّقة معاوية بن عمّار الصريحة في جواز حجّها إن طابت نفس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تقييد الخروج بإذن الزوج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للمطلّقة أن تخرج إلّا بإذن زوجها حتّى تنقضي عدّتها ثلاثة قروء أو ثلاثة أشهر إن لم تحض</w:t>
      </w:r>
      <w:r>
        <w:rPr>
          <w:rFonts w:eastAsia="IRNazanin" w:cs="IRNazanin"/>
          <w:color w:val="111111"/>
          <w:sz w:val="28"/>
          <w:szCs w:val="28"/>
          <w:rtl w:val="true"/>
          <w:lang w:bidi="fa-IR"/>
        </w:rPr>
        <w:t>».</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لا تدلّ على الحرمة،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مرّ</w:t>
      </w:r>
      <w:r>
        <w:rPr>
          <w:rStyle w:val="FootnoteAnchor"/>
          <w:rtl w:val="true"/>
        </w:rPr>
        <w:footnoteReference w:id="1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الحرمة والكراهة</w:t>
      </w:r>
      <w:r>
        <w:rPr>
          <w:rFonts w:eastAsia="Amiri" w:cs="Amiri" w:ascii="Amiri" w:hAnsi="Amiri"/>
          <w:color w:val="111111"/>
          <w:sz w:val="28"/>
          <w:szCs w:val="28"/>
          <w:rtl w:val="true"/>
          <w:lang w:bidi="ar-SA"/>
        </w:rPr>
        <w:t xml:space="preserve">. </w:t>
      </w:r>
      <w:bookmarkStart w:id="570" w:name="pg9375_99885"/>
    </w:p>
    <w:p>
      <w:pPr>
        <w:pStyle w:val="Heading2"/>
        <w:numPr>
          <w:ilvl w:val="1"/>
          <w:numId w:val="1"/>
        </w:numPr>
        <w:rPr/>
      </w:pPr>
      <w:bookmarkStart w:id="571" w:name="__RefHeading___Toc5416821_2870459653"/>
      <w:bookmarkStart w:id="572" w:name="_Toc203"/>
      <w:bookmarkEnd w:id="570"/>
      <w:bookmarkEnd w:id="571"/>
      <w:r>
        <w:rPr>
          <w:rtl w:val="true"/>
        </w:rPr>
        <w:t>القول في الرجعة</w:t>
      </w:r>
      <w:bookmarkEnd w:id="572"/>
    </w:p>
    <w:p>
      <w:pPr>
        <w:pStyle w:val="Heading3"/>
        <w:numPr>
          <w:ilvl w:val="2"/>
          <w:numId w:val="1"/>
        </w:numPr>
        <w:rPr/>
      </w:pPr>
      <w:bookmarkStart w:id="573" w:name="__RefHeading___Toc5416823_2870459653"/>
      <w:bookmarkStart w:id="574" w:name="_Toc204"/>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وهي ردّ المطلّقة في زمان عدّتها إلى نكاحها السابق، ولا رجعة في البائنة ولا في الرجعيّة بعد انقضاء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5416825_2870459653"/>
      <w:bookmarkStart w:id="576" w:name="_Toc205"/>
      <w:bookmarkEnd w:id="575"/>
      <w:r>
        <w:rPr>
          <w:rtl w:val="true"/>
        </w:rPr>
        <w:t>المراد بالرجعة وثبوتها بالكتاب والسنّة</w:t>
      </w:r>
      <w:bookmarkEnd w:id="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الرجعة لغة هي الرجوع مرّة،</w:t>
      </w:r>
      <w:r>
        <w:rPr>
          <w:rStyle w:val="FootnoteAnchor"/>
          <w:rtl w:val="true"/>
        </w:rPr>
        <w:footnoteReference w:id="1587"/>
      </w:r>
      <w:r>
        <w:rPr>
          <w:rFonts w:ascii="Amiri" w:hAnsi="Amiri" w:eastAsia="Amiri" w:cs="Amiri"/>
          <w:color w:val="111111"/>
          <w:sz w:val="28"/>
          <w:sz w:val="28"/>
          <w:szCs w:val="28"/>
          <w:rtl w:val="true"/>
          <w:lang w:bidi="ar-SA"/>
        </w:rPr>
        <w:t>وفي الاصطلاح هي ردّ المطلّقة في زمان عدّتها إلى نكاحها السابق، كما أفاده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ثابتة بالكتاب والسنّة والإجماع؛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8"/>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58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طَلَّقْتُمُ النّسَاء فَبَلَغْنَ أَجَلَهُنَّ فَأَمْسِكُوهُنَّ بِمَعْرُوفٍ أَوْ سَرِّحُوهُنَّ بِمَعْرُوفٍ وَلَا تُمْسِكُوهُنَّ ضِرَارًا لَّتَعْتَدُواْ وَمَن يَفْعَلْ ذَلِكَ فَقَدْ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إمّا بالقول، وهو كلّ لفظ دلّ على إنشاء الرجوع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أو دلّ على التمسّك بزوجيّتها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رددتك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الجميع 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العربيّة، بل يقع بكلّ لغة إذا أفاد المعنى المقصود، وإمّا بالفعل بأن يفعل بها ما لا يحلّ إلّا للزوج بحليلته، كالوطء والتقبيل واللمس بشهوة أو بدونها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تتوقّف حلّيّة الوطء وما دونه من التقبيل واللمس على سبق الرجوع لفظاً ولا على قصد الرجوع به؛ لأنّ الرجعيّة بحكم الزوجة، وهل يعتبر في كونه رجوعاً أن يقصد به الرجوع؟ قولان، أقواهما العدم، ولو قصد عدم الرجوع وعدم التمسّك بالزوجيّة ففي كونه رجوعاً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59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بالبلوغ هو قرب الوصول إلى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فهي مستفيضة مذكورة في أبواب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الإجماع،</w:t>
      </w:r>
      <w:r>
        <w:rPr>
          <w:rStyle w:val="FootnoteAnchor"/>
          <w:rtl w:val="true"/>
        </w:rPr>
        <w:footnoteReference w:id="1591"/>
      </w:r>
      <w:r>
        <w:rPr>
          <w:rFonts w:ascii="Amiri" w:hAnsi="Amiri" w:eastAsia="Amiri" w:cs="Amiri"/>
          <w:color w:val="111111"/>
          <w:sz w:val="28"/>
          <w:sz w:val="28"/>
          <w:szCs w:val="28"/>
          <w:rtl w:val="true"/>
          <w:lang w:bidi="ar-SA"/>
        </w:rPr>
        <w:t>فهو يعمّ علماء الإسلام، بل ضرورة الفقه هي قائمة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الرجوع في البائنة وكذا بعد انقضاء العدّة في الرجعي فمن الكتاب ما جاء من التفسير</w:t>
      </w:r>
      <w:r>
        <w:rPr>
          <w:rStyle w:val="FootnoteAnchor"/>
          <w:rtl w:val="true"/>
        </w:rPr>
        <w:footnoteReference w:id="1592"/>
      </w:r>
      <w:r>
        <w:rPr>
          <w:rFonts w:ascii="Amiri" w:hAnsi="Amiri" w:eastAsia="Amiri" w:cs="Amiri"/>
          <w:color w:val="111111"/>
          <w:sz w:val="28"/>
          <w:sz w:val="28"/>
          <w:szCs w:val="28"/>
          <w:rtl w:val="true"/>
          <w:lang w:bidi="ar-SA"/>
        </w:rPr>
        <w:t>في الآيات المذكورة آنفاً، والروايات في البائنةبأقسامها كثيرة مذكورة في أبوابها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عدم تحقّق الرجوع في البائنة هو موافق للقاعدة أيضاً فإنّ الطلاق يفصل بينهما والرجوع يحتاج إلى الدليل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فيها في المسألة الثالثة</w:t>
      </w:r>
      <w:r>
        <w:rPr>
          <w:rFonts w:eastAsia="Amiri" w:cs="Amiri" w:ascii="Amiri" w:hAnsi="Amiri"/>
          <w:color w:val="111111"/>
          <w:sz w:val="28"/>
          <w:szCs w:val="28"/>
          <w:rtl w:val="true"/>
          <w:lang w:bidi="ar-SA"/>
        </w:rPr>
        <w:t xml:space="preserve">. </w:t>
      </w:r>
      <w:bookmarkStart w:id="577" w:name="pg9375_99887"/>
    </w:p>
    <w:p>
      <w:pPr>
        <w:pStyle w:val="BookText"/>
        <w:rPr/>
      </w:pPr>
      <w:bookmarkEnd w:id="577"/>
      <w:r>
        <w:rPr>
          <w:rFonts w:ascii="Amiri" w:hAnsi="Amiri" w:eastAsia="Amiri" w:cs="Amiri"/>
          <w:color w:val="111111"/>
          <w:sz w:val="28"/>
          <w:sz w:val="28"/>
          <w:szCs w:val="28"/>
          <w:rtl w:val="true"/>
          <w:lang w:bidi="ar-SA"/>
        </w:rPr>
        <w:t>الغشيان غير بعيد، ولا عبرة بفعل الغافل والساهي والنائم ممّا لا قصد فيه للفعل، كما لا عبرة بالفعل المقصود به غير المطلّقة كما لو واقعها باعتقاد أنّها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أصل الطلاق، وهي في العدّة كان ذلك رجوعاً وإن علم 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هذه المسائل الثلاث يتمّ ببيان أُمورٍ</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5416827_2870459653"/>
      <w:bookmarkStart w:id="579" w:name="_Toc206"/>
      <w:bookmarkEnd w:id="578"/>
      <w:r>
        <w:rPr>
          <w:rtl w:val="true"/>
        </w:rPr>
        <w:t>في أسباب الرجوع</w:t>
      </w:r>
      <w:bookmarkEnd w:id="57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باللفظ الخاصّ في الرجوع والإمساك، والاعتبار إنّما هو باللفظ الدالّ عليه مطلقاً حتّى إنكار الطلاق بقصد بقاء الزوجيّة، وهو الموافق لإطلاق الفتاوى، بل للصراحة فى بعضها، والدليل عليه إطلاق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 وطئها وتقبيلها ولمسها وغيرها ممّا لا يجوز إلّا للزوج، رجوعاً في الجملة فيما إذا كانت تلك الأُمور مع قصد الرجوع، وذلك لصدق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ما ورد في الوطء وهو صحيحة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غشي امرأته بعد انقضاء العدّة جلد الحدّ وإن غشيها قبل انقضاء العدّة كان غشيانه إيّاها رجعة لها</w:t>
      </w:r>
      <w:r>
        <w:rPr>
          <w:rFonts w:eastAsia="IRNazanin" w:cs="IRNazanin"/>
          <w:color w:val="111111"/>
          <w:sz w:val="28"/>
          <w:szCs w:val="28"/>
          <w:rtl w:val="true"/>
          <w:lang w:bidi="fa-IR"/>
        </w:rPr>
        <w:t>».</w:t>
      </w:r>
      <w:r>
        <w:rPr>
          <w:rStyle w:val="FootnoteAnchor"/>
          <w:rtl w:val="true"/>
        </w:rPr>
        <w:footnoteReference w:id="1593"/>
      </w:r>
      <w:r>
        <w:rPr>
          <w:rFonts w:ascii="Amiri" w:hAnsi="Amiri" w:eastAsia="Amiri" w:cs="Amiri"/>
          <w:color w:val="111111"/>
          <w:sz w:val="28"/>
          <w:sz w:val="28"/>
          <w:szCs w:val="28"/>
          <w:rtl w:val="true"/>
          <w:lang w:bidi="ar-SA"/>
        </w:rPr>
        <w:t>وإنّما الإشكال في بعض الصور كما سيأتي</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الزوج الطلاق في العدّة رجوع في الجملة كما مرّ لما مرّ</w:t>
      </w:r>
      <w:r>
        <w:rPr>
          <w:rStyle w:val="FootnoteAnchor"/>
          <w:rtl w:val="true"/>
        </w:rPr>
        <w:footnoteReference w:id="1594"/>
      </w:r>
      <w:r>
        <w:rPr>
          <w:rFonts w:ascii="IRNazanin" w:hAnsi="IRNazanin" w:eastAsia="IRNazanin"/>
          <w:color w:val="111111"/>
          <w:sz w:val="28"/>
          <w:sz w:val="28"/>
          <w:szCs w:val="28"/>
          <w:rtl w:val="true"/>
          <w:lang w:bidi="fa-IR"/>
        </w:rPr>
        <w:t>ولصحيحة أبي ولّاد الحنّاط،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ادّعت على زوجها أنّه طلّقها تطليقة طلاق العدّة طلاقاً صحيحاً؛ يعني على طهر من غير جماع </w:t>
      </w:r>
      <w:bookmarkStart w:id="580" w:name="pg9375_99888"/>
    </w:p>
    <w:p>
      <w:pPr>
        <w:pStyle w:val="BookText"/>
        <w:rPr/>
      </w:pPr>
      <w:bookmarkEnd w:id="5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لها شهوداً على ذلك، ثمّ أنكر الزوج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إنكار الطلاق قبل انقضاء العدّة فإنّ إنكاره الطلاق رجعة لها، وإن كان أنكر الطلاق بعد انقضاء العدّة فإنّ على الإمام أن يفرّق بينهما بعد شهادة الشهود بعد أن تستحلف أنّ إنكاره للطلاق بعد انقضاء العدّة وهو خاطب من الخطّاب</w:t>
      </w:r>
      <w:r>
        <w:rPr>
          <w:rFonts w:eastAsia="Amiri" w:cs="Amiri" w:ascii="Amiri" w:hAnsi="Amiri"/>
          <w:color w:val="111111"/>
          <w:sz w:val="28"/>
          <w:szCs w:val="28"/>
          <w:rtl w:val="true"/>
          <w:lang w:bidi="ar-SA"/>
        </w:rPr>
        <w:t>».</w:t>
      </w:r>
      <w:r>
        <w:rPr>
          <w:rStyle w:val="FootnoteAnchor"/>
          <w:rtl w:val="true"/>
        </w:rPr>
        <w:footnoteReference w:id="1595"/>
      </w:r>
    </w:p>
    <w:p>
      <w:pPr>
        <w:pStyle w:val="Heading3"/>
        <w:numPr>
          <w:ilvl w:val="2"/>
          <w:numId w:val="1"/>
        </w:numPr>
        <w:rPr/>
      </w:pPr>
      <w:bookmarkStart w:id="581" w:name="__RefHeading___Toc5416829_2870459653"/>
      <w:bookmarkStart w:id="582" w:name="_Toc207"/>
      <w:bookmarkEnd w:id="581"/>
      <w:r>
        <w:rPr>
          <w:rtl w:val="true"/>
        </w:rPr>
        <w:t>هل الرجعة إيقاع أم لا؟</w:t>
      </w:r>
      <w:bookmarkEnd w:id="58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الرجعة إيقاع معتبر فيها ما في بقيّة الإيقاعات إلّا ما دلّ الدليل على خلافه أو هي شبه حقّ للزوج فالمناط فيها كلّ المناط تحقّق الاستيفاء فلا اعتبار فيها بشيء من الأُمور المعتبرة في الإيقاعات من خصوصيّة اللفظ أو الفعل وغيرها، احتمالان، بل وجهان، أقواهما الثاني؛ قضاءً لإطلاق أدلّة الرجوع من الكتاب والسنّة المؤيّد بإجماع الأصحاب على عدم الاعتبار باللفظ الخاصّ، بل الظاهر عدم الإشكال والكلام فيه أصلاً وإنّما الإشكال والكلام في اعتبار قصد مثل الرجوع والإمساك وغيرهما ممّا يكون رجوعاً أو اعتبار عدم قصد خلافه أو عدم اعتبارهما من رأس فالرجوع ثابت فيما يتحقّق به الرجوع مثل ما لا يجوز لغير الزوج ولو مع قصد عدم الرجوع احتمالات ووجوهٌ ثلاثة، ووجه الثالث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كون الرجعيّة زوجة نصّاً وفتوىً وأنّه لا فرق بينها وبين المنكوحة في الأحكام والآثار أصلاً إلّا أنّها تنفصل عنه بعد انقضاء العدّة فلا وجه لاعتبار مثل قصد الرجوع أو الإمساك أو البقاء على الزوجيّة في الرجوع، بل لا وجه لاشتراط عدم قصد الخلاف فيه أيضاً، فإنّ التمسّك بها عملاً كالتمسّك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بالمنكوحة في الجواز والإباحة وفي كونها زوجة ولذلك لا يكون حلّيّة مثل الوطئ واللمس والتقبيل منوطة بالرجوع قبل ذلك، بل تلك الأُمور جائزة من دون الاشتراط بسبق الرجوع، وهل هذا إلّا لكونها زوجة فكما أنّ قصد عدم الزوجيّة غير مضرّة في المنكوحة، فضلاً عن قصد الزوجيّة والبقاء عليها فكذلك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المسالك والحدائق من أنّ اللمس والتقبيل والوطئ مع عدم قصد الرجوع كانت حراماً في غير صورة السهو والغفلة لانفساخ النكاح بالطلاق وإن كان رجعيّاً ولو لا ذلك لم تبن بانقضاء العدّة لكن لا حدّ عليه وإن كان عالماً بالتحريم؛ لعدم خروجها عن حكم الزوجيّة رأساً، فغاية ما يلزم هو التعزير على فعل المحرّم إلّا مع الجهل بالتحريم</w:t>
      </w:r>
      <w:r>
        <w:rPr>
          <w:rFonts w:eastAsia="Amiri" w:cs="Amiri" w:ascii="Amiri" w:hAnsi="Amiri"/>
          <w:color w:val="111111"/>
          <w:sz w:val="28"/>
          <w:szCs w:val="28"/>
          <w:rtl w:val="true"/>
          <w:lang w:bidi="ar-SA"/>
        </w:rPr>
        <w:t>.</w:t>
      </w:r>
      <w:r>
        <w:rPr>
          <w:rStyle w:val="FootnoteAnchor"/>
          <w:rtl w:val="true"/>
        </w:rPr>
        <w:footnoteReference w:id="1596"/>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ما لا يخفى؛ لأنّها إن كانت زوجة له كما عليه النصّ والفتوى فلا حدّ ولا تعزير، وإن لم تكن زوجة له يكون فعله زنا موجباً للحدّ ولا وجه للتعزير أصلاً، ودفع ذلك بأنّ المعتدة الرجعيّة بما أنّها زوجة للمطلق ببعض المراتب فلا يكون عليه الحدّ وبما أنّها غير زوجة ببعض المراتب فعليه التعزير، غير تمام؛ لكونه مخالفاً لإطلاق النصّ والفتوى وعدم الدليل على التبعيض والاستدلال على حصول البينونة وانتفاء الزوجيّة بالطلاق بأنّه لو لا ذلك لم تبن بانقضاء العدّة مردودٌ بأنّه ليس بأزيد من الاستبعاد في مقابل الدليل، فإنّ الدليل قائم على أنّ الشارع جعل البينونة في العدّةالرجعيّة بعد انقضاء العدّة مع حكمه بكونها زوجة في العدّة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فتقبيل المطلّق ولمسه ووطيه المعتدّة بالعدّة الرجعيّة يكون تمسّكاً بالزوجيّة تعبّداً مطلقاً ولو مع نيّة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صحيحة محمّد بن القاسم الواردة في غشيان المعتدّة،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غشي امرأته بعد انقضاء العدّة جلد الحدّ وإن غشيها قبل انقضاء العدّة كان غشيانه إيّاها رجعة</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فإنّها بإطلاقها دالّة على أنّ غشيانه معتدته الرجعيّة رجعة منه؛ سواء قصد الرجوع أم قصد العدم أو فعل غفلة والرواية وإن كانت خاصّة بالغشيان لكنّها بضميمة إلغاء الخصوصيّة من الوطئ تُجرى الحكم كذلك في مثل التقبيل واللمس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 بإطلاق صحيحة أبي ولّاد، حيث حكم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بأنّ انكار الطلاق قبل انقضاء العدّة رجعة لها من دون التقييد بقصد الرجوع مدفوعٌ بأنّ الإنكار وإن يشمل ما لو نسي الطلاق كما يشمل مورد اليقين والشكّ، لكنّه ملازم لقصد التمسّك بالزوجيّة لعدم معقوليّة الإنكار من دون قصد التمسّك بالزوجيّة فلا تكون دليلاً على عدم اعتبار قصد الرجوع</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الوجهين ما لا يخفى، أمّا الأوّل، فلأنّ عموم التنزيل إنّما يقتضي ترتّب جميع الآثار الشرعيّة لا العقليّة والعاديّة والشرعيّة المترتّبة عليهما، فلا يكون حجّة فيه كعدم حجيّة الأُصول في المثبتات، فإنّ الشارع الأقدس نزّل المطلقّة الرجعيّة منزلة الزوجة ويترتّب عليه الأحكامالشرعيّة للزوجة، فيكون التقبيل واللمس والوطئ تقبيل الزوجة ولمسّها ووطئها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كون هذه الأُمور من دون قصد الرجوع تمسّكاً بالزوجيّة فمن الآثار العقليّة فلا يثبت حتّى يترتّب عليه حكم الشارع بأنّ التمسّك بالزوجيّة رجعة</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وأمّا الثانى، فلأنّ إلغاء الخصوصيّة من الوطئ إلى التقبيل واللمس مشكلٌ؛ إذ لعلّ الشارع لأجل أهميّة الوطئ حَكَم بأنّها رجعة لها، رغماً لأنف المطلّق والأهميّة بهذه الدرجة مفقودة في مثل التقبيل واللمس، فلا وجه لإلغاء الخصوصيّة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 أنّ قصد الرجوع معتبر في الأفعال في غير الوطئ؛ لأنّها من العناوين القصديّة فتكون الغفلة ونيّة الخلاف قادحتين</w:t>
      </w:r>
      <w:r>
        <w:rPr>
          <w:rFonts w:eastAsia="Amiri" w:cs="Amiri" w:ascii="Amiri" w:hAnsi="Amiri"/>
          <w:color w:val="111111"/>
          <w:sz w:val="28"/>
          <w:szCs w:val="28"/>
          <w:rtl w:val="true"/>
          <w:lang w:bidi="ar-SA"/>
        </w:rPr>
        <w:t>.</w:t>
      </w:r>
      <w:r>
        <w:rPr>
          <w:rStyle w:val="FootnoteAnchor"/>
          <w:rtl w:val="true"/>
        </w:rPr>
        <w:footnoteReference w:id="1599"/>
      </w:r>
      <w:bookmarkStart w:id="583" w:name="pg9375_99892"/>
    </w:p>
    <w:p>
      <w:pPr>
        <w:pStyle w:val="BookText"/>
        <w:rPr/>
      </w:pPr>
      <w:bookmarkEnd w:id="5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الإشهاد في الرجعة وإن استحبّ؛ دفعاً لوقوع التخاصم والنزاع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5416831_2870459653"/>
      <w:bookmarkStart w:id="585" w:name="_Toc208"/>
      <w:bookmarkEnd w:id="584"/>
      <w:r>
        <w:rPr>
          <w:rtl w:val="true"/>
        </w:rPr>
        <w:t>عدم اشتراط الإشهاد في الرجعة</w:t>
      </w:r>
      <w:bookmarkEnd w:id="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الإماميّة على عدم وجوب الإشهاد في الرجعة، وهو مطابق للأصل، ويدلّ عليه الروايات المستفيضة، كما أنّ فيها الدلالة على استحبابه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واحدة؟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أملك برجعتها ما لم تنقض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يشهد على رجعتها،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غفل 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فليشهد حين يذكر وإنّما جعل ذلك لمكان الميراث</w:t>
      </w:r>
      <w:r>
        <w:rPr>
          <w:rFonts w:eastAsia="IRNazanin" w:cs="IRNazanin"/>
          <w:color w:val="111111"/>
          <w:sz w:val="28"/>
          <w:szCs w:val="28"/>
          <w:rtl w:val="true"/>
          <w:lang w:bidi="fa-IR"/>
        </w:rPr>
        <w:t>».</w:t>
      </w:r>
      <w:r>
        <w:rPr>
          <w:rStyle w:val="FootnoteAnchor"/>
          <w:rtl w:val="true"/>
        </w:rPr>
        <w:footnoteReference w:id="1600"/>
      </w:r>
      <w:r>
        <w:rPr>
          <w:rFonts w:ascii="Amiri" w:hAnsi="Amiri" w:eastAsia="Amiri" w:cs="Amiri"/>
          <w:color w:val="111111"/>
          <w:sz w:val="28"/>
          <w:sz w:val="28"/>
          <w:szCs w:val="28"/>
          <w:rtl w:val="true"/>
          <w:lang w:bidi="ar-SA"/>
        </w:rPr>
        <w:t>فإنّ الرواية جعلت الإشهاد مطلوباً لمكان الميراث، فلا يكون شرطاً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يراجعولم يشهد،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يشهد أحبّ إليّ ولا أرى بالذي صنع بأساً</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وابن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لا يكون بغير شهود، وإنّ الرجعة بغير شهود رجعة، ولكن ليشهد بعد فهو أفضل</w:t>
      </w:r>
      <w:r>
        <w:rPr>
          <w:rFonts w:eastAsia="IRNazanin" w:cs="IRNazanin"/>
          <w:color w:val="111111"/>
          <w:sz w:val="28"/>
          <w:szCs w:val="28"/>
          <w:rtl w:val="true"/>
          <w:lang w:bidi="fa-IR"/>
        </w:rPr>
        <w:t>».</w:t>
      </w:r>
      <w:r>
        <w:rPr>
          <w:rStyle w:val="FootnoteAnchor"/>
          <w:rtl w:val="true"/>
        </w:rPr>
        <w:footnoteReference w:id="1602"/>
      </w:r>
      <w:r>
        <w:rPr>
          <w:rFonts w:ascii="Amiri" w:hAnsi="Amiri" w:eastAsia="Amiri" w:cs="Amiri"/>
          <w:color w:val="111111"/>
          <w:sz w:val="28"/>
          <w:sz w:val="28"/>
          <w:szCs w:val="28"/>
          <w:rtl w:val="true"/>
          <w:lang w:bidi="ar-SA"/>
        </w:rPr>
        <w:t>إلى غيرها من الروايات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بالإشهاد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w:t>
      </w:r>
      <w:bookmarkStart w:id="586" w:name="pg9375_99893"/>
    </w:p>
    <w:p>
      <w:pPr>
        <w:pStyle w:val="BookText"/>
        <w:rPr/>
      </w:pPr>
      <w:bookmarkEnd w:id="586"/>
      <w:r>
        <w:rPr>
          <w:rFonts w:ascii="Amiri" w:hAnsi="Amiri" w:eastAsia="Amiri" w:cs="Amiri"/>
          <w:color w:val="111111"/>
          <w:sz w:val="28"/>
          <w:sz w:val="28"/>
          <w:szCs w:val="28"/>
          <w:rtl w:val="true"/>
          <w:lang w:bidi="ar-SA"/>
        </w:rPr>
        <w:t>وكذا لا يعتبر فيها اطّلاع الزوجة عليها، فإن راجعها من دون اطّلاع أحد صحّت واقعاً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فَارِقُوهُنَّ بِمَعْرُوفٍ وَأَشْهِدُوا ذَوَيْ عَدْلٍ مِّنكُمْ وَأَقِيمُوا الشَّهَادَةَ لِلّهِ ذَلِكُمْ يُوعَظُ بِهِ مَن كَانَ يُؤْمِنُ بِاللَهِ وَالْيَوْمِ الْآخِرِ وَمَن يَتَّقِ اللَهَ يَجْعَل لَّهُ مَخْرَجاً</w:t>
      </w:r>
      <w:r>
        <w:rPr>
          <w:rFonts w:ascii="IRNazanin" w:hAnsi="IRNazanin" w:eastAsia="IRNazanin"/>
          <w:color w:val="111111"/>
          <w:sz w:val="28"/>
          <w:sz w:val="28"/>
          <w:szCs w:val="28"/>
          <w:rtl w:val="true"/>
          <w:lang w:bidi="fa-IR"/>
        </w:rPr>
        <w:t>،</w:t>
      </w:r>
      <w:r>
        <w:rPr>
          <w:rStyle w:val="FootnoteAnchor"/>
          <w:rtl w:val="true"/>
        </w:rPr>
        <w:footnoteReference w:id="1603"/>
      </w:r>
      <w:r>
        <w:rPr>
          <w:rFonts w:ascii="Amiri" w:hAnsi="Amiri" w:eastAsia="Amiri" w:cs="Amiri"/>
          <w:color w:val="111111"/>
          <w:sz w:val="28"/>
          <w:sz w:val="28"/>
          <w:szCs w:val="28"/>
          <w:rtl w:val="true"/>
          <w:lang w:bidi="ar-SA"/>
        </w:rPr>
        <w:t>إمّا يرجع إلى الأخير وهو الطلاق فلا يكون قيداً للرجعة، وإمّا يرجع إلى الطلاق والرجعة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استعمل وَأَشْهِدُوا ذَوَيْ عَدْلٍ مِّنكُمْفي القدر الجامع بين الوجوب والاستحباب لتطابق النصوص والفتاوى على الاستحباب وعدم الشرطيّة</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5416833_2870459653"/>
      <w:bookmarkStart w:id="588" w:name="_Toc209"/>
      <w:bookmarkEnd w:id="587"/>
      <w:r>
        <w:rPr>
          <w:rtl w:val="true"/>
        </w:rPr>
        <w:t>عدم اشتراط اطّلاع الزوجة على الرجعة</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مضافاً إلى أنّه مطابق لأصالة عدم الاشتراط وعدم الجدوى في اطّلاعها بعد عدم اعتبار رضاها فيها؛ لأنّها إمّا ايقاع وإمّا تمسّك بالزوجيّة، يدلّ عليه إطلاق أدلّة الرجعة من الكتاب والسنّة،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Fonts w:ascii="IRNazanin" w:hAnsi="IRNazanin" w:eastAsia="IRNazanin"/>
          <w:color w:val="111111"/>
          <w:sz w:val="28"/>
          <w:sz w:val="28"/>
          <w:szCs w:val="28"/>
          <w:rtl w:val="true"/>
          <w:lang w:bidi="fa-IR"/>
        </w:rPr>
        <w:t xml:space="preserve">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فَإِمْسَاكٌ بِمَعْرُوفٍ أَوْ تَسْرِيحٌ بِإِحْسَانٍ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ثمّ إنّه قد استدلّ صاحب الحدائق لعدم الاشتراط بروايات</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الكافي بسند صحيح إلى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فقد خلّيت سبيلك، ثمّ أشهد على رجعتها بعد ذلك بأيّام، ثمّ غاب عنها قبل أنيجامعها حتّى مضت لذلك أشهر بعد العدّة أو أكثر، فكيف تأمره؟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أشهد على رجعته فهي زوجته</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تقريب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هذه الرواية كما ترى واضحة الدلالة على أنّه بمجرّد الإشهاد على الرجعة في العدّة تثبت الزوجيّة كما هو المشهور؛ بلغها الخبر أو لم يبلغها، تزوجّت بعد العدّة لعدم بلوغ الخبر أو لم تتزوّج</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باعتبار الإشهاد فيه مخالفٌ للمذهب، فإنّ الرواية تدلّ بالمفهوم على عدم كفاية الرجوع مع عدم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أن يكون السؤال والجواب راجعين إلى أنّ الإشهاد على الرجعة مع عدم العلم بالرجعة هل هذا رجوع أم لا؟ فإنّ السائل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وأشهد،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رجعتها ولم يتحقّق الجماع حتّى يكون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 الرواية مخالفٌ للمذهب أيضاً، فإنّ الطلاق لا يصحّ بالأمر بالاعتداد، فكيف الرجوع عن ذلك الطلاق والدلالة الشرطيّة من حيث الإطلاق على عدم شرطيّته</w:t>
      </w:r>
      <w:r>
        <w:rPr>
          <w:rFonts w:eastAsia="Amiri" w:cs="Amiri" w:ascii="Amiri" w:hAnsi="Amiri"/>
          <w:color w:val="111111"/>
          <w:sz w:val="28"/>
          <w:szCs w:val="28"/>
          <w:rtl w:val="true"/>
          <w:lang w:bidi="ar-SA"/>
        </w:rPr>
        <w:t>.</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الصحيح أيضاً عن الحسن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يوثّق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طلّق امرأته وهو غائب في بلدة أُخرى وأشهد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طلاقها رجلين، ثمّ إنّه راجعها قبل انقضاء العدّة ولم يشهد على الرجعة، ثمّ إنّه قدم عليها بعد انقضاء العدّة وقد تزوّجت فأرسل إليها إنّي قد كنت راجعتك قبل انقضاء العدّة ولم أشهد؟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له عليها، لأنّه قد أقّر بالطلاق وادّعى الرجعة بغير بيّنة فلا سبيل له عليها، ولذلك ينبغي لمن طلّق أن يشهد، ولمن راجع أن يشهد على الرجعة كما أشهد على الطلاق، وإن كان أدركها قبل أن تزوّج كان خاطباً من الخطّاب</w:t>
      </w:r>
      <w:r>
        <w:rPr>
          <w:rFonts w:eastAsia="Amiri" w:cs="Amiri" w:ascii="Amiri" w:hAnsi="Amiri"/>
          <w:color w:val="111111"/>
          <w:sz w:val="28"/>
          <w:szCs w:val="28"/>
          <w:rtl w:val="true"/>
          <w:lang w:bidi="ar-SA"/>
        </w:rPr>
        <w:t>».</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وقال في تقريب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وادّعى الرجعة بغير بيّنة فلا 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بمفهومه على أنّه لو كان له بيّنة على الرجعة كان له سبيل له عليها مؤكّداً ذلك بالأمر لمن راجع أن يشهد على الرجعة، كما يشهد على الطلاق حتّى يثبت الزوجيّة في الأوّل كما ينبغي في الثاني</w:t>
      </w:r>
      <w:r>
        <w:rPr>
          <w:rFonts w:eastAsia="Amiri" w:cs="Amiri" w:ascii="Amiri" w:hAnsi="Amiri"/>
          <w:color w:val="111111"/>
          <w:sz w:val="28"/>
          <w:szCs w:val="28"/>
          <w:rtl w:val="true"/>
          <w:lang w:bidi="ar-SA"/>
        </w:rPr>
        <w:t>.</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بالمفهوم ولكن إطلاق المفهوم محلّ منع، فلعلّ البيّنة هي سبيل إذا كانت وسيلة إلى الاطّلاع، مضافاً إلى أنّه لا يعلم أنّ المراد من البيّنة هنا هو الشاهدان فلعلّها بمعنى الوضوح،</w:t>
      </w:r>
      <w:r>
        <w:rPr>
          <w:rStyle w:val="FootnoteAnchor"/>
          <w:rtl w:val="true"/>
        </w:rPr>
        <w:footnoteReference w:id="1610"/>
      </w:r>
      <w:r>
        <w:rPr>
          <w:rFonts w:ascii="Amiri" w:hAnsi="Amiri" w:eastAsia="Amiri" w:cs="Amiri"/>
          <w:color w:val="111111"/>
          <w:sz w:val="28"/>
          <w:sz w:val="28"/>
          <w:szCs w:val="28"/>
          <w:rtl w:val="true"/>
          <w:lang w:bidi="ar-SA"/>
        </w:rPr>
        <w:t>فالرواية على خلاف مطلوبصاحب الحدائق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 في الصدر والذيل هو الإشهاد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تبديل التعبير إن لم يكن مخالفاً للمدّعى فليس دالاً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خبر عمرو بن خالد، عن زيد بن عليّ،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أظهر طلاق امرأته وأشهد عليه وأسرّ رجعتها، ثمّ خرج، فلمّا رجع وجدها قد تزوّجت،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له عليها من أجل أنّه أسرّ رجعتها وأظهر طلاقها</w:t>
      </w:r>
      <w:r>
        <w:rPr>
          <w:rFonts w:eastAsia="Amiri" w:cs="Amiri" w:ascii="Amiri" w:hAnsi="Amiri"/>
          <w:color w:val="111111"/>
          <w:sz w:val="28"/>
          <w:szCs w:val="28"/>
          <w:rtl w:val="true"/>
          <w:lang w:bidi="ar-SA"/>
        </w:rPr>
        <w:t>».</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فإنّ عدم السبيل هو لعدم إمكان الإثبات وإلّا فله عليها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ترى، فإنّه أضعف ممّا مرّ؛ لأنّ تمام الموضوع هو الأسرار ولا يرتبط بمقام الإثبات، فهو على الخلاف أدلّ</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ثمّ استشهد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روايات باب الإشهاد؛ حيث إنّها لم تشترط الإشهاد في الرجوع مطلقاً، مع اطّلاعها وعدمه، كصحيحة زرارة ومحمّد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الطلاق لا يكون بغير شهود، وإنّ الرجعة بغير شهود رجعة، ولكن ليشهد بعد فهو أفضل</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على هذا المنوال، فهي كما ترى شاملة بإطلاقها لما لو علمت المرأة أو لم تعلم، تزوّجت أو لم تزوّج،فإنّها بمجرد الرجعة في العدّة تكون زوجته شرعاً واقعاً، وإنّما الإشهاد على ذلك لدفع النزاع وثبوت الزوجيّة في الظاهر، فلو فرضت أنّ الزوجة صدّقته ووافقته على دعواه قبل التزويج بغيره صحّ نكاحه لها</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هذه الأخبار هي في مقام بيان عدم اشتراط الإشهاد في صحّة الرجوع خلافاً للعامّة، فليس لها إطلاق من هذه الجهة، فلا نصّ ولا دليل على عدم اشتراط اطّلاع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عدم اشتراط الاطّلاع مقارناً فهل يشترط في صحّة الرجوع بلوغ الخبر إليها قبل انقضاء العدّة وإن لم تكن عالمة به حين الرجوع أم لا؟ ظاهر بعض الأصحاب وصريح غير واحد منهم الثاني، وعليك بالرجوع إلى فروع كثيرة في اختلافهما المبنيّة على عدم اشتراط اطّلاعها بالرجوع ولكن مع ذلك كلّه، الحقّ هو عدم اشتراط اطّلاعها عند الرجوع ولكن يشترط ذلك قبل الانقضاء فإن لم تطّلع عليه إلى انقضاء العدّة فهي مطلّقة، وذلك بدليل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فَأَمْسِكُوهُنَّ بِمَعْرُوفٍ أَوْ فَارِقُوهُنَّ بِمَعْرُوفٍ</w:t>
      </w:r>
      <w:r>
        <w:rPr>
          <w:rStyle w:val="FootnoteAnchor"/>
          <w:rtl w:val="true"/>
        </w:rPr>
        <w:footnoteReference w:id="1615"/>
      </w:r>
      <w:r>
        <w:rPr>
          <w:rFonts w:ascii="Amiri" w:hAnsi="Amiri" w:eastAsia="Amiri" w:cs="Amiri"/>
          <w:color w:val="111111"/>
          <w:sz w:val="28"/>
          <w:sz w:val="28"/>
          <w:szCs w:val="28"/>
          <w:rtl w:val="true"/>
          <w:lang w:bidi="ar-SA"/>
        </w:rPr>
        <w:t xml:space="preserve">فإنّ الرجوع بغير الإعلام لها حتّى تنقضي العدّة هو إمساك بغير معروف، فإنّها تُجعل كالمطلّقة؛ لأنّها ربما تريد الزواج بعد الانقضاء ولا تتمكّن،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بذلك زواجها بالزوج الآخر ولو بعد سنوات طويلة بإشهاد الزوج الأوّل على الرجوع في العدّة، مضافاً إلى لوازم أُخرى تتبع احتمالها الرجوع وعدم اطّلاعها عليه، فالكتاب دالّ على اشتراط اطّلاعها قبل انقضاء العدّة،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 احتمالها الرجوع إلى سنوات طويلة حرج</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طلّق امرأته وأشهد شاهدين، ثمّ أشهد على رجعتها سرّاً منها واستكتم ذلك الشهود فلم تعلم المرأة بالرجعة حتّى انقضت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تخيّر المرأة، فإن شاءت </w:t>
      </w:r>
    </w:p>
    <w:p>
      <w:pPr>
        <w:pStyle w:val="BookText"/>
        <w:rPr/>
      </w:pPr>
      <w:r>
        <w:rPr>
          <w:rFonts w:ascii="Amiri" w:hAnsi="Amiri" w:eastAsia="Amiri" w:cs="Amiri"/>
          <w:color w:val="111111"/>
          <w:sz w:val="28"/>
          <w:sz w:val="28"/>
          <w:szCs w:val="28"/>
          <w:rtl w:val="true"/>
          <w:lang w:bidi="ar-SA"/>
        </w:rPr>
        <w:t>لكن لو ادّعاها بعد انقضاء العدّة ولم تصدّقه الزوجة لم تسمع دعواه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له عليها يمين نفي العلم لو ادّعى عليها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ادّعى الرجوع</w:t>
      </w:r>
    </w:p>
    <w:p>
      <w:pPr>
        <w:pStyle w:val="BookText"/>
        <w:rPr/>
      </w:pPr>
      <w:r>
        <w:rPr>
          <w:rFonts w:ascii="Amiri" w:hAnsi="Amiri" w:eastAsia="Amiri" w:cs="Amiri"/>
          <w:color w:val="111111"/>
          <w:sz w:val="28"/>
          <w:sz w:val="28"/>
          <w:szCs w:val="28"/>
          <w:rtl w:val="true"/>
          <w:lang w:bidi="ar-SA"/>
        </w:rPr>
        <w:t>زوجها وإن شاءت غير ذلك، وإن تزوّجت قبل أن تعلم بالرجعة التي أشهد عليها زوجها فليس للّذي طلّقها عليها سبيل، وزوجها الأخير أحقّ بها</w:t>
      </w:r>
      <w:r>
        <w:rPr>
          <w:rFonts w:eastAsia="Amiri" w:cs="Amiri" w:ascii="Amiri" w:hAnsi="Amiri"/>
          <w:color w:val="111111"/>
          <w:sz w:val="28"/>
          <w:szCs w:val="28"/>
          <w:rtl w:val="true"/>
          <w:lang w:bidi="ar-SA"/>
        </w:rPr>
        <w:t>».</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ويؤيّدها خبر عمرو بن خالد، عن زيد بن عليّ،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كانت بمرأى ومنظر من الأصحاب ومع ذلك ذهبوا إلى خلاف ما قلتم هنا، بل ادّعى الإجماع على أنّه متى أثبت الرجوع بالبيّنة فهو الرجوع،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اجتهاديّة، فإنّهم قد استفادوا من أخبار الإشهاد وغيرها كفاية الشاهدين في الرجوع مطلقاً؛ سواءٌ علم الزوجة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محمّد بن قيس الخاصّة بالمقام والدالّة على خلاف المشهور فلعلّهم تركوها لزعمهم الترجيح بالكثرة وأنّ الرواية الواحدة غير مكافئة لتلك الروايات الكثيرة، فالإعراض عنها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مدّعٍ لنفسه بعد انقضاء العدّة فعليه إثبات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لوادّعى الرجوع قبل الانقضاء يمكن القول بأنّ ادّعاء الرجوع رجوع وتمسّك بالزوجيّة، مثل إنشاء الرجوع</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وفقاً للقواعد، لكن على ما اخترناه من تقييد صحّة الرجوع ببلوغ الخبر إلى الزوجة في زمان العدّة ففيه تفصيل بين ادّعاء علمها قبل الانقضاء فله عليها اليمين وبين ادّعاء علمها بعد الانقضاء فدعواه غير مسموعة</w:t>
      </w:r>
      <w:r>
        <w:rPr>
          <w:rFonts w:eastAsia="Amiri" w:cs="Amiri" w:ascii="Amiri" w:hAnsi="Amiri"/>
          <w:color w:val="111111"/>
          <w:sz w:val="28"/>
          <w:szCs w:val="28"/>
          <w:rtl w:val="true"/>
          <w:lang w:bidi="ar-SA"/>
        </w:rPr>
        <w:t xml:space="preserve">. </w:t>
      </w:r>
      <w:bookmarkStart w:id="589" w:name="pg9375_99899"/>
    </w:p>
    <w:p>
      <w:pPr>
        <w:pStyle w:val="BookText"/>
        <w:rPr/>
      </w:pPr>
      <w:bookmarkEnd w:id="589"/>
      <w:r>
        <w:rPr>
          <w:rFonts w:ascii="Amiri" w:hAnsi="Amiri" w:eastAsia="Amiri" w:cs="Amiri"/>
          <w:color w:val="111111"/>
          <w:sz w:val="28"/>
          <w:sz w:val="28"/>
          <w:szCs w:val="28"/>
          <w:rtl w:val="true"/>
          <w:lang w:bidi="ar-SA"/>
        </w:rPr>
        <w:t>الفعلي كالوطء وأنكرته كان القول قولها بيمينها لكن على البتّ لا على نفي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على الرجوع وانقضاء العدّة واختلفا في المتقدّم منهما فادّعى الزوج أنّ المتقدّم الرجوع، وادّعت هي أنّه انقضاؤها، فإن تعيّن زمان الانقضاء وادّعى الزوج أنّ رجوعه كان قبله وادّعت هي أنّه بعده، فالأقرب أنّ القول قولها بيمينها، وإن كان بالعكس بأن تعيّن زمان الرجوع دون الانقضاء فالقول قوله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وراجع فانكرت الدخول بها قبل الطلاق لئلّا تكون عليها العدّة ولا تكون له الرجعة وادّعى الدخول فالقول قولها بيمينها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وفقاً لقواعد باب القضاء وهو واضح</w:t>
      </w:r>
      <w:r>
        <w:rPr>
          <w:rFonts w:eastAsia="IRNazanin" w:cs="IRNazanin"/>
          <w:color w:val="111111"/>
          <w:sz w:val="28"/>
          <w:szCs w:val="28"/>
          <w:rtl w:val="true"/>
          <w:lang w:bidi="fa-IR"/>
        </w:rPr>
        <w:t>.</w:t>
      </w:r>
    </w:p>
    <w:p>
      <w:pPr>
        <w:pStyle w:val="Heading3"/>
        <w:numPr>
          <w:ilvl w:val="2"/>
          <w:numId w:val="1"/>
        </w:numPr>
        <w:rPr/>
      </w:pPr>
      <w:bookmarkStart w:id="590" w:name="__RefHeading___Toc5416835_2870459653"/>
      <w:bookmarkStart w:id="591" w:name="_Toc210"/>
      <w:bookmarkEnd w:id="590"/>
      <w:r>
        <w:rPr>
          <w:rtl w:val="true"/>
        </w:rPr>
        <w:t>في الاتّفاق على الرجوع وانقضاء العدّة والاختلاف في التقدّم</w:t>
      </w:r>
      <w:bookmarkEnd w:id="5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وفق لقاعدة أنّ البيّنة على المدّعي واليمين على من أنكر،فإنّ الزوج مدّعٍ في الفرض الأوّل؛ لمخالفة قوله لاستصحاب عدم الرجوع في زمان العدّة بخلاف الفرض الثاني، فإنّ المنكر هو الزوج؛ لموافقة قوله لاستصحاب عدم الانقضاء إلى بعد زمان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منشأه توهّم أنّ المنكر هو الزوج؛ لموافقة قوله لأصالة 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مقدّمة على استصحاب عدم الرجوع في زمان العدّة الموجب؛ لكونه مدّعياً لمخالفة قوله للأصل كما مرّ،</w:t>
      </w:r>
      <w:r>
        <w:rPr>
          <w:rStyle w:val="FootnoteAnchor"/>
          <w:rtl w:val="true"/>
        </w:rPr>
        <w:footnoteReference w:id="1618"/>
      </w:r>
      <w:r>
        <w:rPr>
          <w:rFonts w:ascii="Amiri" w:hAnsi="Amiri" w:eastAsia="Amiri" w:cs="Amiri"/>
          <w:color w:val="111111"/>
          <w:sz w:val="28"/>
          <w:sz w:val="28"/>
          <w:szCs w:val="28"/>
          <w:rtl w:val="true"/>
          <w:lang w:bidi="ar-SA"/>
        </w:rPr>
        <w:t>ولكنّه مدفوعٌ بأنّ أصالة الصحّة في فعل الإنسان الراجع إلى غيره في غير زمان الاختيار حجيّتها ليست ثابتة عندنا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وفقاً لاستصحاب العدم ولكونها مأمونة على نفسها وجوارحها</w:t>
      </w:r>
      <w:r>
        <w:rPr>
          <w:rFonts w:eastAsia="Amiri" w:cs="Amiri" w:ascii="Amiri" w:hAnsi="Amiri"/>
          <w:color w:val="111111"/>
          <w:sz w:val="28"/>
          <w:szCs w:val="28"/>
          <w:rtl w:val="true"/>
          <w:lang w:bidi="ar-SA"/>
        </w:rPr>
        <w:t xml:space="preserve">. </w:t>
      </w:r>
      <w:bookmarkStart w:id="592" w:name="pg9375_99900"/>
    </w:p>
    <w:p>
      <w:pPr>
        <w:pStyle w:val="BookText"/>
        <w:rPr/>
      </w:pPr>
      <w:bookmarkEnd w:id="5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جواز الرجوع في الطلاق الرجعي حكم شرعي غير قابل للإسقاط، وليس حقّاً قابلاً له كالخيار في البيع الخياري، فلو أسقط لم يسقط، وله الرجوع، وكذلك إذا صالح عنه بعوضٍ أو بغير 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5416837_2870459653"/>
      <w:bookmarkStart w:id="594" w:name="_Toc211"/>
      <w:bookmarkEnd w:id="593"/>
      <w:r>
        <w:rPr>
          <w:rtl w:val="true"/>
        </w:rPr>
        <w:t>الرجوع حكم أو حقّ؟</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كونه حقّاً؛ قضاءً 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Fonts w:ascii="IRNazanin" w:hAnsi="IRNazanin" w:eastAsia="IRNazanin"/>
          <w:color w:val="111111"/>
          <w:sz w:val="28"/>
          <w:sz w:val="28"/>
          <w:szCs w:val="28"/>
          <w:rtl w:val="true"/>
          <w:lang w:bidi="fa-IR"/>
        </w:rPr>
        <w:t>،</w:t>
      </w:r>
      <w:r>
        <w:rPr>
          <w:rStyle w:val="FootnoteAnchor"/>
          <w:rtl w:val="true"/>
        </w:rPr>
        <w:footnoteReference w:id="1619"/>
      </w:r>
      <w:r>
        <w:rPr>
          <w:rFonts w:ascii="Amiri" w:hAnsi="Amiri" w:eastAsia="Amiri" w:cs="Amiri"/>
          <w:color w:val="111111"/>
          <w:sz w:val="28"/>
          <w:sz w:val="28"/>
          <w:szCs w:val="28"/>
          <w:rtl w:val="true"/>
          <w:lang w:bidi="ar-SA"/>
        </w:rPr>
        <w:t>فالتأويل بغيره هو خلاف الظاهر</w:t>
      </w:r>
      <w:r>
        <w:rPr>
          <w:rFonts w:eastAsia="Amiri" w:cs="Amiri" w:ascii="Amiri" w:hAnsi="Amiri"/>
          <w:color w:val="111111"/>
          <w:sz w:val="28"/>
          <w:szCs w:val="28"/>
          <w:rtl w:val="true"/>
          <w:lang w:bidi="ar-SA"/>
        </w:rPr>
        <w:t>.</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وأنت ترى أنّ الأحقّيّة المذكورة التي كانت ثابتة من قبل الطلاق أيضاً، هي في الواقع ترجع إلى الزوجة نفسها لا إلى ردّها، فالزوج المطلّق بالطلاق الرجعي أحقّ بنفس الزوجة من غيره، لا أنّه أحقّ 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هو أحقّ بها فيجوز له الرجوع اليها شرعاً، كما كان يجوز له ذلك قبل طلاقها، فلا يدلّ التعبير المذكور على كون الرجوع حقّاً، له إسقاطه، إن لم نقل إنّه دالّ على خلافه، وهذا التقدير، المذكور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تأويل لطيف بل لابدّ منه، وإلّا لا معنى للمفاضلة هنا؛ لانتفاء موضوع الردّ لغير الزوج، وهذا بخلاف نفس الزوجة عند عقد النكاح الذي يجوز لغيره أيضاً التزوّج بها لكن زوجه هذا، صار أحقّ بها بذلك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إنّ جواز إسقاط حقّ الرجوع ممنوعٌ كما أنّ إسقاطه ذلك مخالفٌ لإمكان الرجوع وإصلاح ذات البين الذي يعتبر حكمةً لتشريع جواز الرجوع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w:t>
      </w:r>
      <w:r>
        <w:rPr>
          <w:rStyle w:val="FootnoteAnchor"/>
          <w:rtl w:val="true"/>
        </w:rPr>
        <w:footnoteReference w:id="1621"/>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الخلع والمباراة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9375_99903"/>
      <w:bookmarkStart w:id="596" w:name="pg9375_99903"/>
      <w:bookmarkEnd w:id="596"/>
    </w:p>
    <w:p>
      <w:pPr>
        <w:pStyle w:val="Heading2"/>
        <w:numPr>
          <w:ilvl w:val="1"/>
          <w:numId w:val="1"/>
        </w:numPr>
        <w:rPr/>
      </w:pPr>
      <w:bookmarkStart w:id="597" w:name="pg9375_99903"/>
      <w:bookmarkStart w:id="598" w:name="__RefHeading___Toc5416839_2870459653"/>
      <w:bookmarkStart w:id="599" w:name="_Toc212"/>
      <w:bookmarkEnd w:id="597"/>
      <w:bookmarkEnd w:id="598"/>
      <w:r>
        <w:rPr>
          <w:rtl w:val="true"/>
        </w:rPr>
        <w:t>كتاب الخلع والمباراة</w:t>
      </w:r>
      <w:bookmarkEnd w:id="599"/>
    </w:p>
    <w:p>
      <w:pPr>
        <w:pStyle w:val="Heading3"/>
        <w:numPr>
          <w:ilvl w:val="2"/>
          <w:numId w:val="1"/>
        </w:numPr>
        <w:rPr/>
      </w:pPr>
      <w:bookmarkStart w:id="600" w:name="__RefHeading___Toc5416841_2870459653"/>
      <w:bookmarkStart w:id="601" w:name="_Toc213"/>
      <w:bookmarkEnd w:id="600"/>
      <w:r>
        <w:rPr>
          <w:rtl w:val="true"/>
        </w:rPr>
        <w:t>اشارة</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هو الطلاق بفدية من الزوجة الكارهة لزوجها، فهو قسم من الطلاق يعتبر فيه جميع شروطه المتقدّمة، ويزيد عليها بأنّه يعتبر فيه كراهة الزوجة لزوجها خاصّة، فإن كانت الكراهة من الطرفين فهو مباراة، وإن كانت من طرف الزوج خاصّة لم يكن خلعاً ولا 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5416843_2870459653"/>
      <w:bookmarkStart w:id="603" w:name="_Toc214"/>
      <w:bookmarkEnd w:id="602"/>
      <w:r>
        <w:rPr>
          <w:rtl w:val="true"/>
        </w:rPr>
        <w:t>تعريف الخلع والمباراة لغةً وشرعاً ومشروعيّتهما</w:t>
      </w:r>
      <w:bookmarkEnd w:id="603"/>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بالضم من الخَلع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النزع لغة،</w:t>
      </w:r>
      <w:r>
        <w:rPr>
          <w:rStyle w:val="FootnoteAnchor"/>
          <w:rtl w:val="true"/>
        </w:rPr>
        <w:footnoteReference w:id="1622"/>
      </w:r>
      <w:r>
        <w:rPr>
          <w:rFonts w:ascii="Amiri" w:hAnsi="Amiri" w:eastAsia="Amiri" w:cs="Amiri"/>
          <w:color w:val="111111"/>
          <w:sz w:val="28"/>
          <w:sz w:val="28"/>
          <w:szCs w:val="28"/>
          <w:rtl w:val="true"/>
          <w:lang w:bidi="ar-SA"/>
        </w:rPr>
        <w:t>وفي الاصطلاح وعرف المتشرّعة عبارة عن إزالة قيد النكاح بفدية من الزوجة وكراهة منها خاصّة بخلاف المباراة، فإنّها أيضاً وإن كان فيها الفدية لكنّ الكراهة فيها من الطرفين، والمناسبة بين المعنيين، اللغوي والاصطلاحي، واضحة لما في كتاب الله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 وَأَنتُمْ لِبَاسٌ لَّهُنَّ</w:t>
      </w:r>
      <w:r>
        <w:rPr>
          <w:rFonts w:ascii="IRNazanin" w:hAnsi="IRNazanin" w:eastAsia="IRNazanin"/>
          <w:color w:val="111111"/>
          <w:sz w:val="28"/>
          <w:sz w:val="28"/>
          <w:szCs w:val="28"/>
          <w:rtl w:val="true"/>
          <w:lang w:bidi="fa-IR"/>
        </w:rPr>
        <w:t>،</w:t>
      </w:r>
      <w:r>
        <w:rPr>
          <w:rStyle w:val="FootnoteAnchor"/>
          <w:rtl w:val="true"/>
        </w:rPr>
        <w:footnoteReference w:id="1623"/>
      </w:r>
      <w:r>
        <w:rPr>
          <w:rFonts w:ascii="Amiri" w:hAnsi="Amiri" w:eastAsia="Amiri" w:cs="Amiri"/>
          <w:color w:val="111111"/>
          <w:sz w:val="28"/>
          <w:sz w:val="28"/>
          <w:szCs w:val="28"/>
          <w:rtl w:val="true"/>
          <w:lang w:bidi="ar-SA"/>
        </w:rPr>
        <w:t>فالزوجةفي الخلع تنزع لباسها ذلك كما أنّ الزوج ينزعه في الطلاق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مشروعيّتهما هي ثابتة بالكتاب والسنّة وإجماع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أمّا السنّة، فقد روي عن طرق العامّة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جاءت امرأة ثابت بن قيس بن شماس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بنت عبدالله بن أبيّ، وكان يحبّها وتبغضه،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ولا ثابت، ولا يجمع رأسي ورأسه شيء، والله ما أعيب عليه في دين ولاخلق، ولكن أكره الكفر بعد الإسلام ما أصفه بغضاً، إنّي رفعت جانب الخباء فرأيته أقبل في عدّة فإذا هو أشدّهم سواداً وأخصرهم قامة وأقبحهم وجهاً، فنزلت الآية، وكان قد أصدقها حديقة، فقال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الحديقة،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حديقته فقط، فاختلعت منه</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وعن الخاصّة، فهي متواترة ويأتي طرف منها في أثناء المباحث ولا بأس بذكر بعضها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للرجل أن يأخذ من المختلعة حتّى تتكلّم بهذا الكلام 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أطيع الله </w:t>
      </w:r>
      <w:bookmarkStart w:id="604" w:name="pg9375_99905"/>
    </w:p>
    <w:p>
      <w:pPr>
        <w:pStyle w:val="BookText"/>
        <w:rPr/>
      </w:pPr>
      <w:bookmarkEnd w:id="6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 حلّ له أن يأخذ منها ما وجد</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خلعها حتّى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 لك قسماً ولا أطيع لك أمراً ولا أغتسل لك من جنابة ولاُوطئنّ فراشك ولآذننّ عليك بغير إذنك، وقد كان الناس يرخّصون فيما دون هذا، فإذا قالت المرأة ذلك لزوجها حلّ له ما أخذ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62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الصدوق بإسناده، عن حمّاد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الكلام من عندها؛ يعني من غير أن تعلّم</w:t>
      </w:r>
      <w:r>
        <w:rPr>
          <w:rFonts w:eastAsia="IRNazanin" w:cs="IRNazanin"/>
          <w:color w:val="111111"/>
          <w:sz w:val="28"/>
          <w:szCs w:val="28"/>
          <w:rtl w:val="true"/>
          <w:lang w:bidi="fa-IR"/>
        </w:rPr>
        <w:t>».</w:t>
      </w:r>
      <w:r>
        <w:rPr>
          <w:rStyle w:val="FootnoteAnchor"/>
          <w:rtl w:val="true"/>
        </w:rPr>
        <w:footnoteReference w:id="1628"/>
      </w:r>
    </w:p>
    <w:p>
      <w:pPr>
        <w:pStyle w:val="Heading3"/>
        <w:numPr>
          <w:ilvl w:val="2"/>
          <w:numId w:val="1"/>
        </w:numPr>
        <w:rPr/>
      </w:pPr>
      <w:bookmarkStart w:id="605" w:name="__RefHeading___Toc5416845_2870459653"/>
      <w:bookmarkStart w:id="606" w:name="_Toc215"/>
      <w:bookmarkEnd w:id="605"/>
      <w:r>
        <w:rPr>
          <w:rtl w:val="true"/>
        </w:rPr>
        <w:t>صيغة الخلع</w:t>
      </w:r>
      <w:bookmarkEnd w:id="606"/>
    </w:p>
    <w:p>
      <w:pPr>
        <w:pStyle w:val="BookText"/>
        <w:rPr/>
      </w:pPr>
      <w:r>
        <w:rPr>
          <w:rFonts w:ascii="Amiri" w:hAnsi="Amiri" w:eastAsia="Amiri" w:cs="Amiri"/>
          <w:color w:val="111111"/>
          <w:sz w:val="28"/>
          <w:sz w:val="28"/>
          <w:szCs w:val="28"/>
          <w:rtl w:val="true"/>
          <w:lang w:bidi="ar-SA"/>
        </w:rPr>
        <w:t>وكيف كان، فالنظر في الصيغة والفدية والشرائط والأحكام، أمّا الصيغة فهل يعتبر فيها صيغة خاصّة أم يكفي كلّ لفظ دلّ على هذا المعنى؟ ماضياً كان أم مضارعاً، حقيقة أم مجازاً، قريباً أو بعيداً أو كناية، كانت الجملة إنشائيّة أم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الثاني كما في غيره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أصالة عدم اعتبار كلّ شرط شكّ في اعتباره،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الخلع بل عمومات أدلّة العقود على القول بأنّه عقد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قيام الإجماع على كفاية الجملة الاسميّة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مختلعة</w:t>
      </w:r>
      <w:r>
        <w:rPr>
          <w:rFonts w:eastAsia="Amiri" w:cs="Amiri" w:ascii="Amiri" w:hAnsi="Amiri"/>
          <w:color w:val="111111"/>
          <w:sz w:val="28"/>
          <w:szCs w:val="28"/>
          <w:rtl w:val="true"/>
          <w:lang w:bidi="ar-SA"/>
        </w:rPr>
        <w:t xml:space="preserve">». </w:t>
      </w:r>
      <w:bookmarkStart w:id="607" w:name="pg9375_99906"/>
    </w:p>
    <w:p>
      <w:pPr>
        <w:pStyle w:val="BookText"/>
        <w:rPr/>
      </w:pPr>
      <w:bookmarkEnd w:id="6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يؤيّده ما يدلّ على حصر صيغة الطلاق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نحوها كما مرّ، فإنّه يفيد اشتراط الخصوصيّة هناك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على خصوصيّة اللفظ، أوّلاً بكونه توقيفيّة، وثانياً بأنّ الأصل بقاء علقة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لأنّ توقيفيّة الخلع وغيره من العقود بمعنى تأسيس الشارع له أو لغيره فهي ممنوعة، لأنّ هذه الأُمور كلّها إلّا ما شذّ كالمتعة، هي من الأُمور التي قد أمضاها الشارع ولم يأت بها من عنده ولم يؤسّسها، فالردع يحتاج إلى الدليل، ولو سلّم فإنّ إطلاقات الخلع تكفي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فلا وجه له مع وجود تلك الإطلاقات؛ لتقدّم الأمارة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القول بحصول الخلع بغير العربيّة مثل اللغة الفارسيّة أيضاً ليس بجزاف وتحكّم؛ قضاءً للإطلاقات ولعدم الدليل على اعتبار العربيّة فيه، فإنّ العربيّة لا تعتبر فيه</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5416847_2870459653"/>
      <w:bookmarkStart w:id="609" w:name="_Toc216"/>
      <w:bookmarkEnd w:id="608"/>
      <w:r>
        <w:rPr>
          <w:rtl w:val="true"/>
        </w:rPr>
        <w:t>الخلع نوع من الطلاق أم لا؟</w:t>
      </w:r>
      <w:bookmarkEnd w:id="609"/>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يقع الكلام في أنّ الخلع هل هو نوع من الطلاق أو نوع من الفسخ أو أمر مستقل وتظهر الثمرة في ترتّب آثار كلّ منها عليه فإن كان طلاقاً أو فسخاً يترتّب عليه آثارهما وإن كان أمراً مستقلاً فلا يترتّب عليه إلّا ما أثبته أدلّة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أمراً مستقلاً فلا قائل به؛ لانحصار إزالة النكاح في الشرع بالطلاق والفسخ فيدور الأمر بين الاحتمال الأوّل والثانيوالظاهر من عبارات الأصحاب، بل صريح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منها أنّه طلاق، خلافاً للشيخ، حيث ذهب إلى أنّ الأُولی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الفسخ لا يملكه الزوجان بالتراضي بخلاف الطلاق فيكون طلاقاً؛ إذ ليس هناك قسم آخر غير الفسخ والطلاق كما مرّ، وإلى أنّ الخلع فُرقة لا يملكها غيرالزوج والفسخ يملكه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 بالصراحة أو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الصباح الكناني،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خلع الرجل امرأته فهي واحدة بائنة وهو خاطب من الخطّاب ولا يحلّ له أن يخلعها حتّى تكون هي التي تطلب ذلك منه من غير أن يضربها وحتّى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 لك قسماً، ولا أغتسل لك من جنابة، ولأدخلنّ بيتك من تكره، ولاُوطئنّ فراشك، ولا أقيم حدود الله، فإذا كان هذا منها فقد طاب له ما أخذ منها</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التي قد مرّ صدرها آنفاً،</w:t>
      </w:r>
      <w:r>
        <w:rPr>
          <w:rStyle w:val="FootnoteAnchor"/>
          <w:rtl w:val="true"/>
        </w:rPr>
        <w:footnoteReference w:id="1630"/>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قالت المرأة ذلك لزوجها حلّ له ما أخذ منها، وكانت عنده على تطليقتين باقيتين، وكان الخلع تطليقة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الكلام من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الأمر إلينا لم نجز طلاقاً إلّا للعدّة</w:t>
      </w:r>
      <w:r>
        <w:rPr>
          <w:rFonts w:eastAsia="IRNazanin" w:cs="IRNazanin"/>
          <w:color w:val="111111"/>
          <w:sz w:val="28"/>
          <w:szCs w:val="28"/>
          <w:rtl w:val="true"/>
          <w:lang w:bidi="fa-IR"/>
        </w:rPr>
        <w:t>».</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التي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اخلعني وأنا أعطيك ما أخذت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له أن يأخذ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شيئاً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 لك قسماً ولا أطيع لك أمراً، ولآذننّ في بيتك بغير إذنك، فإذا فعلت ذلك من غير أن يعلّمها حلّ له ما أخذ منها وكانت تطليقة بغير طلاق يتبعها، وكانت بائناً بذلك، وكان خاطباً من الخطّاب</w:t>
      </w:r>
      <w:r>
        <w:rPr>
          <w:rFonts w:eastAsia="Amiri" w:cs="Amiri" w:ascii="Amiri" w:hAnsi="Amiri"/>
          <w:color w:val="111111"/>
          <w:sz w:val="28"/>
          <w:szCs w:val="28"/>
          <w:rtl w:val="true"/>
          <w:lang w:bidi="ar-SA"/>
        </w:rPr>
        <w:t>».</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الخلع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أطيع لك أمراً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يكون ذلك إلّا عند سلطان، فإذا فعلت ذلك فهي أملك بنفسها من غير أن يسمّى طلاقاً</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البختري،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المختلعة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تطليقة واحدة</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بإسناده عن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الخلع والمباراة تطليقة بائن وهو خاطب من الخطّاب</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واستدلّ لكونه فسخاً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بلفظ الطلاق وهو لا يتحقّق بالكناية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الطلاق أربعاً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فَإِن</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طَلَّقَهَا فَلَا تَحِلُّ لَهُ مِن بَعْدُ حَتَّى تَنكِحَ زَوْجاً غَيْرَهُ فَإِن طَلَّقَهَا فَلَا جُنَاحَ عَلَيْهِمَا أَن يَتَرَاجَعَا إِن ظَنَّا أَن يُقِيمَا حُدُودَ اللهِ وَتِلْكَ حُدُودُ اللهِ يُبَيِّنُهَا لِقَوْمٍ يَعْلَمُونَ</w:t>
      </w:r>
      <w:r>
        <w:rPr>
          <w:rFonts w:ascii="IRNazanin" w:hAnsi="IRNazanin" w:eastAsia="IRNazanin"/>
          <w:color w:val="111111"/>
          <w:sz w:val="28"/>
          <w:sz w:val="28"/>
          <w:szCs w:val="28"/>
          <w:rtl w:val="true"/>
          <w:lang w:bidi="fa-IR"/>
        </w:rPr>
        <w:t>؛</w:t>
      </w:r>
      <w:r>
        <w:rPr>
          <w:rStyle w:val="FootnoteAnchor"/>
          <w:rtl w:val="true"/>
        </w:rPr>
        <w:footnoteReference w:id="1636"/>
      </w:r>
      <w:r>
        <w:rPr>
          <w:rFonts w:ascii="Amiri" w:hAnsi="Amiri" w:eastAsia="Amiri" w:cs="Amiri"/>
          <w:color w:val="111111"/>
          <w:sz w:val="28"/>
          <w:sz w:val="28"/>
          <w:szCs w:val="28"/>
          <w:rtl w:val="true"/>
          <w:lang w:bidi="ar-SA"/>
        </w:rPr>
        <w:t>لأنّه تعالى ذكر الطلاق ثلاثاً وذكر الفدية في أثنائه فلو كانت الفدية طلاقاً كان الطلاق أربعاً وهذا باطل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الخلع هو فرقة خلت من صريح الطلاق ونيّته فكان فسخاً كباقي الفسوخ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كلّها على فرض الصحّة اجتهاد في مقابل النصّ واعتبار في قبال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أنّها غير تامّة في نفسها؛ أمّا الأوّل، فلأنّ الخلع قسم من الطلاق كما أنّ السلم والنسيئة قسمان من البيع، فهو مصداقٌ من الطلاق؛ لأنّ الطلاق هو الفرقة بين الزوجين وهذا قد يتحقّق من غير فدية وأُخرى مع الفدية،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في الطلاق لا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فِيمَا افْتَدَتْ بِهِبيان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فإنّه تعالى قد بين أنّ الطلاق قد يقع مع الفدية أيضاً فلا يكون قسيماً لهما حتّى يستلزم كون الطلاق أربعةً، بل قسماً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الفسخ أيضاً يحتاج إلى نيّته ونيّة الفسخ مفقود قطعاً، فإنّ الفسخ عبارة عن رفع الأمر الواقع وجعله كالعدم لا دفعه كما فيما نحنفيه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الكلام في احتمال كونه طلاقاً أو فسخاً أو أمراً آخر يجري إن قلنا </w:t>
      </w:r>
      <w:bookmarkStart w:id="610" w:name="pg9375_99910"/>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وقوع الخلع بكلّ من 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كلّ منهما عن الآخر أو منضمّاً، فبعد ما أنشأت الزوجة بذل الفدية ليخلعها الزوج يجوز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خلعتك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ويكتفي به أو يتبعه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ويکتفي به، أو يتبعه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مختلعة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ينبغي ترك الاحتیاط بالجمع بينهما بل لا يترك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يحتاج مع الخلع إلى صيغة الطلاق وإلّا فلا شكّ في أنّه ليس إلّا طلاق</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5416849_2870459653"/>
      <w:bookmarkStart w:id="612" w:name="_Toc217"/>
      <w:bookmarkEnd w:id="611"/>
      <w:r>
        <w:rPr>
          <w:rtl w:val="true"/>
        </w:rPr>
        <w:t>هل يجب اتّباع صيغة الخلع بلفظ الطلاق؟</w:t>
      </w:r>
      <w:bookmarkEnd w:id="612"/>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الأصحاب والفقهاء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يقع الخلع بمجرّد صيغة الخلع أم يجب اتّباعها بلفظ الطلاق؟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عدّة من الأصحاب والفقهاء كجميل بن درّاج</w:t>
      </w:r>
      <w:r>
        <w:rPr>
          <w:rStyle w:val="FootnoteAnchor"/>
          <w:rtl w:val="true"/>
        </w:rPr>
        <w:footnoteReference w:id="1637"/>
      </w:r>
      <w:r>
        <w:rPr>
          <w:rFonts w:ascii="IRNazanin" w:hAnsi="IRNazanin" w:eastAsia="IRNazanin"/>
          <w:color w:val="111111"/>
          <w:sz w:val="28"/>
          <w:sz w:val="28"/>
          <w:szCs w:val="28"/>
          <w:rtl w:val="true"/>
          <w:lang w:bidi="fa-IR"/>
        </w:rPr>
        <w:t>والمرتضى</w:t>
      </w:r>
      <w:r>
        <w:rPr>
          <w:rStyle w:val="FootnoteAnchor"/>
          <w:rtl w:val="true"/>
        </w:rPr>
        <w:footnoteReference w:id="1638"/>
      </w:r>
      <w:r>
        <w:rPr>
          <w:rFonts w:ascii="Amiri" w:hAnsi="Amiri" w:eastAsia="Amiri" w:cs="Amiri"/>
          <w:color w:val="111111"/>
          <w:sz w:val="28"/>
          <w:sz w:val="28"/>
          <w:szCs w:val="28"/>
          <w:rtl w:val="true"/>
          <w:lang w:bidi="ar-SA"/>
        </w:rPr>
        <w:t>وابن الجنيد</w:t>
      </w:r>
      <w:r>
        <w:rPr>
          <w:rStyle w:val="FootnoteAnchor"/>
          <w:rtl w:val="true"/>
        </w:rPr>
        <w:footnoteReference w:id="1639"/>
      </w:r>
      <w:r>
        <w:rPr>
          <w:rFonts w:ascii="Amiri" w:hAnsi="Amiri" w:eastAsia="Amiri" w:cs="Amiri"/>
          <w:color w:val="111111"/>
          <w:sz w:val="28"/>
          <w:sz w:val="28"/>
          <w:szCs w:val="28"/>
          <w:rtl w:val="true"/>
          <w:lang w:bidi="ar-SA"/>
        </w:rPr>
        <w:t>إلى الأوّل، وجمع آخرٌ، منهم كالشيخ</w:t>
      </w:r>
      <w:r>
        <w:rPr>
          <w:rStyle w:val="FootnoteAnchor"/>
          <w:rtl w:val="true"/>
        </w:rPr>
        <w:footnoteReference w:id="1640"/>
      </w:r>
      <w:r>
        <w:rPr>
          <w:rFonts w:ascii="Amiri" w:hAnsi="Amiri" w:eastAsia="Amiri" w:cs="Amiri"/>
          <w:color w:val="111111"/>
          <w:sz w:val="28"/>
          <w:sz w:val="28"/>
          <w:szCs w:val="28"/>
          <w:rtl w:val="true"/>
          <w:lang w:bidi="ar-SA"/>
        </w:rPr>
        <w:t>وابني زهرة</w:t>
      </w:r>
      <w:r>
        <w:rPr>
          <w:rStyle w:val="FootnoteAnchor"/>
          <w:rtl w:val="true"/>
        </w:rPr>
        <w:footnoteReference w:id="1641"/>
      </w:r>
      <w:r>
        <w:rPr>
          <w:rFonts w:ascii="Amiri" w:hAnsi="Amiri" w:eastAsia="Amiri" w:cs="Amiri"/>
          <w:color w:val="111111"/>
          <w:sz w:val="28"/>
          <w:sz w:val="28"/>
          <w:szCs w:val="28"/>
          <w:rtl w:val="true"/>
          <w:lang w:bidi="ar-SA"/>
        </w:rPr>
        <w:t>وإدريس</w:t>
      </w:r>
      <w:r>
        <w:rPr>
          <w:rStyle w:val="FootnoteAnchor"/>
          <w:rtl w:val="true"/>
        </w:rPr>
        <w:footnoteReference w:id="1642"/>
      </w:r>
      <w:r>
        <w:rPr>
          <w:rFonts w:ascii="Amiri" w:hAnsi="Amiri" w:eastAsia="Amiri" w:cs="Amiri"/>
          <w:color w:val="111111"/>
          <w:sz w:val="28"/>
          <w:sz w:val="28"/>
          <w:szCs w:val="28"/>
          <w:rtl w:val="true"/>
          <w:lang w:bidi="ar-SA"/>
        </w:rPr>
        <w:t xml:space="preserve">وجعفر بنسماعة والحسن بن سماعة وعليّ بن رباط وابن حذيفة </w:t>
      </w:r>
      <w:r>
        <w:rPr>
          <w:rStyle w:val="FootnoteAnchor"/>
          <w:rtl w:val="true"/>
        </w:rPr>
        <w:footnoteReference w:id="1643"/>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القولين هو الاختلاف في الروايات، ويدلّ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كفاية مجرّد صيغة الخلع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وقد مرّت،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المختلعة عدّة المطلّقة، وخلعها طلاقها من غير أن يسمّى طلاقاً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64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أضمره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طلّقها بعد ما خلعها أ يجوز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يطلّقها وقد كفاه الخلع ولو كان الأمر إلينا لم نجز طلاقاً</w:t>
      </w:r>
      <w:r>
        <w:rPr>
          <w:rFonts w:eastAsia="Amiri" w:cs="Amiri" w:ascii="Amiri" w:hAnsi="Amiri"/>
          <w:color w:val="111111"/>
          <w:sz w:val="28"/>
          <w:szCs w:val="28"/>
          <w:rtl w:val="true"/>
          <w:lang w:bidi="ar-SA"/>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تباري زوجها أو تختلع منه بشهادة شاهدين على طهر من غير جماع هل تبين منه بذلك أو تكون امرأته ما لم يتبعها بطلاق؟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منه، وإن شاءت أن يردّ إليها ما أخذ منها وتكون امرأته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روي لنا أنّها لا تبين منه حتّى يتبعها بطلاق،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إذا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في خبر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الخلع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أطيع لك أمراً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يكون ذلك إلّا عند سلطان، فإذا فعلت ذلك فهي أملك بنفسها من غير أن يسمّىطلاقاً</w:t>
      </w:r>
      <w:r>
        <w:rPr>
          <w:rFonts w:eastAsia="IRNazanin" w:cs="IRNazanin"/>
          <w:color w:val="111111"/>
          <w:sz w:val="28"/>
          <w:szCs w:val="28"/>
          <w:rtl w:val="true"/>
          <w:lang w:bidi="fa-IR"/>
        </w:rPr>
        <w:t>».</w:t>
      </w:r>
      <w:r>
        <w:rPr>
          <w:rStyle w:val="FootnoteAnchor"/>
          <w:rtl w:val="true"/>
        </w:rPr>
        <w:footnoteReference w:id="1647"/>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لزوم الاتّباع بلفظ الطلاق بروايتين، أحدهما ما رواه موسى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بكر،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يتبعها الطلاق ما دامت في عدّة</w:t>
      </w:r>
      <w:r>
        <w:rPr>
          <w:rFonts w:eastAsia="IRNazanin" w:cs="IRNazanin"/>
          <w:color w:val="111111"/>
          <w:sz w:val="28"/>
          <w:szCs w:val="28"/>
          <w:rtl w:val="true"/>
          <w:lang w:bidi="fa-IR"/>
        </w:rPr>
        <w:t>».</w:t>
      </w:r>
      <w:r>
        <w:rPr>
          <w:rStyle w:val="FootnoteAnchor"/>
          <w:rtl w:val="true"/>
        </w:rPr>
        <w:footnoteReference w:id="1648"/>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يتبعها الطلاق ما دامت في العدّة</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هذا، والحقّ هو عدم اللزوم وذلك للأخبار المستفيضة، أمّا هاتان الروايتان فهما قاصرتان عن الدلالة، لأنّ الطلاق في الروايتين إمّا بمعنى صيغة الطلاق فلا تدلّان على ما يقولون به من وجوب الاتّباع من غير فصل بل على لزوم الاتّباع ما دامت في العدّة ولو بعد فصل طويل كالشهر والشهرين، وهذا مضافاً إلى أنّه لم يقل به أحد مخالف للمدّعى، وإمّا بمعنى الطلاق نفسه كما هو الحقّ بتقريب أنّ المختلعة يمكن أن يتبعها الطلاق ما دامت في العدّة بأن ترجع في البذل فيراجعها الزوج ثمّ يطلّقها، وعليه كانت الرواية أجنبيّة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يمكن حملهما على الاستحباب والكمال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ممّا ذكرنا عدم تعارض الروايتين للطائفة الأُولی من الروايات ولو سلّمنا التعارض لابدّ إلّا من حملهما على غير مقصود الأصحاب من الاستحباب والكمال أو إمكان أن تصير المختلعة مطلّقة؛ لأنّ الطائفة الأُولی أظهر في الدلالة على العدم من هاتين الروايتين، بل نصّ أو كالنصّ في العدم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يظهر أنّ حمل الطائفة الأُولی على التقيّة لموافقتها لمذهب العامّة غير تامّ؛ لوجود الجمع الدلالي والترجيح بالحمل عليها إنّما يكون في الروايات المتعارضة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فيما كان فيها الجمع العرفي والدلالي،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الرواية بطريق الشيخ</w:t>
      </w:r>
      <w:r>
        <w:rPr>
          <w:rStyle w:val="FootnoteAnchor"/>
          <w:rtl w:val="true"/>
        </w:rPr>
        <w:footnoteReference w:id="1650"/>
      </w:r>
      <w:r>
        <w:rPr>
          <w:rFonts w:ascii="Amiri" w:hAnsi="Amiri" w:eastAsia="Amiri" w:cs="Amiri"/>
          <w:color w:val="111111"/>
          <w:sz w:val="28"/>
          <w:sz w:val="28"/>
          <w:szCs w:val="28"/>
          <w:rtl w:val="true"/>
          <w:lang w:bidi="ar-SA"/>
        </w:rPr>
        <w:t>تامّ؛ لأنّ طريقه بعليّ بن حسن بن فضّال تامّ وعليّ بن حسن بن فضّال وإن كان فطحيّاً إلّا أنّه ثقة</w:t>
      </w:r>
      <w:r>
        <w:rPr>
          <w:rStyle w:val="FootnoteAnchor"/>
          <w:rtl w:val="true"/>
        </w:rPr>
        <w:footnoteReference w:id="1651"/>
      </w:r>
      <w:r>
        <w:rPr>
          <w:rFonts w:ascii="Amiri" w:hAnsi="Amiri" w:eastAsia="Amiri" w:cs="Amiri"/>
          <w:color w:val="111111"/>
          <w:sz w:val="28"/>
          <w:sz w:val="28"/>
          <w:szCs w:val="28"/>
          <w:rtl w:val="true"/>
          <w:lang w:bidi="ar-SA"/>
        </w:rPr>
        <w:t>من أكابر المحدثّين، وإبراهيم بن أبي بكر بن أبي سمال</w:t>
      </w:r>
      <w:r>
        <w:rPr>
          <w:rStyle w:val="FootnoteAnchor"/>
          <w:rtl w:val="true"/>
        </w:rPr>
        <w:footnoteReference w:id="1652"/>
      </w:r>
      <w:r>
        <w:rPr>
          <w:rFonts w:ascii="Amiri" w:hAnsi="Amiri" w:eastAsia="Amiri" w:cs="Amiri"/>
          <w:color w:val="111111"/>
          <w:sz w:val="28"/>
          <w:sz w:val="28"/>
          <w:szCs w:val="28"/>
          <w:rtl w:val="true"/>
          <w:lang w:bidi="ar-SA"/>
        </w:rPr>
        <w:t>أيضاً ثقة وإن كان واقفيّاً، وكذلك موسى بن بكر،</w:t>
      </w:r>
      <w:r>
        <w:rPr>
          <w:rStyle w:val="FootnoteAnchor"/>
          <w:rtl w:val="true"/>
        </w:rPr>
        <w:footnoteReference w:id="1653"/>
      </w:r>
      <w:r>
        <w:rPr>
          <w:rFonts w:ascii="Amiri" w:hAnsi="Amiri" w:eastAsia="Amiri" w:cs="Amiri"/>
          <w:color w:val="111111"/>
          <w:sz w:val="28"/>
          <w:sz w:val="28"/>
          <w:szCs w:val="28"/>
          <w:rtl w:val="true"/>
          <w:lang w:bidi="ar-SA"/>
        </w:rPr>
        <w:t>فما في المسالك</w:t>
      </w:r>
      <w:r>
        <w:rPr>
          <w:rStyle w:val="FootnoteAnchor"/>
          <w:rtl w:val="true"/>
        </w:rPr>
        <w:footnoteReference w:id="1654"/>
      </w:r>
      <w:r>
        <w:rPr>
          <w:rFonts w:ascii="Amiri" w:hAnsi="Amiri" w:eastAsia="Amiri" w:cs="Amiri"/>
          <w:color w:val="111111"/>
          <w:sz w:val="28"/>
          <w:sz w:val="28"/>
          <w:szCs w:val="28"/>
          <w:rtl w:val="true"/>
          <w:lang w:bidi="ar-SA"/>
        </w:rPr>
        <w:t>من أنّ الأوّل فطحي والآخرين واقفيّان ضعيفان،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لمّا كان الأصل في القول بلزوم تعقّب صيغة الطلاق هو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بل يلزم ذكر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التأمّل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اعتمده في هذا الباب وأفتي به أنّ المختلعة لابدّ فيها من أن نتّبع بالطلاق وهو مذهب جعفر بن سماعة والحسن بن سماعة وعليّ بن رباط وابن حذيفة من المتقدّمين، ومذهب عليّ بن الحسين من المتأخّرين، فأمّا الباقون من فقهاء أصحابنا المتقدّمين فلست أعرف لهم فتيا في العمل بهولم ينقل منهم أكثر من الروايات التي ذكرناها وأمثالها، ويجوز أن يكونوا رووها على الوجه الذي نذكر فيما بعد وإن كان فتياهم وعملهم على ما قلناه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ذهبنا إليه ما رواه الحسن بن عليّ بن فضال، عن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الحكم وأبراهيم بن أبي بكر بن أبي سمال، عن موسى بن بكر، عن 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يتبعها الطلاق ما دامت في عدّتها</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واستدلّ من ذهب من أصحابنا المتقدّمين على صحّة ما ذهبنا إليه بقول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الأمر إلينا لم نجز إلّا طلاق السنّة</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واستدلّ الحسن بن سماعة وغيره بأن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أنّه لا يقع الطلاق بشرط والخلع من شرطه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رجعت فيما بذلت فأنا أملك ببضعك، وهذا شرط فينبغي أن لا يقع به 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أيضاً ابن سماعة بما رواه الحسن بن أيّوب، عن ابن بكير، عن عبيد بن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منّي يشبه قول الناس فيه التقيّة، وما سمعت منّي لا يشبه قول الناس فلا تقيّة فيه</w:t>
      </w:r>
      <w:r>
        <w:rPr>
          <w:rFonts w:eastAsia="IRNazanin" w:cs="IRNazanin"/>
          <w:color w:val="111111"/>
          <w:sz w:val="28"/>
          <w:szCs w:val="28"/>
          <w:rtl w:val="true"/>
          <w:lang w:bidi="fa-IR"/>
        </w:rPr>
        <w:t>».</w:t>
      </w:r>
      <w:r>
        <w:rPr>
          <w:rStyle w:val="FootnoteAnchor"/>
          <w:rtl w:val="true"/>
        </w:rPr>
        <w:footnoteReference w:id="1657"/>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الوجه في الأحاديث التي ذكرتموها وما تضمّنت من أنّ الخلع تطليقة بائنة أنّه إذا عقد عليها بعد ذلك كانت عنده على تطليقتين وأنّه لا يحتاج إلى أن يتبع بطلاق وما جرى مجرى ذلك من الأحكام؟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هذه الأحاديث أن نحملها علىضرب من التقيّة؛ لأنّها موافقة لمذاهب العامّة، وقد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الأمر إلينا لم نجز إلّا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قدّمنا في رواية الحلبي وأبي بصير،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وجه في حمل الأخبار، وتأويلها عليه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على ما قدّمناه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محمّد بن عيسى، عن محمّد بن إسماعيل، عن صفوان، عن موسى،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الخلع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أطيع لك أمراً ولا أبرّ لك قسماً ولا أقيم لك حدّاً فخذ منّي وطلّقني، فإذا قالت ذلك فقد حلّ له أن يخلعها بما تراضيا عليه من قليل أو كثير، ولا يكون ذلك إلّا عند سلطان، فإذا فعلت ذلك أملك بنفسها من غير أن يسمّى طلاقاً</w:t>
      </w:r>
      <w:r>
        <w:rPr>
          <w:rFonts w:eastAsia="IRNazanin" w:cs="IRNazanin"/>
          <w:color w:val="111111"/>
          <w:sz w:val="28"/>
          <w:szCs w:val="28"/>
          <w:rtl w:val="true"/>
          <w:lang w:bidi="fa-IR"/>
        </w:rPr>
        <w:t>».</w:t>
      </w:r>
      <w:r>
        <w:rPr>
          <w:rStyle w:val="FootnoteAnchor"/>
          <w:rtl w:val="true"/>
        </w:rPr>
        <w:footnoteReference w:id="165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 رواه أحمد بن عيسى، عن محمّد بن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تباري زوجها أو تختلع منه بشهادة شاهدين على طهر من غير جماع هل تبين منه بذلك أو هي امرأته ما لم يتبعها بطلاق؟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منه، وإن شاءت أن يردّ إليها ما أخذ منها وتكون امرأته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روي لنا أنّها لا تبين منه حتّى يتبعها بطلاق،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إذن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59"/>
      </w:r>
      <w:r>
        <w:rPr>
          <w:rFonts w:ascii="IRNazanin" w:hAnsi="IRNazanin" w:eastAsia="IRNazanin"/>
          <w:color w:val="111111"/>
          <w:sz w:val="28"/>
          <w:sz w:val="28"/>
          <w:szCs w:val="28"/>
          <w:rtl w:val="true"/>
          <w:lang w:bidi="fa-IR"/>
        </w:rPr>
        <w:t>فالوجه في هذا الخبر أيضاً ما قدّمناه من حمله على التقيّة ويكون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إذن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ولا يكون المراد به أنّ ذلك ليس بخلع عندنا، والذي يكشف أيضاًعمّا ذكرناه من خروج ذلك مخرج التقيّة، ما رواه أحمد بن محمّد بن عيسى، عن ابن أبي عمير،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هو طلّقها بعد ما خلعها أ يجوز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يطلّقها وقد كفاه الخلع، ولو كان الأمر إلينا لم نجز طلاقاً</w:t>
      </w:r>
      <w:r>
        <w:rPr>
          <w:rFonts w:eastAsia="Amiri" w:cs="Amiri" w:ascii="Amiri" w:hAnsi="Amiri"/>
          <w:color w:val="111111"/>
          <w:sz w:val="28"/>
          <w:szCs w:val="28"/>
          <w:rtl w:val="true"/>
          <w:lang w:bidi="ar-SA"/>
        </w:rPr>
        <w:t>»</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 وحشرنا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موسى بن بكر ليست ظاهرة في مقصوده إن لم تكن ظاهرة في خلافه كما مرّ</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وأمّا استدلال المتقدّمين من الأصحاب فهو تامّ إن قلنا إنّ الخلع فسخ ولكن إن ذهبنا إلى أنّه طلاق كما هو الحقّ، 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استدلال حسن بن سماعة،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المذكور ليس من شرائط الخلع بل هو من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سلّم فلا ينافي التنجيز في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ابن سماعة بموثّقة عبيد بن زرارة يرد عليه أنّ الموثّقة هي في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بحمل الروايات على التقيّة،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هو في مورد لا يمكن جريان الجمع الدلالي، وهذا بخلاف ما نحن فيه كما أشرنا إليه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الدالّة على عدم لزومالاتّباع صدرت تقيّة؛ وذلك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رواية الحلبي وأبي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لم نجز إلّا الطلاق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العبارة الموجودة في ذيل روايتي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القول بأنّها تدلّ على الصدور تقيّة، لكنّ الموجودة في صحيحة الحلبي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لوكان الأمر إلينا لم نجز طلاقاً إلّا للعدّة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الأمر إلينا لم يكن الطلاق إلّا للعدّة</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وهذه لا تدلّ على ما 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 يكون المراد أنّ تكرار الطلاق بلا عدّة كما هو لغوٌ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لغوٌ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في هاتين الروايتين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يتكلّم بهذه المناسبة، حول الطلاق أيضاً وإن لم يكن مرتبطاً بالخلع حكماً، وفي الحقيقة هو 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يحتمل أن يكون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 الأمر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يرشدون الناس ويهدونهم إلى هداهم حتّى لا يصل دور الخلع والمباراة، فهو ناظرٌ إلى مقام الإجراء لا بيان الحكم، هذا ثامناً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الأمر إليهم هو مخالفٌ للتقيّة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كون الصحيحة مجموعة من أحاديث متعدّدة فلا يكون الذيل شاهداً على كون الصدر صادراً عن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يأتي هذا الاحتمال في خبر أبي 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عشرة كاملة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ما جاء في المتن، ولا يحتاجمع صيغة الخلع إلى صيغة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هو الجمع بينهما</w:t>
      </w:r>
      <w:r>
        <w:rPr>
          <w:rFonts w:eastAsia="Amiri" w:cs="Amiri" w:ascii="Amiri" w:hAnsi="Amiri"/>
          <w:color w:val="111111"/>
          <w:sz w:val="28"/>
          <w:szCs w:val="28"/>
          <w:rtl w:val="true"/>
          <w:lang w:bidi="ar-SA"/>
        </w:rPr>
        <w:t xml:space="preserve">. </w:t>
      </w:r>
      <w:bookmarkStart w:id="613" w:name="pg9375_99918"/>
    </w:p>
    <w:p>
      <w:pPr>
        <w:pStyle w:val="BookText"/>
        <w:rPr/>
      </w:pPr>
      <w:bookmarkEnd w:id="6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 من الإيقاعات، لكن يشبه العقود في الاحتياج إلى طرفين وإنشائين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شيء من طرف الزوجة ليطلّقها الزوج وإنشاء الطلاق من طرفه بما بذلت، ويقع ذلك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 البذل من طرفها على أن يطلّقها، فيطلّقها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الزوج بالطلاق مصرّحاً بذكر العوض فتقبّل الزوجة بعده، ولا ينبغي ترك الاحتياط بإيقاعه على النحو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الخلع عدم الفصل بين إنشاء البذل والطلاق بما يخلّ بالفوريّة العرفيّة، فلو أخلّ بها بطل الخلع ولم يستحقّ الزوج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أوقعه بلفظ الطلاق أو أتبعه بذلك وقع الطلاق رجعيّاً مع فرض اجتماع شرائطه وإلّا كان بائناً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5416851_2870459653"/>
      <w:bookmarkStart w:id="615" w:name="_Toc218"/>
      <w:bookmarkEnd w:id="614"/>
      <w:r>
        <w:rPr>
          <w:rtl w:val="true"/>
        </w:rPr>
        <w:t>الخلع من الإيقاعات لكن يشبه العقود</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عمل الزوجة أشبه شيء بالإيجاب وعمله أشبه بالقبول</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5416853_2870459653"/>
      <w:bookmarkStart w:id="617" w:name="_Toc219"/>
      <w:bookmarkEnd w:id="616"/>
      <w:r>
        <w:rPr>
          <w:rtl w:val="true"/>
        </w:rPr>
        <w:t>اشتراط عدم الفصل بين إنشاء البذل والطلاق</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لاعتبار عدم الفصل بما يخلّ بالفوريّة العرفيّة في العقود وما شابهها فإنّ العرف والعقلاء لا يعدون الإيجاب والقبول مع الفصل الطويل بينهما عقداً وكذلك ما شابه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القدر المتيقّن من الفتاوى والنصوص</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لإجراء صيغة الطلاق من دون فدية، والإشكال بأنّه لا يوجد إلّا رضا واحدٌ وهو مقيّد بالبذل فكيف يصحّ طلاقه بدونه، مدفوعٌ نقضاًبأنّ الشرط الفاسد في العقود، بل النكاح لا يكون مفسداً على المشهور بين الأصحاب مع أنّ </w:t>
      </w:r>
      <w:bookmarkStart w:id="618" w:name="pg9375_99919"/>
    </w:p>
    <w:p>
      <w:pPr>
        <w:pStyle w:val="BookText"/>
        <w:rPr/>
      </w:pPr>
      <w:bookmarkEnd w:id="6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البذل والطلاق بمباشرة الزوجين أو بتوكيلهما الغير أو بالاختلاف، ويجوز أن يوكّلا شخصاً واحداً ليبذل عنها ويطلّق عنه، بل الظاهر أنّه يجوز لكلّ منهما أن يوكّل الآخر فيما هو من طرفه، فيكون أصيلاً فيما يرجع إليه ووكيلاً فيما يرجع إلى الطرف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التوكيل من الزوج في الخلع في جميع ما يتعلّق به من شرط</w:t>
      </w:r>
    </w:p>
    <w:p>
      <w:pPr>
        <w:pStyle w:val="BookText"/>
        <w:rPr/>
      </w:pPr>
      <w:r>
        <w:rPr>
          <w:rFonts w:ascii="Amiri" w:hAnsi="Amiri" w:eastAsia="Amiri" w:cs="Amiri"/>
          <w:color w:val="111111"/>
          <w:sz w:val="28"/>
          <w:sz w:val="28"/>
          <w:szCs w:val="28"/>
          <w:rtl w:val="true"/>
          <w:lang w:bidi="ar-SA"/>
        </w:rPr>
        <w:t>الرضا مقيّد بالشرط فكذلك في الطلاق، وحلاً بأنّ بناء العقلاء والعرف في العقود وشبهها وكذا الإيقاعات هو فصل الالتزامات بعضها من بعض ولا أقلّ من ذلك في الشرع للروايات الكثيرة الواردة في الأبواب المختلفة الدالّة على أنّ الشرط الفاسد ليس بمفسدٍ</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ويؤيّده ما سيأتي من كلام الأُستاذ في المسألة الثامنة فيما إذا أرادت الزوجة الخلع فطلّقها بعوض أو الطلاق بعوض فخلعها، من أنّه لو ثبت قصدها هذه الصيغة الخاصّة أو تلك الصيغة فلا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العبارة مسامحة، فإنّ شرائط الرجعي والبائن لا اختلاف فيها، بل هو يرجع إلى أركانهما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5416855_2870459653"/>
      <w:bookmarkStart w:id="620" w:name="_Toc220"/>
      <w:bookmarkEnd w:id="619"/>
      <w:r>
        <w:rPr>
          <w:rtl w:val="true"/>
        </w:rPr>
        <w:t>جواز التوكيل في الخلع للبذل والطلاق</w:t>
      </w:r>
      <w:bookmarkEnd w:id="62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قضاءً لإطلاق أدلّة الوكالة وأدلّة الخلع، كما هو واضح</w:t>
      </w:r>
      <w:r>
        <w:rPr>
          <w:rFonts w:eastAsia="Amiri" w:cs="Amiri" w:ascii="Amiri" w:hAnsi="Amiri"/>
          <w:color w:val="111111"/>
          <w:sz w:val="28"/>
          <w:szCs w:val="28"/>
          <w:rtl w:val="true"/>
          <w:lang w:bidi="ar-SA"/>
        </w:rPr>
        <w:t xml:space="preserve">. </w:t>
      </w:r>
      <w:bookmarkStart w:id="621" w:name="pg9375_99920"/>
    </w:p>
    <w:p>
      <w:pPr>
        <w:pStyle w:val="BookText"/>
        <w:rPr/>
      </w:pPr>
      <w:bookmarkEnd w:id="621"/>
      <w:r>
        <w:rPr>
          <w:rFonts w:ascii="Amiri" w:hAnsi="Amiri" w:eastAsia="Amiri" w:cs="Amiri"/>
          <w:color w:val="111111"/>
          <w:sz w:val="28"/>
          <w:sz w:val="28"/>
          <w:szCs w:val="28"/>
          <w:rtl w:val="true"/>
          <w:lang w:bidi="ar-SA"/>
        </w:rPr>
        <w:t>العوض وتعيينه وقبضه وإيقاع الطلاق، ومن المرأة في جميع ما يتعلّق بها من استدعاء الطلاق وتقدير العوض وتسليمه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الخلع بمباشرة الزوجين فإمّا أن يبتدئ الزوجة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بذلت لك أو أعطيتك ما عليك من المهر أو الشيء الفلاني لتطلّقني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طالق أو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بذلت أو على 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يبتدئ الزوج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 أو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من وكيلين يقول وكيل الزوجة مخاطباً لوكيل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قبل موكّلتي فلانة بذلت لموكّلك ما عليه من المهر أو المبلغ الفلاني ليخلعها ويطلّقها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وكيل الزوج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موكّلي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ما ذكر سائر الصور المتصوّرة، لكن لا ينبغي ترك الاحتياط المتقدّم؛ أي الجمع بين الصيغتين، بل 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قضاءً لإطلاق الأدلّة في الوكالة والخلع</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5416857_2870459653"/>
      <w:bookmarkStart w:id="623" w:name="_Toc221"/>
      <w:bookmarkEnd w:id="622"/>
      <w:r>
        <w:rPr>
          <w:rtl w:val="true"/>
        </w:rPr>
        <w:t>في كيفيّة إيقاع الخلع</w:t>
      </w:r>
      <w:bookmarkEnd w:id="623"/>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لذهاب بعض الأصحاب إليه، كما مرّ</w:t>
      </w:r>
      <w:r>
        <w:rPr>
          <w:rStyle w:val="FootnoteAnchor"/>
          <w:rtl w:val="true"/>
        </w:rPr>
        <w:footnoteReference w:id="1667"/>
      </w:r>
      <w:r>
        <w:rPr>
          <w:rFonts w:ascii="Amiri" w:hAnsi="Amiri" w:eastAsia="Amiri" w:cs="Amiri"/>
          <w:color w:val="111111"/>
          <w:sz w:val="28"/>
          <w:sz w:val="28"/>
          <w:szCs w:val="28"/>
          <w:rtl w:val="true"/>
          <w:lang w:bidi="ar-SA"/>
        </w:rPr>
        <w:t>تفصيله</w:t>
      </w:r>
      <w:r>
        <w:rPr>
          <w:rFonts w:eastAsia="Amiri" w:cs="Amiri" w:ascii="Amiri" w:hAnsi="Amiri"/>
          <w:color w:val="111111"/>
          <w:sz w:val="28"/>
          <w:szCs w:val="28"/>
          <w:rtl w:val="true"/>
          <w:lang w:bidi="ar-SA"/>
        </w:rPr>
        <w:t xml:space="preserve">. </w:t>
      </w:r>
      <w:bookmarkStart w:id="624" w:name="pg9375_99921"/>
    </w:p>
    <w:p>
      <w:pPr>
        <w:pStyle w:val="BookText"/>
        <w:rPr/>
      </w:pPr>
      <w:bookmarkEnd w:id="6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استدعت الزوجة الطلاق بعوض معلوم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أو اخلعني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مختلعة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وقوعه إشكال، فالأحوط اتباعه بالقبول منها بأن تقول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5416859_2870459653"/>
      <w:bookmarkStart w:id="626" w:name="_Toc222"/>
      <w:bookmarkEnd w:id="625"/>
      <w:r>
        <w:rPr>
          <w:rtl w:val="true"/>
        </w:rPr>
        <w:t>في طلب الطلاق أو الخلع بعوض</w:t>
      </w:r>
      <w:bookmarkEnd w:id="626"/>
    </w:p>
    <w:p>
      <w:pPr>
        <w:pStyle w:val="Heading4"/>
        <w:numPr>
          <w:ilvl w:val="3"/>
          <w:numId w:val="1"/>
        </w:numPr>
        <w:rPr/>
      </w:pPr>
      <w:bookmarkStart w:id="627" w:name="__RefHeading___Toc5416861_2870459653"/>
      <w:bookmarkStart w:id="628" w:name="_Toc223"/>
      <w:bookmarkEnd w:id="627"/>
      <w:r>
        <w:rPr>
          <w:rtl w:val="true"/>
        </w:rPr>
        <w:t>اشارة</w:t>
      </w:r>
      <w:bookmarkEnd w:id="6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والإشكال ناشئ من أنّ الخلع هل هو معاوضة أو إيقاع والثاني هو الأقوى لعدم اعتبار العوض في مفهومه وأنّ إنشاء الطلاق مستقلّ وذكر الفدية فيه غير لازم وإن كان الباعث له عليه هو البذل ولذا يصير رجعيّاً إن رجعت في البذل أو بذلت ما لا تملكه مع أنّه لوكان معاوضة كان فاسداً لتقوم المعاوضة بالطرفين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ما يقال من عدم الحاجة في العقود أيضاً إلى القبول، بل يكفى الإيجاب من الموجب والرضا من الطرف الآخر كما احتمله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البيع، فيكفي الاستدعاء ولا يحتاج إلى قبولها لعدم كونه معاوضة أوّلاً ودلالة الاستدعاء على الرضا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يظهر عدم وجوب ذكر البذل أو الإشارة إليه، بل يكفي قصده أيضاً</w:t>
      </w:r>
      <w:r>
        <w:rPr>
          <w:rFonts w:eastAsia="IRNazanin" w:cs="IRNazanin"/>
          <w:color w:val="111111"/>
          <w:sz w:val="28"/>
          <w:szCs w:val="28"/>
          <w:rtl w:val="true"/>
          <w:lang w:bidi="fa-IR"/>
        </w:rPr>
        <w:t>.</w:t>
      </w:r>
    </w:p>
    <w:p>
      <w:pPr>
        <w:pStyle w:val="Heading4"/>
        <w:numPr>
          <w:ilvl w:val="3"/>
          <w:numId w:val="1"/>
        </w:numPr>
        <w:rPr/>
      </w:pPr>
      <w:bookmarkStart w:id="629" w:name="__RefHeading___Toc5416863_2870459653"/>
      <w:bookmarkStart w:id="630" w:name="_Toc224"/>
      <w:bookmarkEnd w:id="629"/>
      <w:r>
        <w:rPr>
          <w:rtl w:val="true"/>
        </w:rPr>
        <w:t>فرعان</w:t>
      </w:r>
      <w:r>
        <w:rPr>
          <w:rtl w:val="true"/>
        </w:rPr>
        <w:t>:</w:t>
      </w:r>
      <w:bookmarkEnd w:id="63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منه الطلاق بعوض فخلعها مجرّداً عن لفظ الطلاق أو طلبت منه الخلع بعوض فطلقها به يقعان صحيحين؛ لأنّ حقيقة الطلاق والخلع واحدة كما مرّ كالوحدة المتحقّقة بين بيع النقد والنسيئة والسلف فإنّالطلاق هو إزالة قيد النكاح والخلع هو الإزالة مع قيد البذل، فالطلاق أعمّ من الخلع، فكلّ خلع طلاق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طلّقني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إجراء الخلع بصيغة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بعوض فما طلب لم يقع وما وقع غيرمطلوب لها، مدفوعٌ بأنّ ذلك خلاف ما يجري في العادة فإنّ العادة عدم الخصوصيّة لصيغة خاصّة فلا يحمل عليه كما أنّ 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 لي هذا الكتاب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على إرادة نقله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لو باعه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أنّه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 موكّل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ثبت قصدها الخصوصيّة يشكل بأنّ ما طلبت لم يقع وما وقع غير مطلوب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 بين الصورتين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طلبت منه طلاقاً بعوض فخلعها مجرّداً عن لفظ الطلاق لم يقع على القولين ولو طلبت خلعاً بعوض فطلّق به لم يلزم البذل على القول بوقوع الخلع بمجرّده فسخاً ويقع الطلاق رجعيّاً ويلزم، على القول بأنّه طلاق أو أنّه يفتقر إلى الطلاق</w:t>
      </w:r>
      <w:r>
        <w:rPr>
          <w:rFonts w:eastAsia="Amiri" w:cs="Amiri" w:ascii="Amiri" w:hAnsi="Amiri"/>
          <w:color w:val="111111"/>
          <w:sz w:val="28"/>
          <w:szCs w:val="28"/>
          <w:rtl w:val="true"/>
          <w:lang w:bidi="ar-SA"/>
        </w:rPr>
        <w:t>.</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ولكنّه ليس بتامّ بعد أن ذهبنا إلى أنّ الطلاق والخلع واحد وليس الخلع بفسخ، وما في المسالك في ذيل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طلبت منه طلاقاً بعوض فخلعها مجرّداً عن لفظ الطلاق لم يقع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توجيه عدم الوقوع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إن قلنا إنّه فسخ فكونه خلاف ما طلبته واضح وإن جعلناه طلاقاً فهو طلاق مختلف فيه وما طلبته لا خلاف فيه، فظهر أنّه خلاف مطلوبها على القولين</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 أنّ الخلاف فيه لا ينافي كونه مصداقا لما طلبته بعد تنقيح الحال فيه من اتّحادهما حقيقة وماهيّة فالمطلوب واقع والواقع مطلوب</w:t>
      </w:r>
      <w:r>
        <w:rPr>
          <w:rFonts w:eastAsia="Amiri" w:cs="Amiri" w:ascii="Amiri" w:hAnsi="Amiri"/>
          <w:color w:val="111111"/>
          <w:sz w:val="28"/>
          <w:szCs w:val="28"/>
          <w:rtl w:val="true"/>
          <w:lang w:bidi="ar-SA"/>
        </w:rPr>
        <w:t xml:space="preserve">. </w:t>
      </w:r>
      <w:bookmarkStart w:id="631" w:name="pg9375_99923"/>
    </w:p>
    <w:p>
      <w:pPr>
        <w:pStyle w:val="BookText"/>
        <w:rPr/>
      </w:pPr>
      <w:bookmarkEnd w:id="6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تحقّق الخلع بذل الفداء عوضاً عن الطلاق، ويجوز الفداء بكلّ متموّلٍ من عين أو دين أو منفعة قلّ أو كثر وإن زاد على المهر 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بألف، أو وعليك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يقع خلعاً في كلا الفرضين، خلافاً للشهيد في المسالك حيث ذهب إلى عدم وقوعه خلعاً في الثاني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صيغة إخبار لا صيغة التزام؛ إذ لم يسبقه استيجاب يدلّ عليه ولم يجعله عوضاً، بل جعله جملة معطوفة على الطلاق، فلا يتأثّر بها وتلغو في نفسها،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وعليك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قبلت؛ لأنّ قبولها إنّما وقع رضاً بما فعل ولم يقع منه ما يقتضي المعاوضة</w:t>
      </w:r>
      <w:r>
        <w:rPr>
          <w:rFonts w:eastAsia="Amiri" w:cs="Amiri" w:ascii="Amiri" w:hAnsi="Amiri"/>
          <w:color w:val="111111"/>
          <w:sz w:val="28"/>
          <w:szCs w:val="28"/>
          <w:rtl w:val="true"/>
          <w:lang w:bidi="ar-SA"/>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وفيه ما لا يخفى، فإنّ البذل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ركناً في الخلع كالمهر في النكاح، بل هو أدون منه، غاية الأمر أنّ الباعث له هو البذل فمع تحقّق هذه الباعثيّة والداعويّة يقع الطلاق خلعاً؛ سواء كان اللفظ ظاهراً في ارتباط الطلاق به أم لا، بل كان مراده معلوماً من دون ظهور في اللفظ</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5416865_2870459653"/>
      <w:bookmarkStart w:id="633" w:name="_Toc225"/>
      <w:bookmarkEnd w:id="632"/>
      <w:r>
        <w:rPr>
          <w:rtl w:val="true"/>
        </w:rPr>
        <w:t>بذل الفداء عوضاً عن الطلاق بكلّ متموّل</w:t>
      </w:r>
      <w:bookmarkEnd w:id="633"/>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في الفدية أن تكون عوضاً عن نكاح قائم لم يعرض له الزوال لزوماً كالبائن ولا جوازاً كالرجعي؛ وذلك لأنّها عوض عنه، ولأنّ المستفاد من الأحاديث أنّ الخلع بمنزلة الطلاق، بل قلناإنّه طلاق، فكما يعتبر في الطلاق أن يكون عن نكاح قائم فكذا 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صرّح غير واحد من الأصحاب، بل لا خلاف فيه، بأنّ كلّ ما يصحّ أن يكون مهراً صحّ </w:t>
      </w:r>
    </w:p>
    <w:p>
      <w:pPr>
        <w:pStyle w:val="BookText"/>
        <w:rPr/>
      </w:pPr>
      <w:r>
        <w:rPr>
          <w:rFonts w:ascii="Amiri" w:hAnsi="Amiri" w:eastAsia="Amiri" w:cs="Amiri"/>
          <w:color w:val="111111"/>
          <w:sz w:val="28"/>
          <w:sz w:val="28"/>
          <w:szCs w:val="28"/>
          <w:rtl w:val="true"/>
          <w:lang w:bidi="ar-SA"/>
        </w:rPr>
        <w:t>فإن كان عيناً حاضرة تكفي فيها المشاهدة، وإن كان كلّيّاً في الذمّة أو غائباً ذكر جنسه ووصفه وقدره، بل لا يبعد أن يكون الأمر فيه أوسع من ذلك، فيصحّ بما يؤوّل إلى العلم كما لو بذلت ما في الصندوق مع العلم بكونه متموّلاً،</w:t>
      </w:r>
      <w:r>
        <w:rPr>
          <w:rStyle w:val="FootnoteAnchor"/>
          <w:rtl w:val="true"/>
        </w:rPr>
        <w:footnoteReference w:id="1671"/>
      </w:r>
      <w:r>
        <w:rPr>
          <w:rFonts w:ascii="Amiri" w:hAnsi="Amiri" w:eastAsia="Amiri" w:cs="Amiri"/>
          <w:color w:val="111111"/>
          <w:sz w:val="28"/>
          <w:sz w:val="28"/>
          <w:szCs w:val="28"/>
          <w:rtl w:val="true"/>
          <w:lang w:bidi="ar-SA"/>
        </w:rPr>
        <w:t>ويصحّ بما في ذمّة الزوج من المهر ولو لم يعلما به فعلاً، بل في مثله ولو لم يعلما بعد أيضاً صحّ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يجعل فدية، من قليل أو كثير، ومن عين أو منفعة، ومن شخصي أو كلّي</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كما لا يعتبر في المهر العلم التفصيلي بل يكفي ما يؤوّل إلى العلم فيما بعد، نحو ما في الصندوق وما في كمّي ونحوهما فكذلك الفدية في الخلع؛ لإطلاق الآية الشريفة وإطلاقات العقود والمعاوضات وإطلاق أدلّة الخلع مع التأمّل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الجهل المطلق الذي لا يؤوّل إلى العلم مضرّ، مثل شيء من الأشياء أو بعض ما يتموّل أو نحو ذلك ممّا هو مثار النزاع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يتراءی في كلام الشرائع</w:t>
      </w:r>
      <w:r>
        <w:rPr>
          <w:rStyle w:val="FootnoteAnchor"/>
          <w:rtl w:val="true"/>
        </w:rPr>
        <w:footnoteReference w:id="1673"/>
      </w:r>
      <w:r>
        <w:rPr>
          <w:rFonts w:ascii="Amiri" w:hAnsi="Amiri" w:eastAsia="Amiri" w:cs="Amiri"/>
          <w:color w:val="111111"/>
          <w:sz w:val="28"/>
          <w:sz w:val="28"/>
          <w:szCs w:val="28"/>
          <w:rtl w:val="true"/>
          <w:lang w:bidi="ar-SA"/>
        </w:rPr>
        <w:t>شبه تهافت إن لم يكن عين التهافت،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المشاهدة في العين الحاضرة بخلاف الكلّي في الذمّة، فإنّهلابدّ فيه من العلم بجنسه ومقداره ووصفه، مع أنّهما يرتزقان من لبن واحد</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نفسه في المختصر النافع</w:t>
      </w:r>
      <w:r>
        <w:rPr>
          <w:rStyle w:val="FootnoteAnchor"/>
          <w:rtl w:val="true"/>
        </w:rPr>
        <w:footnoteReference w:id="1674"/>
      </w:r>
      <w:r>
        <w:rPr>
          <w:rFonts w:ascii="Amiri" w:hAnsi="Amiri" w:eastAsia="Amiri" w:cs="Amiri"/>
          <w:color w:val="111111"/>
          <w:sz w:val="28"/>
          <w:sz w:val="28"/>
          <w:szCs w:val="28"/>
          <w:rtl w:val="true"/>
          <w:lang w:bidi="ar-SA"/>
        </w:rPr>
        <w:t>بعدم الفرق بينهما، فراجع إن شئت</w:t>
      </w:r>
      <w:r>
        <w:rPr>
          <w:rFonts w:eastAsia="Amiri" w:cs="Amiri" w:ascii="Amiri" w:hAnsi="Amiri"/>
          <w:color w:val="111111"/>
          <w:sz w:val="28"/>
          <w:szCs w:val="28"/>
          <w:rtl w:val="true"/>
          <w:lang w:bidi="ar-SA"/>
        </w:rPr>
        <w:t xml:space="preserve">. </w:t>
      </w:r>
      <w:bookmarkStart w:id="634" w:name="pg9375_99925"/>
    </w:p>
    <w:p>
      <w:pPr>
        <w:pStyle w:val="BookText"/>
        <w:rPr/>
      </w:pPr>
      <w:bookmarkEnd w:id="634"/>
      <w:r>
        <w:rPr>
          <w:rFonts w:ascii="Amiri" w:hAnsi="Amiri" w:eastAsia="Amiri" w:cs="Amiri"/>
          <w:color w:val="111111"/>
          <w:sz w:val="28"/>
          <w:sz w:val="28"/>
          <w:szCs w:val="28"/>
          <w:rtl w:val="true"/>
          <w:lang w:bidi="ar-SA"/>
        </w:rPr>
        <w:t>ويصحّ جعل الفداء إرضاع ولده، لكن مشروطاً بتعيين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تبعد صحّته بمثل قدوم الحاجّ وبلوغ الثمرة، وإن جعل كلّياً في ذمّتها يجوز جعله حالاً ومؤجّلاً مع تعيين الأجل ولو بمثل ما 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بذل الفداء منها ومن وكيلها؛ بأن يبذل وكالة عنها من مالها أو بمال في ذمّتها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ممّن يضمنه في ذمّته بإذنها، فيرجع إليها بعد البذل بأن تقول 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أطلب من زوجي أن يطلّقني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وبعد ما دفعتها إليه إرجع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وطلّقها الزوج على ذلك؟ وجهان بل قولان، لا يخلو ثانيهما من رجحان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يصحّ من المتبرّع الذي لا يرجع عليها،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قضاءً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لكفاية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بذله بذلها، كما هو واضح</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5416867_2870459653"/>
      <w:bookmarkStart w:id="636" w:name="_Toc226"/>
      <w:bookmarkEnd w:id="635"/>
      <w:r>
        <w:rPr>
          <w:rtl w:val="true"/>
        </w:rPr>
        <w:t>هل يصحّ تضمين غيرها بالبذل؟</w:t>
      </w:r>
      <w:bookmarkEnd w:id="636"/>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المطلوب في الخلع هو كون الطلاق بعوض وفدية والفدية هنا وإن لم تكن من المرأة مباشرة وابتداءً، لكنّها ترجع إليها في النهاية، وذلك المقدار منها كافٍ فيه، ومن أنّ القدر المتيقّن من الأدلّة، بل ظاهر الآية الشريفة</w:t>
      </w:r>
      <w:r>
        <w:rPr>
          <w:rStyle w:val="FootnoteAnchor"/>
          <w:rtl w:val="true"/>
        </w:rPr>
        <w:footnoteReference w:id="1675"/>
      </w:r>
      <w:r>
        <w:rPr>
          <w:rFonts w:ascii="Amiri" w:hAnsi="Amiri" w:eastAsia="Amiri" w:cs="Amiri"/>
          <w:color w:val="111111"/>
          <w:sz w:val="28"/>
          <w:sz w:val="28"/>
          <w:szCs w:val="28"/>
          <w:rtl w:val="true"/>
          <w:lang w:bidi="ar-SA"/>
        </w:rPr>
        <w:t xml:space="preserve">هو كون الفدية منها والفدية هنا ليست منها حقيقة، وأدائها فيمابعد لا يوجب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الحقيقة، بل يعدّ غرامة منها مع أنّه ضمان ما لم يجب وهو باطل عند الإماميّة</w:t>
      </w:r>
      <w:r>
        <w:rPr>
          <w:rFonts w:eastAsia="Amiri" w:cs="Amiri" w:ascii="Amiri" w:hAnsi="Amiri"/>
          <w:color w:val="111111"/>
          <w:sz w:val="28"/>
          <w:szCs w:val="28"/>
          <w:rtl w:val="true"/>
          <w:lang w:bidi="ar-SA"/>
        </w:rPr>
        <w:t xml:space="preserve">. </w:t>
      </w:r>
      <w:bookmarkStart w:id="637" w:name="pg9375_99926"/>
    </w:p>
    <w:p>
      <w:pPr>
        <w:pStyle w:val="BookText"/>
        <w:rPr/>
      </w:pPr>
      <w:bookmarkEnd w:id="637"/>
      <w:r>
        <w:rPr>
          <w:rFonts w:ascii="Amiri" w:hAnsi="Amiri" w:eastAsia="Amiri" w:cs="Amiri"/>
          <w:color w:val="111111"/>
          <w:sz w:val="28"/>
          <w:sz w:val="28"/>
          <w:szCs w:val="28"/>
          <w:rtl w:val="true"/>
          <w:lang w:bidi="ar-SA"/>
        </w:rPr>
        <w:t>قالت الزوجة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طلّقني على دار زيد أو ألف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فطلّقها على ذلك، وقد أذن زيد أو أجاز بعده لم يصحّ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الطلاق الرجعي ولا غيره، إلّا إذا أوقع بلفظ الطلاق أو أتبعه بصيغته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5416869_2870459653"/>
      <w:bookmarkStart w:id="639" w:name="_Toc227"/>
      <w:bookmarkEnd w:id="638"/>
      <w:r>
        <w:rPr>
          <w:rtl w:val="true"/>
        </w:rPr>
        <w:t>حكم الخلع أو الطلاق على مال الغير</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r>
        <w:rPr>
          <w:rStyle w:val="FootnoteAnchor"/>
          <w:rtl w:val="true"/>
        </w:rPr>
        <w:footnoteReference w:id="16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موافق لكلام المحقّق في الشرائع</w:t>
      </w:r>
      <w:r>
        <w:rPr>
          <w:rStyle w:val="FootnoteAnchor"/>
          <w:rtl w:val="true"/>
        </w:rPr>
        <w:footnoteReference w:id="1677"/>
      </w:r>
      <w:r>
        <w:rPr>
          <w:rFonts w:ascii="Amiri" w:hAnsi="Amiri" w:eastAsia="Amiri" w:cs="Amiri"/>
          <w:color w:val="111111"/>
          <w:sz w:val="28"/>
          <w:sz w:val="28"/>
          <w:szCs w:val="28"/>
          <w:rtl w:val="true"/>
          <w:lang w:bidi="ar-SA"/>
        </w:rPr>
        <w:t>وهو لا يختصّ بالمسألة، بل يعمّ الفروع المماثلة كما إذا خلعها على مال الغير مع العلم بأنّ المال مال الغير أو على غير المملوك كالخمر أو على ما لا يتموّل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التفصيل أنّ المعتبر في الخلع هو الفدية وهو كالمعاوضة، فإذا بطلت الفدية بطل الخلع، وأمّا إذا وقعت صيغة الطلاق بعده يقع رجعيّاً؛ لأنّ الطلاق المتعقّب له أمر مستقلّ برأسه واجد لشرائطه، 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لصاحب الجواهر</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يقع رجعيّاً مطلقاً بعد بطلان الفدية، من دون فرق بين اتباعه بصيغة الطلاق أم لا، بل وصيغة الطلاق وحدها، أمّا عدم كونه خلعاً فواضح؛ لبطلان الفدية الموجب لعدم تحقّق الخلع الذي هو طلاق بائن؛ وأمّا وقوع الطلاق، فلأنّ الفدية ليست من أركانه ولا من شرائطه حتّى يكون انتفائها موجباً لانتفائه، بل هي باعثة عليه، فبطلان الفدية لا يوجب بطلان أصل الطلاق، ولا فرق بين اتباعه بالطلاق وعدمهلوحدة حقيقة الخلع والطلاق، والمراد من الطلاق المتعقّب </w:t>
      </w:r>
      <w:bookmarkStart w:id="640" w:name="pg9375_99927"/>
    </w:p>
    <w:p>
      <w:pPr>
        <w:pStyle w:val="BookText"/>
        <w:rPr/>
      </w:pPr>
      <w:bookmarkEnd w:id="6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أبوها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وأنت بريءٌ 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بالغة رشيدة فطلّقها صحّ الطلاق وكان رجعيّاً بشرائطه والشرط المتقدمّ في المسألة السابقة، ولم تبرئ ذمّته بذلك ما لم تبرأ، ولم يلزم عليها الإبراء ولا يضمنه الأب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جعلت الفداء مال الغير، أو ما لا يملكه المسلم كالخمر مع العلم بذلك بطل البذل، فبطل الخلع وصار الطلاق رجعيّاً بالشرط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هو الخلع؛ أي الطلاق بعوض، فذكر صيغة الطلاق بعده لا يزيد على الخلع بل هو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Style w:val="FootnoteAnchor"/>
          <w:rtl w:val="true"/>
        </w:rPr>
        <w:footnoteReference w:id="1679"/>
      </w:r>
      <w:r>
        <w:rPr>
          <w:rFonts w:ascii="Amiri" w:hAnsi="Amiri" w:eastAsia="Amiri" w:cs="Amiri"/>
          <w:color w:val="111111"/>
          <w:sz w:val="28"/>
          <w:sz w:val="28"/>
          <w:szCs w:val="28"/>
          <w:rtl w:val="true"/>
          <w:lang w:bidi="ar-SA"/>
        </w:rPr>
        <w:t>وفيه ما مرّ أيضاً</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5416871_2870459653"/>
      <w:bookmarkStart w:id="642" w:name="_Toc228"/>
      <w:bookmarkEnd w:id="641"/>
      <w:r>
        <w:rPr>
          <w:rtl w:val="true"/>
        </w:rPr>
        <w:t>حكم بذل مال الغير أو ما لا يملكه المسلم مع العلم به</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صاحب الجواهر في بيان المسألة والنقض والإبرام عليها، فكان الاكتفاء به حسن، قال في الجواهر ممزوجاً بما قاله المحقّق</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الفداء ممّا لا يملكه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والخنزير فسد البذل بلا إشكال ولا خلاف؛ لاشتراط الماليّة فيه،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لفساد المعاوضة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Fonts w:eastAsia="Amiri" w:cs="Amiri" w:ascii="Amiri" w:hAnsi="Amiri"/>
          <w:color w:val="111111"/>
          <w:sz w:val="28"/>
          <w:szCs w:val="28"/>
          <w:rtl w:val="true"/>
          <w:lang w:bidi="ar-SA"/>
        </w:rPr>
        <w:t>:</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عدم اعتبار العوض في مفهومه، وأنّ إنشاء الطلاق مستقلّ وإن كان الباعثله عليه البذل المزبور، إلّا أنّ أقصاه عدم كونه بائناً؛ لفحوى ما تسمعه من النصوص المتضمّنة لكون الطلاق رجعيّاً لو رجعت بالبذل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حقّ إن أتبع بالطلاق، وإلّا كان البطلان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لأنّه مع الاقتصار على الخلع لا يتحقّق صحّة الطلاق مع فساد العوض؛ لأنّ الخلع الذي يقوم مقام الطلاق أو هو الطلاق ليس إلّا اللفظ الدالّ على الإبانة بالعوض، فبدونه لا يكون خلعاً، فلا يتحقّق رفع الزوجيّة بائناً ولا رجعيّاً، وإنّما يتمّ إذا أتبعه بالطلاق ليكونا أمرين متغايرين لا يلزم من فساد أحدهما فساد الآخر، فيفسد حينئذٍ الخلع لفوات العوض، ويبقى الطلاق المتعقّب له رجعيّاً، لبطلان العوض الموجب، لكونه بائناً، وفي المسالك</w:t>
      </w:r>
      <w:r>
        <w:rPr>
          <w:rStyle w:val="FootnoteAnchor"/>
          <w:rtl w:val="true"/>
        </w:rPr>
        <w:footnoteReference w:id="1681"/>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 عرفت أنّه ممّن يوجب اتباع الخلع الطلاق، فلا وجه للتفصيل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الطلاق المتبع به الخلع لا يراد به إلّا الطلاق بالعوض، وليس هو إنشاء مستقلاً، وقد سمعت سابقاً من المسالك أنّه هو المملّك للعوض، وأنّ تقدّم الخلع عليه قليل الفائدة، بل يمكن فرض مسألة المقام في كون الخلع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بكذا 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سبق الخلع، ولا وجه للصحّة فيه رجعيّاً إلّا بناءً على ما ذكرناه من عدم المعاوضة في ذلك حقيقة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ينقدح وجه الصحّة رجعيّاً لو كانت الصيغة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وإن لم نجوّز وقوع غير الطلاق بعوض بها؛ لما عرفت منكون الخلع طلاقاً وإن كان مورده خاصّاً، فتارة يصحّ وأُخرى يبطل لفقد شرط </w:t>
      </w:r>
      <w:bookmarkStart w:id="643" w:name="pg9375_99929"/>
    </w:p>
    <w:p>
      <w:pPr>
        <w:pStyle w:val="BookText"/>
        <w:rPr/>
      </w:pPr>
      <w:bookmarkEnd w:id="643"/>
      <w:r>
        <w:rPr>
          <w:rFonts w:ascii="Amiri" w:hAnsi="Amiri" w:eastAsia="Amiri" w:cs="Amiri"/>
          <w:color w:val="111111"/>
          <w:sz w:val="28"/>
          <w:sz w:val="28"/>
          <w:szCs w:val="28"/>
          <w:rtl w:val="true"/>
          <w:lang w:bidi="ar-SA"/>
        </w:rPr>
        <w:t>ولو جعلته مال الغير مع الجهل بالحال، فالمشهور صحّة الخلع وضمانها للمثل أو القيمة، وفيه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كراهة الزوجة شديدة،</w:t>
      </w:r>
    </w:p>
    <w:p>
      <w:pPr>
        <w:pStyle w:val="BookText"/>
        <w:rPr/>
      </w:pPr>
      <w:r>
        <w:rPr>
          <w:rFonts w:ascii="Amiri" w:hAnsi="Amiri" w:eastAsia="Amiri" w:cs="Amiri"/>
          <w:color w:val="111111"/>
          <w:sz w:val="28"/>
          <w:sz w:val="28"/>
          <w:szCs w:val="28"/>
          <w:rtl w:val="true"/>
          <w:lang w:bidi="ar-SA"/>
        </w:rPr>
        <w:t>من شرائطه، ولكنّه لا يبطل أصل الطلاق الحاصل به كما يومئ إليه ما تسمعه من النصّ</w:t>
      </w:r>
      <w:r>
        <w:rPr>
          <w:rStyle w:val="FootnoteAnchor"/>
          <w:rtl w:val="true"/>
        </w:rPr>
        <w:footnoteReference w:id="1682"/>
      </w:r>
      <w:r>
        <w:rPr>
          <w:rFonts w:ascii="Amiri" w:hAnsi="Amiri" w:eastAsia="Amiri" w:cs="Amiri"/>
          <w:color w:val="111111"/>
          <w:sz w:val="28"/>
          <w:sz w:val="28"/>
          <w:szCs w:val="28"/>
          <w:rtl w:val="true"/>
          <w:lang w:bidi="ar-SA"/>
        </w:rPr>
        <w:t xml:space="preserve">والفتوى في صيرورة الطلاق رجعيّاً لو فسخت البذل ورجعت به، من غير فرق بين كون الخلع قد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لصحّة وقوع الطلاق به في مورده وإن لم يسلم بفسخ للبذل أو بفقد شرط من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الجمود على خصوص مورد النصّ منافٍ لقاعدة الاستنباط المستفادة من فحاوى الأدلّة المشار إليها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الفقيه فقيهاً حتّى تلحن له بالقول فيعرف ما تلحن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وغيره، هذا كلّه مع العلم</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5416873_2870459653"/>
      <w:bookmarkStart w:id="645" w:name="_Toc229"/>
      <w:bookmarkEnd w:id="644"/>
      <w:r>
        <w:rPr>
          <w:rtl w:val="true"/>
        </w:rPr>
        <w:t>حكم بذل مال الغير مع الجهل بالحال</w:t>
      </w:r>
      <w:bookmarkEnd w:id="6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فقد الشرط موجب للبطلان والجهل لا يوجب الصحّة،كما لو تبيّن فقد شرط في أركان العقد</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الفدية ليست من أركان الطلاق كما مرّ،</w:t>
      </w:r>
      <w:r>
        <w:rPr>
          <w:rStyle w:val="FootnoteAnchor"/>
          <w:rtl w:val="true"/>
        </w:rPr>
        <w:footnoteReference w:id="1685"/>
      </w:r>
      <w:r>
        <w:rPr>
          <w:rFonts w:ascii="Amiri" w:hAnsi="Amiri" w:eastAsia="Amiri" w:cs="Amiri"/>
          <w:color w:val="111111"/>
          <w:sz w:val="28"/>
          <w:sz w:val="28"/>
          <w:szCs w:val="28"/>
          <w:rtl w:val="true"/>
          <w:lang w:bidi="ar-SA"/>
        </w:rPr>
        <w:t>بل هي مقوّمة للخلع</w:t>
      </w:r>
      <w:r>
        <w:rPr>
          <w:rFonts w:eastAsia="Amiri" w:cs="Amiri" w:ascii="Amiri" w:hAnsi="Amiri"/>
          <w:color w:val="111111"/>
          <w:sz w:val="28"/>
          <w:szCs w:val="28"/>
          <w:rtl w:val="true"/>
          <w:lang w:bidi="ar-SA"/>
        </w:rPr>
        <w:t xml:space="preserve">. </w:t>
      </w:r>
      <w:bookmarkStart w:id="646" w:name="pg9375_99930"/>
    </w:p>
    <w:p>
      <w:pPr>
        <w:pStyle w:val="BookText"/>
        <w:rPr/>
      </w:pPr>
      <w:bookmarkEnd w:id="646"/>
      <w:r>
        <w:rPr>
          <w:rFonts w:ascii="Amiri" w:hAnsi="Amiri" w:eastAsia="Amiri" w:cs="Amiri"/>
          <w:color w:val="111111"/>
          <w:sz w:val="28"/>
          <w:sz w:val="28"/>
          <w:szCs w:val="28"/>
          <w:rtl w:val="true"/>
          <w:lang w:bidi="ar-SA"/>
        </w:rPr>
        <w:t>بحيث يخاف من قولها أو فعلها أو غيرهما الخروج عن الطاعة والدخول في المعصية</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5416875_2870459653"/>
      <w:bookmarkStart w:id="648" w:name="_Toc230"/>
      <w:bookmarkEnd w:id="647"/>
      <w:r>
        <w:rPr>
          <w:rtl w:val="true"/>
        </w:rPr>
        <w:t>شرطيّة شدّة كراهة الزوجة وعدمها</w:t>
      </w:r>
      <w:bookmarkEnd w:id="6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أنّه يشترط في الخلع الكراهة من جانب الزوجة وحدّها لا منه، فلا يجوز أخذ العوض ولا منهما، فيكون مباراة، بل عليه الإجماع، مضافاً إلى النصوص المستفيضة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يقع الكلام في أنّه هل يعتبر فيه الكراهة أم يكفي فيه خوف عدم إقامة حدود الله والوقوع في الفتنة؟ وعلى الأوّل، فهل يعتبر فيه مطلق الكراهة أو الكراهة الشديدة، بحيث يخاف الخروج من طاعة الله تعالى وحدوده، وعلى الفرضين فهل يشترط فيه إسماع معاني الأقوال المذكورة في النصوص، مثل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أغتسل لك من جنابة، ولا أقيم لك حدّاً، ولاُوطئنّ فراشك من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أو يكفي تفهيمها قولاً أو عملاً، أو يكفي كون أفعالها وأقوالها، بحيث لها شأنيّة الخروج من الطاعة؟ احتمالات ووجوهٌ، وقد ادّعى ابن إدريس الإجماع على اشتراط الخلع بأن يسمع منها ما لا يحلّ ذكره، أو يعلم ذلك منها فعلاً، فإنّه قال ما هذا لفظه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كانت الحال بين الزوجين عامرة، والأخلاق ملتئمة، واتّفقا على الخلع، فبذلت له شيئاً على طلاقها، لم يحلّ له ذلك، وكانمحظوراً؛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لإجماع أصحابنا على أنّه لا يجوز له خلعها، إلّا بعد أن يسمع منها ما لا يحلّ ذكره،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أغتسل لك من جنابة، ولا أقيم لك حدّاً، ولاُوطئنّ فراشك من تكرهه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يعلم ذلك منها فعلاً، وهذا مفقود هاهنا، فيجب أن لا يجوز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8"/>
      </w:r>
      <w:r>
        <w:rPr>
          <w:rFonts w:ascii="Amiri" w:hAnsi="Amiri" w:eastAsia="Amiri" w:cs="Amiri"/>
          <w:color w:val="111111"/>
          <w:sz w:val="28"/>
          <w:sz w:val="28"/>
          <w:szCs w:val="28"/>
          <w:rtl w:val="true"/>
          <w:lang w:bidi="ar-SA"/>
        </w:rPr>
        <w:t>وهذا نصّ، فإنّه حرّم الأخذ منها إلّا عند الخوف من ترك إقامة الحدود</w:t>
      </w:r>
      <w:r>
        <w:rPr>
          <w:rFonts w:eastAsia="Amiri" w:cs="Amiri" w:ascii="Amiri" w:hAnsi="Amiri"/>
          <w:color w:val="111111"/>
          <w:sz w:val="28"/>
          <w:szCs w:val="28"/>
          <w:rtl w:val="true"/>
          <w:lang w:bidi="ar-SA"/>
        </w:rPr>
        <w:t>.</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هذا، ولكنّ الحقّ في صحّة الخلع هو تحقّق خوفه أو خوفها من خروج الطاعة وإن لم تتحقّق الكراهة من جانبها فضلاً عن الكراهة الموجبة للخروج وفضلاً عن اعتبار تلك الألفاظ، والدليل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يُقِيمَا حُدُودَ اللهِ فَإِنْ خِفْتُمْ أَلّا يُقِيمَا حُدُودَ اللهِ فَلَا جُنَاحَ عَلَيْهِمَا فِيمَا افْتَدَتْ بِهِ</w:t>
      </w:r>
      <w:r>
        <w:rPr>
          <w:rStyle w:val="FootnoteAnchor"/>
          <w:rtl w:val="true"/>
        </w:rPr>
        <w:footnoteReference w:id="1690"/>
      </w:r>
      <w:r>
        <w:rPr>
          <w:rFonts w:ascii="Amiri" w:hAnsi="Amiri" w:eastAsia="Amiri" w:cs="Amiri"/>
          <w:color w:val="111111"/>
          <w:sz w:val="28"/>
          <w:sz w:val="28"/>
          <w:szCs w:val="28"/>
          <w:rtl w:val="true"/>
          <w:lang w:bidi="ar-SA"/>
        </w:rPr>
        <w:t>والقول بأنّ الآية الشريفة إنّما تفيد جواز الافتداء من دون دلالة على أنّ الطلاق خلع وبائن حتّى يترتّب عليه أحكامه مدفوع بأنّ ما ورد في الخلع من السنة وفتاوى العلماء ناظر إلى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يتعرّض الروايات لخوف خروج الزوج عن الطاعة ولو إشارة؟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واردة مورد الغالب وافتداء الزوجة لخوف خروج الزوجعن الطاعة فرض نادر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أنّه لا موضوعيّة لتلك الألفاظ والجملات المذكورة في النصوص،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طريق لبيان أنّ المناط هو خوف خروجهما من طاعة الله والدخول في معصيته تعالى الناشئة عن هذا النكاح؛ سواء كانت في حقوق الزوجين أو في غيرها من سائر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ascii="IRNazanin" w:hAnsi="IRNazanin" w:eastAsia="IRNazanin"/>
          <w:color w:val="111111"/>
          <w:sz w:val="28"/>
          <w:sz w:val="28"/>
          <w:szCs w:val="28"/>
          <w:rtl w:val="true"/>
          <w:lang w:bidi="fa-IR"/>
        </w:rPr>
        <w:t>،</w:t>
      </w:r>
      <w:r>
        <w:rPr>
          <w:rStyle w:val="FootnoteAnchor"/>
          <w:rtl w:val="true"/>
        </w:rPr>
        <w:footnoteReference w:id="1691"/>
      </w:r>
      <w:r>
        <w:rPr>
          <w:rFonts w:ascii="Amiri" w:hAnsi="Amiri" w:eastAsia="Amiri" w:cs="Amiri"/>
          <w:color w:val="111111"/>
          <w:sz w:val="28"/>
          <w:sz w:val="28"/>
          <w:szCs w:val="28"/>
          <w:rtl w:val="true"/>
          <w:lang w:bidi="ar-SA"/>
        </w:rPr>
        <w:t xml:space="preserve">كترك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الخوف من عدم إقامتهما حدود الله تعالى يحلّ للزوج أخذ العوض ويصحّ الخلع ويقع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لاشتراط إظهارها الألفاظ الخاصّة، بأنّ الأصل عدم وقوع الخلع من دون تفهيم هذه الجملات، وبالنصوص التي قد 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خلعها حتّى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 لك قسماً، ولا أطيع لك أمراً، ولا أغتسل لك من جنابة، ولاُوطئنّ فراشك ولآذننّ عليك بغير إذنك، وقد كان الناس يرخّصون فيما دون هذا، فإذا قالت المرأة ذلك لزوجها حلّ له ما أخذ منها </w:t>
      </w:r>
      <w:r>
        <w:rPr>
          <w:rFonts w:eastAsia="IRNazanin" w:cs="IRNazanin"/>
          <w:color w:val="111111"/>
          <w:sz w:val="28"/>
          <w:szCs w:val="28"/>
          <w:rtl w:val="true"/>
          <w:lang w:bidi="fa-IR"/>
        </w:rPr>
        <w:t>... ».</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التي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اخلعني وأنا أعطيك ما أخذت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له أن يأخذ منها شيئاً حتّى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 لك قسماً، ولا أطيع لك أمراً، ولآذننّ في بيتك بغير إذنك، فإذا فعلت ذلك من غير أن يعلمهاحلّ له ما أخذ منها </w:t>
      </w:r>
      <w:r>
        <w:rPr>
          <w:rFonts w:eastAsia="IRNazanin" w:cs="IRNazanin"/>
          <w:color w:val="111111"/>
          <w:sz w:val="28"/>
          <w:szCs w:val="28"/>
          <w:rtl w:val="true"/>
          <w:lang w:bidi="fa-IR"/>
        </w:rPr>
        <w:t>...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خلافاً لروايتين أُخريين،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w:t>
      </w:r>
      <w:bookmarkStart w:id="649" w:name="pg9375_99933"/>
    </w:p>
    <w:p>
      <w:pPr>
        <w:pStyle w:val="BookText"/>
        <w:rPr/>
      </w:pPr>
      <w:bookmarkEnd w:id="6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بين أن تكون الكراهة المشترطة في الخلع ذاتيّة ناشئة من خصوصيّات الزوج، كقبح منظره وسوء خلقه وفقره وغير ذلك، وبين أن تكون ناشئة من بعض العوارض، مثل وجود الضرّة وعدم إيفاء الزوج بعض الحقوق الواجبة</w:t>
      </w:r>
      <w:r>
        <w:rPr>
          <w:rStyle w:val="FootnoteAnchor"/>
          <w:rtl w:val="true"/>
        </w:rPr>
        <w:footnoteReference w:id="1694"/>
      </w:r>
      <w:r>
        <w:rPr>
          <w:rFonts w:ascii="Amiri" w:hAnsi="Amiri" w:eastAsia="Amiri" w:cs="Amiri"/>
          <w:color w:val="111111"/>
          <w:sz w:val="28"/>
          <w:sz w:val="28"/>
          <w:szCs w:val="28"/>
          <w:rtl w:val="true"/>
          <w:lang w:bidi="ar-SA"/>
        </w:rPr>
        <w:t>أو المستحبّة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قالت المرأة لزوجها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أطيع لك أمراً، مفسّراً وغير مفسّر حلّ له ما أخذ منها وليس له عليها رجعة</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وثانيتهما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للرجل أن يأخد من المختلعة حتّى تتكلّم بهذا الكلام 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أطيع الله فيك، حلّ له أن يأخذ منها ما وجد</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کما أنّ اختلاف تلك الألفاظ نفسها شاهدة على عدم اشتراطها، والعمدة أنّها كلّها ناظرة إلى الآية</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ويكفي في صحّته خوف وقوع الزوج أو الزوجة في المعصية والخروج عن الطاعة من أيّ طريقٍ حصل، فلا يعتبر فيه الكراهة، فضلاً عن الكراهة الشديدة، وفضلاً عن اعتبار تلك الألفاظ</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5416877_2870459653"/>
      <w:bookmarkStart w:id="651" w:name="_Toc231"/>
      <w:bookmarkEnd w:id="650"/>
      <w:r>
        <w:rPr>
          <w:rtl w:val="true"/>
        </w:rPr>
        <w:t>عدم الفرق في الكراهة بين الذاتيّة وغيرها</w:t>
      </w:r>
      <w:bookmarkEnd w:id="65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قضاءً لإطلاق أدلّة الخلع من الكتاب والسنّة، خلافاً لماحكاه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w:t>
      </w:r>
      <w:r>
        <w:rPr>
          <w:rStyle w:val="FootnoteAnchor"/>
          <w:rtl w:val="true"/>
        </w:rPr>
        <w:footnoteReference w:id="1698"/>
      </w:r>
      <w:r>
        <w:rPr>
          <w:rFonts w:ascii="IRNazanin" w:hAnsi="IRNazanin" w:eastAsia="IRNazanin"/>
          <w:color w:val="111111"/>
          <w:sz w:val="28"/>
          <w:sz w:val="28"/>
          <w:szCs w:val="28"/>
          <w:rtl w:val="true"/>
          <w:lang w:bidi="fa-IR"/>
        </w:rPr>
        <w:t>عمّن عاصره من مشایخ بلاد البحرين من اعتبار الكراهة الذاتيّة، ولا فرق في الكراهة العرضيّة بين تركه الحقوق الواجبة أو المستحبّة ولا بين تركه لغرض إلجائها إلى بذل الفداء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إلجائها إلى بذل الفدية ومطالبة الخلع إكراه وهو يوجب بطلان الخلع والفدية، فلا يقع إلّا أصل الطلاق دون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الإكراه أمر عرفي لا يصدق في مثل ما نحن فيه؛ للفرق بين إكراه الغير على فعل وبين الإتيان بما يضطرّ به فيختاره، فإنّها مضطرّة إلى بذل الفداء لا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بل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تَعْضُلُوهُنَّ لِتَذْهَبُواْ بِبَعْضِ مَا آتَيْتُمُوهُنَّ إلّا أَن يَأْتِينَ بِفَاحِشَةٍ مُّبَيِّنَةٍ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9"/>
      </w:r>
      <w:r>
        <w:rPr>
          <w:rFonts w:ascii="Amiri" w:hAnsi="Amiri" w:eastAsia="Amiri" w:cs="Amiri"/>
          <w:color w:val="111111"/>
          <w:sz w:val="28"/>
          <w:sz w:val="28"/>
          <w:szCs w:val="28"/>
          <w:rtl w:val="true"/>
          <w:lang w:bidi="ar-SA"/>
        </w:rPr>
        <w:t>فإنّه يدلّ على صحّة الفدية مع الأعضال؛ لعدم إمكان النهي عنه مع بطلان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استدلّ به أبوحنيفة لدلالة النهي عن العبادات والمعاملات على الصحّة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 لابدّ أن يكون مقدوراً بعد النهي ليمكن موافقة النهي ومخالفته والنهي لو دلّ على بطلان العبادة أو المعاملة لما كان المكلّف قادراً على إتيان متعلّق النهي، لعدم تعلّق النهي بما يكون فاسداً منهما، إذ لا حرمة في الفاسد منهما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منهما غير مقدور لدلالة النهي على فساده والفاسد منهما غير متعلّق للنهى فلو اقتضى النهي الفساد يلزم أن يكون النهي سالباً لقدرةالمكلّف على مخالفته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النهي عن الأعضال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لِتَذْهَبُواْ بِبَعْضِ مَا آتَيْتُمُوهُنَّ</w:t>
      </w:r>
      <w:r>
        <w:rPr>
          <w:rFonts w:ascii="IRNazanin" w:hAnsi="IRNazanin" w:eastAsia="IRNazanin"/>
          <w:color w:val="111111"/>
          <w:sz w:val="28"/>
          <w:sz w:val="28"/>
          <w:szCs w:val="28"/>
          <w:rtl w:val="true"/>
          <w:lang w:bidi="fa-IR"/>
        </w:rPr>
        <w:t xml:space="preserve"> يدلّ على صحّة البذل وصيرورته ملكاً للزوج وإلّا يلزم أن يكون النهي موجباً لرفع القدرة على متعلّقه مع أنّه لو تعلّق مراده تعالى ببيان فساد البذل فكان الأُولی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تعضلوهنّ، فإنّه أكل مال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مع ذلك كلّه أنّه إن اضطرت الزوجة إلى البذل لعدم قيام الزوج بأداء حقوقها الواجبة وجعلها كالمعلّقة فيمكن التفصيل بين ما يمكن لها الرفع إلى الحاكم ومع ذلك تبذل الفدية فيجوز له؛ لأنّ الفدية بيدها وبذلها باختيارها لعدم انحصار الطريق في البذل وبين ما لا يمكن لها الرفع إلى الحاكم فلا يجوز لاضطرارها في البذل لانحصار الطريق فيه ولا يحلّ أكل ما بذل اضطراراً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تَعْضُلُوهُنَّ لِتَذْهَبُواْ بِبَعْضِ مَا آتَيْتُمُوهُنَّ</w:t>
      </w:r>
      <w:r>
        <w:rPr>
          <w:rStyle w:val="FootnoteAnchor"/>
          <w:rtl w:val="true"/>
        </w:rPr>
        <w:footnoteReference w:id="1700"/>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أن تعضلوهنّ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معطوفاً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تَرِثُواْ النِّسَاء كَرْهاً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الفدية بسبب الأعضال حرام مطلقاً ولو مع التمكّن من الرجوع إلى الحاكم وعدم جوازه إلّا عن طيب النفس؛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النَّسَاء صَدُقَاتِهِنَّ نِحْلَةً فَإِن طِبْنَ لَكُمْ عَن شَيْءٍ مِّنْهُ نَفْساً فَكُلُوهُ هَنِيئاً مَّرِيئاً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1"/>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إلى الهبة غير المعوضة فلا ترتبط بباب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الإباحة بمراتبها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أصلالإباحة فلا يعتبر فيه إلّا الرضا</w:t>
      </w:r>
      <w:r>
        <w:rPr>
          <w:rFonts w:eastAsia="Amiri" w:cs="Amiri" w:ascii="Amiri" w:hAnsi="Amiri"/>
          <w:color w:val="111111"/>
          <w:sz w:val="28"/>
          <w:szCs w:val="28"/>
          <w:rtl w:val="true"/>
          <w:lang w:bidi="ar-SA"/>
        </w:rPr>
        <w:t xml:space="preserve">. </w:t>
      </w:r>
      <w:bookmarkStart w:id="652" w:name="pg9375_99936"/>
    </w:p>
    <w:p>
      <w:pPr>
        <w:pStyle w:val="BookText"/>
        <w:rPr/>
      </w:pPr>
      <w:bookmarkEnd w:id="652"/>
      <w:r>
        <w:rPr>
          <w:rFonts w:ascii="Amiri" w:hAnsi="Amiri" w:eastAsia="Amiri" w:cs="Amiri"/>
          <w:color w:val="111111"/>
          <w:sz w:val="28"/>
          <w:sz w:val="28"/>
          <w:szCs w:val="28"/>
          <w:rtl w:val="true"/>
          <w:lang w:bidi="ar-SA"/>
        </w:rPr>
        <w:t xml:space="preserve">نعم، إن كانت الكراهة وطلب المفارقة من جهة إيذاء الزوج لها بالسبّ والشتم والضرب ونحوها، فتريد تخليص نفسها منها فبذلت شيئاً ليطلّقها فطلّقها لم يتحقّق الخلع، وحرم عليه ما أخذه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الطلاق صحّ رجعيّاً بالشرط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بعوض مع عدم الكراهة وكون الأخلاق ملتئمة لم يصحّ</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مع الهنائة والمرائة يعتبر فيه طيب النفس، وأمّا أصل الأكل فيكفي فيه مطلق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مع بطلان الفداء يصير رجعيّاً فما تفعل المرأة إن رجع زوجها في العدّة، مع أنّ غرضها قد تعلّق بالطلاق البائن حتّى لا يتمكّن الزوج من الرجوع فيها؟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أمرها إلى الحاكم فيطلّقها بائناً من باب الولاية على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يطلّقها بائناً من دون أن يكون خلعاً مع اجتماع شرائط الرجعي؟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حقّ لا حكم فيصالحه الحاكم بعوض ولايته</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5416879_2870459653"/>
      <w:bookmarkStart w:id="654" w:name="_Toc232"/>
      <w:bookmarkEnd w:id="653"/>
      <w:r>
        <w:rPr>
          <w:rtl w:val="true"/>
        </w:rPr>
        <w:t>عدم تحقّق الخلع لوكانت الكراهة ناشئة من إيذاء الزوج</w:t>
      </w:r>
      <w:bookmarkEnd w:id="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ظهر ممّا مرّ</w:t>
      </w:r>
      <w:r>
        <w:rPr>
          <w:rStyle w:val="FootnoteAnchor"/>
          <w:rtl w:val="true"/>
        </w:rPr>
        <w:footnoteReference w:id="1702"/>
      </w:r>
      <w:r>
        <w:rPr>
          <w:rFonts w:ascii="Amiri" w:hAnsi="Amiri" w:eastAsia="Amiri" w:cs="Amiri"/>
          <w:color w:val="111111"/>
          <w:sz w:val="28"/>
          <w:sz w:val="28"/>
          <w:szCs w:val="28"/>
          <w:rtl w:val="true"/>
          <w:lang w:bidi="ar-SA"/>
        </w:rPr>
        <w:t>إنّما لا يتحقّق الخلع إذا أتى بهذه الأُمور لغرض أن تخلع نفسها دون ما إذا لم يكن بهذا الغرض فما في المتن منالإطلاق غير تامّ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تقدّم</w:t>
      </w:r>
      <w:r>
        <w:rPr>
          <w:rFonts w:eastAsia="Amiri" w:cs="Amiri" w:ascii="Amiri" w:hAnsi="Amiri"/>
          <w:color w:val="111111"/>
          <w:sz w:val="28"/>
          <w:szCs w:val="28"/>
          <w:rtl w:val="true"/>
          <w:lang w:bidi="ar-SA"/>
        </w:rPr>
        <w:t xml:space="preserve">. </w:t>
      </w:r>
      <w:bookmarkStart w:id="655" w:name="pg9375_99937"/>
    </w:p>
    <w:p>
      <w:pPr>
        <w:pStyle w:val="BookText"/>
        <w:rPr/>
      </w:pPr>
      <w:bookmarkEnd w:id="655"/>
      <w:r>
        <w:rPr>
          <w:rFonts w:ascii="Amiri" w:hAnsi="Amiri" w:eastAsia="Amiri" w:cs="Amiri"/>
          <w:color w:val="111111"/>
          <w:sz w:val="28"/>
          <w:sz w:val="28"/>
          <w:szCs w:val="28"/>
          <w:rtl w:val="true"/>
          <w:lang w:bidi="ar-SA"/>
        </w:rPr>
        <w:t>الخلع ولم يملك</w:t>
      </w:r>
      <w:r>
        <w:rPr>
          <w:rStyle w:val="FootnoteAnchor"/>
          <w:rtl w:val="true"/>
        </w:rPr>
        <w:footnoteReference w:id="1703"/>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 الطلاق بالشرط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مورده الرجعي كان رجعيّاً وإلّا بائناً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5416881_2870459653"/>
      <w:bookmarkStart w:id="657" w:name="_Toc233"/>
      <w:bookmarkEnd w:id="656"/>
      <w:r>
        <w:rPr>
          <w:rtl w:val="true"/>
        </w:rPr>
        <w:t>عدم صحّة الخلع مع عدم الكراهة</w:t>
      </w:r>
      <w:bookmarkEnd w:id="6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ويدلّ عليه الروايات المستفيضة، إن لم تكن متواترة، ولكن في النفس بالنسبة إليه شيء وهو أنّ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 تدلّ على صحّة الخلع عند الخوف من عدم إقامتهما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حدود الله أعمّ ممّا يرتبط بحقوق الزوجين فيشمل كلّ الواجبات والمحرّمات، فلو خافت من ترك واجب أو فعل حرام بسبب هذا النكاح على الزوج، أو على نفسها مع كون الأخلاق ملتئمة يمكن القول بأنّ مقتضى الكتاب هو أنّه يصحّ الخلع ويملك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المسألة</w:t>
      </w:r>
      <w:r>
        <w:rPr>
          <w:rStyle w:val="FootnoteAnchor"/>
          <w:rtl w:val="true"/>
        </w:rPr>
        <w:footnoteReference w:id="1704"/>
      </w:r>
      <w:r>
        <w:rPr>
          <w:rFonts w:ascii="Amiri" w:hAnsi="Amiri" w:eastAsia="Amiri" w:cs="Amiri"/>
          <w:color w:val="111111"/>
          <w:sz w:val="28"/>
          <w:sz w:val="28"/>
          <w:szCs w:val="28"/>
          <w:rtl w:val="true"/>
          <w:lang w:bidi="ar-SA"/>
        </w:rPr>
        <w:t>كلام مبسوط يأتي في آخر الخلع، فانتظر</w:t>
      </w:r>
      <w:r>
        <w:rPr>
          <w:rFonts w:eastAsia="Amiri" w:cs="Amiri" w:ascii="Amiri" w:hAnsi="Amiri"/>
          <w:color w:val="111111"/>
          <w:sz w:val="28"/>
          <w:szCs w:val="28"/>
          <w:rtl w:val="true"/>
          <w:lang w:bidi="ar-SA"/>
        </w:rPr>
        <w:t>.</w:t>
      </w:r>
      <w:r>
        <w:rPr>
          <w:rStyle w:val="FootnoteAnchor"/>
          <w:rtl w:val="true"/>
        </w:rPr>
        <w:footnoteReference w:id="1705"/>
      </w:r>
      <w:bookmarkStart w:id="658" w:name="pg9375_99938"/>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الخلع بائن لا يقع فيه الرجوع،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ترجع المرأة فيما بذلت، ولها الرجوع فيه ما دامت في العدّة، فإذا رجعت كان له الرجوع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5416883_2870459653"/>
      <w:bookmarkStart w:id="660" w:name="_Toc234"/>
      <w:bookmarkEnd w:id="659"/>
      <w:r>
        <w:rPr>
          <w:rtl w:val="true"/>
        </w:rPr>
        <w:t>طلاق الخلع بائن لا رجوع فيه ما لم ترجع الزوجة</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للأصل والإجماع والسنّة، وكذا الكتاب؛ لأنّ الافتداء هو للتخلّص فثبوت حقّ الرجوع له ينافي الافتداء، كما في الخلاف</w:t>
      </w:r>
      <w:r>
        <w:rPr>
          <w:rStyle w:val="FootnoteAnchor"/>
          <w:rtl w:val="true"/>
        </w:rPr>
        <w:footnoteReference w:id="1706"/>
      </w:r>
      <w:r>
        <w:rPr>
          <w:rFonts w:ascii="Amiri" w:hAnsi="Amiri" w:eastAsia="Amiri" w:cs="Amiri"/>
          <w:color w:val="111111"/>
          <w:sz w:val="28"/>
          <w:sz w:val="28"/>
          <w:szCs w:val="28"/>
          <w:rtl w:val="true"/>
          <w:lang w:bidi="ar-SA"/>
        </w:rPr>
        <w:t>وكشف اللثام،</w:t>
      </w:r>
      <w:r>
        <w:rPr>
          <w:rStyle w:val="FootnoteAnchor"/>
          <w:rtl w:val="true"/>
        </w:rPr>
        <w:footnoteReference w:id="1707"/>
      </w:r>
      <w:r>
        <w:rPr>
          <w:rFonts w:ascii="Amiri" w:hAnsi="Amiri" w:eastAsia="Amiri" w:cs="Amiri"/>
          <w:color w:val="111111"/>
          <w:sz w:val="28"/>
          <w:sz w:val="28"/>
          <w:szCs w:val="28"/>
          <w:rtl w:val="true"/>
          <w:lang w:bidi="ar-SA"/>
        </w:rPr>
        <w:t>مضافاً إلى أنّ مقتضى الأصل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الرجوع غير تامّ لعدم الحالة السابقة له؛ لأنّ الشكّ إنّما يكون في أنّ الخلع هل وجد مع حقّ الرجوع أم وجد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وإن لم يجر في عدم الرجوع لما ذكر، لكنّه يجري في لوازم الطلاق وآثاره واحكامه من حرمة النظر واللمس والوطء وعدم وجوب النفقة وغيرها من الآثار فإنّها حرمت بالطلاق ومع رجوع الزوج يقع الشكّ في بقاء الحرمة وعدمه والأصل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استصحاب اللزوم، فإنّ العقد إمّا وجد لازماً وإمّا جائزاً، فلا يكون للزوم حالة سابقة، فلا يجرى فيه الاستصحاب، ولكن يجري في أحكام العقد وآثاره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الرجوع إليها فيما رجعت في الفدية الإجماع والأخبار، بل القاعدة وهي أنّ فساد البذل لا يوجب فساد أصل الطلاق؛ لأنّ البذل ليس من أركان الطلاق، بل باعث له، فهي بضميمة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طلاق رجعي إلّا </w:t>
      </w:r>
      <w:bookmarkStart w:id="661" w:name="pg9375_99939"/>
    </w:p>
    <w:p>
      <w:pPr>
        <w:pStyle w:val="BookText"/>
        <w:rPr/>
      </w:pPr>
      <w:bookmarkEnd w:id="6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اشتراط جواز رجوعها في المبذول بإمكان رجوعه بعد رجوعها، فلو لم يمكن كالمطلقة ثلاثاً وكما إذا كانت ممّن ليست لها عدّة كاليائسة وغير المدخول بها لم يكن لها الرجوع في البذل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w:t>
      </w:r>
      <w:r>
        <w:rPr>
          <w:rStyle w:val="FootnoteAnchor"/>
          <w:rtl w:val="true"/>
        </w:rPr>
        <w:footnoteReference w:id="1708"/>
      </w:r>
      <w:r>
        <w:rPr>
          <w:rFonts w:ascii="Amiri" w:hAnsi="Amiri" w:eastAsia="Amiri" w:cs="Amiri"/>
          <w:color w:val="111111"/>
          <w:sz w:val="28"/>
          <w:sz w:val="28"/>
          <w:szCs w:val="28"/>
          <w:rtl w:val="true"/>
          <w:lang w:bidi="ar-SA"/>
        </w:rPr>
        <w:t>يفيد صحّته رجعيّاً</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5416885_2870459653"/>
      <w:bookmarkStart w:id="663" w:name="_Toc235"/>
      <w:bookmarkEnd w:id="662"/>
      <w:r>
        <w:rPr>
          <w:rtl w:val="true"/>
        </w:rPr>
        <w:t>في اشتراط جواز رجوعها بإمكان رجوعه</w:t>
      </w:r>
      <w:bookmarkEnd w:id="663"/>
    </w:p>
    <w:p>
      <w:pPr>
        <w:pStyle w:val="Heading4"/>
        <w:numPr>
          <w:ilvl w:val="3"/>
          <w:numId w:val="1"/>
        </w:numPr>
        <w:rPr/>
      </w:pPr>
      <w:bookmarkStart w:id="664" w:name="__RefHeading___Toc5416887_2870459653"/>
      <w:bookmarkStart w:id="665" w:name="_Toc236"/>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المسألة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رجوعها في البذل مطلقاً وهو الظاهر ممّن أطلق جواز الرجوع أو أطلق جواز الرجوع في العدّة مثل المحقّق في الشرائع</w:t>
      </w:r>
      <w:r>
        <w:rPr>
          <w:rFonts w:eastAsia="Amiri" w:cs="Amiri" w:ascii="Amiri" w:hAnsi="Amiri"/>
          <w:color w:val="111111"/>
          <w:sz w:val="28"/>
          <w:szCs w:val="28"/>
          <w:rtl w:val="true"/>
          <w:lang w:bidi="ar-SA"/>
        </w:rPr>
        <w:t>.</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اشتراطه بإمكان رجوعه في النكاح كما هو المحكيّ من غير واحد من الأصحاب بل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مضافاً إلى أصالة عدم جواز رجوعها إلّا مع إمكان رجوعه في البضع ومضافاً إلى أنّه شبه معاوضة فجواز رجوعها من دون إمكان رجوعه يستلزم وقوع المبذول بلا عوض، ومضافاً إلى قاعدة نفي الضرر فإنّ ذهاب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عود فائدة إليه ضرر عليه، أنّ المستفاد من النصوص ليس أكثر من ذلك، فإنّه القدر المتيقّن منها،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منهاهو الملازمة بين جواز رجوعها وإمكان رجوعه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ذلك صحيحة محمّد بن إسماعيل بن بزيع،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الخلع،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شاءت أن يردّ إليها ما أخذ منها وتكون امرأته فعلت</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العبّاس البقباق،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إن رجعت في شيء من الصلح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لأرجعنّ في بضعك</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وينبغي له أن يشترط عليها كما اشترط صاحب المباراة، وإن ارتجعت في شيء ممّا أعطيتني فأنا أملك ببضعك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خلع ولا مباراة ولا تخيير إلّا على طهر من غير جماع بشهادة شاهدين عدلين، والمختلعة إذا تزوّجت زوجاً آخر ثمّ طلّقها يحلّ للأوّل أن يتزوّجها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رجعة للزوج على المختلعة ولا على المباراة إلّا أن يبدو للمرأة فيردّ عليها ما أخذ منها</w:t>
      </w:r>
      <w:r>
        <w:rPr>
          <w:rFonts w:eastAsia="IRNazanin" w:cs="IRNazanin"/>
          <w:color w:val="111111"/>
          <w:sz w:val="28"/>
          <w:szCs w:val="28"/>
          <w:rtl w:val="true"/>
          <w:lang w:bidi="fa-IR"/>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فإنّ موارد هذه النصوص هو ما يمكن له الرجوع،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صحيحة ابن بزيع وموثّقة أبي العبّاس الملازمة بينهما، قضاء للشرطيّة؛ إذ الجملة الشرطيّة فيهما تقتضي الملازمة بين الشرط والجزاء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فإنّ الملازمة في صحيحة ابن بزيع إنّما وقع بين مشية المختلعة أن يرد ما أخذ منها وبين مشيتهاً أن تكون امرأته وكذا في موثّقة أبي العبّاس البقباق وقعت الملازمة بين قولها بالرجوع في شيء من الصلح وقوله بالرجوع في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فالأولی ما قلناه من أنّالقدر المتيقّن من الروايات هو جواز رجوعها فيما يمكن للزوج في البضع ولا يستفاد منها جواز رجوعها مطلقاً حتّى مع عدم إمكان رجوعه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قول المشهور، كما أفاده صاحب الجواهر،</w:t>
      </w:r>
      <w:r>
        <w:rPr>
          <w:rStyle w:val="FootnoteAnchor"/>
          <w:rtl w:val="true"/>
        </w:rPr>
        <w:footnoteReference w:id="1713"/>
      </w:r>
      <w:r>
        <w:rPr>
          <w:rFonts w:ascii="Amiri" w:hAnsi="Amiri" w:eastAsia="Amiri" w:cs="Amiri"/>
          <w:color w:val="111111"/>
          <w:sz w:val="28"/>
          <w:sz w:val="28"/>
          <w:szCs w:val="28"/>
          <w:rtl w:val="true"/>
          <w:lang w:bidi="ar-SA"/>
        </w:rPr>
        <w:t xml:space="preserve">هو أنّ اتّفاق الأصحاب </w:t>
      </w:r>
    </w:p>
    <w:p>
      <w:pPr>
        <w:pStyle w:val="BookText"/>
        <w:rPr/>
      </w:pPr>
      <w:r>
        <w:rPr>
          <w:rFonts w:ascii="Amiri" w:hAnsi="Amiri" w:eastAsia="Amiri" w:cs="Amiri"/>
          <w:color w:val="111111"/>
          <w:sz w:val="28"/>
          <w:sz w:val="28"/>
          <w:szCs w:val="28"/>
          <w:rtl w:val="true"/>
          <w:lang w:bidi="ar-SA"/>
        </w:rPr>
        <w:t>بل لا يبعد عدم صحّة رجوعها فيه مع فرض عدم علمه بذلك إلى انقضاء محلّ رجوعه فلو رجعت عند نفسها ولم يطلع عليه الزوج حتّى انقضت العدّة فلا أثر</w:t>
      </w:r>
    </w:p>
    <w:p>
      <w:pPr>
        <w:pStyle w:val="BookText"/>
        <w:rPr/>
      </w:pPr>
      <w:r>
        <w:rPr>
          <w:rFonts w:ascii="IRNazanin" w:hAnsi="IRNazanin" w:eastAsia="IRNazanin"/>
          <w:color w:val="111111"/>
          <w:sz w:val="28"/>
          <w:sz w:val="28"/>
          <w:szCs w:val="28"/>
          <w:rtl w:val="true"/>
          <w:lang w:bidi="fa-IR"/>
        </w:rPr>
        <w:t>لرجوعها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تقييد جواز رجوعها بالبذل بما إذا كان في العدّة مع خلو النصوص عنه لعلّه مبنىّ على التلازم المزبور، للعلم بعدم جواز الرجوع له بعدها، لصيرورة المرأة أجنبيّة كالصغيرة واليائسة اللّتين لا عدّة لهما اللّتين قد استفاضت النصوص بكون طلاقها حيث يقع بائناً، فتقيد جواز رجوعها بالعدّة مقدمة لجواز رجوعه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الأصحاب جواز الرجوع بالعدّة لعلّه كان بلحاظ المطلّقة ثلاثاً واليائسة والصغيرة حيث لا يجوز لهن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القول المشهور وغيره في المطلقة ثلاثاً؛ لعدم تمكّن الزوج من الرجوع في البضع فلا يجوز لها الرجوع على المشهور المختار ويجوز على القول غير المشهور حيث لم يشترطوا بإمكان رجوعه، وأمّا في اليائسة والصغيرة فلا يجوز لهما الرجوع في البذل على كلا المبنيين للإجماع على أنّ رجوع المرأة في العدّة جائز فإنّ الإجماع قد قيّد بكون المرأة في العدّة، واليائسة والصغيرة لا عدّة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ما في جعل عدم جواز الرجوع لليائسة والصغيرة ثمرة للنزاع من المسامحة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العلّامة في القواعد</w:t>
      </w:r>
      <w:r>
        <w:rPr>
          <w:rStyle w:val="FootnoteAnchor"/>
          <w:rtl w:val="true"/>
        </w:rPr>
        <w:footnoteReference w:id="171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xml:space="preserve">والحقّ اشتراطه بعلمه بالرجوع؛ لأنّ الثابت من الأدلّة المزبورة رجوعها في حال العلم بذلك، فإنّ </w:t>
      </w:r>
      <w:bookmarkStart w:id="666" w:name="pg9375_99942"/>
    </w:p>
    <w:p>
      <w:pPr>
        <w:pStyle w:val="BookText"/>
        <w:rPr/>
      </w:pPr>
      <w:bookmarkEnd w:id="66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عبدالله بن سنان وموثّق أبي العبّاس البقباق ظاهران، بل نصّان في اختصاص جواز الرجوع بعلمه ولا يشملان صورة الجهل؛ لأنّ قول الزوج بالرجوع إلى البضع لا يكون الأبعد علمه برجوعها إلى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بزيع الذي قد اعتبر في شرطه كونها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شاءت أن يرد إليها ما أخذ منها وتكون امرأته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يستقيم أيضاً إلّا مع علم الزوج بالرجوع، لأنّ كونها امرأته بمعنى كونها امرأته الرجعيّة فهو مجاز لم يرد منه معناه الحقيقي للإجماع على عدم كونها زوجة له الأبعد رجوعه إليها ولا يكون الرجوع منه إلّا بعد علمه بالموضوع؛ قال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فأقرب مجازاته حال علمه الذي يكون فيه حينئذٍ أحقّ ببضعها</w:t>
      </w:r>
      <w:r>
        <w:rPr>
          <w:rFonts w:eastAsia="Amiri" w:cs="Amiri" w:ascii="Amiri" w:hAnsi="Amiri"/>
          <w:color w:val="111111"/>
          <w:sz w:val="28"/>
          <w:szCs w:val="28"/>
          <w:rtl w:val="true"/>
          <w:lang w:bidi="ar-SA"/>
        </w:rPr>
        <w:t>.</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وله وجه والأوجه ما قلناه من التلازم بين كونها امرأته وبين علمه برجوعها في البذل للإجماع المزبور فيختصّ بصورة العلم</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5416889_2870459653"/>
      <w:bookmarkStart w:id="668" w:name="_Toc237"/>
      <w:bookmarkEnd w:id="667"/>
      <w:r>
        <w:rPr>
          <w:rtl w:val="true"/>
        </w:rPr>
        <w:t>فرعٌ</w:t>
      </w:r>
      <w:r>
        <w:rPr>
          <w:rtl w:val="true"/>
        </w:rPr>
        <w:t xml:space="preserve">: </w:t>
      </w:r>
      <w:r>
        <w:rPr>
          <w:rtl w:val="true"/>
        </w:rPr>
        <w:t>أنّ المختلعة بعد الرجوع في البذل هي رجعيّة في جميع الآثار أم لا؟</w:t>
      </w:r>
      <w:bookmarkEnd w:id="668"/>
    </w:p>
    <w:p>
      <w:pPr>
        <w:pStyle w:val="BookText"/>
        <w:rPr/>
      </w:pPr>
      <w:r>
        <w:rPr>
          <w:rFonts w:ascii="Amiri" w:hAnsi="Amiri" w:eastAsia="Amiri" w:cs="Amiri"/>
          <w:color w:val="111111"/>
          <w:sz w:val="28"/>
          <w:sz w:val="28"/>
          <w:szCs w:val="28"/>
          <w:rtl w:val="true"/>
          <w:lang w:bidi="ar-SA"/>
        </w:rPr>
        <w:t>هل المختلعة بعد الرجوع في البذل هي رجعيّة في جميع الآثار أو في خصوص جواز الرجوع لا غيره؟ فيه وجهان؛ من أنّها رجعيّة فيترتّب عليه الآثار ويؤمئ إليه ما في موثّقة أبي العبّاس وصحيحة عبدالله بن سنان، ومن أنّها قبل رجوعها كانت بائنة، فعند الرجوع يشكّ في ترتّبجميع الآثار والأصل عدمه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أنّها رجعيّة في جميع الآثار وذلك لصحيحة ابن بزيع؛ حيث إنّ المراد من كونها امرأة له هو معناها المجازي وأقرب المجازات كونها رجعيّة له من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الجهات، فإنّها نزلت منزلة الزوجة على نحو العموم، وعموم التنزيل يقتضي ترتّب جميع آثار الرجعيّة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ذلك وحدة السياق بين هذه الصحيحة وبين ما ورد في أنّ المطلقة الرجعيّة امرأة له وحينئذٍ لا يجوز له نكاح الأُختها ولا الخامسة بعد رجوعها في البذل، وأمّا قبله فلا إشكال في الجواز لانقطاع العصمة بينهما ولأنّها بائنة وهو خاطب من الخطاب، ولصحيحة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 يحلّ له أن يخطب أُختها من قبل أن تنقضي عدّة المختلعة؟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قد برئت عصمتها منه وليس له عليها رجعة</w:t>
      </w:r>
      <w:r>
        <w:rPr>
          <w:rFonts w:eastAsia="IRNazanin" w:cs="IRNazanin"/>
          <w:color w:val="111111"/>
          <w:sz w:val="28"/>
          <w:szCs w:val="28"/>
          <w:rtl w:val="true"/>
          <w:lang w:bidi="fa-IR"/>
        </w:rPr>
        <w:t>».</w:t>
      </w:r>
      <w:r>
        <w:rPr>
          <w:rStyle w:val="FootnoteAnchor"/>
          <w:rtl w:val="true"/>
        </w:rPr>
        <w:footnoteReference w:id="1717"/>
      </w:r>
      <w:r>
        <w:rPr>
          <w:rFonts w:ascii="Amiri" w:hAnsi="Amiri" w:eastAsia="Amiri" w:cs="Amiri"/>
          <w:color w:val="111111"/>
          <w:sz w:val="28"/>
          <w:sz w:val="28"/>
          <w:szCs w:val="28"/>
          <w:rtl w:val="true"/>
          <w:lang w:bidi="ar-SA"/>
        </w:rPr>
        <w:t>وكذا لعدم صدق الجمع بين الأُختين، وعدم صدق نكاح الخامسة وغير ذلك كما في الجواهر</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النكاح، فإنّها أيضاً يقتضي صحّة هذا النكاح، وأمّا بعد تزويجه بالأُخت أو الخامسة فلا يجوزلها الرجوع؛ لعدم إمكان رجوعه في البضع وقد مرّ</w:t>
      </w:r>
      <w:r>
        <w:rPr>
          <w:rStyle w:val="FootnoteAnchor"/>
          <w:rtl w:val="true"/>
        </w:rPr>
        <w:footnoteReference w:id="1719"/>
      </w:r>
      <w:r>
        <w:rPr>
          <w:rFonts w:ascii="IRNazanin" w:hAnsi="IRNazanin" w:eastAsia="IRNazanin"/>
          <w:color w:val="111111"/>
          <w:sz w:val="28"/>
          <w:sz w:val="28"/>
          <w:szCs w:val="28"/>
          <w:rtl w:val="true"/>
          <w:lang w:bidi="fa-IR"/>
        </w:rPr>
        <w:t>اشتراطه به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يتمكن منه أيضاً ولو بتطليق الأُخت أو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بائناً كما لو كانت صغيرة أو يائسة أو غير مدخول بها أو كان الطلاق خلعاً،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له الرجوع في البضع حال رجوعها في البذل وإمكان تمكّنه فيما بعد لا يكون مصححاً له</w:t>
      </w:r>
      <w:r>
        <w:rPr>
          <w:rFonts w:eastAsia="Amiri" w:cs="Amiri" w:ascii="Amiri" w:hAnsi="Amiri"/>
          <w:color w:val="111111"/>
          <w:sz w:val="28"/>
          <w:szCs w:val="28"/>
          <w:rtl w:val="true"/>
          <w:lang w:bidi="ar-SA"/>
        </w:rPr>
        <w:t xml:space="preserve">. </w:t>
      </w:r>
      <w:bookmarkStart w:id="669" w:name="pg9375_99944"/>
    </w:p>
    <w:p>
      <w:pPr>
        <w:pStyle w:val="BookText"/>
        <w:rPr/>
      </w:pPr>
      <w:bookmarkEnd w:id="66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5416891_2870459653"/>
      <w:bookmarkStart w:id="671" w:name="_Toc238"/>
      <w:bookmarkEnd w:id="670"/>
      <w:r>
        <w:rPr>
          <w:rtl w:val="true"/>
        </w:rPr>
        <w:t>فرعٌ</w:t>
      </w:r>
      <w:r>
        <w:rPr>
          <w:rtl w:val="true"/>
        </w:rPr>
        <w:t xml:space="preserve">: </w:t>
      </w:r>
      <w:r>
        <w:rPr>
          <w:rtl w:val="true"/>
        </w:rPr>
        <w:t>في حكم الخلع لوقالت إنّها تأتي بالأجنبي إلى الفراش</w:t>
      </w:r>
      <w:bookmarkEnd w:id="671"/>
    </w:p>
    <w:p>
      <w:pPr>
        <w:pStyle w:val="BookText"/>
        <w:rPr/>
      </w:pPr>
      <w:r>
        <w:rPr>
          <w:rFonts w:ascii="Amiri" w:hAnsi="Amiri" w:eastAsia="Amiri" w:cs="Amiri"/>
          <w:color w:val="111111"/>
          <w:sz w:val="28"/>
          <w:sz w:val="28"/>
          <w:szCs w:val="28"/>
          <w:rtl w:val="true"/>
          <w:lang w:bidi="ar-SA"/>
        </w:rPr>
        <w:t>لو قالت له أنّها تأتي بأجنبيّ إلى الفراش، فذهب بعض الأصحاب على ما نسب إليهم، إلى وجوب الخلع وبعضهم إلى استحبابه، والحقّ أنّه مباح كما ذهب إليه صاحب الجواهر، واستدلّ للأوّل بأنّ ذلك منكر منها والنهي عن المنكر واجب وإنّما يتم بالخلع وأجاب عنه في المسالك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انحصار النهي في الخلع بل تأدّيه بالطلاق المجرّد عن البذل أقرب إليه وأنسب بمقام الغيرة والنخوة من مراجعتها على بذل المال الحقير ويمكن أيضاً تأدّيه بالضرب وغيره ممّا يدفع به المنكر</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والحقّ أنّه ليس من هذا الباب أيضاً بل لا يجب عليه الطلاق أيضاً من باب النهي عن المنكر وذلك كما أفاده صاحب الجواهر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يتحقّق المنكر بعدُ، لمنع كون القول نفسه من دون تعقّبة بفعل منها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يجب رفع اليد عن الحقّ لدفع عصيان الغير وإلّا لوجب عليه تحرير العبد المصرّ على ترك طاعة سيّده أو هبة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مؤثّرة في ترك المنكر ومن المعلوم عدم وجوب رفع اليد عن المال أو الحقّ مقدّمة لخلاص الغير عن الحرام القادر على تركه بدون ذلك</w:t>
      </w:r>
      <w:r>
        <w:rPr>
          <w:rFonts w:eastAsia="Amiri" w:cs="Amiri" w:ascii="Amiri" w:hAnsi="Amiri"/>
          <w:color w:val="111111"/>
          <w:sz w:val="28"/>
          <w:szCs w:val="28"/>
          <w:rtl w:val="true"/>
          <w:lang w:bidi="ar-SA"/>
        </w:rPr>
        <w:t>.</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صاحب الجواهر ثانياً في غاية المتانة والجودة ولكن يمكن المناقشة فيما أفاده أوّلاً؛ لأنّ دفع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كرفعه واجب، بل حقيقة النهي </w:t>
      </w:r>
      <w:bookmarkStart w:id="672" w:name="pg9375_99945"/>
    </w:p>
    <w:p>
      <w:pPr>
        <w:pStyle w:val="BookText"/>
        <w:rPr/>
      </w:pPr>
      <w:bookmarkEnd w:id="6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المنكر لا يتحقّق في رفعه فإنّ ما ارتكبه فقد مضى وانعدم ولا يؤثّر النهي اللاحق فيه</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5416893_2870459653"/>
      <w:bookmarkStart w:id="674" w:name="_Toc239"/>
      <w:bookmarkEnd w:id="673"/>
      <w:r>
        <w:rPr>
          <w:rtl w:val="true"/>
        </w:rPr>
        <w:t>فرعٌ</w:t>
      </w:r>
      <w:r>
        <w:rPr>
          <w:rtl w:val="true"/>
        </w:rPr>
        <w:t xml:space="preserve">: </w:t>
      </w:r>
      <w:r>
        <w:rPr>
          <w:rtl w:val="true"/>
        </w:rPr>
        <w:t>في جواز الرجوع في بعض البذل وعدمه</w:t>
      </w:r>
      <w:bookmarkEnd w:id="674"/>
    </w:p>
    <w:p>
      <w:pPr>
        <w:pStyle w:val="BookText"/>
        <w:rPr/>
      </w:pPr>
      <w:r>
        <w:rPr>
          <w:rFonts w:ascii="Amiri" w:hAnsi="Amiri" w:eastAsia="Amiri" w:cs="Amiri"/>
          <w:color w:val="111111"/>
          <w:sz w:val="28"/>
          <w:sz w:val="28"/>
          <w:szCs w:val="28"/>
          <w:rtl w:val="true"/>
          <w:lang w:bidi="ar-SA"/>
        </w:rPr>
        <w:t>هل يجوز للزوجة الرجوع في بعض البذل أم لا؟ 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 البذل غير لازم لها والرجوع فيه حقّ لها فكذا في بعضه، ويترتّب عليه جواز رجوع الزوج أيضاً لأنّ رجوعه مترتّب على 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لأنّ مع رجوعها يصير الخلع طلاقاً رجعيّاً مع بقاء العوض وبينهما منافاة، وكما أنّ بذلها ابتداءً بعض المهر لا يوجب كون الطلاق رجعيّاً فكذلك مع بقاء البعض، فإنّ كون الطلاق رجعيّاً مع بقاء العوض في مقابله جمع بين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رجوعها في البعض وعدم جوازه للزوج، أمّا الجواز؛ لما مرّ، وأمّا عدمه له لبقاء العوض، ولا يخفى أنّ أضعفها أخيرها؛ وذلك للملازمة بين الرجوعين ولاستلزام ذلك الضرر عليه خصوصاً فيما إذا رجعت في أكثر البذل وبقي قليل منه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ضعّف صاحب الجواهر الوجه الثاني أيضاً بأنّ مقتضى موثّق أبي العبّاس وصحيح ابن سنان هو جواز رجوعها ببعض البذل وأنّه يثبت له حقّ الرجوع بذلك ولا ينافيه بقاء البعض؛ لأنّ العوض هنا هو المجموع دون البعض الباقي وإن كان صالحاً لأن يكون عوضاً لو وقع الخلع عليه،فيصدق حينئذٍ انتفاء العوض بانتفاء البعض ويثبت حكم الرجوع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وجوب ردّ الجميع عليه إذا اختار الرجوع؛ لظهور ذيل صحيح ابن سنان في ذلك، بل هو مقتضى المعاوضة</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الدراية في المسألة، ولكن ليست معتمداً عليها في حدّ نفسها، فإنّ التلازم بين جواز رجوعها في الكلّ ورجوعها في البعض هو أوّل الكلام ولا دليل عليه، بل مقتضى المعاوضة خلافه وإن كان أحسن الوجوه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الروايات فالظاهر البدوي منها هو التعارض بينها، فإنّ صحيحة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شاءت أن يردّ إليها ما أخذ منها وتكون امرأته فعلت</w:t>
      </w:r>
      <w:r>
        <w:rPr>
          <w:rFonts w:eastAsia="Amiri" w:cs="Amiri" w:ascii="Amiri" w:hAnsi="Amiri"/>
          <w:color w:val="111111"/>
          <w:sz w:val="28"/>
          <w:szCs w:val="28"/>
          <w:rtl w:val="true"/>
          <w:lang w:bidi="ar-SA"/>
        </w:rPr>
        <w:t>»</w:t>
      </w:r>
      <w:r>
        <w:rPr>
          <w:rStyle w:val="FootnoteAnchor"/>
          <w:rtl w:val="true"/>
        </w:rPr>
        <w:footnoteReference w:id="1723"/>
      </w:r>
      <w:r>
        <w:rPr>
          <w:rFonts w:ascii="Amiri" w:hAnsi="Amiri" w:eastAsia="Amiri" w:cs="Amiri"/>
          <w:color w:val="111111"/>
          <w:sz w:val="28"/>
          <w:sz w:val="28"/>
          <w:szCs w:val="28"/>
          <w:rtl w:val="true"/>
          <w:lang w:bidi="ar-SA"/>
        </w:rPr>
        <w:t>ظاهرة في الرجوع إلى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ذيل صحيحة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رجعة للزوج على المختلعة، ولا على المباراة إلّا أن يبدوا للمرأة فيردّ عليها ما أخذ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فيهما من ألفاظ العموم والإطلاق، فيدلّ على جواز رجوعه في الجميع، وفي مقابلتهما موثّقة أبي العبّاس البقباق،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المختلعة إن رجعت في شيء من الصلح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لأرجعنّ في بضعك</w:t>
      </w:r>
      <w:r>
        <w:rPr>
          <w:rFonts w:eastAsia="IRNazanin" w:cs="IRNazanin"/>
          <w:color w:val="111111"/>
          <w:sz w:val="28"/>
          <w:szCs w:val="28"/>
          <w:rtl w:val="true"/>
          <w:lang w:bidi="fa-IR"/>
        </w:rPr>
        <w:t>».</w:t>
      </w:r>
      <w:r>
        <w:rPr>
          <w:rStyle w:val="FootnoteAnchor"/>
          <w:rtl w:val="true"/>
        </w:rPr>
        <w:footnoteReference w:id="1724"/>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صدر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وينبغي أن يشترط عليها كما اشترط صاحب المباراة وإن ارتجعت في شيء ممّا اعطيتني فأنّا أملكببضعك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 xml:space="preserve">حيث إنّهما ظاهرتان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جواز رجوعها في بعض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عدم التعارض بين الروايات؛ لأنّ الأخيرتين إنّما هما لموضع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ابن سنان فواضح، وأمّا موثّقة أبي العبّاس؛ فلأنّ التقييد بالقول قرينة على أنّ الباب باب الشرط لا باب بيان حكم الشرع، فإنّ الحكم الشرعي بجواز الرجوع في البعض لا يدور مدار قوله برجوعه في البضع حتّى يقيد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يؤيّد ذلك أنّ صحيحة عبدالله بن سنان أيضاً مقيدة بالقول كالموثّقة ولا شكّ في أنّها ظاهرة في الاشتراط فكذا الموثّقة ولا أقلّ من احتمال كونه من باب الاشتراط فمع الشكّ يحكم بجواز الرجوع وبدونه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يظهر أنّ الجمع بين الطائفتين بأنّ الطائفة الأُولی ظاهرة في جواز الرجوع في الجميع من دون دلالة على عدم جواز الرجوع في البعض، والطائفة الثانية دالّة على جواز الرجوع في البعض فتكون النتيجة جواز الرجوع في البعض كالرجوع في الجميع غير تام ومثله في عدم التماميّة ترجيح الشهيد الثاني</w:t>
      </w:r>
      <w:r>
        <w:rPr>
          <w:rStyle w:val="FootnoteAnchor"/>
          <w:rtl w:val="true"/>
        </w:rPr>
        <w:footnoteReference w:id="1726"/>
      </w:r>
      <w:r>
        <w:rPr>
          <w:rFonts w:ascii="Amiri" w:hAnsi="Amiri" w:eastAsia="Amiri" w:cs="Amiri"/>
          <w:color w:val="111111"/>
          <w:sz w:val="28"/>
          <w:sz w:val="28"/>
          <w:szCs w:val="28"/>
          <w:rtl w:val="true"/>
          <w:lang w:bidi="ar-SA"/>
        </w:rPr>
        <w:t>لصحيحة ابن بزيع على موثّقة أبي العبّاس واعتماده عليها واستفادة عدم الجواز أيضاً ليس بتمام؛ لأنّ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 لذيل صحيحة ابن سنان،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لصحيحة ابن بزيع</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ظهر منه عدم تماميّة ما في الحدائق</w:t>
      </w:r>
      <w:r>
        <w:rPr>
          <w:rStyle w:val="FootnoteAnchor"/>
          <w:rtl w:val="true"/>
        </w:rPr>
        <w:footnoteReference w:id="1727"/>
      </w:r>
      <w:r>
        <w:rPr>
          <w:rFonts w:ascii="Amiri" w:hAnsi="Amiri" w:eastAsia="Amiri" w:cs="Amiri"/>
          <w:color w:val="111111"/>
          <w:sz w:val="28"/>
          <w:sz w:val="28"/>
          <w:szCs w:val="28"/>
          <w:rtl w:val="true"/>
          <w:lang w:bidi="ar-SA"/>
        </w:rPr>
        <w:t xml:space="preserve">من تأييد الموثّقة وصحيحةابن سنان بروايات المباراة ثمّ الإشكال فيها بأنّ الأصحاب لم يعملوا بروايات المباراة 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قسم من الطلاق، فيعتبر فيه جميع شروطه المتقدّمة ويعتبر فيه ما يشترط في الخلع من الفدية والكراهة، فهي كالخلع طلاق بعوض ما تبذله المرأة، وتقع بلفظ الطلاق بأن يقول الزوج بعد ما بذلت له شيئاً ليطلّقها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على ما بذلت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قرنه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الفراق بلفظ الطلاق من غير دخل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تفارق المباراة الخلع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تترتّب على كراهة كلّ من الزوجين لصاحبه، بخلاف الخلع فإنّه يترتّب على كراهة الزوجة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فيها أن لا تكون الفداء بأكثر من مهرها، بل الأحوط أن يكون أقلّ منه بخلاف الخلع، فإنّه فيه على ما تراضيا</w:t>
      </w:r>
      <w:r>
        <w:rPr>
          <w:rFonts w:eastAsia="Amiri" w:cs="Amiri" w:ascii="Amiri" w:hAnsi="Amiri"/>
          <w:color w:val="111111"/>
          <w:sz w:val="28"/>
          <w:szCs w:val="28"/>
          <w:rtl w:val="true"/>
          <w:lang w:bidi="ar-SA"/>
        </w:rPr>
        <w:t>.</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بينه وبين لفظ الطلاق يكون الفراق</w:t>
      </w:r>
    </w:p>
    <w:p>
      <w:pPr>
        <w:pStyle w:val="BookText"/>
        <w:rPr/>
      </w:pPr>
      <w:r>
        <w:rPr>
          <w:rFonts w:ascii="Amiri" w:hAnsi="Amiri" w:eastAsia="Amiri" w:cs="Amiri"/>
          <w:color w:val="111111"/>
          <w:sz w:val="28"/>
          <w:sz w:val="28"/>
          <w:szCs w:val="28"/>
          <w:rtl w:val="true"/>
          <w:lang w:bidi="ar-SA"/>
        </w:rPr>
        <w:t xml:space="preserve">كونها بمرءى ومنظرهم وذلك منهم، إمّا يدلّ على اعراضهم عنها، وإمّا على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على البيانيّة دون التبعيضيّة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المذكور في المباراة أيضاً هو الاشتراط كما فيما نحن فيه، والعجب من قوله بعدم عمل الأصحاب بها؛ لأنّهم قد تعرّضوا لجواز الرجوع في الكلّ في الخلع والمباراة، من دون تعرض للرجوع في البعض مع الاشتراط وواضح أنّه فرق بين عدم التعرّض والإعراض، هذا أوّلاً،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أنّماقلناه في روايات الخلع جار في روايات المباراة أيضاً من جواز الرجوع في البعض مع الاشتراط وعدمه بدونه</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الكلام فيه </w:t>
      </w:r>
      <w:r>
        <w:rPr>
          <w:rFonts w:eastAsia="Amiri" w:cs="Amiri" w:ascii="Amiri" w:hAnsi="Amiri"/>
          <w:color w:val="111111"/>
          <w:sz w:val="28"/>
          <w:szCs w:val="28"/>
          <w:rtl w:val="true"/>
          <w:lang w:bidi="ar-SA"/>
        </w:rPr>
        <w:t xml:space="preserve">. </w:t>
      </w:r>
      <w:bookmarkStart w:id="675" w:name="pg9375_99949"/>
    </w:p>
    <w:p>
      <w:pPr>
        <w:pStyle w:val="BookText"/>
        <w:rPr/>
      </w:pPr>
      <w:bookmarkEnd w:id="675"/>
      <w:r>
        <w:rPr>
          <w:rFonts w:ascii="Amiri" w:hAnsi="Amiri" w:eastAsia="Amiri" w:cs="Amiri"/>
          <w:color w:val="111111"/>
          <w:sz w:val="28"/>
          <w:sz w:val="28"/>
          <w:szCs w:val="28"/>
          <w:rtl w:val="true"/>
          <w:lang w:bidi="ar-SA"/>
        </w:rPr>
        <w:t>بالطلاق وحده، بخلاف الخلع، فإنّ الأحوط وقوعه بلفظ الخلع والطلاق؛ جمعاً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المباراة بائن ليس للزوج الرجوع فيه إلّا أن ترجع الزوجة في الفدية قبل انقضاء العدّة، فله الرجوع إليها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 أيضاً</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5416895_2870459653"/>
      <w:bookmarkStart w:id="677" w:name="_Toc240"/>
      <w:bookmarkEnd w:id="676"/>
      <w:r>
        <w:rPr>
          <w:rtl w:val="true"/>
        </w:rPr>
        <w:t>شروط المباراة والفرق بينها وبين الخلع</w:t>
      </w:r>
      <w:bookmarkEnd w:id="677"/>
    </w:p>
    <w:p>
      <w:pPr>
        <w:pStyle w:val="Heading4"/>
        <w:numPr>
          <w:ilvl w:val="3"/>
          <w:numId w:val="1"/>
        </w:numPr>
        <w:rPr/>
      </w:pPr>
      <w:bookmarkStart w:id="678" w:name="__RefHeading___Toc5416897_2870459653"/>
      <w:bookmarkStart w:id="679" w:name="_Toc241"/>
      <w:bookmarkEnd w:id="678"/>
      <w:r>
        <w:rPr>
          <w:rtl w:val="true"/>
        </w:rPr>
        <w:t>اشارة</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خلاف في اشتراط شروط الطلاق والخلع في المباراة، كما لا خلاف في ترتّب أحكام الخلع عليها، من حضور العدلين، ومن لزوم وقوعه في طهر غير المواقعة وغيرهما، ومن البينونة، ومن جواز الرجوع في البذل، وعليها النصوص ولا إشكال في ذلك كلّه، إنّما الكلام بل الخلاف في أمرين</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416899_2870459653"/>
      <w:bookmarkStart w:id="681" w:name="_Toc242"/>
      <w:bookmarkEnd w:id="680"/>
      <w:r>
        <w:rPr>
          <w:rtl w:val="true"/>
        </w:rPr>
        <w:t>الأمر الأوّل</w:t>
      </w:r>
      <w:r>
        <w:rPr>
          <w:rtl w:val="true"/>
        </w:rPr>
        <w:t xml:space="preserve">: </w:t>
      </w:r>
      <w:r>
        <w:rPr>
          <w:rtl w:val="true"/>
        </w:rPr>
        <w:t>صيغة الخلع</w:t>
      </w:r>
      <w:bookmarkEnd w:id="681"/>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الخلع يحصل بصيغة الخلع وإن لم يتعقّبه الطلاق كما مرّ تفصيله،</w:t>
      </w:r>
      <w:r>
        <w:rPr>
          <w:rStyle w:val="FootnoteAnchor"/>
          <w:rtl w:val="true"/>
        </w:rPr>
        <w:footnoteReference w:id="1729"/>
      </w:r>
      <w:r>
        <w:rPr>
          <w:rFonts w:ascii="Amiri" w:hAnsi="Amiri" w:eastAsia="Amiri" w:cs="Amiri"/>
          <w:color w:val="111111"/>
          <w:sz w:val="28"/>
          <w:sz w:val="28"/>
          <w:szCs w:val="28"/>
          <w:rtl w:val="true"/>
          <w:lang w:bidi="ar-SA"/>
        </w:rPr>
        <w:t xml:space="preserve">كما أنّه يقع بصيغة الطلاق، وكما أنّه يقع بصيغة الخلع المتعقبة بصيغة الطلاق، وهذا بخلاف المباراة فإنّ المشهور عدم وقوعها بصيغة المباراة بل ادّعي عليه الإجماع، فإنّ وقوعها إنّما هو بصيغة الطلاق ومع الانضمام لا أثر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النصوص على خلافه وليس فيها ما يدلّ على عدم وقوعها بصيغة المباراة بل هي بين صريح وبين ظاهرفي عدم اشتراط صيغة الطلاق بل تتحقّق بصيغة المباراة، والحقّ عدم تحقّق الإجماع في المسألة، ولو سلّم فليس بحجّة؛ لأنّه مدركيّ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صرّح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بعدم الأثر لصيغة المباراة ولكن قد نسبه في المختصر</w:t>
      </w:r>
      <w:r>
        <w:rPr>
          <w:rStyle w:val="FootnoteAnchor"/>
          <w:rtl w:val="true"/>
        </w:rPr>
        <w:footnoteReference w:id="1731"/>
      </w:r>
      <w:r>
        <w:rPr>
          <w:rFonts w:ascii="Amiri" w:hAnsi="Amiri" w:eastAsia="Amiri" w:cs="Amiri"/>
          <w:color w:val="111111"/>
          <w:sz w:val="28"/>
          <w:sz w:val="28"/>
          <w:szCs w:val="28"/>
          <w:rtl w:val="true"/>
          <w:lang w:bidi="ar-SA"/>
        </w:rPr>
        <w:t>إلى الأكثر وهو متأخّر عن الشرائع، والأصل في الإجماع هو ادّعاء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أعمل عليه في المباراة ما قدّمنا ذكره في المختلعة وهو أنّه لا يقع بها فرقة ما لم يتبعها بطلاق، وهو مذهب جميع أصحابنا المحصّلين، من تقدّم منهم ومن تأخّر</w:t>
      </w:r>
      <w:r>
        <w:rPr>
          <w:rFonts w:eastAsia="Amiri" w:cs="Amiri" w:ascii="Amiri" w:hAnsi="Amiri"/>
          <w:color w:val="111111"/>
          <w:sz w:val="28"/>
          <w:szCs w:val="28"/>
          <w:rtl w:val="true"/>
          <w:lang w:bidi="ar-SA"/>
        </w:rPr>
        <w:t>.</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هو ليس بصريح في اتّفاق الكلّ؛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المتّفق بين المحصّلين من أصحابنا قديماً وحديثاً، فإنّه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المحصّلين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Style w:val="FootnoteAnchor"/>
          <w:rtl w:val="true"/>
        </w:rPr>
        <w:footnoteReference w:id="1733"/>
      </w:r>
      <w:r>
        <w:rPr>
          <w:rFonts w:ascii="Amiri" w:hAnsi="Amiri" w:eastAsia="Amiri" w:cs="Amiri"/>
          <w:color w:val="111111"/>
          <w:sz w:val="28"/>
          <w:sz w:val="28"/>
          <w:szCs w:val="28"/>
          <w:rtl w:val="true"/>
          <w:lang w:bidi="ar-SA"/>
        </w:rPr>
        <w:t>ومضافاً إلى ذلك أنّ الشيخ نفسه قد أحال المسألة إلى الخلع وأنّ حكم المباراة ما قدّمناه في الخلع من أنّها تحتاج إلى الطلاق، وقد حمل النصوص الدالّة على حاجة الخلع إلى إتباعه بالطلاق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بما هذا لفظه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انكشفت الغمة التي وقعت على جملة من المصنّفين في المقام حيث انكروا على الأصحاب اشتراط اتّباع المباراةبالطلاق مع اتّفاق النصوص صريحاً وظاهراً على خلافه، فمنهم من قدم إجماعهم عليها ومنهم من قدّمها عليه ولم يعلموا أنّ كلام الأصحاب مبنيّ على ما ذکروه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صيغ المباراة التي هي كنايات في الطلاق والخلع كما صرّحوا به في صيغة الخلع، كما أنّهم لم يعلموا أنّ ما في النصوص مبنيّ على المباراة التي هي الخلع المؤدّاة بصيغته؛ لأنّها قسم منه وليست إيقاعاً جديداً اشتقّ لها صيغة من لفظها بل هي كالمرابحة والمحاقلة والمزابنة التي لا يشتقّ لها صيغة تقوم مقام البيع من لفظها؛ لأنّها أقسام من البيع، وصيغتها صيغته، ولكن اختصّت بأسماء لمكان بعض أحكام، وكذلك المباراة التي هي خلع، ولذا استفاضت النصوص بعدم احتياجها إلى الاتّباع بالطلاق كالخلع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أنّه لا حاجة إلى الاستدلال للأصحاب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 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قراءته فعلاً حتّى يستدلّ بمفهومه على احتياج المباراة للطلاق، مع أن صدره منافٍ لذلك، والتحقيق ما عرفت والحمدلله ربّ العالمين</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يوافق صريح بعض النصوص؛ لأنّ بعضها صريحة في عدم الحاجة إلى صيغة الطلاق وظاهرة في وقوعها بصيغة المباراة، فينبغي لحاظ النصوص والتكلّم حولها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المبارئة تبين من ساعتها من غير طلاق ولا ميراث بينهما، لأنّالعصمة منها قد بانت ساعة كان ذلك منها ومن الزوج</w:t>
      </w:r>
      <w:r>
        <w:rPr>
          <w:rFonts w:eastAsia="IRNazanin" w:cs="IRNazanin"/>
          <w:color w:val="111111"/>
          <w:sz w:val="28"/>
          <w:szCs w:val="28"/>
          <w:rtl w:val="true"/>
          <w:lang w:bidi="fa-IR"/>
        </w:rPr>
        <w:t>».</w:t>
      </w:r>
      <w:r>
        <w:rPr>
          <w:rStyle w:val="FootnoteAnchor"/>
          <w:rtl w:val="true"/>
        </w:rPr>
        <w:footnoteReference w:id="1735"/>
      </w:r>
      <w:r>
        <w:rPr>
          <w:rFonts w:ascii="Amiri" w:hAnsi="Amiri" w:eastAsia="Amiri" w:cs="Amiri"/>
          <w:color w:val="111111"/>
          <w:sz w:val="28"/>
          <w:sz w:val="28"/>
          <w:szCs w:val="28"/>
          <w:rtl w:val="true"/>
          <w:lang w:bidi="ar-SA"/>
        </w:rPr>
        <w:t xml:space="preserve">فهو ظاهر في كفاية صيغة المباراة وصريح في عدم الحاجة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صيغة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المباراة تكون من غير أن يتبعها الطلاق</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إسماعيل بن بزيع كما 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تباري زوجها أو تختلع منه بشهادة شاهدين على طهر من غير جماع، هل تبين منه بذلك أو تكون امرأته ما لم يتبعها بطلاق؟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 منه، وإن شاءت أن يردّ إليها ما أخذ منها وتكون امرأته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روي لنا أنّها لا تبين منه حتّى يتبعها بطلاق،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إذا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المباراة أن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عليك، واتركني فتركها إلّا أنّه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ارتجعت في شيء منه فأنا أملك ببضعك</w:t>
      </w:r>
      <w:r>
        <w:rPr>
          <w:rFonts w:eastAsia="IRNazanin" w:cs="IRNazanin"/>
          <w:color w:val="111111"/>
          <w:sz w:val="28"/>
          <w:szCs w:val="28"/>
          <w:rtl w:val="true"/>
          <w:lang w:bidi="fa-IR"/>
        </w:rPr>
        <w:t>».</w:t>
      </w:r>
      <w:r>
        <w:rPr>
          <w:rStyle w:val="FootnoteAnchor"/>
          <w:rtl w:val="true"/>
        </w:rPr>
        <w:footnoteReference w:id="1738"/>
      </w:r>
      <w:r>
        <w:rPr>
          <w:rFonts w:ascii="Amiri" w:hAnsi="Amiri" w:eastAsia="Amiri" w:cs="Amiri"/>
          <w:color w:val="111111"/>
          <w:sz w:val="28"/>
          <w:sz w:val="28"/>
          <w:szCs w:val="28"/>
          <w:rtl w:val="true"/>
          <w:lang w:bidi="ar-SA"/>
        </w:rPr>
        <w:t xml:space="preserve">ويستفاد منها عدم الحاجة إلى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بارأتك</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المباراة كيف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للمرأة شيء على زوجها من مهر أو من غيره ويكون قد أعطاها بعضه فيكره كلّ واحد منهما صاحبه، فتقول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منك فهو لي، وما بقي عليك فهو لك، وأبارئك، فيقول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فإنأنت رجعت في شيء ممّا تركت فأنا أحقّ ببضعك</w:t>
      </w:r>
      <w:r>
        <w:rPr>
          <w:rFonts w:eastAsia="Amiri" w:cs="Amiri" w:ascii="Amiri" w:hAnsi="Amiri"/>
          <w:color w:val="111111"/>
          <w:sz w:val="28"/>
          <w:szCs w:val="28"/>
          <w:rtl w:val="true"/>
          <w:lang w:bidi="ar-SA"/>
        </w:rPr>
        <w:t>».</w:t>
      </w:r>
      <w:r>
        <w:rPr>
          <w:rStyle w:val="FootnoteAnchor"/>
          <w:rtl w:val="true"/>
        </w:rPr>
        <w:footnoteReference w:id="1739"/>
      </w:r>
      <w:bookmarkStart w:id="682" w:name="pg9375_99953"/>
    </w:p>
    <w:p>
      <w:pPr>
        <w:pStyle w:val="BookText"/>
        <w:rPr/>
      </w:pPr>
      <w:bookmarkEnd w:id="6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مسكان،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المباراة تقول المرأة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عليك واتركني، أو تجعل من قبلها شيئاً فيتركها إلّا 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ارتجعت في شيء فأنا أملك ببضعك، ولا يحلّ لزوجها أن يأخذ منها إلّا المهر فما دونه</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المبارئة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ما عليك وبارئني فيتركها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ارتجعت في شيءٍ فأنا أملك ببضعك؟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كذا وكذا وخلّ سبيلي؟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المباراة</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بن بزيع، وهي قد مرّت</w:t>
      </w:r>
      <w:r>
        <w:rPr>
          <w:rFonts w:eastAsia="Amiri" w:cs="Amiri" w:ascii="Amiri" w:hAnsi="Amiri"/>
          <w:color w:val="111111"/>
          <w:sz w:val="28"/>
          <w:szCs w:val="28"/>
          <w:rtl w:val="true"/>
          <w:lang w:bidi="ar-SA"/>
        </w:rPr>
        <w:t>.</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فالحقّ وقوع المباراة بصيغة المباراة إن لم نقل بكفاية كلّ لفظٍ وقولٍ يدلّ على المطلوب</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5416901_2870459653"/>
      <w:bookmarkStart w:id="684" w:name="_Toc243"/>
      <w:bookmarkEnd w:id="683"/>
      <w:r>
        <w:rPr>
          <w:rtl w:val="true"/>
        </w:rPr>
        <w:t>الأمر الثاني</w:t>
      </w:r>
      <w:r>
        <w:rPr>
          <w:rtl w:val="true"/>
        </w:rPr>
        <w:t xml:space="preserve">: </w:t>
      </w:r>
      <w:r>
        <w:rPr>
          <w:rtl w:val="true"/>
        </w:rPr>
        <w:t>هل تجوز المباراة ببذل المهر؟</w:t>
      </w:r>
      <w:bookmarkEnd w:id="684"/>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المباراة ببذل المهر وأخذه كلّه أو يشترط كونها بدونالمهر؟ فإنّه قد قام الإجماع والنصوص على اشتراطها بعدم الزيادة، ولا شكّ أيضاً في جواز أخذ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الأقلّ، وإنّما الكلام والخلاف في جواز أخذ المساوي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الزيادة مانعة أو النقصان شرط؟ فإنّ الروايات مختلفة، فبعضها تدلّ على عدم جواز أخذ المساوي بل لابدّ أن يقتصر على الأقلّ،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المبارئة يؤخذ منها دون الصداق، والمختلعة يؤخذ منها ما شئت أو ما تراضيا عليه من صداق أو أكثر، وإنّما صارت المبارئة يؤخذ منها دون الصداق، والمختلعة يؤخذ منها ما شاء، لأنّ المختلعة تعتدّي في الكلام وتكلّم بما لا يحلّ لها</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والإشكال فيها بأنّ العلّة المذكورة فيها مشتركة بين المختلعة والمبارئة، فإنّ المبارئة أيضاً ربما تعتدي في الكلام كالمختلعة، مدفوعٌ بأنّ اعتداء المبارئة غير اعتداء المختلعة، فإنّه في المبارئة تقابل باعتداء الزوج ولا أقلّ من كراهته الموجبة لاعتدائها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ومفادها كصحيحة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المختلعة؟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لزوجها أن يخلعها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لك قسماً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اختلعت فهي بائن، وله أن يأخذ من مالها ما قدر عليه، وليس له أن يأخذ من المباراة كلّ الذي أعطاها</w:t>
      </w:r>
      <w:r>
        <w:rPr>
          <w:rFonts w:eastAsia="Amiri" w:cs="Amiri" w:ascii="Amiri" w:hAnsi="Amiri"/>
          <w:color w:val="111111"/>
          <w:sz w:val="28"/>
          <w:szCs w:val="28"/>
          <w:rtl w:val="true"/>
          <w:lang w:bidi="ar-SA"/>
        </w:rPr>
        <w:t>».</w:t>
      </w:r>
      <w:r>
        <w:rPr>
          <w:rStyle w:val="FootnoteAnchor"/>
          <w:rtl w:val="true"/>
        </w:rPr>
        <w:footnoteReference w:id="1745"/>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الآخر تدلّ على جواز أخذ المهر فما دونه،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المباراة،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يحلّ لزوجها أن يأخذ منها إلّا المهر فما دونه</w:t>
      </w:r>
      <w:r>
        <w:rPr>
          <w:rFonts w:eastAsia="IRNazanin" w:cs="IRNazanin"/>
          <w:color w:val="111111"/>
          <w:sz w:val="28"/>
          <w:szCs w:val="28"/>
          <w:rtl w:val="true"/>
          <w:lang w:bidi="fa-IR"/>
        </w:rPr>
        <w:t>».</w:t>
      </w:r>
      <w:r>
        <w:rPr>
          <w:rStyle w:val="FootnoteAnchor"/>
          <w:rtl w:val="true"/>
        </w:rPr>
        <w:footnoteReference w:id="1746"/>
      </w:r>
      <w:bookmarkStart w:id="685" w:name="pg9375_99955"/>
    </w:p>
    <w:p>
      <w:pPr>
        <w:pStyle w:val="BookText"/>
        <w:rPr/>
      </w:pPr>
      <w:bookmarkEnd w:id="68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 فذهب عدّة من الفقهاء إلى مفاد صحيحة أبي بصير؛ لعدم كون الموثّقة حجّة في نظرهم، والإشكال عليهم بأنّه لو سلّم، فإنّ رواية زرارة صحيحة تكافؤ صحيحة أبي بصير مدفوعٌ بأنّ الحجّة عند الشهيد الثاني</w:t>
      </w:r>
      <w:r>
        <w:rPr>
          <w:rStyle w:val="FootnoteAnchor"/>
          <w:rtl w:val="true"/>
        </w:rPr>
        <w:footnoteReference w:id="1747"/>
      </w:r>
      <w:r>
        <w:rPr>
          <w:rFonts w:ascii="Amiri" w:hAnsi="Amiri" w:eastAsia="Amiri" w:cs="Amiri"/>
          <w:color w:val="111111"/>
          <w:sz w:val="28"/>
          <w:sz w:val="28"/>
          <w:szCs w:val="28"/>
          <w:rtl w:val="true"/>
          <w:lang w:bidi="ar-SA"/>
        </w:rPr>
        <w:t>إنّما هي للصحيح الأعلائي وهو ما يكون جميع رواته عدولاً قد شهد بها عدلان بالتنصيص وقد وقع في سند الصحيحة إبراهيم بن هاشم، وهو وإن يستفاد وثاقته من جهات مختلفة لكن لم يوجد لها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الفقهاء إلى إمكان الجمع بينهما بالذهاب إلى استحباب كون المأخوذ دون المهر وكراهة أخذه بلا نقص وزيادة وحرمة الزيادة، وهو حسن؛ لأنّ صحيحة أبي بصير</w:t>
      </w:r>
      <w:r>
        <w:rPr>
          <w:rStyle w:val="FootnoteAnchor"/>
          <w:rtl w:val="true"/>
        </w:rPr>
        <w:footnoteReference w:id="1748"/>
      </w:r>
      <w:r>
        <w:rPr>
          <w:rFonts w:ascii="Amiri" w:hAnsi="Amiri" w:eastAsia="Amiri" w:cs="Amiri"/>
          <w:color w:val="111111"/>
          <w:sz w:val="28"/>
          <w:sz w:val="28"/>
          <w:szCs w:val="28"/>
          <w:rtl w:val="true"/>
          <w:lang w:bidi="ar-SA"/>
        </w:rPr>
        <w:t>صريحة في الحلّيّة وهما ظاهرتان في الحرمة على تقدير ظهور الجملة الخبريّة في الإلزام، فما جاء في المتن من الاحتياط يقيّد بالاستحباب</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5416903_2870459653"/>
      <w:bookmarkStart w:id="687" w:name="_Toc244"/>
      <w:bookmarkEnd w:id="686"/>
      <w:r>
        <w:rPr>
          <w:rtl w:val="true"/>
        </w:rPr>
        <w:t>الطلاق بالعوض مع التيام الأخلاق</w:t>
      </w:r>
      <w:bookmarkEnd w:id="68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المحقّق القمي</w:t>
      </w:r>
      <w:r>
        <w:rPr>
          <w:rStyle w:val="FootnoteAnchor"/>
          <w:rtl w:val="true"/>
        </w:rPr>
        <w:footnoteReference w:id="1749"/>
      </w:r>
      <w:r>
        <w:rPr>
          <w:rFonts w:ascii="Amiri" w:hAnsi="Amiri" w:eastAsia="Amiri" w:cs="Amiri"/>
          <w:color w:val="111111"/>
          <w:sz w:val="28"/>
          <w:sz w:val="28"/>
          <w:szCs w:val="28"/>
          <w:rtl w:val="true"/>
          <w:lang w:bidi="ar-SA"/>
        </w:rPr>
        <w:t>والشهيد الثاني</w:t>
      </w:r>
      <w:r>
        <w:rPr>
          <w:rStyle w:val="FootnoteAnchor"/>
          <w:rtl w:val="true"/>
        </w:rPr>
        <w:footnoteReference w:id="1750"/>
      </w:r>
      <w:r>
        <w:rPr>
          <w:rFonts w:ascii="Amiri" w:hAnsi="Amiri" w:eastAsia="Amiri" w:cs="Amiri"/>
          <w:color w:val="111111"/>
          <w:sz w:val="28"/>
          <w:sz w:val="28"/>
          <w:szCs w:val="28"/>
          <w:rtl w:val="true"/>
          <w:lang w:bidi="ar-SA"/>
        </w:rPr>
        <w:t>قد ذهبا إلى صحّة الطلاق بالعوض مع التيام أخلاقهما، خلافاً لغيرهما ممّن جاؤوا من بعدهما، وقدشدّد الكلام في الجواهر</w:t>
      </w:r>
      <w:r>
        <w:rPr>
          <w:rStyle w:val="FootnoteAnchor"/>
          <w:rtl w:val="true"/>
        </w:rPr>
        <w:footnoteReference w:id="1751"/>
      </w:r>
      <w:r>
        <w:rPr>
          <w:rFonts w:ascii="Amiri" w:hAnsi="Amiri" w:eastAsia="Amiri" w:cs="Amiri"/>
          <w:color w:val="111111"/>
          <w:sz w:val="28"/>
          <w:sz w:val="28"/>
          <w:szCs w:val="28"/>
          <w:rtl w:val="true"/>
          <w:lang w:bidi="ar-SA"/>
        </w:rPr>
        <w:t>على المحقّق القمي، فراجع إن شئت، وقد صنّف المحقّق المذكور رسالة في المسألة وقد وعدنا أن نتكلّم حول المسألة، وتمام الكلام فيها يتمّ في ثلاث جهات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يوجد دليل على حرمة أخذ العوض للزوج من دون كراهة منها؛ سواء كره الزوج أم لم تكن الكراهة منه أيضاً؟</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عدم الدليل فهل هناك دليل على صحّته كذلك وهو بائن أم لا؟</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النزاع واقعي بين هؤلاء الأصحاب أم نزاع يشبه النزاع في اللفظ؟</w:t>
      </w:r>
    </w:p>
    <w:p>
      <w:pPr>
        <w:pStyle w:val="BookText"/>
        <w:rPr/>
      </w:pPr>
      <w:r>
        <w:rPr>
          <w:rFonts w:ascii="Amiri" w:hAnsi="Amiri" w:eastAsia="Amiri" w:cs="Amiri"/>
          <w:color w:val="111111"/>
          <w:sz w:val="28"/>
          <w:sz w:val="28"/>
          <w:szCs w:val="28"/>
          <w:rtl w:val="true"/>
          <w:lang w:bidi="ar-SA"/>
        </w:rPr>
        <w:t xml:space="preserve">هذه هي الجهات الثلاث ولابدّ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طبع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الجهة الثالثة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النزاع هو الطلاق بعوض مع كون الأخلاق ملتئمة، أو كون الكراهة منه خاصّة، والآية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w:t>
      </w:r>
      <w:r>
        <w:rPr>
          <w:rStyle w:val="FootnoteAnchor"/>
          <w:rtl w:val="true"/>
        </w:rPr>
        <w:footnoteReference w:id="1752"/>
      </w:r>
      <w:r>
        <w:rPr>
          <w:rFonts w:ascii="Amiri" w:hAnsi="Amiri" w:eastAsia="Amiri" w:cs="Amiri"/>
          <w:color w:val="111111"/>
          <w:sz w:val="28"/>
          <w:sz w:val="28"/>
          <w:szCs w:val="28"/>
          <w:rtl w:val="true"/>
          <w:lang w:bidi="ar-SA"/>
        </w:rPr>
        <w:t>تدلّ على صحّة هذا الطلاق ويقع بائناً؛ وذلك لعدم تعقّل بذلها العوض مع كون الأخلاق ملتئمة من دون خوف من إقامة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لعدم الخوف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تكون المرأة محبّة لزوجها، بل يصعب عليها مفارقته لكن الزوج يريد أن يسافرها إلى بلاد الغربة ويصعب على الزوج أيضاً مفارقتها لكن بسبب صعوبة الغربة عليها أو صعوبة مفارقتها على أبويها ترضى بأن تبذل مهرها ويطلّقها فيعوضه</w:t>
      </w:r>
      <w:r>
        <w:rPr>
          <w:rFonts w:eastAsia="Amiri" w:cs="Amiri" w:ascii="Amiri" w:hAnsi="Amiri"/>
          <w:color w:val="111111"/>
          <w:sz w:val="28"/>
          <w:szCs w:val="28"/>
          <w:rtl w:val="true"/>
          <w:lang w:bidi="ar-SA"/>
        </w:rPr>
        <w:t>.</w:t>
      </w:r>
      <w:r>
        <w:rPr>
          <w:rStyle w:val="FootnoteAnchor"/>
          <w:rtl w:val="true"/>
        </w:rPr>
        <w:footnoteReference w:id="1753"/>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يناقش فيه بأنّ في الاستمرار والبقاء على تلك الحالة خوف الانجرار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العداوة وعدم إقامة حدود الله، فالنزاع لفظي وليس للكراهيّة موضوعيّة، بل هي إحدى عوامل الخوف من عدم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 فقد يدلّ على صحّته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ascii="IRNazanin" w:hAnsi="IRNazanin" w:eastAsia="IRNazanin"/>
          <w:color w:val="111111"/>
          <w:sz w:val="28"/>
          <w:sz w:val="28"/>
          <w:szCs w:val="28"/>
          <w:rtl w:val="true"/>
          <w:lang w:bidi="fa-IR"/>
        </w:rPr>
        <w:t>،</w:t>
      </w:r>
      <w:r>
        <w:rPr>
          <w:rStyle w:val="FootnoteAnchor"/>
          <w:rtl w:val="true"/>
        </w:rPr>
        <w:footnoteReference w:id="1754"/>
      </w:r>
      <w:r>
        <w:rPr>
          <w:rFonts w:ascii="IRNazanin" w:hAnsi="IRNazanin" w:eastAsia="IRNazanin"/>
          <w:color w:val="111111"/>
          <w:sz w:val="28"/>
          <w:sz w:val="28"/>
          <w:szCs w:val="28"/>
          <w:rtl w:val="true"/>
          <w:lang w:bidi="fa-IR"/>
        </w:rPr>
        <w:t>وعموم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5"/>
      </w:r>
      <w:r>
        <w:rPr>
          <w:rFonts w:ascii="IRNazanin" w:hAnsi="IRNazanin" w:eastAsia="IRNazanin"/>
          <w:color w:val="111111"/>
          <w:sz w:val="28"/>
          <w:sz w:val="28"/>
          <w:szCs w:val="28"/>
          <w:rtl w:val="true"/>
          <w:lang w:bidi="fa-IR"/>
        </w:rPr>
        <w:t>بل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تَكُونَ تِجَارَةً عَن تَرَاضٍ مِّنكُمْ</w:t>
      </w:r>
      <w:r>
        <w:rPr>
          <w:rStyle w:val="FootnoteAnchor"/>
          <w:rtl w:val="true"/>
        </w:rPr>
        <w:footnoteReference w:id="1756"/>
      </w:r>
      <w:r>
        <w:rPr>
          <w:rFonts w:ascii="Amiri" w:hAnsi="Amiri" w:eastAsia="Amiri" w:cs="Amiri"/>
          <w:color w:val="111111"/>
          <w:sz w:val="28"/>
          <w:sz w:val="28"/>
          <w:szCs w:val="28"/>
          <w:rtl w:val="true"/>
          <w:lang w:bidi="ar-SA"/>
        </w:rPr>
        <w:t>بناءً على أنّ المراد من التجارة هو الحقّ، ولو سلّم عدم العموم 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المعاملات هو الصحّة إلّا ما ردعه الشارع بالعموم أو بالخصوص؛ وذلك لأنّه ليس للشارع تأسيس فيها إلّا نادراً إن لم نقل إنّه كالمعدوم، وعلى الصحّة فهو لازم من الطرفين؛ لأنّه أشبه شيء بالمعاوضة، بل هو معاوضة إمّا هبة معوّضة وإمّا صلحاً مع العوض وهما عقدان لازمان وبذلك يفترق عن الخلع والمباراة؛ لأنّهما لازمان من قبل الزوج وجائزان من قبل الزوجة وهو، بناء على ما ذكرنا من كونه هبة معوضة أو صلحاً مع العوض، لازم من الطرفين ولا ينفسخ إلّا بالإقالة والفسخ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العمدة في المنع هي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عدم الصحّة، فإنّ الأصل بقاء الزوجيّة وبقاء المال في ملكها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على عدم صحّة الطلاق مع العوض من دونالخلع والمباراة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يحِلُّ لَكُمْ أَن تَأْخُذُواْ مِمَّا آتَيْتُمُوهُنَّ شَيْئاً</w:t>
      </w:r>
      <w:r>
        <w:rPr>
          <w:rStyle w:val="FootnoteAnchor"/>
          <w:rtl w:val="true"/>
        </w:rPr>
        <w:footnoteReference w:id="1757"/>
      </w:r>
      <w:r>
        <w:rPr>
          <w:rFonts w:ascii="Amiri" w:hAnsi="Amiri" w:eastAsia="Amiri" w:cs="Amiri"/>
          <w:color w:val="111111"/>
          <w:sz w:val="28"/>
          <w:sz w:val="28"/>
          <w:szCs w:val="28"/>
          <w:rtl w:val="true"/>
          <w:lang w:bidi="ar-SA"/>
        </w:rPr>
        <w:t>وأمّا النصوص فهي تابعة للآية في الدلالة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الوجهين الأوّلين لا يعبأ بهما في المسألة؛ لأنّ الأصل مع وجود الدليل المخالف لا وجه له، والإجماع فإنّ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أقوالاً كثيرة مخالفة تدلّ على عدم صحّة النسبة، مضافاً إلى أ‌نّه مدركي ليس بحجّة، وأمّا الآية ظاهرة في كلام الأصحاب بدواً، فإنّ الأخذ قد منع مطلقاً واستثني الأخذ عند تحقّق الكراهة فقط، كما أنّ المستثنى في الروايات أيضاً هو هكذا وقد أجاب عنه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بعموم الآية على تحريم أخذ العوض عن الطلاق إلّا في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من بعض أفاضل العصر ومن تقدّم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أنّه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دقيقة لم يسبقني إليها أحد فيما أعلم، وهي أنّ أغلب استعمالات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التناول الابتدائي الناشئ بسلب دواعيه من الأخذ كالغاصب وأهل السؤال وأهل الشرع في أخذ حقوق الله أو على سبيل الغلبة والتسلّط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w:t>
      </w:r>
      <w:r>
        <w:rPr>
          <w:rFonts w:ascii="IRNazanin" w:hAnsi="IRNazanin" w:eastAsia="IRNazanin"/>
          <w:color w:val="111111"/>
          <w:sz w:val="28"/>
          <w:sz w:val="28"/>
          <w:szCs w:val="28"/>
          <w:rtl w:val="true"/>
          <w:lang w:bidi="fa-IR"/>
        </w:rPr>
        <w:t>،</w:t>
      </w:r>
      <w:r>
        <w:rPr>
          <w:rStyle w:val="FootnoteAnchor"/>
          <w:rtl w:val="true"/>
        </w:rPr>
        <w:footnoteReference w:id="1758"/>
      </w:r>
      <w:r>
        <w:rPr>
          <w:rFonts w:ascii="IRNazanin" w:hAnsi="IRNazanin" w:eastAsia="IRNazanin"/>
          <w:color w:val="111111"/>
          <w:sz w:val="28"/>
          <w:sz w:val="28"/>
          <w:szCs w:val="28"/>
          <w:rtl w:val="true"/>
          <w:lang w:bidi="fa-IR"/>
        </w:rPr>
        <w:t>ومثل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أَتَأْخُذُونَهُ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تَأْخُذُونَهُ وَقَدْ أَفْضَى بَعْضُكُمْإِلَى بَعْضٍ</w:t>
      </w:r>
      <w:r>
        <w:rPr>
          <w:rStyle w:val="FootnoteAnchor"/>
          <w:rtl w:val="true"/>
        </w:rPr>
        <w:footnoteReference w:id="1759"/>
      </w:r>
      <w:r>
        <w:rPr>
          <w:rFonts w:ascii="Amiri" w:hAnsi="Amiri" w:eastAsia="Amiri" w:cs="Amiri"/>
          <w:color w:val="111111"/>
          <w:sz w:val="28"/>
          <w:sz w:val="28"/>
          <w:szCs w:val="28"/>
          <w:rtl w:val="true"/>
          <w:lang w:bidi="ar-SA"/>
        </w:rPr>
        <w:t xml:space="preserve">والمأخوذ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المعاملات على وجه التراضي وطيب النفس لا يسمّى أخذاً بهذا المعنى ولذلك يقال للأسير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يناسب هذا الاستعمال خُذُوهُ فَغُلُّوهُ</w:t>
      </w:r>
      <w:r>
        <w:rPr>
          <w:rStyle w:val="FootnoteAnchor"/>
          <w:rtl w:val="true"/>
        </w:rPr>
        <w:footnoteReference w:id="176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أُخِذُوا وَقُتِّلُوا تَقْتِيلاً</w:t>
      </w:r>
      <w:r>
        <w:rPr>
          <w:rStyle w:val="FootnoteAnchor"/>
          <w:rtl w:val="true"/>
        </w:rPr>
        <w:footnoteReference w:id="176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w:t>
      </w:r>
      <w:r>
        <w:rPr>
          <w:rStyle w:val="FootnoteAnchor"/>
          <w:rtl w:val="true"/>
        </w:rPr>
        <w:footnoteReference w:id="176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لَا تَأْخُذُهُ سِنَةٌ وَلَا نَوْمٌ</w:t>
      </w:r>
      <w:r>
        <w:rPr>
          <w:rStyle w:val="FootnoteAnchor"/>
          <w:rtl w:val="true"/>
        </w:rPr>
        <w:footnoteReference w:id="1763"/>
      </w:r>
      <w:r>
        <w:rPr>
          <w:rFonts w:ascii="IRNazanin" w:hAnsi="IRNazanin" w:eastAsia="IRNazanin"/>
          <w:color w:val="111111"/>
          <w:sz w:val="28"/>
          <w:sz w:val="28"/>
          <w:szCs w:val="28"/>
          <w:rtl w:val="true"/>
          <w:lang w:bidi="fa-IR"/>
        </w:rPr>
        <w:t>إذ لو لم تعتبر الغلبة في مفهوم الأخذ لكان المناسب تقديم النوم على السنة؛ لأنّ الترقّي في بيان عموم الغفلة إنّما يحصل بذلك،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Style w:val="FootnoteAnchor"/>
          <w:rtl w:val="true"/>
        </w:rPr>
        <w:footnoteReference w:id="1764"/>
      </w:r>
      <w:r>
        <w:rPr>
          <w:rFonts w:ascii="Amiri" w:hAnsi="Amiri" w:eastAsia="Amiri" w:cs="Amiri"/>
          <w:color w:val="111111"/>
          <w:sz w:val="28"/>
          <w:sz w:val="28"/>
          <w:szCs w:val="28"/>
          <w:rtl w:val="true"/>
          <w:lang w:bidi="ar-SA"/>
        </w:rPr>
        <w:t>أيضاً سرّ غريب؛ إذ فيه إشارة إلى أنّ المراد ما أخذته ممّا لم يستحقّه في نفس الأمر وإن لم يكن عادية في ظاهر الحال في ضمن المعاملة الصحيحة ظاهراً، ولو كان المراد الأخذ في الآية التي نحن فيها مطلق التناول والتعاطي لما جاز أخذ المهر من الزوجة لو وهبته أو إباحته لزوجها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5"/>
      </w:r>
      <w:r>
        <w:rPr>
          <w:rFonts w:ascii="Amiri" w:hAnsi="Amiri" w:eastAsia="Amiri" w:cs="Amiri"/>
          <w:color w:val="111111"/>
          <w:sz w:val="28"/>
          <w:sz w:val="28"/>
          <w:szCs w:val="28"/>
          <w:rtl w:val="true"/>
          <w:lang w:bidi="ar-SA"/>
        </w:rPr>
        <w:t xml:space="preserve">ولا ريب أنّ كلامنا فيما لو طلّقها بعوض المهر لطيب أنفسهما بدون الكراهة من المرأة لزوجها بللغرض آخر أشرنا إليه سابقاً سيّما لو كان العوض من مال الوليّ كما أشرنا سابقاً،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يصدق عليه أنّه طلاق بعوض ويصحّ الاحتراز عنه في تعريف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الآية هو الأخذ الابتدائي من دون طيبة لنفس الزوجة وما يبذله في عوض الطلاق لأجل تخليص نفسها ليس بذلاً من طيب النفس، بل دعاها إليه إلجاؤها من جهة كراهتها له وخوف الوقوع في المعصية وإهلاك نفسها من الغصّة والحقد وإهلاك زوجها إيّاها خوفاً من إهلاكها إيّاه</w:t>
      </w:r>
      <w:r>
        <w:rPr>
          <w:rFonts w:eastAsia="Amiri" w:cs="Amiri" w:ascii="Amiri" w:hAnsi="Amiri"/>
          <w:color w:val="111111"/>
          <w:sz w:val="28"/>
          <w:szCs w:val="28"/>
          <w:rtl w:val="true"/>
          <w:lang w:bidi="ar-SA"/>
        </w:rPr>
        <w:t>.</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هذا، والتحقيق أنّ ما أفاده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الاستعمالات على الأخذ الابتدائي بالدواعي أو القهر والغلبة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من ذلك أن يكون الاستثناء منقطعاً؛ حيث إنّه راجع إلى الفدية وهي تتحقّق 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إشكال فيه، بل هو مؤكّد للعموم أحياناً ولا دليل على كون الأصل في الاستثناء هو الاتّصال، مضافاً إلى أنّه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استثناء متّصل، لكنّه بشكل الاستخدام فكلاهما أخذ ولكن أحدهما الأخذ ابتداءً والآخر غير ابتدائي، ولكن توجد هنا دقيقة أُخرى تفيد حرمة الطلاق مع أخذ العوض كما أفاده العلّامة الطباطبائي في تفسيره،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تقييد الإمساك بالمعروف والتسريح بالاحسان من لطيف العناية ما لا يخفى، فإنّ الإمساك والردّ إلى الحبالة الزوجيّة ربما كان للإضرار بها وهو منكر غير معروف، كمن يطلّق امرأته ثمّ يخلّيها حتّى تبلغ أجلها فيرجع إليها ثمّ يطلّق ثمّ يرجع كذلك، يريد بذلك إيذائها والإضرار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إضرار منكر غير معروف في هذه الشريعة منهيٌّ عنه، بل الإمساك الذي يجوّزه الشرع أن يرجع إليها بنوع من أنواع الالتيام، ويتمّ به الأنس وسكون النفس الذي جعله الله تعالى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التسريح ربما كان على وجه منكر غير معروف يعمل فيه عوامل السخط والغضب، ويتصوّر بصورة الانتقام، والذي يجوّزه هذه الشريعة أن يكون تسريحاً بنوع يتعارفه الناس ولا ينكره الشرع وهو التسريح بالمعروف، كما قال تعالى في الآية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بِمَعْرُوفٍ أَوْ سَرِّحُوهُنَّ بِمَعْرُوفٍ</w:t>
      </w:r>
      <w:r>
        <w:rPr>
          <w:rFonts w:ascii="IRNazanin" w:hAnsi="IRNazanin" w:eastAsia="IRNazanin"/>
          <w:color w:val="111111"/>
          <w:sz w:val="28"/>
          <w:sz w:val="28"/>
          <w:szCs w:val="28"/>
          <w:rtl w:val="true"/>
          <w:lang w:bidi="fa-IR"/>
        </w:rPr>
        <w:t>،</w:t>
      </w:r>
      <w:r>
        <w:rPr>
          <w:rStyle w:val="FootnoteAnchor"/>
          <w:rtl w:val="true"/>
        </w:rPr>
        <w:footnoteReference w:id="1767"/>
      </w:r>
      <w:r>
        <w:rPr>
          <w:rFonts w:ascii="Amiri" w:hAnsi="Amiri" w:eastAsia="Amiri" w:cs="Amiri"/>
          <w:color w:val="111111"/>
          <w:sz w:val="28"/>
          <w:sz w:val="28"/>
          <w:szCs w:val="28"/>
          <w:rtl w:val="true"/>
          <w:lang w:bidi="ar-SA"/>
        </w:rPr>
        <w:t>وهذا التعبير هو الأصل في إفادة المطلوب الذي ذكرناه، وأمّا ما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تَسْريحٌ بإحْسَان</w:t>
      </w:r>
      <w:r>
        <w:rPr>
          <w:rFonts w:ascii="IRNazanin" w:hAnsi="IRNazanin" w:eastAsia="IRNazanin"/>
          <w:color w:val="111111"/>
          <w:sz w:val="28"/>
          <w:sz w:val="28"/>
          <w:szCs w:val="28"/>
          <w:rtl w:val="true"/>
          <w:lang w:bidi="fa-IR"/>
        </w:rPr>
        <w:t>،</w:t>
      </w:r>
      <w:r>
        <w:rPr>
          <w:rStyle w:val="FootnoteAnchor"/>
          <w:rtl w:val="true"/>
        </w:rPr>
        <w:footnoteReference w:id="1768"/>
      </w:r>
      <w:r>
        <w:rPr>
          <w:rFonts w:ascii="Amiri" w:hAnsi="Amiri" w:eastAsia="Amiri" w:cs="Amiri"/>
          <w:color w:val="111111"/>
          <w:sz w:val="28"/>
          <w:sz w:val="28"/>
          <w:szCs w:val="28"/>
          <w:rtl w:val="true"/>
          <w:lang w:bidi="ar-SA"/>
        </w:rPr>
        <w:t>حيث قيّد التسريح بالإحسان وهو معنى زائد على المعروف؛ فذلك لكون الجملة ملحوقة بما يوجب ذلك؛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9"/>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بالمعروف والإحسان لنفي ما يوجب فساد الحكم المشرع المقصود، والمطلوب بتقييد الإمساك بالمعروف نفي الإمساك الواقع على نحو المضارّة،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وَلَاتُمْسِكُوهُنَّ ضِرَاراً لَّتَعْتَدُواْ</w:t>
      </w:r>
      <w:r>
        <w:rPr>
          <w:rStyle w:val="FootnoteAnchor"/>
          <w:rtl w:val="true"/>
        </w:rPr>
        <w:footnoteReference w:id="1770"/>
      </w:r>
      <w:r>
        <w:rPr>
          <w:rFonts w:ascii="Amiri" w:hAnsi="Amiri" w:eastAsia="Amiri" w:cs="Amiri"/>
          <w:color w:val="111111"/>
          <w:sz w:val="28"/>
          <w:sz w:val="28"/>
          <w:szCs w:val="28"/>
          <w:rtl w:val="true"/>
          <w:lang w:bidi="ar-SA"/>
        </w:rPr>
        <w:t xml:space="preserve">والمطلوب في مورد التسريح نفي أن يأخذ الزوج بعض ما آتاه للزوجة من المهر، ولا يكفي فيه تقييد التسريح بالمعروف كما فعل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الآتية، فإنّ مطالبة الزوج بعض ما آتاه زوجته وأخذه ربما لم ينكره التعارف الدائر بين الناس فزيد في تقييده بالإحسان في هذه الآية دون الآية الآتية ليستقيم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w:t>
      </w:r>
      <w:r>
        <w:rPr>
          <w:rFonts w:ascii="IRNazanin" w:hAnsi="IRNazanin" w:eastAsia="IRNazanin"/>
          <w:color w:val="111111"/>
          <w:sz w:val="28"/>
          <w:sz w:val="28"/>
          <w:szCs w:val="28"/>
          <w:rtl w:val="true"/>
          <w:lang w:bidi="fa-IR"/>
        </w:rPr>
        <w:t>،</w:t>
      </w:r>
      <w:r>
        <w:rPr>
          <w:rStyle w:val="FootnoteAnchor"/>
          <w:rtl w:val="true"/>
        </w:rPr>
        <w:footnoteReference w:id="1771"/>
      </w:r>
      <w:r>
        <w:rPr>
          <w:rFonts w:ascii="Amiri" w:hAnsi="Amiri" w:eastAsia="Amiri" w:cs="Amiri"/>
          <w:color w:val="111111"/>
          <w:sz w:val="28"/>
          <w:sz w:val="28"/>
          <w:szCs w:val="28"/>
          <w:rtl w:val="true"/>
          <w:lang w:bidi="ar-SA"/>
        </w:rPr>
        <w:t>وليتدارك ذلك ما يفوت المرأة من مزيّة الحياة التي في الزوجيّة والالتيام النكاحي،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 بمعروف ولا يحلّ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النكتة</w:t>
      </w:r>
      <w:r>
        <w:rPr>
          <w:rFonts w:eastAsia="Amiri" w:cs="Amiri" w:ascii="Amiri" w:hAnsi="Amiri"/>
          <w:color w:val="111111"/>
          <w:sz w:val="28"/>
          <w:szCs w:val="28"/>
          <w:rtl w:val="true"/>
          <w:lang w:bidi="ar-SA"/>
        </w:rPr>
        <w:t>.</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ويؤيّده ما قاله الراغب في مفرداته من أنّ الأخذ هو حوز الشيء</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ولكن يمكن أن يناقش فيما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الإحسان ربما تستعمل ويراد منه البرّ من دون عوض، 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w:t>
      </w:r>
      <w:r>
        <w:rPr>
          <w:rFonts w:ascii="IRNazanin" w:hAnsi="IRNazanin" w:eastAsia="IRNazanin"/>
          <w:color w:val="111111"/>
          <w:sz w:val="28"/>
          <w:sz w:val="28"/>
          <w:szCs w:val="28"/>
          <w:rtl w:val="true"/>
          <w:lang w:bidi="fa-IR"/>
        </w:rPr>
        <w:t>،</w:t>
      </w:r>
      <w:r>
        <w:rPr>
          <w:rStyle w:val="FootnoteAnchor"/>
          <w:rtl w:val="true"/>
        </w:rPr>
        <w:footnoteReference w:id="1774"/>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وَقَضَى رَبُّكَ أَلّا تَعْبُدُواْ إلّا إِيَّاهُ وَبِالْوَالِدَيْنِ إِحْسَانًاً</w:t>
      </w:r>
      <w:r>
        <w:rPr>
          <w:rFonts w:ascii="IRNazanin" w:hAnsi="IRNazanin" w:eastAsia="IRNazanin"/>
          <w:color w:val="111111"/>
          <w:sz w:val="28"/>
          <w:sz w:val="28"/>
          <w:szCs w:val="28"/>
          <w:rtl w:val="true"/>
          <w:lang w:bidi="fa-IR"/>
        </w:rPr>
        <w:t>؛</w:t>
      </w:r>
      <w:r>
        <w:rPr>
          <w:rStyle w:val="FootnoteAnchor"/>
          <w:rtl w:val="true"/>
        </w:rPr>
        <w:footnoteReference w:id="1775"/>
      </w:r>
      <w:r>
        <w:rPr>
          <w:rFonts w:ascii="IRNazanin" w:hAnsi="IRNazanin" w:eastAsia="IRNazanin"/>
          <w:color w:val="111111"/>
          <w:sz w:val="28"/>
          <w:sz w:val="28"/>
          <w:szCs w:val="28"/>
          <w:rtl w:val="true"/>
          <w:lang w:bidi="fa-IR"/>
        </w:rPr>
        <w:t>لأنّ الإحسان في الآية الأُولی غير العَدل وأعلى منه وهو لا يتمّ إلّا بالبرّ من دون عوض؛ لأنّ البرّ مع العوض هو العَدل، وكذا في الآية الثانية، فإنّ البرّ بالوالدين بعوض لا يعدّ إحساناً لهما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يراد منه ما يقابل الإساءة والظلم، كما ورد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لِأَنفُسِكُمْ وَإِنْ أَسَأْتُمْ فَلَهَا</w:t>
      </w:r>
      <w:r>
        <w:rPr>
          <w:rFonts w:ascii="IRNazanin" w:hAnsi="IRNazanin" w:eastAsia="IRNazanin"/>
          <w:color w:val="111111"/>
          <w:sz w:val="28"/>
          <w:sz w:val="28"/>
          <w:szCs w:val="28"/>
          <w:rtl w:val="true"/>
          <w:lang w:bidi="fa-IR"/>
        </w:rPr>
        <w:t>،</w:t>
      </w:r>
      <w:r>
        <w:rPr>
          <w:rStyle w:val="FootnoteAnchor"/>
          <w:rtl w:val="true"/>
        </w:rPr>
        <w:footnoteReference w:id="1776"/>
      </w:r>
      <w:r>
        <w:rPr>
          <w:rFonts w:ascii="Amiri" w:hAnsi="Amiri" w:eastAsia="Amiri" w:cs="Amiri"/>
          <w:color w:val="111111"/>
          <w:sz w:val="28"/>
          <w:sz w:val="28"/>
          <w:szCs w:val="28"/>
          <w:rtl w:val="true"/>
          <w:lang w:bidi="ar-SA"/>
        </w:rPr>
        <w:t xml:space="preserve">والإحسان بهذا المعنى يتحدّ معالمعروف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مصداقاً وإن كان خلافه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الإحسان في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Style w:val="FootnoteAnchor"/>
          <w:rtl w:val="true"/>
        </w:rPr>
        <w:footnoteReference w:id="1777"/>
      </w:r>
      <w:r>
        <w:rPr>
          <w:rFonts w:ascii="Amiri" w:hAnsi="Amiri" w:eastAsia="Amiri" w:cs="Amiri"/>
          <w:color w:val="111111"/>
          <w:sz w:val="28"/>
          <w:sz w:val="28"/>
          <w:szCs w:val="28"/>
          <w:rtl w:val="true"/>
          <w:lang w:bidi="ar-SA"/>
        </w:rPr>
        <w:t>ففيها احتمالان، كونه بمعنى البرّ من دون عوض، وكونه بمعنى يقابل الإساءة والظلم ولا معيّن لأحدهما فلا يثبت العموم حتّى يكون الصدر قرينة على الذيل، بل لا يبعد القول بأنّ المراد منه ما يقابل الإساءة والظلم؛ لأنّ التعميم في معنى الإحسان يلزم منه أوّلاً ذكر العامّ بعد الخاصّ، فإنّه تعالى قال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بِمَعْرُوفٍ أَوْ سَرِّحُوهُنَّ بِمَعْرُوفٍ</w:t>
      </w:r>
      <w:r>
        <w:rPr>
          <w:rStyle w:val="FootnoteAnchor"/>
          <w:rtl w:val="true"/>
        </w:rPr>
        <w:footnoteReference w:id="1778"/>
      </w:r>
      <w:r>
        <w:rPr>
          <w:rFonts w:ascii="Amiri" w:hAnsi="Amiri" w:eastAsia="Amiri" w:cs="Amiri"/>
          <w:color w:val="111111"/>
          <w:sz w:val="28"/>
          <w:sz w:val="28"/>
          <w:szCs w:val="28"/>
          <w:rtl w:val="true"/>
          <w:lang w:bidi="ar-SA"/>
        </w:rPr>
        <w:t xml:space="preserve">والتسريح بالمعروف أعمّ من التسريح بالإحسان على التعميم في معنى الإحسان، وثانياً عدم تماميّة الحصر، فإنّه تعالى حصر الطريق في الإمساك بالمعروف والتسريح بالإحسان، مع أنّ قوله تعالى فيما بعده يدلّ على جواز التسريح بالمعروف وهو غير التسريح بالإحسان حسب الفرض فلا يتمّ الحصر، وهاتان الجهتان قرينتان على عدم العموميّة للصدر أيضاً،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المحقّق القمي</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بالعوض ولو مع التئام الأخلاق وعدم الخوف من إقامة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مرّ أنّ الطلاق من حيث الرجوع،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للزوج دون الزوجة وهو الطلاق الرجعي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الأوّل وهو الخلع والمباراة</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الرجوع فيه، لا للرجل ولا للمرأة وهو الطلاق بعوض </w:t>
      </w:r>
      <w:bookmarkStart w:id="688" w:name="pg9375_99964"/>
    </w:p>
    <w:p>
      <w:pPr>
        <w:pStyle w:val="BookText"/>
        <w:rPr/>
      </w:pPr>
      <w:bookmarkEnd w:id="6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التراضي بعقد لازم كالهبة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الإقالة والفسخ برضا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الرجوع فيه لهما وهو الطلاق بعوض مع التراضي بعقد جائز كالجعالة</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5416905_2870459653"/>
      <w:bookmarkStart w:id="690" w:name="_Toc245"/>
      <w:bookmarkEnd w:id="689"/>
      <w:r>
        <w:rPr>
          <w:rtl w:val="true"/>
        </w:rPr>
        <w:t>جواز نكاح المختلعة والمبارئة للزوج بعقد جديد</w:t>
      </w:r>
      <w:bookmarkEnd w:id="6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للزوج نكاح المختلعة والمبارئة بعقد جديد ولو في عدّتهما إذا لم يتحقّق الرجوع منهما؛ لعدم المنع عن النكاح في عدّة نفسه وإنّما المحرّم هو الزواج في عدّة الغير</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5416907_2870459653"/>
      <w:bookmarkStart w:id="692" w:name="_Toc246"/>
      <w:bookmarkEnd w:id="691"/>
      <w:r>
        <w:rPr>
          <w:rtl w:val="true"/>
        </w:rPr>
        <w:t>جواز عضل الزوجة وعدمه إذا أتت بفاحشة</w:t>
      </w:r>
      <w:bookmarkEnd w:id="6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بفاحشة هل يجوز عضلها لتفدي نفسها أم لا؟ قال المحقّق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بفاحشة، جاز عضلها لتفدي نفسها،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منسوخٌ ولم يثبت</w:t>
      </w:r>
      <w:r>
        <w:rPr>
          <w:rFonts w:eastAsia="Amiri" w:cs="Amiri" w:ascii="Amiri" w:hAnsi="Amiri"/>
          <w:color w:val="111111"/>
          <w:sz w:val="28"/>
          <w:szCs w:val="28"/>
          <w:rtl w:val="true"/>
          <w:lang w:bidi="ar-SA"/>
        </w:rPr>
        <w:t>.</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جهات من البحث مراعياً للاختصار</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تَعْضُلُوهُنَّ لِتَذْهَبُواْ بِبَعْضِ مَا آتَيْتُمُوهُنَّ إلّا أَن يَأْتِينَ بِفَاحِشَةٍ مُّبَيِّنَةٍ</w:t>
      </w:r>
      <w:r>
        <w:rPr>
          <w:rStyle w:val="FootnoteAnchor"/>
          <w:rtl w:val="true"/>
        </w:rPr>
        <w:footnoteReference w:id="1781"/>
      </w:r>
      <w:r>
        <w:rPr>
          <w:rFonts w:ascii="Amiri" w:hAnsi="Amiri" w:eastAsia="Amiri" w:cs="Amiri"/>
          <w:color w:val="111111"/>
          <w:sz w:val="28"/>
          <w:sz w:val="28"/>
          <w:szCs w:val="28"/>
          <w:rtl w:val="true"/>
          <w:lang w:bidi="ar-SA"/>
        </w:rPr>
        <w:t>وعدمه، فذهب بعض إلى نسخها بآية حدّ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مِئَةَ جَلْدَةٍ وَلَا تَأْخُذْكُم بِهِمَا رَأْفَةٌ فِي دِينِ</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اللَّهِ إِن كُنتُمْ تُؤْمِنُونَ بِاللَّهِ وَالْيَوْمِ الْآخِرِ وَلْيَشْهَدْ عَذَابَهُمَا طَائِفَةٌ مِّنَ الْمُؤْمِنِينَ</w:t>
      </w:r>
      <w:r>
        <w:rPr>
          <w:rStyle w:val="FootnoteAnchor"/>
          <w:rtl w:val="true"/>
        </w:rPr>
        <w:footnoteReference w:id="1782"/>
      </w:r>
      <w:r>
        <w:rPr>
          <w:rFonts w:ascii="Amiri" w:hAnsi="Amiri" w:eastAsia="Amiri" w:cs="Amiri"/>
          <w:color w:val="111111"/>
          <w:sz w:val="28"/>
          <w:sz w:val="28"/>
          <w:szCs w:val="28"/>
          <w:rtl w:val="true"/>
          <w:lang w:bidi="ar-SA"/>
        </w:rPr>
        <w:t>وهو من العامّة ظاهراً ولا وجه له ولا دليل عليه بل الظاهر خلافه؛ لعدم المنافاة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الفاحشة المبيّنة؟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الزنا،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معصية، وبعض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يوجب الحدّ، والقدر المتيقّن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هذا الطلاق هو طلاق الخلع أو طلاق بالعوض على نحو خاصّ؟ فاستظهر المسالك</w:t>
      </w:r>
      <w:r>
        <w:rPr>
          <w:rStyle w:val="FootnoteAnchor"/>
          <w:rtl w:val="true"/>
        </w:rPr>
        <w:footnoteReference w:id="1783"/>
      </w:r>
      <w:r>
        <w:rPr>
          <w:rFonts w:ascii="Amiri" w:hAnsi="Amiri" w:eastAsia="Amiri" w:cs="Amiri"/>
          <w:color w:val="111111"/>
          <w:sz w:val="28"/>
          <w:sz w:val="28"/>
          <w:szCs w:val="28"/>
          <w:rtl w:val="true"/>
          <w:lang w:bidi="ar-SA"/>
        </w:rPr>
        <w:t>من كلمات الأصحاب كونه خلعاً، لكن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اختيار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واستشهد الجواهر على مختاره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قد عدّوه في باب الخلع،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كون المقام منه، وإلّا فقد صرّحت النصوص المستفيضة أو المتواترة بعدم حلّ أخذ شيء منها بدون كراهتها الظاهرة بالأقوال المزبورة، وقد عرفت أنّ الطلاق بالعوض لا مصداق له غير مورد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التأمّل في كلامهم في المقام وذكرهم الفدية ونحوها يشرف الفقيه على القطع بكون الفرض من مقام الخلع، وإلّا لذكروا له أحكاماً مستقلّة من كونه طلاقاً بائناً حينئذٍ أو رجعيّاً،وأنّه يجوز له الرجوع بما إفدته أو لا، إلى غير ذلك من الأحكام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بناءً على إرادة كلّ معصية من الفاحشة ينبغي القول بجواز إكراه المرأة على إفدائها بكلّ ما يقترحه عليها أو بمقدار ما وصل إليها منه أو بعضه بمجرّد غيبة أو كذبة أو غير ذلك من المعاصي وإن كانت المرأة كارهة للفراق ومحبّة لزوجها، وهو حكم غريب لم يذكره فقيه، ولابحثوا عنه، ولا ذكروا له أحكاماً، وكذا لو قلنا بأنّ المراد منها الزنا أو ما يوجب الحدّ، بل لعلّ القول بجواز الإكراه لها بما لا يجوز له قبل الفاحشة من سائر أفراد الظلم حتّى تفدي نفسها من المستنكرات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فالأولی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جواز إكراه المرأة الكارهة لزوجها التي هي موضوع الخلع إذا جاءت بالفاحشة، وهي نشوزها وخروجها عن طاعته؛ لكراهتها له بالتضييق عليها من الهجر وقطع النفقة وغير ذلك ممّا هو جائز لها حتّى تفدي نفسها منه بما يشاء منها، وهو في الحقيقة ليس إكراهاً بما لا يجوز له، بل هو إكراه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جيّداً؛ فإنّ المقام غير محرّر في كلماتهم، والله العالم</w:t>
      </w:r>
      <w:r>
        <w:rPr>
          <w:rFonts w:eastAsia="IRNazanin" w:cs="IRNazanin"/>
          <w:color w:val="111111"/>
          <w:sz w:val="28"/>
          <w:szCs w:val="28"/>
          <w:rtl w:val="true"/>
          <w:lang w:bidi="fa-IR"/>
        </w:rPr>
        <w:t>.</w:t>
      </w:r>
      <w:r>
        <w:rPr>
          <w:rStyle w:val="FootnoteAnchor"/>
          <w:rtl w:val="true"/>
        </w:rPr>
        <w:footnoteReference w:id="178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على الأوّل أنّ الأنسب، بل الأولی هو الأخذ بإطلاق آية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يَحِلُّ لَكُمْ أَن تَأْخُذُواْ مِمَّا آتَيْتُمُوهُنَّ شَيْئاً</w:t>
      </w:r>
      <w:r>
        <w:rPr>
          <w:rFonts w:ascii="IRNazanin" w:hAnsi="IRNazanin" w:eastAsia="IRNazanin"/>
          <w:color w:val="111111"/>
          <w:sz w:val="28"/>
          <w:sz w:val="28"/>
          <w:szCs w:val="28"/>
          <w:rtl w:val="true"/>
          <w:lang w:bidi="fa-IR"/>
        </w:rPr>
        <w:t>،</w:t>
      </w:r>
      <w:r>
        <w:rPr>
          <w:rStyle w:val="FootnoteAnchor"/>
          <w:rtl w:val="true"/>
        </w:rPr>
        <w:footnoteReference w:id="1785"/>
      </w:r>
      <w:r>
        <w:rPr>
          <w:rFonts w:ascii="Amiri" w:hAnsi="Amiri" w:eastAsia="Amiri" w:cs="Amiri"/>
          <w:color w:val="111111"/>
          <w:sz w:val="28"/>
          <w:sz w:val="28"/>
          <w:szCs w:val="28"/>
          <w:rtl w:val="true"/>
          <w:lang w:bidi="ar-SA"/>
        </w:rPr>
        <w:t xml:space="preserve">فإنّها الأصل للروايات، وعلى الثاني، أنّ ذكرهم هذا في كتاب الخلع بعنوان مسألة مستقلّة ملحقة في الباب، إن لم يدلّ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ليس بخلع فلا أقلّ من احتماله وعدم ذكر الأحكام فلعلّه لوضوحها هنا، وعلى الثالث أنّ الاستنكار محقّق في جواز العضل في كلّ معصية ترتكبها ولكن لا مانع من الالتزام بالجواز عند ارتكابها الزنا وهي محصنة خائنة فللزوج أن يضرّ بها حتّى تعطيه ماله وحتّى ما ورثته، ولا يخفى رادعيّة هذا الحكم عن زنا المحصنة، وتخصيص الآية بالكارهة لا دليل عليه، وتفسير الفاحشة بالنشوز أيضاً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المسألة أنّ الظاهر من الفاحشة المبيّنة هو الفاحشة المناسبة للزوجيّة،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 كإيذاء أقربائه والجيران وسرقة ما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باب العدّه المفسّرة للفاحشة المبيّنة بالسرقة وإيذاء أهل الزوج، والزنا من أظهرها، فللزوج عضلها مع ارتكابها تلك الأُمور وإن لم تكن كارهة له، والآية مخصّصة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6"/>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كتاب الخلع، والحمد لله ربّ العالمين</w:t>
      </w:r>
      <w:r>
        <w:rPr>
          <w:rFonts w:eastAsia="Amiri" w:cs="Amiri" w:ascii="Amiri" w:hAnsi="Amiri"/>
          <w:color w:val="111111"/>
          <w:sz w:val="28"/>
          <w:szCs w:val="28"/>
          <w:rtl w:val="true"/>
          <w:lang w:bidi="ar-SA"/>
        </w:rPr>
        <w:t>.</w:t>
      </w:r>
      <w:r>
        <w:rPr>
          <w:rStyle w:val="FootnoteAnchor"/>
          <w:rtl w:val="true"/>
        </w:rPr>
        <w:footnoteReference w:id="1787"/>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الظهار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9375_99971"/>
      <w:bookmarkStart w:id="694" w:name="pg9375_99971"/>
      <w:bookmarkEnd w:id="694"/>
    </w:p>
    <w:p>
      <w:pPr>
        <w:pStyle w:val="Heading2"/>
        <w:numPr>
          <w:ilvl w:val="1"/>
          <w:numId w:val="1"/>
        </w:numPr>
        <w:rPr/>
      </w:pPr>
      <w:bookmarkStart w:id="695" w:name="pg9375_99971"/>
      <w:bookmarkStart w:id="696" w:name="__RefHeading___Toc5416909_2870459653"/>
      <w:bookmarkStart w:id="697" w:name="_Toc247"/>
      <w:bookmarkEnd w:id="695"/>
      <w:bookmarkEnd w:id="696"/>
      <w:r>
        <w:rPr>
          <w:rtl w:val="true"/>
        </w:rPr>
        <w:t>کتاب الظهار</w:t>
      </w:r>
      <w:bookmarkEnd w:id="697"/>
    </w:p>
    <w:p>
      <w:pPr>
        <w:pStyle w:val="Heading3"/>
        <w:numPr>
          <w:ilvl w:val="2"/>
          <w:numId w:val="1"/>
        </w:numPr>
        <w:rPr/>
      </w:pPr>
      <w:bookmarkStart w:id="698" w:name="__RefHeading___Toc5416911_2870459653"/>
      <w:bookmarkStart w:id="699" w:name="_Toc248"/>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الذي كان طلاقاً في الجاهليّة وموجباً للحرمة الأبديّة، وقد غيّر شرع الإسلام حكمه وجعله موجباً لتحريم الزوجة المظاهرة ولزوم الكفّارة بالعود كما ستعرف تفصيله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5416913_2870459653"/>
      <w:bookmarkStart w:id="701" w:name="_Toc249"/>
      <w:bookmarkEnd w:id="700"/>
      <w:r>
        <w:rPr>
          <w:rtl w:val="true"/>
        </w:rPr>
        <w:t>تعريف الظهار</w:t>
      </w:r>
      <w:bookmarkEnd w:id="7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كالمظاهرة، مأخوذ من الظهر؛ لأنّ الأصل في الظهار قول الرجل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يمكن تعريف الظهار بما يوافق كلّ المباني الموجودة في المسألة؛ لأنّ مختار بعضهم صحّته في الأُمّ فقط، وبعضهم الآخر الاختصاص بالمحارم النسبيّة، وثالث بجريانه في كلّ المحارم وإن كانت رضاعيّة أو حاصلة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ما ذكره الشهيد الثاني في تعريفه غير تامّ،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وحقيقته الشرعيّة تشبيه الزوج زوجته ولو مطلقة رجعيّة في العدّة بمحرمه نسباً أو رضاعاً،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مصاهرة على ما سيأتي منالخلاف فيه</w:t>
      </w:r>
      <w:r>
        <w:rPr>
          <w:rFonts w:eastAsia="Amiri" w:cs="Amiri" w:ascii="Amiri" w:hAnsi="Amiri"/>
          <w:color w:val="111111"/>
          <w:sz w:val="28"/>
          <w:szCs w:val="28"/>
          <w:rtl w:val="true"/>
          <w:lang w:bidi="ar-SA"/>
        </w:rPr>
        <w:t>.</w:t>
      </w:r>
      <w:r>
        <w:rPr>
          <w:rStyle w:val="FootnoteAnchor"/>
          <w:rtl w:val="true"/>
        </w:rPr>
        <w:footnoteReference w:id="1788"/>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ليس له حقيقة شرعيّة وأنّه ليس من مبدعات الشرع، فالمتّبع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حقيقته معناه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القدر المتيقّن من مصاديقه هو قوله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سائر التفاسير، ولا يخفى وجه المشابهة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الظهار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 الَّذِينَ يُظَاهِرُونَ مِنكُم مِّن نِّسَائِهِم مَّا هُنَّ أُمَّهَاتِهِمْ إِنْ أُمَّهَاتُهُمْ إِلَّا اللَّائي وَلَدْنَهُمْ وَإِنَّهُمْ لَيَقُولُونَ مُنكَراً مِّنَ الْقَوْلِ وَزُوراً وَإِنَّ اللهَ لَعَفُوٌّ غَفُورٌ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ودلالة الآية 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 على نفي الأُمومة من المظاهرة واضحة، فأحكام الأُمّ وآثارها الواردة في سبب نزولها بكونه معصية منتفية عنها بلا إشكال ولاكلام، كما أنّه لا إشكال ولا كلام لاحد من الفقهاء من الخاصّة والعامّة في دلالتها على حرمة الظهار وكونه معصية؛ لأنّه منكرٌ من القول وزور، وهما محرّمان مع تصريح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كون هذه الحرمة موجبة لاستحقاق العقوبة الأُخرويّة كبقيّة المحرّمات أم ليس فيها إلّا الكفّارة، وهي العقوبة الدنيويّة؟</w:t>
      </w:r>
    </w:p>
    <w:p>
      <w:pPr>
        <w:pStyle w:val="BookText"/>
        <w:rPr/>
      </w:pPr>
      <w:r>
        <w:rPr>
          <w:rFonts w:ascii="Amiri" w:hAnsi="Amiri" w:eastAsia="Amiri" w:cs="Amiri"/>
          <w:color w:val="111111"/>
          <w:sz w:val="28"/>
          <w:sz w:val="28"/>
          <w:szCs w:val="28"/>
          <w:rtl w:val="true"/>
          <w:lang w:bidi="ar-SA"/>
        </w:rPr>
        <w:t>وفي الشرائع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الظهار محرّم؛ لاتّصافه بالمنكر، وقيل لا عقاب فيه لتعقّبه بالعفو</w:t>
      </w:r>
      <w:r>
        <w:rPr>
          <w:rFonts w:eastAsia="Amiri" w:cs="Amiri" w:ascii="Amiri" w:hAnsi="Amiri"/>
          <w:color w:val="111111"/>
          <w:sz w:val="28"/>
          <w:szCs w:val="28"/>
          <w:rtl w:val="true"/>
          <w:lang w:bidi="ar-SA"/>
        </w:rPr>
        <w:t>.</w:t>
      </w:r>
      <w:r>
        <w:rPr>
          <w:rStyle w:val="FootnoteAnchor"/>
          <w:rtl w:val="true"/>
        </w:rPr>
        <w:footnoteReference w:id="1790"/>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وصفه تعالى بالعفو والغفران فعليّتهما بهذا النوعمن المعصية وذكره بعده لا يدلّ عليه، فإنّه تعالى موصوفٌ بذلك، عفى عن هذا الذنب الخاصّ أو لم يعف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تعقّبه له لا يخلو من باعثٍ على الرجاء والطمع في عفو الله تعالى، ونظائره في القرآن كثيرة،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فِيمَا أَخْطَأْتُم بِهِ وَلَكِن مَّا تَعَمَّدَتْ قُلُوبُكُمْ وَكَانَ اللهَ غَفُوراً رَّحِيماً</w:t>
      </w:r>
      <w:r>
        <w:rPr>
          <w:rFonts w:ascii="IRNazanin" w:hAnsi="IRNazanin" w:eastAsia="IRNazanin"/>
          <w:color w:val="111111"/>
          <w:sz w:val="28"/>
          <w:sz w:val="28"/>
          <w:szCs w:val="28"/>
          <w:rtl w:val="true"/>
          <w:lang w:bidi="fa-IR"/>
        </w:rPr>
        <w:t>،</w:t>
      </w:r>
      <w:r>
        <w:rPr>
          <w:rStyle w:val="FootnoteAnchor"/>
          <w:rtl w:val="true"/>
        </w:rPr>
        <w:footnoteReference w:id="179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نفس الآية الشريفة، وإلّا فقد عرفت التصريح في الرواية الواردة في سبب نزولها بكونه معصية موجبة للكفّارة، وإنّما العفو كان لأوّل الفاعلين باعتبار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الحرمة على هذا النحو غير معقولة عادة؛ لأنّ النهي لابدّ وأن يكون بداعي الزجر، والزجر للعامّة ليس إلّا 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الخواصّ يحصل الزجر بغيره أيضاً لكنّه غير مربوطٍ بالعامّة من الناس وهم المناط في التكاليف لا 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الكفّارة وإن كانت عقوبة إلّا أنّها ليست لنفس الظهار بل للوطئ، كما عليه الكتاب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يُظَاهِرُونَ مِن نِّسَائِهِمْ ثُمَّ يَعُودُونَ لِمَا قَالُوا فَتَحْرِيرُ رَقَبَةٍ مِّن قَبْلِ أَن يَتَمَاسَّا ذَلِكُمْ تُوعَظُونَ بِهِ وَاللَّهُ بِمَا تَعْمَلُونَ خَبِيرٌ</w:t>
      </w:r>
      <w:r>
        <w:rPr>
          <w:rFonts w:ascii="IRNazanin" w:hAnsi="IRNazanin" w:eastAsia="IRNazanin"/>
          <w:color w:val="111111"/>
          <w:sz w:val="28"/>
          <w:sz w:val="28"/>
          <w:szCs w:val="28"/>
          <w:rtl w:val="true"/>
          <w:lang w:bidi="fa-IR"/>
        </w:rPr>
        <w:t>،</w:t>
      </w:r>
      <w:r>
        <w:rPr>
          <w:rStyle w:val="FootnoteAnchor"/>
          <w:rtl w:val="true"/>
        </w:rPr>
        <w:footnoteReference w:id="1792"/>
      </w:r>
      <w:r>
        <w:rPr>
          <w:rFonts w:ascii="Amiri" w:hAnsi="Amiri" w:eastAsia="Amiri" w:cs="Amiri"/>
          <w:color w:val="111111"/>
          <w:sz w:val="28"/>
          <w:sz w:val="28"/>
          <w:szCs w:val="28"/>
          <w:rtl w:val="true"/>
          <w:lang w:bidi="ar-SA"/>
        </w:rPr>
        <w:t>كما مرّ آنفاً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بن درّاج،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الظهار متى يقع على صاحبه الكفّارة؟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أن يواقع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يواقعها أ عليه كفّارة؟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سقطت عنه الكفّارة</w:t>
      </w:r>
      <w:r>
        <w:rPr>
          <w:rFonts w:eastAsia="IRNazanin" w:cs="IRNazanin"/>
          <w:color w:val="111111"/>
          <w:sz w:val="28"/>
          <w:szCs w:val="28"/>
          <w:rtl w:val="true"/>
          <w:lang w:bidi="fa-IR"/>
        </w:rPr>
        <w:t>».</w:t>
      </w:r>
      <w:r>
        <w:rPr>
          <w:rStyle w:val="FootnoteAnchor"/>
          <w:rtl w:val="true"/>
        </w:rPr>
        <w:footnoteReference w:id="1793"/>
      </w:r>
      <w:r>
        <w:rPr>
          <w:rFonts w:ascii="Amiri" w:hAnsi="Amiri" w:eastAsia="Amiri" w:cs="Amiri"/>
          <w:color w:val="111111"/>
          <w:sz w:val="28"/>
          <w:sz w:val="28"/>
          <w:szCs w:val="28"/>
          <w:rtl w:val="true"/>
          <w:lang w:bidi="ar-SA"/>
        </w:rPr>
        <w:t>ومثلها ما يأتي في محلّه</w:t>
      </w:r>
      <w:r>
        <w:rPr>
          <w:rFonts w:eastAsia="Amiri" w:cs="Amiri" w:ascii="Amiri" w:hAnsi="Amiri"/>
          <w:color w:val="111111"/>
          <w:sz w:val="28"/>
          <w:szCs w:val="28"/>
          <w:rtl w:val="true"/>
          <w:lang w:bidi="ar-SA"/>
        </w:rPr>
        <w:t xml:space="preserve">. </w:t>
      </w:r>
      <w:bookmarkStart w:id="702" w:name="pg9375_99974"/>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الظهار أن يقول الزوج مخاطباً للزوجة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أصلاً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كظهر أُمّي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شبّهها</w:t>
      </w:r>
    </w:p>
    <w:p>
      <w:pPr>
        <w:pStyle w:val="Heading3"/>
        <w:numPr>
          <w:ilvl w:val="2"/>
          <w:numId w:val="1"/>
        </w:numPr>
        <w:rPr/>
      </w:pPr>
      <w:bookmarkStart w:id="703" w:name="__RefHeading___Toc5416915_2870459653"/>
      <w:bookmarkStart w:id="704" w:name="_Toc250"/>
      <w:bookmarkEnd w:id="703"/>
      <w:r>
        <w:rPr>
          <w:rtl w:val="true"/>
        </w:rPr>
        <w:t>صيغة الظهار</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وفتوىً وهو موضع وفاقٍ، بل عليه وفاق علماء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يكون معرّفاً للمراة يكون كافياً في الصيغة ولا خصوصيّة لضمير الخطاب كما لا يخفى، ولذا نلاحظ أنّ الشهيد الثاني ذهب إلى أنّ كفاية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معناها وما شاكلها من الألفاظ الدالّة على تمييزها عن غيرها أيضاً محلّ وفاقٍ</w:t>
      </w:r>
      <w:r>
        <w:rPr>
          <w:rFonts w:eastAsia="Amiri" w:cs="Amiri" w:ascii="Amiri" w:hAnsi="Amiri"/>
          <w:color w:val="111111"/>
          <w:sz w:val="28"/>
          <w:szCs w:val="28"/>
          <w:rtl w:val="true"/>
          <w:lang w:bidi="ar-SA"/>
        </w:rPr>
        <w:t>.</w:t>
      </w:r>
      <w:r>
        <w:rPr>
          <w:rStyle w:val="FootnoteAnchor"/>
          <w:rtl w:val="true"/>
        </w:rPr>
        <w:footnoteReference w:id="17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خصوصيّة ما ذكر في النصوص؛ وذلك لإلغاء الخصوصيّة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استدلّ به صاحب الجواهر</w:t>
      </w:r>
      <w:r>
        <w:rPr>
          <w:rStyle w:val="FootnoteAnchor"/>
          <w:rtl w:val="true"/>
        </w:rPr>
        <w:footnoteReference w:id="1795"/>
      </w:r>
      <w:r>
        <w:rPr>
          <w:rFonts w:ascii="Amiri" w:hAnsi="Amiri" w:eastAsia="Amiri" w:cs="Amiri"/>
          <w:color w:val="111111"/>
          <w:sz w:val="28"/>
          <w:sz w:val="28"/>
          <w:szCs w:val="28"/>
          <w:rtl w:val="true"/>
          <w:lang w:bidi="ar-SA"/>
        </w:rPr>
        <w:t xml:space="preserve">من أنّ اختلاف النصوص في الصيغ يدلّ على عدم خصوصيّة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لظهورها في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عليه العلّامة في التحرير</w:t>
      </w:r>
      <w:r>
        <w:rPr>
          <w:rStyle w:val="FootnoteAnchor"/>
          <w:rtl w:val="true"/>
        </w:rPr>
        <w:footnoteReference w:id="1796"/>
      </w:r>
      <w:r>
        <w:rPr>
          <w:rFonts w:ascii="Amiri" w:hAnsi="Amiri" w:eastAsia="Amiri" w:cs="Amiri"/>
          <w:color w:val="111111"/>
          <w:sz w:val="28"/>
          <w:sz w:val="28"/>
          <w:szCs w:val="28"/>
          <w:rtl w:val="true"/>
          <w:lang w:bidi="ar-SA"/>
        </w:rPr>
        <w:t>ووجّه الإشكال في المسالك</w:t>
      </w:r>
      <w:r>
        <w:rPr>
          <w:rStyle w:val="FootnoteAnchor"/>
          <w:rtl w:val="true"/>
        </w:rPr>
        <w:footnoteReference w:id="1797"/>
      </w:r>
      <w:r>
        <w:rPr>
          <w:rFonts w:ascii="Amiri" w:hAnsi="Amiri" w:eastAsia="Amiri" w:cs="Amiri"/>
          <w:color w:val="111111"/>
          <w:sz w:val="28"/>
          <w:sz w:val="28"/>
          <w:szCs w:val="28"/>
          <w:rtl w:val="true"/>
          <w:lang w:bidi="ar-SA"/>
        </w:rPr>
        <w:t xml:space="preserve">بأنّ عدم الإتيان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احتمال الرجوع إلى نفسه وإلى غيره، وهذا يختلف عن صيغة الطلاق،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الأوّل فقط</w:t>
      </w:r>
      <w:r>
        <w:rPr>
          <w:rFonts w:eastAsia="Amiri" w:cs="Amiri" w:ascii="Amiri" w:hAnsi="Amiri"/>
          <w:color w:val="111111"/>
          <w:sz w:val="28"/>
          <w:szCs w:val="28"/>
          <w:rtl w:val="true"/>
          <w:lang w:bidi="ar-SA"/>
        </w:rPr>
        <w:t xml:space="preserve">. </w:t>
      </w:r>
      <w:bookmarkStart w:id="705" w:name="pg9375_99975"/>
    </w:p>
    <w:p>
      <w:pPr>
        <w:pStyle w:val="BookText"/>
        <w:rPr/>
      </w:pPr>
      <w:bookmarkEnd w:id="705"/>
      <w:r>
        <w:rPr>
          <w:rFonts w:ascii="Amiri" w:hAnsi="Amiri" w:eastAsia="Amiri" w:cs="Amiri"/>
          <w:color w:val="111111"/>
          <w:sz w:val="28"/>
          <w:sz w:val="28"/>
          <w:szCs w:val="28"/>
          <w:rtl w:val="true"/>
          <w:lang w:bidi="ar-SA"/>
        </w:rPr>
        <w:t>بجزء آخر من أجزاء الأُمّ غير الظهر، كرأسها أو يدها أو بطنها،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وقوع الظهار 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5416917_2870459653"/>
      <w:bookmarkStart w:id="707" w:name="_Toc251"/>
      <w:bookmarkEnd w:id="706"/>
      <w:r>
        <w:rPr>
          <w:rtl w:val="true"/>
        </w:rPr>
        <w:t>حكم التشبيه بسائر أعضاء الأُمّ غير الظهر</w:t>
      </w:r>
      <w:bookmarkEnd w:id="7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للشيخ في الخلاف،</w:t>
      </w:r>
      <w:r>
        <w:rPr>
          <w:rStyle w:val="FootnoteAnchor"/>
          <w:rtl w:val="true"/>
        </w:rPr>
        <w:footnoteReference w:id="1798"/>
      </w:r>
      <w:r>
        <w:rPr>
          <w:rFonts w:ascii="Amiri" w:hAnsi="Amiri" w:eastAsia="Amiri" w:cs="Amiri"/>
          <w:color w:val="111111"/>
          <w:sz w:val="28"/>
          <w:sz w:val="28"/>
          <w:szCs w:val="28"/>
          <w:rtl w:val="true"/>
          <w:lang w:bidi="ar-SA"/>
        </w:rPr>
        <w:t>بل فيه ادّعاء الإجماع على ذلك، والثاني للسيّد المرتضى،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والمتأخّرين، بل في انتصاره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انفردت به الإماميّة</w:t>
      </w:r>
      <w:r>
        <w:rPr>
          <w:rFonts w:eastAsia="Amiri" w:cs="Amiri" w:ascii="Amiri" w:hAnsi="Amiri"/>
          <w:color w:val="111111"/>
          <w:sz w:val="28"/>
          <w:szCs w:val="28"/>
          <w:rtl w:val="true"/>
          <w:lang w:bidi="ar-SA"/>
        </w:rPr>
        <w:t>.</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دليل الأوّل خبر سدير،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كشعر أُمّي أو ككفّها أو كبطنها أو كرجلها،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عنى به؟ إن أراد به الظهار فهو الظهار</w:t>
      </w:r>
      <w:r>
        <w:rPr>
          <w:rFonts w:eastAsia="IRNazanin" w:cs="IRNazanin"/>
          <w:color w:val="111111"/>
          <w:sz w:val="28"/>
          <w:szCs w:val="28"/>
          <w:rtl w:val="true"/>
          <w:lang w:bidi="fa-IR"/>
        </w:rPr>
        <w:t>».</w:t>
      </w:r>
      <w:r>
        <w:rPr>
          <w:rStyle w:val="FootnoteAnchor"/>
          <w:rtl w:val="true"/>
        </w:rPr>
        <w:footnoteReference w:id="1800"/>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سنده منجبرٌ بما عن الشيخ في الخلاف من الإجماع على ذلك،</w:t>
      </w:r>
      <w:r>
        <w:rPr>
          <w:rStyle w:val="FootnoteAnchor"/>
          <w:rtl w:val="true"/>
        </w:rPr>
        <w:footnoteReference w:id="1801"/>
      </w:r>
      <w:r>
        <w:rPr>
          <w:rFonts w:ascii="IRNazanin" w:hAnsi="IRNazanin" w:eastAsia="IRNazanin"/>
          <w:color w:val="111111"/>
          <w:sz w:val="28"/>
          <w:sz w:val="28"/>
          <w:szCs w:val="28"/>
          <w:rtl w:val="true"/>
          <w:lang w:bidi="fa-IR"/>
        </w:rPr>
        <w:t>بل وبعمل الصدوق</w:t>
      </w:r>
      <w:r>
        <w:rPr>
          <w:rStyle w:val="FootnoteAnchor"/>
          <w:rtl w:val="true"/>
        </w:rPr>
        <w:footnoteReference w:id="1802"/>
      </w:r>
      <w:r>
        <w:rPr>
          <w:rFonts w:ascii="Amiri" w:hAnsi="Amiri" w:eastAsia="Amiri" w:cs="Amiri"/>
          <w:color w:val="111111"/>
          <w:sz w:val="28"/>
          <w:sz w:val="28"/>
          <w:szCs w:val="28"/>
          <w:rtl w:val="true"/>
          <w:lang w:bidi="ar-SA"/>
        </w:rPr>
        <w:t>والقاضي</w:t>
      </w:r>
      <w:r>
        <w:rPr>
          <w:rStyle w:val="FootnoteAnchor"/>
          <w:rtl w:val="true"/>
        </w:rPr>
        <w:footnoteReference w:id="1803"/>
      </w:r>
      <w:r>
        <w:rPr>
          <w:rFonts w:ascii="Amiri" w:hAnsi="Amiri" w:eastAsia="Amiri" w:cs="Amiri"/>
          <w:color w:val="111111"/>
          <w:sz w:val="28"/>
          <w:sz w:val="28"/>
          <w:szCs w:val="28"/>
          <w:rtl w:val="true"/>
          <w:lang w:bidi="ar-SA"/>
        </w:rPr>
        <w:t>وابن حمزة،</w:t>
      </w:r>
      <w:r>
        <w:rPr>
          <w:rStyle w:val="FootnoteAnchor"/>
          <w:rtl w:val="true"/>
        </w:rPr>
        <w:footnoteReference w:id="1804"/>
      </w:r>
      <w:r>
        <w:rPr>
          <w:rFonts w:ascii="Amiri" w:hAnsi="Amiri" w:eastAsia="Amiri" w:cs="Amiri"/>
          <w:color w:val="111111"/>
          <w:sz w:val="28"/>
          <w:sz w:val="28"/>
          <w:szCs w:val="28"/>
          <w:rtl w:val="true"/>
          <w:lang w:bidi="ar-SA"/>
        </w:rPr>
        <w:t>فإنّ ذلك مع روايتها في التهذيب</w:t>
      </w:r>
      <w:r>
        <w:rPr>
          <w:rStyle w:val="FootnoteAnchor"/>
          <w:rtl w:val="true"/>
        </w:rPr>
        <w:footnoteReference w:id="1805"/>
      </w:r>
      <w:r>
        <w:rPr>
          <w:rFonts w:ascii="IRNazanin" w:hAnsi="IRNazanin" w:eastAsia="IRNazanin"/>
          <w:color w:val="111111"/>
          <w:sz w:val="28"/>
          <w:sz w:val="28"/>
          <w:szCs w:val="28"/>
          <w:rtl w:val="true"/>
          <w:lang w:bidi="fa-IR"/>
        </w:rPr>
        <w:t>الذي هو أحد الكتب المعتبرة المبيّنة كافٍ في جواز العملبها، خصوصاً بعد اعتضاده بمرسلة يونس،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كظهر أُمّي أو كيدها أو كبطنها أو كفرجها أو كنفسها أو ككعبها، أ يكون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الظهار؟ وهل يلزمه فيه ما يلزم المظاهر؟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المظاهر إذا ظاهر من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عليه كظهر أمّه أو كيدها أو كرجلها أو كشعرها أو كشيء منها ينوي بذلك التحريم فقد لزمه الكفّارة في كلّ قليل منها أو كثير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 أنّه مضافاً إلى أنّ إجماع الخلاف مع مصير السيّد، بل والمتأخّرين، بل ومع ادّعائه أنّ عدم الوقوع ممّا انفردت به الإماميّة غير كافٍ في الانجبار، تعارضهما صحيحة زرارة، وهي مقدّمة عليهما لوجوهٍ كما لا يخفی، ففي حديث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كيف الظهار؟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الرجل لامرأته، وهي طاهر من غير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مثل ظهر أُمّي، وهو يريد بذلك الظهار</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وكذا 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لأمرأته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عمّته أو خالته،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الظهار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8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والاستدلال يكون بالحصر في مقام الجواب عن السؤال عن كيفيّة الظهار في الأُولی وبتقديم المبتدأ على الخبر الظاهر في الحصر في الثانية</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في الأُولی يكون عن الكيفيّة من حيث الشرائط كما يظهر من الجواب، وأمّا الصيغة، فلم تكن مورداً له لمعلوميّته،وذكر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لتكميل الجواب، وفي الثانية، الحصر يكون مربوطاً بالمحارم النسبيّة وبالنسبة إليها لا بالنسبة إلى الأعضاء أو هي مع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وتأمّل</w:t>
      </w:r>
      <w:r>
        <w:rPr>
          <w:rFonts w:eastAsia="IRNazanin" w:cs="IRNazanin"/>
          <w:color w:val="111111"/>
          <w:sz w:val="28"/>
          <w:szCs w:val="28"/>
          <w:rtl w:val="true"/>
          <w:lang w:bidi="fa-IR"/>
        </w:rPr>
        <w:t xml:space="preserve">. </w:t>
      </w:r>
      <w:bookmarkStart w:id="708" w:name="pg9375_99977"/>
    </w:p>
    <w:p>
      <w:pPr>
        <w:pStyle w:val="BookText"/>
        <w:rPr/>
      </w:pPr>
      <w:bookmarkEnd w:id="708"/>
      <w:r>
        <w:rPr>
          <w:rFonts w:ascii="Amiri" w:hAnsi="Amiri" w:eastAsia="Amiri" w:cs="Amiri"/>
          <w:color w:val="111111"/>
          <w:sz w:val="28"/>
          <w:sz w:val="28"/>
          <w:szCs w:val="28"/>
          <w:rtl w:val="true"/>
          <w:lang w:bidi="ar-SA"/>
        </w:rPr>
        <w:t>أحوطهما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كأُمّي أو أُمّي قاصداً به التحريم لا علوّ المنزلة والتعظيم أو كبر السنّ وغير ذلك لم يقع وإن كان الأحوط وقوعه، بل لا يترك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شبّهها بإحدى المحارم النسبيّة غير الأُمّ، كالبنت والأُخت، فمع ذكر الظهر بأن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الظهار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مقتضى الأصل، بل الأُصول عدم حصوله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غير ذلك وهو عدم الوقوع؛ للأصل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وعدمه، والأوّل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بالتحريم؛ لأنّ التشبيه بتمام أجزاء الأُمّ التي منها الظهر الذي هو محلّ النصّ والفتوى أولى في إفادة الحرمة من التشبيه ببعض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الظهر إنّما أتى به بغرض الإشارة إلى حرمة الأُمّ وهذا الغرض حاصل في التشبيه بنفس الأُمّ أيضاً فلا مدخليّة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كليهما ما لا يخفى،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الباب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تحريم الظهار ووجوب الكفّارة ردعاً لسنّة الجاهليّة التي للظهر خصوصيّة فيها، وأمّا غير المشتمل على الظهر لم يكن عند الجاهليّة ظهاراً حتّى تكون الأدلّة ناظرة إليه، فيقتصر على مورد الدليل وهو بعض الأجزاء، فلا وجه للزوم الاحتياط</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5416919_2870459653"/>
      <w:bookmarkStart w:id="710" w:name="_Toc252"/>
      <w:bookmarkEnd w:id="709"/>
      <w:r>
        <w:rPr>
          <w:rtl w:val="true"/>
        </w:rPr>
        <w:t>التشبيه بغير الأُمّ من المحارم النسبيّة</w:t>
      </w:r>
      <w:bookmarkEnd w:id="710"/>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الأشهر روايةً وفتوىً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كلّ ذي محرم من أمّ أو أُخت أو عمّة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خالة، ولا يكون الظهار في 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80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مرّ</w:t>
      </w:r>
      <w:r>
        <w:rPr>
          <w:rStyle w:val="FootnoteAnchor"/>
          <w:rtl w:val="true"/>
        </w:rPr>
        <w:footnoteReference w:id="1810"/>
      </w:r>
      <w:r>
        <w:rPr>
          <w:rFonts w:ascii="IRNazanin" w:hAnsi="IRNazanin" w:eastAsia="IRNazanin"/>
          <w:color w:val="111111"/>
          <w:sz w:val="28"/>
          <w:sz w:val="28"/>
          <w:szCs w:val="28"/>
          <w:rtl w:val="true"/>
          <w:lang w:bidi="fa-IR"/>
        </w:rPr>
        <w:t>من صحيحة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عمّته أو خالته،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الظهار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81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صحيحة سيف التمّار، فاستدلّ بها الطرفان؛ لما لا يخفى،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ظهر أُختي أو عمّتي أو خالتي،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ذكر الله الأُمّهات وأنّ هذا لحرام</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فاستدلّ بها لقول المشهور بتقريب أنّ المشار إليه في الأخير هو الصدر، فتدلّ على أنّ الأُخت والعمّة والخالة كالأُمّ في الظهار وأنّ المحرم بالقرآن هو الأُمّهات وبالسنّة غيرها من المحارم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وللقول الآخر بأنّ المشارإليه هو الذيل؛ أي الأُمّهات، فتدلّ على عدم حرمة ما اشتمل على غير الأُمّ من المحارم النسبيّة، ففي الرواية احتمالان، فلا تعارض ما يدلّ على القول المشهور وإلّا فالترجيح لهذه الصحيحة؛ وذلك لموافقتها للكتاب، ولكنّ العمدة أنّ التعارض غير ثابتٍ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شمول الحكم للمحارم بالمصاهرة تحريماً مؤبّداً كأُمّ الزوجة وبنتها بعد الدخول بالأُمّ وزوجة الأب والابن أو المحارم بالعدد كالمطلّقة تسعاً أوبالطلاق كالثالث أو المحارم بالرضاع موقوفٌ على عموم المحارم وعدم اختصاصها بالنسبيّة في صحيحة زرارة المتقدّمة،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وبدونه،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كأُختي أو كرأس أُختي لم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للتحريم ما كان من طرف الرجل، فلو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أبي أو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كلّ ذي محرم من أمّ أو أُخت أو عمّة أو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بأنّ ذكر الأُمّ والأُخت والعمّة والخالة من باب المثال لا المصداق والانحصار، فهي بعمومها شاملة لجميع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عموم التنزيل في أدلّة الرضاع،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1813"/>
      </w:r>
      <w:r>
        <w:rPr>
          <w:rFonts w:ascii="Amiri" w:hAnsi="Amiri" w:eastAsia="Amiri" w:cs="Amiri"/>
          <w:color w:val="111111"/>
          <w:sz w:val="28"/>
          <w:sz w:val="28"/>
          <w:szCs w:val="28"/>
          <w:rtl w:val="true"/>
          <w:lang w:bidi="ar-SA"/>
        </w:rPr>
        <w:t>بالنسبة إلى المحرّمات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ما لا يخفى، فإنّ المحرم في الصحيحة منصرفة إلى المحرم النسبي، والقاعدة إنّما تكون في مقام بيان التحريم خاصّة، وأنّ المحرم بالرضاع في حكم المحرم بالنسب في حرمة الزواج وجواز النظر دون بقيّة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لاعموم في التنزيل حتّى يترتّب عليه كلّ الآثار المترتّبة على المحارم النسبيّة من الإرث وغيره،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Style w:val="FootnoteAnchor"/>
          <w:rtl w:val="true"/>
        </w:rPr>
        <w:footnoteReference w:id="1814"/>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Style w:val="FootnoteAnchor"/>
          <w:rtl w:val="true"/>
        </w:rPr>
        <w:footnoteReference w:id="1815"/>
      </w:r>
      <w:r>
        <w:rPr>
          <w:rFonts w:ascii="IRNazanin" w:hAnsi="IRNazanin" w:eastAsia="IRNazanin"/>
          <w:color w:val="111111"/>
          <w:sz w:val="28"/>
          <w:sz w:val="28"/>
          <w:szCs w:val="28"/>
          <w:rtl w:val="true"/>
          <w:lang w:bidi="fa-IR"/>
        </w:rPr>
        <w:t>ونصّاً وقاعدةً، فإنّ الظهار هو بمنزلة الطلاق فلا يقع منها، وأمّا النصّ، فيدلّ عليه ما رواه السكوني،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 عليّ كظهر أُمّي فلا كفّارة عليهما</w:t>
      </w:r>
      <w:r>
        <w:rPr>
          <w:rFonts w:eastAsia="IRNazanin" w:cs="IRNazanin"/>
          <w:color w:val="111111"/>
          <w:sz w:val="28"/>
          <w:szCs w:val="28"/>
          <w:rtl w:val="true"/>
          <w:lang w:bidi="fa-IR"/>
        </w:rPr>
        <w:t>».</w:t>
      </w:r>
      <w:r>
        <w:rPr>
          <w:rStyle w:val="FootnoteAnchor"/>
          <w:rtl w:val="true"/>
        </w:rPr>
        <w:footnoteReference w:id="1816"/>
      </w:r>
      <w:bookmarkStart w:id="711" w:name="pg9375_99980"/>
    </w:p>
    <w:p>
      <w:pPr>
        <w:pStyle w:val="BookText"/>
        <w:rPr/>
      </w:pPr>
      <w:bookmarkEnd w:id="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الظهار وقوعه بحضور عدلين يسمعان قول المظاهر كالطلاق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5416921_2870459653"/>
      <w:bookmarkStart w:id="713" w:name="_Toc253"/>
      <w:bookmarkEnd w:id="712"/>
      <w:r>
        <w:rPr>
          <w:rtl w:val="true"/>
        </w:rPr>
        <w:t>شرطيّة وقوع الظهار بسماع عدلين</w:t>
      </w:r>
      <w:bookmarkEnd w:id="7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ولصحيحة حمران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ظهار في يمين ولا في إضرار ولا في غضب، ولا يكون ظهار إلّا في طهر من غير جماع بشهادة شاهدين مسلمين</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وفي دلالتها على شرطيّة العدالة تأمّل ظاهر؛ لما فيها من اعتبار الإسلام في الشاهدين دون العدالة، بل الظاهر من الوصف في مقام التحديد الإسلام دون العدالة، فالاستدلال بها على عدم شرطيّة العدالة أولى وأحقّ من الاستدلال على الشرطيّة؛ نعم، الاستدلال تامّ على كون العدالة هو الإسلام كما عليه، فالعمدة هي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الظهار مشتركٌ مع الطلاق في غير واحد من الأحكام بل في كلّها إلّا ذلك الشرط فالمتفاهم عرفاً من أدلّتها عدم الخصوصيّة في تلك الشرائط وأنّها ليست معتبرة بما هي، بل المعتبر هو القدر الجامع بينها وهو مماثلة الظهار للطلاق في الشرائط وخصوصيّة الشرائط وظهورها في الموضوعيّة منتفية عرفاً مع الكثرة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دلّ على اعتبار العدالة في الشاهدين هنا كفاية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الشهادة هنا مختلفة عن الشهادة في غيره؛ لأنّها ليست منباب الإشهاد ومقام الإثبات، بل شرطٌ في الصحّة والثبوت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 تغفل</w:t>
      </w:r>
      <w:r>
        <w:rPr>
          <w:rFonts w:eastAsia="Amiri" w:cs="Amiri" w:ascii="Amiri" w:hAnsi="Amiri"/>
          <w:color w:val="111111"/>
          <w:sz w:val="28"/>
          <w:szCs w:val="28"/>
          <w:rtl w:val="true"/>
          <w:lang w:bidi="ar-SA"/>
        </w:rPr>
        <w:t xml:space="preserve">. </w:t>
      </w:r>
      <w:bookmarkStart w:id="714" w:name="pg9375_99981"/>
    </w:p>
    <w:p>
      <w:pPr>
        <w:pStyle w:val="BookText"/>
        <w:rPr/>
      </w:pPr>
      <w:bookmarkEnd w:id="714"/>
      <w:r>
        <w:rPr>
          <w:rFonts w:ascii="Amiri" w:hAnsi="Amiri" w:eastAsia="Amiri" w:cs="Amiri"/>
          <w:color w:val="111111"/>
          <w:sz w:val="28"/>
          <w:sz w:val="28"/>
          <w:szCs w:val="28"/>
          <w:rtl w:val="true"/>
          <w:lang w:bidi="ar-SA"/>
        </w:rPr>
        <w:t>وفي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والاختيار والقصد، فلا يقع من الصبيّ ولا المجنون ولا المكره ولا الساهي والهازل والسكران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 الغضب؛ سواء كان سالباً للقصد أم لا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خلوّها عن الحيض والنفاس، وكونها في طهر لم يواقعها فيه على</w:t>
      </w:r>
    </w:p>
    <w:p>
      <w:pPr>
        <w:pStyle w:val="BookText"/>
        <w:rPr/>
      </w:pPr>
      <w:r>
        <w:rPr>
          <w:rFonts w:ascii="Amiri" w:hAnsi="Amiri" w:eastAsia="Amiri" w:cs="Amiri"/>
          <w:color w:val="111111"/>
          <w:sz w:val="28"/>
          <w:sz w:val="28"/>
          <w:szCs w:val="28"/>
          <w:rtl w:val="true"/>
          <w:lang w:bidi="ar-SA"/>
        </w:rPr>
        <w:t>وقد مرّ</w:t>
      </w:r>
      <w:r>
        <w:rPr>
          <w:rStyle w:val="FootnoteAnchor"/>
          <w:rtl w:val="true"/>
        </w:rPr>
        <w:footnoteReference w:id="1818"/>
      </w:r>
      <w:r>
        <w:rPr>
          <w:rFonts w:ascii="Amiri" w:hAnsi="Amiri" w:eastAsia="Amiri" w:cs="Amiri"/>
          <w:color w:val="111111"/>
          <w:sz w:val="28"/>
          <w:sz w:val="28"/>
          <w:szCs w:val="28"/>
          <w:rtl w:val="true"/>
          <w:lang w:bidi="ar-SA"/>
        </w:rPr>
        <w:t>منّا بعض الكلام في الشهادة على الطلاق</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5416923_2870459653"/>
      <w:bookmarkStart w:id="716" w:name="_Toc254"/>
      <w:bookmarkEnd w:id="715"/>
      <w:r>
        <w:rPr>
          <w:rtl w:val="true"/>
        </w:rPr>
        <w:t>شروط المظاهر</w:t>
      </w:r>
      <w:bookmarkEnd w:id="7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قضاءً للشرائط العامّة، ولخصوص ما ورد في السكران في موثّق عبيد بن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طلاق إلّا ما أُريد به الطلاق، ولا ظهار إلّا ما أُريد به الظهار</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نعم، في السكران القاصد فعدم الصحّة من باب الإلحاق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ويدلّ عليه ما مرّ</w:t>
      </w:r>
      <w:r>
        <w:rPr>
          <w:rStyle w:val="FootnoteAnchor"/>
          <w:rtl w:val="true"/>
        </w:rPr>
        <w:footnoteReference w:id="1820"/>
      </w:r>
      <w:r>
        <w:rPr>
          <w:rFonts w:ascii="IRNazanin" w:hAnsi="IRNazanin" w:eastAsia="IRNazanin"/>
          <w:color w:val="111111"/>
          <w:sz w:val="28"/>
          <w:sz w:val="28"/>
          <w:szCs w:val="28"/>
          <w:rtl w:val="true"/>
          <w:lang w:bidi="fa-IR"/>
        </w:rPr>
        <w:t>من صحيح حمران، وأيضاً صحيح أحمد بن أبي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لا يقع على الغضب</w:t>
      </w:r>
      <w:r>
        <w:rPr>
          <w:rFonts w:eastAsia="IRNazanin" w:cs="IRNazanin"/>
          <w:color w:val="111111"/>
          <w:sz w:val="28"/>
          <w:szCs w:val="28"/>
          <w:rtl w:val="true"/>
          <w:lang w:bidi="fa-IR"/>
        </w:rPr>
        <w:t>».</w:t>
      </w:r>
      <w:r>
        <w:rPr>
          <w:rStyle w:val="FootnoteAnchor"/>
          <w:rtl w:val="true"/>
        </w:rPr>
        <w:footnoteReference w:id="1821"/>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ولافرق بين كون الغضب سالباً للقصد أم لا؛ وذلك لإطلاق الصحيحين، ولظهور العنوان في الموضوعيّة، وحمله على ما كان الغضب سالباًللقصد، لكثرته مخالفٌ لظهور العناوين في الموضوعيّة وموجبٌ لصيرورة العنوان عنواناً مشيراً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717" w:name="pg9375_99982"/>
    </w:p>
    <w:p>
      <w:pPr>
        <w:pStyle w:val="BookText"/>
        <w:rPr/>
      </w:pPr>
      <w:bookmarkEnd w:id="717"/>
      <w:r>
        <w:rPr>
          <w:rFonts w:ascii="Amiri" w:hAnsi="Amiri" w:eastAsia="Amiri" w:cs="Amiri"/>
          <w:color w:val="111111"/>
          <w:sz w:val="28"/>
          <w:sz w:val="28"/>
          <w:szCs w:val="28"/>
          <w:rtl w:val="true"/>
          <w:lang w:bidi="ar-SA"/>
        </w:rPr>
        <w:t>التفصيل المذكور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5416925_2870459653"/>
      <w:bookmarkStart w:id="719" w:name="_Toc255"/>
      <w:bookmarkEnd w:id="718"/>
      <w:r>
        <w:rPr>
          <w:rtl w:val="true"/>
        </w:rPr>
        <w:t>شروط المظاهرة</w:t>
      </w:r>
      <w:bookmarkEnd w:id="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ويدلّ عليه صحيحة حمران</w:t>
      </w:r>
      <w:r>
        <w:rPr>
          <w:rStyle w:val="FootnoteAnchor"/>
          <w:rtl w:val="true"/>
        </w:rPr>
        <w:footnoteReference w:id="1822"/>
      </w:r>
      <w:r>
        <w:rPr>
          <w:rFonts w:ascii="IRNazanin" w:hAnsi="IRNazanin" w:eastAsia="IRNazanin"/>
          <w:color w:val="111111"/>
          <w:sz w:val="28"/>
          <w:sz w:val="28"/>
          <w:szCs w:val="28"/>
          <w:rtl w:val="true"/>
          <w:lang w:bidi="fa-IR"/>
        </w:rPr>
        <w:t>كما رأيت، وكذا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أنّه سأله كيف الظهار؟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الرجل لامرأته وهي طاهر من غير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حرام مثل ظهر أُمّي، وهو يريد بذلك الظهار</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وكذا مرسلة ابن فضّال،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الظهار إلّا على مثل موضع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4"/>
      </w:r>
      <w:r>
        <w:rPr>
          <w:rFonts w:ascii="Amiri" w:hAnsi="Amiri" w:eastAsia="Amiri" w:cs="Amiri"/>
          <w:color w:val="111111"/>
          <w:sz w:val="28"/>
          <w:sz w:val="28"/>
          <w:szCs w:val="28"/>
          <w:rtl w:val="true"/>
          <w:lang w:bidi="ar-SA"/>
        </w:rPr>
        <w:t>فإنّها تدلّ على اعتبار كلّ ما اعتبر في الطلاق، وهي وإن كانت مرسلة ولكنّها كما في الجواهر</w:t>
      </w:r>
      <w:r>
        <w:rPr>
          <w:rStyle w:val="FootnoteAnchor"/>
          <w:rtl w:val="true"/>
        </w:rPr>
        <w:footnoteReference w:id="1825"/>
      </w:r>
      <w:r>
        <w:rPr>
          <w:rFonts w:ascii="Amiri" w:hAnsi="Amiri" w:eastAsia="Amiri" w:cs="Amiri"/>
          <w:color w:val="111111"/>
          <w:sz w:val="28"/>
          <w:sz w:val="28"/>
          <w:szCs w:val="28"/>
          <w:rtl w:val="true"/>
          <w:lang w:bidi="ar-SA"/>
        </w:rPr>
        <w:t>معتضدة بفتاوى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صحيح حمران دلالة على شرطيّة عدم الإضرار كعدم الغضب،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في يمين ولا في إضرار ولا في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ذكره في الشرائط في أكثر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دليلاً على عدم الشرطيّة عندهم كما لا يخفى، لكنّ المتّبع هو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لعدم الشرطيّة بعموم الكتاب والسنّة وأنّ خبر الواحد الخاصّ غير قابل لكونه مخصّصاً لعموم الكتاب</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على ذلك المبنى، وأمّا على جواز تخصيص الكتاب بخبر الواحد الذي عليه مدار الفقه وسيرة الاستنباط ففي الاستدلال 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اشتراط كونها مدخولاً بها قولان، أصحّهما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تخصيص الكتاب بصحيح حمران</w:t>
      </w:r>
      <w:r>
        <w:rPr>
          <w:rStyle w:val="FootnoteAnchor"/>
          <w:rtl w:val="true"/>
        </w:rPr>
        <w:footnoteReference w:id="1826"/>
      </w:r>
      <w:r>
        <w:rPr>
          <w:rFonts w:ascii="Amiri" w:hAnsi="Amiri" w:eastAsia="Amiri" w:cs="Amiri"/>
          <w:color w:val="111111"/>
          <w:sz w:val="28"/>
          <w:sz w:val="28"/>
          <w:szCs w:val="28"/>
          <w:rtl w:val="true"/>
          <w:lang w:bidi="ar-SA"/>
        </w:rPr>
        <w:t>حتّى على القول بعدم جواز تخصيصه بالخبر؛ وذلك لاعتضاده بالشهرة وبقاعدة نفي الضرر والضرار فيكون الصحيح خبراً واحداً محفوفاً بالقرينة القطعيّة خارجاً عن كونه خبراً واحداً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الشهرة إلى حدّ القطع بحيث يجعلها قرينة قطعيّة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الشهرة لعلّها مستندة إلى تخصيص الكتاب بخبر الواحد الذي عليه مدار الفقه فليست الشهرة زائدة على الخبر، وأمّا قرينيّة قاعدة نفي الضرر،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القاعدة غير شاملة لمثل الظهار المبني على الضرار من جهة استلزام الشمول كون الضرار مقتضياً لحكمين متنافيين وكونه موضوعاً لهما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كما أنّ القاعدة منصرفة عن الأُمور المهمّة وعن الضرر المقدم فكذا عن مثل الظهار المبنيّ على الضرار، ومع الانصراف وعدم الشمول فأين الاعتضاد والقرينيّة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الظهار في الجاهليّة كان على قسمين، قسم للإضرار وقسم لإزالة عقد النكاح كالطلاق، فالقاعدة مؤيّدة للصحيح بالنسبة إلى الأوّل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في ذلك بما في الجواهر ممزوجاً بما في الشرائع</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اشتراط الدخول تردّدٌ وخلافٌ، والمرويّ صحيحاً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 ففى صحيح ابن مسلم، عنأبي جعفر وأبي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المرأة التي لم يدخل بها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يقع علیها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إيلاء ولا ظهار</w:t>
      </w:r>
      <w:r>
        <w:rPr>
          <w:rFonts w:eastAsia="Amiri" w:cs="Amiri" w:ascii="Amiri" w:hAnsi="Amiri"/>
          <w:color w:val="111111"/>
          <w:sz w:val="28"/>
          <w:szCs w:val="28"/>
          <w:rtl w:val="true"/>
          <w:lang w:bidi="ar-SA"/>
        </w:rPr>
        <w:t>».</w:t>
      </w:r>
      <w:r>
        <w:rPr>
          <w:rStyle w:val="FootnoteAnchor"/>
          <w:rtl w:val="true"/>
        </w:rPr>
        <w:footnoteReference w:id="1827"/>
      </w:r>
      <w:r>
        <w:rPr>
          <w:rFonts w:ascii="IRNazanin" w:hAnsi="IRNazanin" w:eastAsia="IRNazanin"/>
          <w:color w:val="111111"/>
          <w:sz w:val="28"/>
          <w:sz w:val="28"/>
          <w:szCs w:val="28"/>
          <w:rtl w:val="true"/>
          <w:lang w:bidi="fa-IR"/>
        </w:rPr>
        <w:t>وفي صحيح الفضیل بن يسار،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مملك ظاهر من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ظهار ولا إيلاء حتّى يدخل بها</w:t>
      </w:r>
      <w:r>
        <w:rPr>
          <w:rFonts w:eastAsia="IRNazanin" w:cs="IRNazanin"/>
          <w:color w:val="111111"/>
          <w:sz w:val="28"/>
          <w:szCs w:val="28"/>
          <w:rtl w:val="true"/>
          <w:lang w:bidi="fa-IR"/>
        </w:rPr>
        <w:t>».</w:t>
      </w:r>
      <w:r>
        <w:rPr>
          <w:rStyle w:val="FootnoteAnchor"/>
          <w:rtl w:val="true"/>
        </w:rPr>
        <w:footnoteReference w:id="1828"/>
      </w:r>
      <w:r>
        <w:rPr>
          <w:rFonts w:ascii="Amiri" w:hAnsi="Amiri" w:eastAsia="Amiri" w:cs="Amiri"/>
          <w:color w:val="111111"/>
          <w:sz w:val="28"/>
          <w:sz w:val="28"/>
          <w:szCs w:val="28"/>
          <w:rtl w:val="true"/>
          <w:lang w:bidi="ar-SA"/>
        </w:rPr>
        <w:t>إلى غير ذلك من النصوص المعتضدة مع ذلك بعمل الشيخ</w:t>
      </w:r>
      <w:r>
        <w:rPr>
          <w:rStyle w:val="FootnoteAnchor"/>
          <w:rtl w:val="true"/>
        </w:rPr>
        <w:footnoteReference w:id="1829"/>
      </w:r>
      <w:r>
        <w:rPr>
          <w:rFonts w:ascii="IRNazanin" w:hAnsi="IRNazanin" w:eastAsia="IRNazanin"/>
          <w:color w:val="111111"/>
          <w:sz w:val="28"/>
          <w:sz w:val="28"/>
          <w:szCs w:val="28"/>
          <w:rtl w:val="true"/>
          <w:lang w:bidi="fa-IR"/>
        </w:rPr>
        <w:t>والصدوق</w:t>
      </w:r>
      <w:r>
        <w:rPr>
          <w:rStyle w:val="FootnoteAnchor"/>
          <w:rtl w:val="true"/>
        </w:rPr>
        <w:footnoteReference w:id="1830"/>
      </w:r>
      <w:r>
        <w:rPr>
          <w:rFonts w:ascii="Amiri" w:hAnsi="Amiri" w:eastAsia="Amiri" w:cs="Amiri"/>
          <w:color w:val="111111"/>
          <w:sz w:val="28"/>
          <w:sz w:val="28"/>
          <w:szCs w:val="28"/>
          <w:rtl w:val="true"/>
          <w:lang w:bidi="ar-SA"/>
        </w:rPr>
        <w:t>وأكثر المتأخّرين كما في المسالك</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خلافاً للمفيد</w:t>
      </w:r>
      <w:r>
        <w:rPr>
          <w:rStyle w:val="FootnoteAnchor"/>
          <w:rtl w:val="true"/>
        </w:rPr>
        <w:footnoteReference w:id="1832"/>
      </w:r>
      <w:r>
        <w:rPr>
          <w:rFonts w:ascii="IRNazanin" w:hAnsi="IRNazanin" w:eastAsia="IRNazanin"/>
          <w:color w:val="111111"/>
          <w:sz w:val="28"/>
          <w:sz w:val="28"/>
          <w:szCs w:val="28"/>
          <w:rtl w:val="true"/>
          <w:lang w:bidi="fa-IR"/>
        </w:rPr>
        <w:t>والمرتضى</w:t>
      </w:r>
      <w:r>
        <w:rPr>
          <w:rStyle w:val="FootnoteAnchor"/>
          <w:rtl w:val="true"/>
        </w:rPr>
        <w:footnoteReference w:id="1833"/>
      </w:r>
      <w:r>
        <w:rPr>
          <w:rFonts w:ascii="Amiri" w:hAnsi="Amiri" w:eastAsia="Amiri" w:cs="Amiri"/>
          <w:color w:val="111111"/>
          <w:sz w:val="28"/>
          <w:sz w:val="28"/>
          <w:szCs w:val="28"/>
          <w:rtl w:val="true"/>
          <w:lang w:bidi="ar-SA"/>
        </w:rPr>
        <w:t>وسلّار</w:t>
      </w:r>
      <w:r>
        <w:rPr>
          <w:rStyle w:val="FootnoteAnchor"/>
          <w:rtl w:val="true"/>
        </w:rPr>
        <w:footnoteReference w:id="1834"/>
      </w:r>
      <w:r>
        <w:rPr>
          <w:rFonts w:ascii="Amiri" w:hAnsi="Amiri" w:eastAsia="Amiri" w:cs="Amiri"/>
          <w:color w:val="111111"/>
          <w:sz w:val="28"/>
          <w:sz w:val="28"/>
          <w:szCs w:val="28"/>
          <w:rtl w:val="true"/>
          <w:lang w:bidi="ar-SA"/>
        </w:rPr>
        <w:t>وابني إدريس</w:t>
      </w:r>
      <w:r>
        <w:rPr>
          <w:rStyle w:val="FootnoteAnchor"/>
          <w:rtl w:val="true"/>
        </w:rPr>
        <w:footnoteReference w:id="1835"/>
      </w:r>
      <w:r>
        <w:rPr>
          <w:rFonts w:ascii="Amiri" w:hAnsi="Amiri" w:eastAsia="Amiri" w:cs="Amiri"/>
          <w:color w:val="111111"/>
          <w:sz w:val="28"/>
          <w:sz w:val="28"/>
          <w:szCs w:val="28"/>
          <w:rtl w:val="true"/>
          <w:lang w:bidi="ar-SA"/>
        </w:rPr>
        <w:t>وزهرة،</w:t>
      </w:r>
      <w:r>
        <w:rPr>
          <w:rStyle w:val="FootnoteAnchor"/>
          <w:rtl w:val="true"/>
        </w:rPr>
        <w:footnoteReference w:id="1836"/>
      </w:r>
      <w:r>
        <w:rPr>
          <w:rFonts w:ascii="Amiri" w:hAnsi="Amiri" w:eastAsia="Amiri" w:cs="Amiri"/>
          <w:color w:val="111111"/>
          <w:sz w:val="28"/>
          <w:sz w:val="28"/>
          <w:szCs w:val="28"/>
          <w:rtl w:val="true"/>
          <w:lang w:bidi="ar-SA"/>
        </w:rPr>
        <w:t>وهو القول الآخر الذي مستنده التمسّك بما في الكتاب من العموم القابل للتخصيص بالسنّة عندنا، كما حرّر ذلك في محلّه، ولا ينافي ذلك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إلّا على مثل موضع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المزبور</w:t>
      </w:r>
      <w:r>
        <w:rPr>
          <w:rFonts w:eastAsia="Amiri" w:cs="Amiri" w:ascii="Amiri" w:hAnsi="Amiri"/>
          <w:color w:val="111111"/>
          <w:sz w:val="28"/>
          <w:szCs w:val="28"/>
          <w:rtl w:val="true"/>
          <w:lang w:bidi="ar-SA"/>
        </w:rPr>
        <w:t>.</w:t>
      </w:r>
      <w:r>
        <w:rPr>
          <w:rStyle w:val="FootnoteAnchor"/>
          <w:rtl w:val="true"/>
        </w:rPr>
        <w:footnoteReference w:id="1837"/>
      </w:r>
      <w:r>
        <w:rPr>
          <w:rFonts w:ascii="Amiri" w:hAnsi="Amiri" w:eastAsia="Amiri" w:cs="Amiri"/>
          <w:color w:val="111111"/>
          <w:sz w:val="28"/>
          <w:sz w:val="28"/>
          <w:szCs w:val="28"/>
          <w:rtl w:val="true"/>
          <w:lang w:bidi="ar-SA"/>
        </w:rPr>
        <w:t xml:space="preserve">ومن المعلوم عدماعتبار الدخول في صحّة الطلاق، فليكن الظهار كذلك، ضرورة عدم اقتضاء الخبر المزبور إلّا أنّ الظهار لا يقع إلّا حيث يقع الطلاق، لا أنّه حيث ما يقع الطلاق يقع الظهار، </w:t>
      </w:r>
      <w:bookmarkStart w:id="720" w:name="pg9375_99985"/>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اعتبار دوام الزوجيّة بل يقع على المتمتّع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ثمّ إنّ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في القواعد إلى بطلان ظهار الخنثى إن اشتُرط الدخول، وهو واضح البطلان؛ لأنّ الخنثى لا يجوز تزويجه</w:t>
      </w:r>
      <w:r>
        <w:rPr>
          <w:rFonts w:eastAsia="Amiri" w:cs="Amiri" w:ascii="Amiri" w:hAnsi="Amiri"/>
          <w:color w:val="111111"/>
          <w:sz w:val="28"/>
          <w:szCs w:val="28"/>
          <w:rtl w:val="true"/>
          <w:lang w:bidi="ar-SA"/>
        </w:rPr>
        <w:t>.</w:t>
      </w:r>
      <w:r>
        <w:rPr>
          <w:rStyle w:val="FootnoteAnchor"/>
          <w:rtl w:val="true"/>
        </w:rPr>
        <w:footnoteReference w:id="1839"/>
      </w:r>
    </w:p>
    <w:p>
      <w:pPr>
        <w:pStyle w:val="Heading3"/>
        <w:numPr>
          <w:ilvl w:val="2"/>
          <w:numId w:val="1"/>
        </w:numPr>
        <w:rPr/>
      </w:pPr>
      <w:bookmarkStart w:id="721" w:name="__RefHeading___Toc5416927_2870459653"/>
      <w:bookmarkStart w:id="722" w:name="_Toc256"/>
      <w:bookmarkEnd w:id="721"/>
      <w:r>
        <w:rPr>
          <w:rtl w:val="true"/>
        </w:rPr>
        <w:t>اعتبار دوام الزوجيّة وعدمه</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الأدلّة، خلافاً للمحكيّ عن الحلّي وظاهر الإسكافي والصدوق؛ للأصل المقطوع بالإطلاق المزبور، ولانتفاء لازم الظهار الذي هو الإلزام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أو الطلاق المعلوم امتناعه فيها، وتنزيل هبة المدّة منزلته قياسٌ، على أنّ أجل المستمتع بها قد يكون قليلاً لا يحتمل الأمر بالصبر إلى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كون ذلك لازم أصل الظهار، وإنّما هو حكم ما تعلّق منه بالزوجة التي يمكن ذلك في حقّها، خصوصاً بعد كون وقوعه بالمملوكة المرويّ صحيحاً وغيره في النصوص المستفيضة</w:t>
      </w:r>
      <w:r>
        <w:rPr>
          <w:rStyle w:val="FootnoteAnchor"/>
          <w:rtl w:val="true"/>
        </w:rPr>
        <w:footnoteReference w:id="1840"/>
      </w:r>
      <w:r>
        <w:rPr>
          <w:rFonts w:ascii="Amiri" w:hAnsi="Amiri" w:eastAsia="Amiri" w:cs="Amiri"/>
          <w:color w:val="111111"/>
          <w:sz w:val="28"/>
          <w:sz w:val="28"/>
          <w:szCs w:val="28"/>
          <w:rtl w:val="true"/>
          <w:lang w:bidi="ar-SA"/>
        </w:rPr>
        <w:t>التي لا يجري فيهاذلك</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والمرسل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الظهار إلّا على مثل موضع الطلاق</w:t>
      </w:r>
      <w:r>
        <w:rPr>
          <w:rFonts w:eastAsia="IRNazanin" w:cs="IRNazanin"/>
          <w:color w:val="111111"/>
          <w:sz w:val="28"/>
          <w:szCs w:val="28"/>
          <w:rtl w:val="true"/>
          <w:lang w:bidi="fa-IR"/>
        </w:rPr>
        <w:t>»</w:t>
      </w:r>
      <w:r>
        <w:rPr>
          <w:rStyle w:val="FootnoteAnchor"/>
          <w:rtl w:val="true"/>
        </w:rPr>
        <w:footnoteReference w:id="1841"/>
      </w:r>
      <w:r>
        <w:rPr>
          <w:rFonts w:ascii="IRNazanin" w:hAnsi="IRNazanin" w:eastAsia="IRNazanin"/>
          <w:color w:val="111111"/>
          <w:sz w:val="28"/>
          <w:sz w:val="28"/>
          <w:szCs w:val="28"/>
          <w:rtl w:val="true"/>
          <w:lang w:bidi="fa-IR"/>
        </w:rPr>
        <w:t xml:space="preserve">لا </w:t>
      </w:r>
      <w:bookmarkStart w:id="723" w:name="pg9375_99986"/>
    </w:p>
    <w:p>
      <w:pPr>
        <w:pStyle w:val="BookText"/>
        <w:rPr/>
      </w:pPr>
      <w:bookmarkEnd w:id="7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ومطلق، فالأوّل ما علّق على شيء دون الثاني، ويجوز التعليق على الوطء؛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واقعتك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له في المقام، بل يمكن دعوى انصرافه إلى إرادة اعتبار شرائط الطلاق من الخلوّ عن الحيض ونحوه منه لا نحو المقام، كما أنّه يمكن دعوى اندراج المتمتّع بها في المثل</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5416929_2870459653"/>
      <w:bookmarkStart w:id="725" w:name="_Toc257"/>
      <w:bookmarkEnd w:id="724"/>
      <w:r>
        <w:rPr>
          <w:rtl w:val="true"/>
        </w:rPr>
        <w:t>التعليق في الظهار</w:t>
      </w:r>
      <w:bookmarkEnd w:id="725"/>
    </w:p>
    <w:p>
      <w:pPr>
        <w:pStyle w:val="Heading4"/>
        <w:numPr>
          <w:ilvl w:val="3"/>
          <w:numId w:val="1"/>
        </w:numPr>
        <w:rPr/>
      </w:pPr>
      <w:bookmarkStart w:id="726" w:name="__RefHeading___Toc5416931_2870459653"/>
      <w:bookmarkStart w:id="727" w:name="_Toc258"/>
      <w:bookmarkEnd w:id="726"/>
      <w:r>
        <w:rPr>
          <w:rtl w:val="true"/>
        </w:rPr>
        <w:t>اشارة</w:t>
      </w:r>
      <w:bookmarkEnd w:id="7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مذهب العامّة صحّة الظهار باليمين ومذهب الخاصّة عدم الصحّة، وعليه أخبارنا ونصوصنا،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حمران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ظهار في يمين ولا في إضرار ولا في غضب، ولا يكون ظهار إلّا في طهر من غير جماع بشهادة شاهدين مسلمين</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الظهار؟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كلّ ذي محرم من أُمّ أو أُخت أو عمّة أو خالة، ولا يكون الظهار في يمين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84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ممّا مضى نقل بعضها</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منه تعليق الظهار على أمر بعثاً أو زجراً،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إنخرجت من بيتي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تأكلي الطعام فأنت عليّ كظهر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 من الزجر والثاني من البعث، من غير فرق بين أن يكون المعلّق عليه فعله أو فعلها، والفرق بينه وبين التعليق في الظهار إنّما يكون في كون الأوّل بداعي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البعث والزجر بخلاف الثاني، فإن كان التعليق بداعي البعث أو الزجر فهو الظهار في اليمين وباطلٌ إجماعاً ونصّاً، وإن كان من دون ذلك الداعي فهو التعليق في الظهار الموضوع في مسألة المتن وهو المحلّ للخلاف 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صحّته؛ قضاءً 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ولصحيحة عبدالرحمن بن الحجّاج،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فيه الكفّارة قبل المواقعة والآخر بعده، فالذي يكفّر قبل المواقعة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بك كذا وكذا، والذي يكفّر بعد المواقعة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قربتك</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والتعليق المذكور فيها هو على سبيل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صحيحته الأُخرى،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منه الظهار في غير يمين فإنّما عليه الكفّارة بعد ما يواقع</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وكذا صحيحة حريز،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ظهاران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فأحدهما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ثمّ يسكت، فذلك الذي يكفّر،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كظهر أُمّي إن فعلت كذا وكذا، ففعل وحنث فعليهالكفّارة حين يحنث</w:t>
      </w:r>
      <w:r>
        <w:rPr>
          <w:rFonts w:eastAsia="IRNazanin" w:cs="IRNazanin"/>
          <w:color w:val="111111"/>
          <w:sz w:val="28"/>
          <w:szCs w:val="28"/>
          <w:rtl w:val="true"/>
          <w:lang w:bidi="fa-IR"/>
        </w:rPr>
        <w:t>».</w:t>
      </w:r>
      <w:r>
        <w:rPr>
          <w:rStyle w:val="FootnoteAnchor"/>
          <w:rtl w:val="true"/>
        </w:rPr>
        <w:footnoteReference w:id="1847"/>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مضمرة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على ضربين؛ في أحدهما الكفّارة،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قربتك</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خبر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لا يقع إلّا على الحنث، فإذا حنث فليس له أن يواقعها حتّى يكفّر، فإن جهل وفعل كان عليه كفّارة واحدة</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هذا، واستدلّ على عدم الصحّة بالأصل وبعموم التنزيل في مرسل ابن فضّال،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الظهار إلّا على موضع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0"/>
      </w:r>
      <w:r>
        <w:rPr>
          <w:rFonts w:ascii="IRNazanin" w:hAnsi="IRNazanin" w:eastAsia="IRNazanin"/>
          <w:color w:val="111111"/>
          <w:sz w:val="28"/>
          <w:sz w:val="28"/>
          <w:szCs w:val="28"/>
          <w:rtl w:val="true"/>
          <w:lang w:bidi="fa-IR"/>
        </w:rPr>
        <w:t>وببعض النصوص،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القاسم بن محمّد الزيّات،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ظاهرت من امرأتي،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فعلت كذا وكذا،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عليك ولا تعدّ</w:t>
      </w:r>
      <w:r>
        <w:rPr>
          <w:rFonts w:eastAsia="IRNazanin" w:cs="IRNazanin"/>
          <w:color w:val="111111"/>
          <w:sz w:val="28"/>
          <w:szCs w:val="28"/>
          <w:rtl w:val="true"/>
          <w:lang w:bidi="fa-IR"/>
        </w:rPr>
        <w:t>».</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بكير،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قلت لامرأتي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خرجت من باب الحجرة، فخرجت،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أقوى على أن أكفّر،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أقوى على أن أكفّر رقبة ورقبتين،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شيء قويت أو لم تقو</w:t>
      </w:r>
      <w:r>
        <w:rPr>
          <w:rFonts w:eastAsia="IRNazanin" w:cs="IRNazanin"/>
          <w:color w:val="111111"/>
          <w:sz w:val="28"/>
          <w:szCs w:val="28"/>
          <w:rtl w:val="true"/>
          <w:lang w:bidi="fa-IR"/>
        </w:rPr>
        <w:t>».</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وفي جميع الوجوه ما لا يخفى عليك، أمّا الأصل، فمنقطعٌ بالدليل، وأمّا عموم التنزيل، فمع عدم الدليل عليه إلّا المرسلة، إنّما ظاهره في التنزيل من حيث المحلّ كما لا يخفى، فالمراد من الموضع فيها المرأة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ليس بأقوى من العموم المخصّص بالنصوص المخالفة المستدلّ بها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الضعف فيهما بالجهالة أو الاشتراك في قاسم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وبالإرسال في الثاني المانع من أصل القبول، فضلاً عن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فيهما احتمال نفي الشيء عليه قبل حصول الشرط أو لعدم حضور الشاهدين أو لكونه من باب الظهار في اليمين أو غير ذلك ممّا يوجب البطلان، فإثبات البطلان بهما مستنداً إلى مانعيّة التعليق والاشتراط مع ذلك الاحتمال، كما ترى، وكون الظهار إيقاعاً غير مانع من صحّة الاشتراط فيه؛ لعدم الدليل على المنع فيه أوّلاً، ولوقوعه في مثل اليمين والعهد والنذر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العدم في التعليق بأنّه راجع إلى التعليق في الإنشاء وهو غير معقول؛ لأنّ الإنشاء أمره بين العدم والوجود، خلافاً للاشتراط؛ حيث إنّ التعليق في المعلّق عليه دون أصل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الصحّة في الأوّل بأنّه معلّق على أمر معلوم الحصول، فهو صحيحٌ بالأولويّة من الشرط؛ لكون التعليق في الشرط على المشكوك وفي التعليق على المعلوم، وأجيب بأنّ النصوص خاصّة بالاشتراط، فإسراء الحكم إلى غيره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إلّا منجّزاً، فلو علّقه بانقضاء الشهر أو دخول الجمعة لم يقع على الأظهر،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وهو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وقوعه موقوفاً على الشرط تردّدٌ، أظهره الجواز</w:t>
      </w:r>
      <w:r>
        <w:rPr>
          <w:rFonts w:eastAsia="Amiri" w:cs="Amiri" w:ascii="Amiri" w:hAnsi="Amiri"/>
          <w:color w:val="111111"/>
          <w:sz w:val="28"/>
          <w:szCs w:val="28"/>
          <w:rtl w:val="true"/>
          <w:lang w:bidi="ar-SA"/>
        </w:rPr>
        <w:t>.</w:t>
      </w:r>
      <w:r>
        <w:rPr>
          <w:rStyle w:val="FootnoteAnchor"/>
          <w:rtl w:val="true"/>
        </w:rPr>
        <w:footnoteReference w:id="1853"/>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لم يقع في محلّه؛ وذلك لأنّ مصبّ مسألة التعليق هو التعليق في الإنشاء الراجع إلى عدم الإنشاء، من دون فرق بين المعلومحصوله كالجمعة، أو المشكوك كمجى‌ء زيد، فالإنشاء في كليهما باطلٌ وغير معقولٍ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الجهة، ولا ارتباط له بمعلوميّة المعلّق عليه، فأين الأوّلويّة؟ نعم، الشأن في بطلان التعليق كذلك وعدمه، فإنّ دَوَران أمر الإنشاء بين الوجود والعدم مربوطٌ بالإنشاء الحقيقي التكويني لا الاعتباري الانشائي الموضوع للبحث في العقود والإيقاعات، فالظاهر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محض الإمكان غير مفيد، بل اللازم اعتباره العقلائي وهو غير معلوم،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الإنشاء، وأمّا التعليق في المنشأ، لا إشكال فيه إن كان الشرط معلوم الحصول، كما هو مورد النصوص، بل وإن لم يكن معلوم الحصول فهو أيضاً كذلك؛ لإلغاء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ما وقع من الخلط في الاستدلال على ما في مثل الشرائع</w:t>
      </w:r>
      <w:r>
        <w:rPr>
          <w:rStyle w:val="FootnoteAnchor"/>
          <w:rtl w:val="true"/>
        </w:rPr>
        <w:footnoteReference w:id="1854"/>
      </w:r>
      <w:r>
        <w:rPr>
          <w:rFonts w:ascii="Amiri" w:hAnsi="Amiri" w:eastAsia="Amiri" w:cs="Amiri"/>
          <w:color w:val="111111"/>
          <w:sz w:val="28"/>
          <w:sz w:val="28"/>
          <w:szCs w:val="28"/>
          <w:rtl w:val="true"/>
          <w:lang w:bidi="ar-SA"/>
        </w:rPr>
        <w:t>في المسألتين، وعليك بالرجوع إلى الجواهر،</w:t>
      </w:r>
      <w:r>
        <w:rPr>
          <w:rStyle w:val="FootnoteAnchor"/>
          <w:rtl w:val="true"/>
        </w:rPr>
        <w:footnoteReference w:id="1855"/>
      </w:r>
      <w:r>
        <w:rPr>
          <w:rFonts w:ascii="Amiri" w:hAnsi="Amiri" w:eastAsia="Amiri" w:cs="Amiri"/>
          <w:color w:val="111111"/>
          <w:sz w:val="28"/>
          <w:sz w:val="28"/>
          <w:szCs w:val="28"/>
          <w:rtl w:val="true"/>
          <w:lang w:bidi="ar-SA"/>
        </w:rPr>
        <w:t>فقد أفاد بما لامزيد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اشترط الظهار بوطئ الزوجة، كقوله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جامعتك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وطيها أوّل مرّة؛ لعدم حصول شرطه بعدُ، فإذا وَطِئ تحقّق الظهار بتحقّق شرطه فوجوب الكفّارة منوطٌ بالعزم على وطيها مرّةً أُخرى، خلافاً لما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حيث ذهب إلى حرمة الوطئ الأوّل أيضاً؛ مستدلاً له بأنّ الشرط هو مسمّى الوقاع لاالاستمرار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الشرط الاستمرار فيه، فالشرط الوطئ مرّةً واحدة من أوّله إلى آخره</w:t>
      </w:r>
      <w:r>
        <w:rPr>
          <w:rFonts w:eastAsia="Amiri" w:cs="Amiri" w:ascii="Amiri" w:hAnsi="Amiri"/>
          <w:color w:val="111111"/>
          <w:sz w:val="28"/>
          <w:szCs w:val="28"/>
          <w:rtl w:val="true"/>
          <w:lang w:bidi="ar-SA"/>
        </w:rPr>
        <w:t xml:space="preserve">. </w:t>
      </w:r>
      <w:bookmarkStart w:id="728" w:name="pg9375_99991"/>
    </w:p>
    <w:p>
      <w:pPr>
        <w:pStyle w:val="BookText"/>
        <w:rPr/>
      </w:pPr>
      <w:bookmarkEnd w:id="72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5416933_2870459653"/>
      <w:bookmarkStart w:id="730" w:name="_Toc259"/>
      <w:bookmarkEnd w:id="729"/>
      <w:r>
        <w:rPr>
          <w:rtl w:val="true"/>
        </w:rPr>
        <w:t>فروعٌ</w:t>
      </w:r>
      <w:r>
        <w:rPr>
          <w:rtl w:val="true"/>
        </w:rPr>
        <w:t xml:space="preserve">: </w:t>
      </w:r>
      <w:r>
        <w:rPr>
          <w:rtl w:val="true"/>
        </w:rPr>
        <w:t>في أحكام التعليق في الظهار</w:t>
      </w:r>
      <w:bookmarkEnd w:id="73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 الظهار على مشيّة الله تعالى فإن كان من باب التبرك فهو صحيح وإن كان من باب الاشتراط فلا يقع الظهار لعدم تحقّق شرطه، فإنّه تعالى لم يشأ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الظهار على المشيّة وعدم المشيّة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وإن لم يشأ، فإن كان كلاهما شرطاً واحداً كما هو الظاهر من العطف فلا يصحّ لما مرّ،</w:t>
      </w:r>
      <w:r>
        <w:rPr>
          <w:rStyle w:val="FootnoteAnchor"/>
          <w:rtl w:val="true"/>
        </w:rPr>
        <w:footnoteReference w:id="1857"/>
      </w:r>
      <w:r>
        <w:rPr>
          <w:rFonts w:ascii="Amiri" w:hAnsi="Amiri" w:eastAsia="Amiri" w:cs="Amiri"/>
          <w:color w:val="111111"/>
          <w:sz w:val="28"/>
          <w:sz w:val="28"/>
          <w:szCs w:val="28"/>
          <w:rtl w:val="true"/>
          <w:lang w:bidi="ar-SA"/>
        </w:rPr>
        <w:t>وإن كان الأوّل من باب التبرّك والثاني من باب الاشتراط فيصحّ من الآن لتحقّق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 الظهار على وجود شيء وعدمه،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خرجتِ من البيت أو لم تخرج فالظاهر أنّه ليس باشتراط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علّقه على مخالفتها الأمر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خالفت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تكلّمي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فكلّمته،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يقع الظهار؛ لأنّها ما خالفت أمره، وإنّما خالفت نهيه، ويحتمل الوقوع؛ نظراً إلى أنّه يسمّى في العرف مخالفة أمره، ويقوي ذلك إن استقرّ العرف عليه، وإلّا فالعبرة بالمعنى المصطلح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للفظ الأمر معاني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فمع قيام القرينة على واحد منها يكون هو المتّبع، وإلّا كان المرجعالعرف لا الاصطلاح الخاصّ، إلّا أن يكون المظاهر من أهله وقصد بالأمر الاصطلاح المزبور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علّقه على مخالفة النهي،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وقوعه أوجهٌ مبنيّة على أنّ الأمر بالشيء هل هو نهي عن ضدّه مطلقاً أو ضدّه العامّ، أوليس نهياً عنهما؟ فعلى الأوّل يقع الظهار بفعلها ما يخالف أمره دون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يدلّ العرف على شيء، وإلّا عمل بمقتضاه مقدّماً على القاعدة الأُصوليّة؛ لأنّ التعليقات تحمل على الأُمور العرفيّة لا على القواعد الأُصوليّة، هذا إن انضبط العرف، وإلّا رجع إلى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أنّه مع فرض عدم دلالة العرف يتّجه الحكم بعدم الوقوع لا الرجوع إلى الاصطلاح</w:t>
      </w:r>
      <w:r>
        <w:rPr>
          <w:rStyle w:val="FootnoteAnchor"/>
          <w:rtl w:val="true"/>
        </w:rPr>
        <w:footnoteReference w:id="1858"/>
      </w:r>
      <w:r>
        <w:rPr>
          <w:rFonts w:ascii="IRNazanin" w:hAnsi="IRNazanin" w:eastAsia="IRNazanin"/>
          <w:color w:val="111111"/>
          <w:sz w:val="28"/>
          <w:sz w:val="28"/>
          <w:szCs w:val="28"/>
          <w:rtl w:val="true"/>
          <w:lang w:bidi="fa-IR"/>
        </w:rPr>
        <w:t>إلّا على الوجه المزبور، على أنّه كما أنّ الأمر بالشيء نهي عن ضدّه فكذا النهي عن الشيء أمر بضدّه، فكان عليه بناء المسألة الأُولی على ذلك أيضاً، والجميع كما ترى</w:t>
      </w:r>
      <w:r>
        <w:rPr>
          <w:rFonts w:eastAsia="IRNazanin" w:cs="IRNazanin"/>
          <w:color w:val="111111"/>
          <w:sz w:val="28"/>
          <w:szCs w:val="28"/>
          <w:rtl w:val="true"/>
          <w:lang w:bidi="fa-IR"/>
        </w:rPr>
        <w:t>.</w:t>
      </w:r>
      <w:r>
        <w:rPr>
          <w:rStyle w:val="FootnoteAnchor"/>
          <w:rtl w:val="true"/>
        </w:rPr>
        <w:footnoteReference w:id="1859"/>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الظهار بالمدّة الموقتة، كشهر ويوم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أم لابدّ في صحّته من عدم التوقيت؟ ففيه قولان،</w:t>
      </w:r>
      <w:r>
        <w:rPr>
          <w:rStyle w:val="FootnoteAnchor"/>
          <w:rtl w:val="true"/>
        </w:rPr>
        <w:footnoteReference w:id="1860"/>
      </w:r>
      <w:r>
        <w:rPr>
          <w:rFonts w:ascii="IRNazanin" w:hAnsi="IRNazanin" w:eastAsia="IRNazanin"/>
          <w:color w:val="111111"/>
          <w:sz w:val="28"/>
          <w:sz w:val="28"/>
          <w:szCs w:val="28"/>
          <w:rtl w:val="true"/>
          <w:lang w:bidi="fa-IR"/>
        </w:rPr>
        <w:t>ويستدلّ لعدم الصحّة بالأصل،وبأنّه كالتشبيه بالمحرّمات غير الأبديّة، وبصحيح سعيد الأعرج على نسخة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المسالك،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ظاهر من امرأته فوفّي </w:t>
      </w:r>
      <w:bookmarkStart w:id="731" w:name="pg9375_99993"/>
    </w:p>
    <w:p>
      <w:pPr>
        <w:pStyle w:val="BookText"/>
        <w:rPr/>
      </w:pPr>
      <w:bookmarkEnd w:id="7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الظهار بشرائطه، فإن كان مطلقاً حرم على المظاهر وطء المظاهرة، ولا يحلّ له حتّى يكفّر، فإذا كفّر حلّ له وطؤها ولا يلزم كفّارة أُخرى بعد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وطأها قبل أن يكفّر فعليه كفّارتان، والأشبه عدم حرمة سائر الاستمتاعات قبل التكفير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وردّ كلّها بأنّ الأصل مندفع بالإطلاق وبأنّ التشبيه ليس بأزيد من القياس وبأنّ الاختلاف في النسخة في الصحيح مانع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الحقّ أنّ الأصل محكّم؛ لأنّ الإطلاق منصرف عن مثل المورد من الظهار الموقت ممّا لم يكن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استدلّ أيضاً بخبر عامّي روي عن سلمة بن صخر الصحابي وأنّه كان قد ظاهر من امرأته حتّى ينسلخ رمضان، ثمّ وطأها في المدّة، فأمره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بتحرير رقبة</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كونه ظهاراً موقتاً ليس بمعلوم فإنّه قضيّة شخصيّة خارجيّة، بل المعلوم أنّه كان دائميّاً بقرينة ما كان مرسوماً في الجاهليّة</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5416935_2870459653"/>
      <w:bookmarkStart w:id="733" w:name="_Toc260"/>
      <w:bookmarkEnd w:id="732"/>
      <w:r>
        <w:rPr>
          <w:rtl w:val="true"/>
        </w:rPr>
        <w:t>أحكام الظهار</w:t>
      </w:r>
      <w:bookmarkEnd w:id="73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للشيخ</w:t>
      </w:r>
      <w:r>
        <w:rPr>
          <w:rStyle w:val="FootnoteAnchor"/>
          <w:rtl w:val="true"/>
        </w:rPr>
        <w:footnoteReference w:id="1863"/>
      </w:r>
      <w:r>
        <w:rPr>
          <w:rFonts w:ascii="Amiri" w:hAnsi="Amiri" w:eastAsia="Amiri" w:cs="Amiri"/>
          <w:color w:val="111111"/>
          <w:sz w:val="28"/>
          <w:sz w:val="28"/>
          <w:szCs w:val="28"/>
          <w:rtl w:val="true"/>
          <w:lang w:bidi="ar-SA"/>
        </w:rPr>
        <w:t>والعلّامة</w:t>
      </w:r>
      <w:r>
        <w:rPr>
          <w:rStyle w:val="FootnoteAnchor"/>
          <w:rtl w:val="true"/>
        </w:rPr>
        <w:footnoteReference w:id="1864"/>
      </w:r>
      <w:r>
        <w:rPr>
          <w:rFonts w:ascii="Amiri" w:hAnsi="Amiri" w:eastAsia="Amiri" w:cs="Amiri"/>
          <w:color w:val="111111"/>
          <w:sz w:val="28"/>
          <w:sz w:val="28"/>
          <w:szCs w:val="28"/>
          <w:rtl w:val="true"/>
          <w:lang w:bidi="ar-SA"/>
        </w:rPr>
        <w:t xml:space="preserve">كالمحرم، لكن الحقّ حرمة خصوص الوطء </w:t>
      </w:r>
    </w:p>
    <w:p>
      <w:pPr>
        <w:pStyle w:val="BookText"/>
        <w:rPr/>
      </w:pPr>
      <w:r>
        <w:rPr>
          <w:rFonts w:ascii="Amiri" w:hAnsi="Amiri" w:eastAsia="Amiri" w:cs="Amiri"/>
          <w:color w:val="111111"/>
          <w:sz w:val="28"/>
          <w:sz w:val="28"/>
          <w:szCs w:val="28"/>
          <w:rtl w:val="true"/>
          <w:lang w:bidi="ar-SA"/>
        </w:rPr>
        <w:t>وإن كان مشروطاً حرم عليه الوطء بعد حصول شرطه، فلو علّقه على الوطء لم يحرم عليه الوطء المعلّق عليه، ولا تتعلّق به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رجعيّاً ثمّ راجعها لم يحلّ له وطؤها حتّى يكفّر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تزوّجها بعد انقضاء عدّتها أو كان بائناً، ولو تزوّجها في العدّة يسقط حكم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كالحائض، فإنّ التماس في كتاب الله هو كناية عن الوطئ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التفسير به إجماعي، كما أنّه مقتضى البراءة واستصحاب بقاء سائر الأحكام بعد العلم بخروج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ومرّ</w:t>
      </w:r>
      <w:r>
        <w:rPr>
          <w:rStyle w:val="FootnoteAnchor"/>
          <w:rtl w:val="true"/>
        </w:rPr>
        <w:footnoteReference w:id="1865"/>
      </w:r>
      <w:r>
        <w:rPr>
          <w:rFonts w:ascii="IRNazanin" w:hAnsi="IRNazanin" w:eastAsia="IRNazanin"/>
          <w:color w:val="111111"/>
          <w:sz w:val="28"/>
          <w:sz w:val="28"/>
          <w:szCs w:val="28"/>
          <w:rtl w:val="true"/>
          <w:lang w:bidi="fa-IR"/>
        </w:rPr>
        <w:t>بحثه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الأصحاب، ووجهه ظاهر لأنّ المطلّقة ترجع إلى الحالة السابقة بالرجوع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ولأنّ المنسبق من الأدلّة هو غير هذا المورد كما هو المشهور، بل لم ينقل خلافه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مرسلة النميري،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ظاهر ثمّ طلّق،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 عنه الكفّارة إذا طلّق قبل أن يعاود المجامعة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إنّما طلّقها لإسقاط الكفّارة عنه ثمّ راجعها فالكفّارة لازمة له أبداً إذا عاود المجامعة، وإن كان طلّقها وهو لا ينوي شيئاً من ذلك فلا بأس أن يراجع ولا كفّارة عليه</w:t>
      </w:r>
      <w:r>
        <w:rPr>
          <w:rFonts w:eastAsia="IRNazanin" w:cs="IRNazanin"/>
          <w:color w:val="111111"/>
          <w:sz w:val="28"/>
          <w:szCs w:val="28"/>
          <w:rtl w:val="true"/>
          <w:lang w:bidi="fa-IR"/>
        </w:rPr>
        <w:t>».</w:t>
      </w:r>
      <w:r>
        <w:rPr>
          <w:rStyle w:val="FootnoteAnchor"/>
          <w:rtl w:val="true"/>
        </w:rPr>
        <w:footnoteReference w:id="1866"/>
      </w:r>
      <w:r>
        <w:rPr>
          <w:rFonts w:ascii="Amiri" w:hAnsi="Amiri" w:eastAsia="Amiri" w:cs="Amiri"/>
          <w:color w:val="111111"/>
          <w:sz w:val="28"/>
          <w:sz w:val="28"/>
          <w:szCs w:val="28"/>
          <w:rtl w:val="true"/>
          <w:lang w:bidi="ar-SA"/>
        </w:rPr>
        <w:t>فمع ضعف سندها مخالفة للشهرة والقواعد فلا يكون حجّة، مضافاً إلى معارضتها للرواياتالكثيرة الدالّة على أنّ الطلاق هادم للظهار</w:t>
      </w:r>
      <w:r>
        <w:rPr>
          <w:rFonts w:eastAsia="Amiri" w:cs="Amiri" w:ascii="Amiri" w:hAnsi="Amiri"/>
          <w:color w:val="111111"/>
          <w:sz w:val="28"/>
          <w:szCs w:val="28"/>
          <w:rtl w:val="true"/>
          <w:lang w:bidi="ar-SA"/>
        </w:rPr>
        <w:t xml:space="preserve">: </w:t>
      </w:r>
      <w:bookmarkStart w:id="734" w:name="pg9375_99995"/>
    </w:p>
    <w:p>
      <w:pPr>
        <w:pStyle w:val="BookText"/>
        <w:rPr/>
      </w:pPr>
      <w:bookmarkEnd w:id="7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أحد أُمور ثلاثة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فإن عجز عنه فصيام شهرين متتابعين، وإن عجز عنه فإطعام ستّين مسكيناً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المظاهرة على ترك وطئها فلا اعتراض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تصبر رفعت أمرها إلى الحاكم الشرعي فيحضره ويخيّره بين الرجعة بعد التكفير وبين طلاقها، فإن اختار أحدهما وإلّا أنظره ثلاثة أشهر من حين المرافعة،</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يزيد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ثمّ طلّقها تطليقة؟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طلّقها تطليقة فقد بطل الظهار، وهدم الطلاق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يراجعها؟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هي امرأته، فإن راجعها وجب عليه ما يجب على المظاهر من قبل أن يتماساً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تركها حتّى يخلو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أجلها وتملك نفسها ثمّ تزوّجها بعد، هل يلزمه الظهار قبل أن يمسّها؟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 بانت منه وملكت نفسها</w:t>
      </w:r>
      <w:r>
        <w:rPr>
          <w:rFonts w:eastAsia="IRNazanin" w:cs="IRNazanin"/>
          <w:color w:val="111111"/>
          <w:sz w:val="28"/>
          <w:szCs w:val="28"/>
          <w:rtl w:val="true"/>
          <w:lang w:bidi="fa-IR"/>
        </w:rPr>
        <w:t>».</w:t>
      </w:r>
      <w:r>
        <w:rPr>
          <w:rStyle w:val="FootnoteAnchor"/>
          <w:rtl w:val="true"/>
        </w:rPr>
        <w:footnoteReference w:id="1867"/>
      </w:r>
    </w:p>
    <w:p>
      <w:pPr>
        <w:pStyle w:val="Heading3"/>
        <w:numPr>
          <w:ilvl w:val="2"/>
          <w:numId w:val="1"/>
        </w:numPr>
        <w:rPr/>
      </w:pPr>
      <w:bookmarkStart w:id="735" w:name="__RefHeading___Toc5416937_2870459653"/>
      <w:bookmarkStart w:id="736" w:name="_Toc261"/>
      <w:bookmarkEnd w:id="735"/>
      <w:r>
        <w:rPr>
          <w:rtl w:val="true"/>
        </w:rPr>
        <w:t>كفّارة الظهار</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الكتاب، وهو قوله تعالى وَالَّذِينَ يُظَاهِرُونَ مِن نِّسَائِهِمْ ثُمَّ يَعُودُونَ لِمَا قَالُوا فَتَحْرِيرُ رَقَبَةٍ مِّن قَبْلِ أَن يَتَمَاسَّا ذَلِكُمْ تُوعَظُونَ بِهِ وَاللَّهُ بِمَا تَعْمَلُونَ خَبِيرٌ فَمَن لَّمْ يَجِدْ فَصِيَامُ شَهْرَيْنِ مُتَتَابِعَيْنِ مِن قَبْلِ أَن يَتَمَاسَّا فَمَن لَّمْ يَسْتَطِعْ فَإِطْعَامُسِتِّينَ مِسْكِيناً ذَلِكَ لِتُؤْمِنُوا بِاللَّهِ وَرَسُولِهِ وَتِلْكَ حُدُودُ اللَّهِ وَلِلْكَافِرِينَ عَذَابٌ 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8"/>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لانحصار الحقّ فيها</w:t>
      </w:r>
      <w:r>
        <w:rPr>
          <w:rFonts w:eastAsia="Amiri" w:cs="Amiri" w:ascii="Amiri" w:hAnsi="Amiri"/>
          <w:color w:val="111111"/>
          <w:sz w:val="28"/>
          <w:szCs w:val="28"/>
          <w:rtl w:val="true"/>
          <w:lang w:bidi="ar-SA"/>
        </w:rPr>
        <w:t xml:space="preserve">. </w:t>
      </w:r>
      <w:bookmarkStart w:id="737" w:name="pg9375_99996"/>
    </w:p>
    <w:p>
      <w:pPr>
        <w:pStyle w:val="BookText"/>
        <w:rPr/>
      </w:pPr>
      <w:bookmarkEnd w:id="737"/>
      <w:r>
        <w:rPr>
          <w:rFonts w:ascii="Amiri" w:hAnsi="Amiri" w:eastAsia="Amiri" w:cs="Amiri"/>
          <w:color w:val="111111"/>
          <w:sz w:val="28"/>
          <w:sz w:val="28"/>
          <w:szCs w:val="28"/>
          <w:rtl w:val="true"/>
          <w:lang w:bidi="ar-SA"/>
        </w:rPr>
        <w:t>فإن انقضت المدّة ولم يختر أحدهما حبسه وضيّق عليه في المأكل والمشرب حتّى يختار أحدهما، ولا يجبره على أحدهما ولا يطلّق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5416939_2870459653"/>
      <w:bookmarkStart w:id="739" w:name="_Toc262"/>
      <w:bookmarkEnd w:id="738"/>
      <w:r>
        <w:rPr>
          <w:rtl w:val="true"/>
        </w:rPr>
        <w:t>رفع أمر المظاهرة إلى الحاكم إن لم تصبر</w:t>
      </w:r>
      <w:bookmarkEnd w:id="7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وعليه ادّعي الإجماع</w:t>
      </w:r>
      <w:r>
        <w:rPr>
          <w:rStyle w:val="FootnoteAnchor"/>
          <w:rtl w:val="true"/>
        </w:rPr>
        <w:footnoteReference w:id="1869"/>
      </w:r>
      <w:r>
        <w:rPr>
          <w:rFonts w:ascii="IRNazanin" w:hAnsi="IRNazanin" w:eastAsia="IRNazanin"/>
          <w:color w:val="111111"/>
          <w:sz w:val="28"/>
          <w:sz w:val="28"/>
          <w:szCs w:val="28"/>
          <w:rtl w:val="true"/>
          <w:lang w:bidi="fa-IR"/>
        </w:rPr>
        <w:t>وهو العمدة، ويدلّ على بعض الحكم ما في موثّقة يزيد الكناسي،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منها ثمّ تركها لا يمسّها إلّا أنّه يراها متجرّدة من غير أن يمسّها هل عليه في ذلك شيء؟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امرأته وليس يحرم عليه مجامعتها، ولكن يجب عليه ما يجب على المظاهر قبل أن يجامع وهي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رفعته إلى السلطان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زوجي وقد ظاهر منّي وقد أمسكني لا يمسّني مخافة أن يجب عليه ما يجب على المظاهر،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أن يجبر على العتق والصيام والإطعام إذا لم يكن له ما يعتق ولم يقو على الصيام ولم يجد ما يتصدّق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يقدر على أن يعتق فإنّ على الإمام أن يجبره على العتق أو الصدقة من قبل أن يمسّها ومن بعد ما يمسّها</w:t>
      </w:r>
      <w:r>
        <w:rPr>
          <w:rFonts w:eastAsia="IRNazanin" w:cs="IRNazanin"/>
          <w:color w:val="111111"/>
          <w:sz w:val="28"/>
          <w:szCs w:val="28"/>
          <w:rtl w:val="true"/>
          <w:lang w:bidi="fa-IR"/>
        </w:rPr>
        <w:t>».</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ولا يخفى أنّها غير ما عليه الإجماع، حيث إنّها تدلّ على أنّ الإمام يجبره على الكفّارة مع قدرته عليها ومورد الإجماع جبر الحاكم المظاهر بين الطلاق والكفّارة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بعد التضييق إن لم يختر أحدهما فمع قدرته على التكفير فللحاكم أن يكفّر عنه بماله أو الطلاق وذلك من باب الولاية على الممتنع ومن باب نفي الضرر، ومع عدم قدرته فيطلّق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قلنا إنّه مع عدم القدرة على الكفّارة يكفي الاستغفار وان لم يظهر الندم فيكفي الاستغفار، فإن لم يفعل فيطلّق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إن اختار الحاكم الكفّارة عنه ومع ذلك لا يرجع الزوج إليها فيطلّق الحاكم عنه معيّناً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r>
        <w:rPr>
          <w:rStyle w:val="FootnoteAnchor"/>
          <w:rtl w:val="true"/>
        </w:rPr>
        <w:footnoteReference w:id="187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الإيلاء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9375_100001"/>
      <w:bookmarkStart w:id="741" w:name="pg9375_100001"/>
      <w:bookmarkEnd w:id="741"/>
    </w:p>
    <w:p>
      <w:pPr>
        <w:pStyle w:val="Heading2"/>
        <w:numPr>
          <w:ilvl w:val="1"/>
          <w:numId w:val="1"/>
        </w:numPr>
        <w:rPr/>
      </w:pPr>
      <w:bookmarkStart w:id="742" w:name="pg9375_100001"/>
      <w:bookmarkStart w:id="743" w:name="__RefHeading___Toc5416941_2870459653"/>
      <w:bookmarkStart w:id="744" w:name="_Toc263"/>
      <w:bookmarkEnd w:id="742"/>
      <w:bookmarkEnd w:id="743"/>
      <w:r>
        <w:rPr>
          <w:rtl w:val="true"/>
        </w:rPr>
        <w:t>کتاب الإيلاء</w:t>
      </w:r>
      <w:bookmarkEnd w:id="744"/>
    </w:p>
    <w:p>
      <w:pPr>
        <w:pStyle w:val="BookText"/>
        <w:rPr/>
      </w:pPr>
      <w:r>
        <w:rPr>
          <w:rFonts w:ascii="Amiri" w:hAnsi="Amiri" w:eastAsia="Amiri" w:cs="Amiri"/>
          <w:color w:val="111111"/>
          <w:sz w:val="28"/>
          <w:sz w:val="28"/>
          <w:szCs w:val="28"/>
          <w:rtl w:val="true"/>
          <w:lang w:bidi="ar-SA"/>
        </w:rPr>
        <w:t>وهو الحلف على ترك وطء الزوجة الدائمة المدخول بها أبداً أو مدّة تزيد على أربعة أشهر؛ للإضرار بها، فلا يتحقّق بغير القيود المذكورة وإن انعقد اليمين مع فقدها، ويترتّب عليه آثاره إذا اجتمع شروطه</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الإيلاء كمطلق اليمين إلّا باسم الله تعالى المختصّ به أو الغالب إطلاقه عليه، ولا يعتبر فيه العربيّة، ولا اللفظ الصريح في كون المحلوف عليه ترك الجماع في القبل، بل المعتبر صدق كونه حالفاً على ترك ذلك العمل بلفظ له ظهور فيه، فيكفي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أطأك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أُجامعك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 رأسي ورأسك وسادة أو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ترك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الإيلاء بشرائطه، فإن صبرت المرأة مع امتناعه عن المواقعة فلا كلام، وإلّا فلها الرفع إلى الحاكم فيحضره وينظره أربعة أشهر، فإن رجع وواقعها في هذه المدّة فهو، وإلّا أجبره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الرجوع أو الطلاق، فإن فعل أحدهما وإلّا حبسه وضيّق عليه في المأكل والمشرب حتّى يختار أحدهما، ولا يجبره على أحدهما معيّناً</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الأشهر الأربعة التي ينظر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يجبر على أحد </w:t>
      </w:r>
    </w:p>
    <w:p>
      <w:pPr>
        <w:pStyle w:val="BookText"/>
        <w:rPr/>
      </w:pPr>
      <w:r>
        <w:rPr>
          <w:rFonts w:ascii="Amiri" w:hAnsi="Amiri" w:eastAsia="Amiri" w:cs="Amiri"/>
          <w:color w:val="111111"/>
          <w:sz w:val="28"/>
          <w:sz w:val="28"/>
          <w:szCs w:val="28"/>
          <w:rtl w:val="true"/>
          <w:lang w:bidi="ar-SA"/>
        </w:rPr>
        <w:t xml:space="preserve">الأمرين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حين الرفع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حكم الإيلاء بالطلاق البائن وإن عقد عليها في العدّة بخلاف الرجعي، فإنّه وإن خرج بذلك من حقّها فليست لها المطالبة والترافع إلى الحاكم لكن لا يزول حكم الإيلاء إلّا بانقضاء عدّتها، فلو راجعها في العدّة عاد إلى الحكم الأوّل، فلها المطالبة بحقّها والمرافعة</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وطأها الزوج بعد الإيلاء لزمته الكفّارة؛ سواء كان في مدّة التربّص أو بعدها أو قبلها؛ لأنّه قد حنث اليمين على كلّ حالٍ وإن جاز له هذا الحنث، بل وجب بعد انقضاء المدّة ومطالبتها وأمر الحاكم به تخييراً، وبهذا يمتاز هذا الحلف عن سائر الأيمان، كما أنّه يمتاز عن غيره بأنّه لا يعتبر فيه ما يعتبر في غيره من كون متعلّقه مباحاً تساوى طرفاه أو كان راجحاً ديناً أو دُنيا</w:t>
      </w:r>
      <w:r>
        <w:rPr>
          <w:rFonts w:eastAsia="Amiri" w:cs="Amiri" w:ascii="Amiri" w:hAnsi="Amiri"/>
          <w:color w:val="111111"/>
          <w:sz w:val="28"/>
          <w:szCs w:val="28"/>
          <w:rtl w:val="true"/>
          <w:lang w:bidi="ar-SA"/>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اللعان </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9375_100005"/>
      <w:bookmarkStart w:id="746" w:name="pg9375_100005"/>
      <w:bookmarkEnd w:id="746"/>
    </w:p>
    <w:p>
      <w:pPr>
        <w:pStyle w:val="Heading2"/>
        <w:numPr>
          <w:ilvl w:val="1"/>
          <w:numId w:val="1"/>
        </w:numPr>
        <w:rPr/>
      </w:pPr>
      <w:bookmarkStart w:id="747" w:name="pg9375_100005"/>
      <w:bookmarkStart w:id="748" w:name="__RefHeading___Toc5416943_2870459653"/>
      <w:bookmarkStart w:id="749" w:name="_Toc264"/>
      <w:bookmarkEnd w:id="747"/>
      <w:bookmarkEnd w:id="748"/>
      <w:r>
        <w:rPr>
          <w:rtl w:val="true"/>
        </w:rPr>
        <w:t>کتاب اللعان</w:t>
      </w:r>
      <w:bookmarkEnd w:id="749"/>
    </w:p>
    <w:p>
      <w:pPr>
        <w:pStyle w:val="Heading3"/>
        <w:numPr>
          <w:ilvl w:val="2"/>
          <w:numId w:val="1"/>
        </w:numPr>
        <w:rPr/>
      </w:pPr>
      <w:bookmarkStart w:id="750" w:name="__RefHeading___Toc5416945_2870459653"/>
      <w:bookmarkStart w:id="751" w:name="_Toc265"/>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وهي مباهلة خاصّة بين الزوجين، أثرها دفع الحدّ أو نفي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5416947_2870459653"/>
      <w:bookmarkStart w:id="753" w:name="_Toc266"/>
      <w:bookmarkEnd w:id="752"/>
      <w:r>
        <w:rPr>
          <w:rtl w:val="true"/>
        </w:rPr>
        <w:t>تعريف اللعان ومشروعيّته</w:t>
      </w:r>
      <w:bookmarkEnd w:id="7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مصدر من المفاعلة، وقد يستعمل جمعاً للّعن وهو لغة الطرد والإبعاد،</w:t>
      </w:r>
      <w:r>
        <w:rPr>
          <w:rStyle w:val="FootnoteAnchor"/>
          <w:rtl w:val="true"/>
        </w:rPr>
        <w:footnoteReference w:id="1873"/>
      </w:r>
      <w:r>
        <w:rPr>
          <w:rFonts w:ascii="Amiri" w:hAnsi="Amiri" w:eastAsia="Amiri" w:cs="Amiri"/>
          <w:color w:val="111111"/>
          <w:sz w:val="28"/>
          <w:sz w:val="28"/>
          <w:szCs w:val="28"/>
          <w:rtl w:val="true"/>
          <w:lang w:bidi="ar-SA"/>
        </w:rPr>
        <w:t>وفي الاصطلاح صيغة خاصّة مع كيفيّة خاصّة جعلت للزوج المضطرّ في دفع الحدّ أو نفي الولد، والأصل في اللعان كتاب الله تعالى،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 وَالْخَامِسَةُ أَنَّ لَعْنَتَ اللَّهِ عَلَيْهِ إِن كَانَ مِنَ الْكَاذِبِينَ وَيَدْرَأُ عَنْهَا الْعَذَابَ أَنْ تَشْهَدَ أَرْبَعَ شَهَادَاتٍ بِاللَّهِ إِنَّهُ لَمِنَ الْكَاذِبِينَ وَالْخَامِسَةَ أَنَّ غَضَبَ اللَّهِ عَلَيْهَا إِن كَانَ مِنَ الصَّادِقِينَ</w:t>
      </w:r>
      <w:r>
        <w:rPr>
          <w:rFonts w:ascii="IRNazanin" w:hAnsi="IRNazanin" w:eastAsia="IRNazanin"/>
          <w:color w:val="111111"/>
          <w:sz w:val="28"/>
          <w:sz w:val="28"/>
          <w:szCs w:val="28"/>
          <w:rtl w:val="true"/>
          <w:lang w:bidi="fa-IR"/>
        </w:rPr>
        <w:t>،</w:t>
      </w:r>
      <w:r>
        <w:rPr>
          <w:rStyle w:val="FootnoteAnchor"/>
          <w:rtl w:val="true"/>
        </w:rPr>
        <w:footnoteReference w:id="1874"/>
      </w:r>
      <w:r>
        <w:rPr>
          <w:rFonts w:ascii="Amiri" w:hAnsi="Amiri" w:eastAsia="Amiri" w:cs="Amiri"/>
          <w:color w:val="111111"/>
          <w:sz w:val="28"/>
          <w:sz w:val="28"/>
          <w:szCs w:val="28"/>
          <w:rtl w:val="true"/>
          <w:lang w:bidi="ar-SA"/>
        </w:rPr>
        <w:t>كما أنّ ذلك هو شأن نزولها على ما ذكره في الجواهر</w:t>
      </w:r>
      <w:r>
        <w:rPr>
          <w:rStyle w:val="FootnoteAnchor"/>
          <w:rtl w:val="true"/>
        </w:rPr>
        <w:footnoteReference w:id="1875"/>
      </w:r>
      <w:r>
        <w:rPr>
          <w:rFonts w:ascii="Amiri" w:hAnsi="Amiri" w:eastAsia="Amiri" w:cs="Amiri"/>
          <w:color w:val="111111"/>
          <w:sz w:val="28"/>
          <w:sz w:val="28"/>
          <w:szCs w:val="28"/>
          <w:rtl w:val="true"/>
          <w:lang w:bidi="ar-SA"/>
        </w:rPr>
        <w:t>من طرق العامّة</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طريق الخاصّة ما رواه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 البصري سأل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حاضر، كيفيلاعن الرجل المرأة؟ فقال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رجلاً من المسلمين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لو أنّ رجلاً دخل منزله فرأى مع امرأته رجلاً يجامعها ما كان يصنع؟ فأعرض عنه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فانصرف الرجل وكان ذلك الرجل هو الذي ابتلي بذلك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الوحي من عند الله عزّوجلّ بالحكم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الرجل فدعاه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الذي رأيت مع امرأتك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فأتني بامرأتك، فإنّ الله عزّوجلّ قد أنزل الحكم فيك وفيها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فأحضرها زوجها فوقفها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أربع شهادات بالله إنّك لمن الصادقين فيما رميتها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ووعظه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فإنّ لعنة الله 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الخامسة، أنّ لعنة الله عليك إن كنت من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فأمر به فنحي،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اشهدي أربع شهادات بالله أنّ زوجك لمن الكاذبين فيما رماك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امسكي فوعظها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اتّقي الله، فإنّ غضب الله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اشهدي الخامسة أنّ غضب الله عليك إن كان زوجك من الصادقين فيما رماك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ففرّق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تجتمعا بنكاح أبداً بعد ما تلاعنتما</w:t>
      </w:r>
      <w:r>
        <w:rPr>
          <w:rFonts w:eastAsia="IRNazanin" w:cs="IRNazanin"/>
          <w:color w:val="111111"/>
          <w:sz w:val="28"/>
          <w:szCs w:val="28"/>
          <w:rtl w:val="true"/>
          <w:lang w:bidi="fa-IR"/>
        </w:rPr>
        <w:t>».</w:t>
      </w:r>
      <w:r>
        <w:rPr>
          <w:rStyle w:val="FootnoteAnchor"/>
          <w:rtl w:val="true"/>
        </w:rPr>
        <w:footnoteReference w:id="1876"/>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ما رواه السيّد المرتضى عن تفسير النعماني،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غزاة تبوك قام إليه عويمر بن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امرأتي زنت بشريك بن السمحاط، فأعرض عنه، فأعاد إليه القول، فأعرض عنه، فأعاد عليه ثالثة فقام ودخل فنزل اللعان فخرج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إئتني بأهلك، فقد أنزل الله </w:t>
      </w:r>
      <w:bookmarkStart w:id="754" w:name="pg9375_100007"/>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رمى الزوج زوجته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نفى ولديّة من ولد في فراشه مع إمكان لحوقه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فيكما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فأتاه بأهله وأتى معها قومها فوافوا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العصر، فلمّا فرغ أقبل عليهما وقال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تقدّما إلی المنبر فلاعنا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فتقدّم عويمر إلى المنبر فتلا عليهما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اللعان </w:t>
      </w:r>
      <w:r>
        <w:rPr>
          <w:rFonts w:ascii="Amiri" w:hAnsi="Amiri" w:eastAsia="Amiri" w:cs="Amiri"/>
          <w:color w:val="111111"/>
          <w:sz w:val="28"/>
          <w:sz w:val="28"/>
          <w:szCs w:val="28"/>
          <w:rtl w:val="true"/>
          <w:lang w:bidi="ar-SA"/>
        </w:rPr>
        <w:t xml:space="preserve">وَالَّذِينَ يَرْمُونَ أَزْوَاجَهُمْ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877"/>
      </w:r>
      <w:r>
        <w:rPr>
          <w:rFonts w:ascii="IRNazanin" w:hAnsi="IRNazanin" w:eastAsia="IRNazanin"/>
          <w:color w:val="111111"/>
          <w:sz w:val="28"/>
          <w:sz w:val="28"/>
          <w:szCs w:val="28"/>
          <w:rtl w:val="true"/>
          <w:lang w:bidi="fa-IR"/>
        </w:rPr>
        <w:t>الآية، فشهد بالله أربع شهادات إنّه لمن الصادقين، والخامسة أنّ غضب الله عليه إن كان من الكاذبين، ثمّ شهدت بالله أربع شهادات أنّه لمن الكاذبين فيما رماها به،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العني نفسك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فشهدت وقالت في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غضب الله عليها إن كان من الصادقين فيما رماها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إذهبا، فلن يحلّ لك ولن تحلّي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أعطيتها،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صادقاً فهو لها بما استحللت من فرجها، وإن كنت كاذباً فهو أبعد لك منه</w:t>
      </w:r>
      <w:r>
        <w:rPr>
          <w:rFonts w:eastAsia="IRNazanin" w:cs="IRNazanin"/>
          <w:color w:val="111111"/>
          <w:sz w:val="28"/>
          <w:szCs w:val="28"/>
          <w:rtl w:val="true"/>
          <w:lang w:bidi="fa-IR"/>
        </w:rPr>
        <w:t>».</w:t>
      </w:r>
      <w:r>
        <w:rPr>
          <w:rStyle w:val="FootnoteAnchor"/>
          <w:rtl w:val="true"/>
        </w:rPr>
        <w:footnoteReference w:id="1878"/>
      </w:r>
    </w:p>
    <w:p>
      <w:pPr>
        <w:pStyle w:val="Heading3"/>
        <w:numPr>
          <w:ilvl w:val="2"/>
          <w:numId w:val="1"/>
        </w:numPr>
        <w:rPr/>
      </w:pPr>
      <w:bookmarkStart w:id="755" w:name="__RefHeading___Toc5416949_2870459653"/>
      <w:bookmarkStart w:id="756" w:name="_Toc267"/>
      <w:bookmarkEnd w:id="755"/>
      <w:r>
        <w:rPr>
          <w:rtl w:val="true"/>
        </w:rPr>
        <w:t>مشروعيّة اللعان في موردين</w:t>
      </w:r>
      <w:r>
        <w:rPr>
          <w:rtl w:val="true"/>
        </w:rPr>
        <w:t xml:space="preserve">: </w:t>
      </w:r>
      <w:r>
        <w:rPr>
          <w:rtl w:val="true"/>
        </w:rPr>
        <w:t>رمي الزوجة بالزنا ونفي الولد</w:t>
      </w:r>
      <w:bookmarkEnd w:id="756"/>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الواضحات حرمة قذف المسلم والمسلمة إذا كانا محصنين؛ وذلك مضافاً إلى روايات القذف والحدّ فيه أنّه يوجب هتك حرمة المقذوفوتضييعه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المسلم والكافر، كما أنّه لا يجوز الرمي بالزنا مع القطع به أيضاً إلّا في غير المسلم، كما يظهر 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قذفهم بعض الكفّار، وكذا في مورد شهد به أربعة عدول كالميل في المكحلة</w:t>
      </w:r>
      <w:r>
        <w:rPr>
          <w:rFonts w:eastAsia="Amiri" w:cs="Amiri" w:ascii="Amiri" w:hAnsi="Amiri"/>
          <w:color w:val="111111"/>
          <w:sz w:val="28"/>
          <w:szCs w:val="28"/>
          <w:rtl w:val="true"/>
          <w:lang w:bidi="ar-SA"/>
        </w:rPr>
        <w:t xml:space="preserve">. </w:t>
      </w:r>
      <w:bookmarkStart w:id="757" w:name="pg9375_100008"/>
    </w:p>
    <w:p>
      <w:pPr>
        <w:pStyle w:val="BookText"/>
        <w:rPr/>
      </w:pPr>
      <w:bookmarkEnd w:id="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قذف زوجته بالزنا مع الريب، ولا مع غلبة الظنّ ببعض الأسباب المريبة، بل ولا بالشياع ولا بإخبار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مع اليقين، لكن لا يصدّق إذا لم تعترف به الزوجة ولم تكن بيّنة، بل يحدّ حدّ القذف مع مطالبتها إلّا إذا أوقع اللعان الجامعة للشروط الآتية فيدرأ عنه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سببيّة نفي الولد للّعان هو مجمعٌ عليه،</w:t>
      </w:r>
      <w:r>
        <w:rPr>
          <w:rStyle w:val="FootnoteAnchor"/>
          <w:rtl w:val="true"/>
        </w:rPr>
        <w:footnoteReference w:id="1879"/>
      </w:r>
      <w:r>
        <w:rPr>
          <w:rFonts w:ascii="Amiri" w:hAnsi="Amiri" w:eastAsia="Amiri" w:cs="Amiri"/>
          <w:color w:val="111111"/>
          <w:sz w:val="28"/>
          <w:sz w:val="28"/>
          <w:szCs w:val="28"/>
          <w:rtl w:val="true"/>
          <w:lang w:bidi="ar-SA"/>
        </w:rPr>
        <w:t>كما يدلّ عليه النصوص أيضاً، وأمّا رمي الزوجة بالزنا فهو ثابتٌ بكتاب الله، بل لا خلاف فيه إلّا عن الصدوق؛</w:t>
      </w:r>
      <w:r>
        <w:rPr>
          <w:rStyle w:val="FootnoteAnchor"/>
          <w:rtl w:val="true"/>
        </w:rPr>
        <w:footnoteReference w:id="1880"/>
      </w:r>
      <w:r>
        <w:rPr>
          <w:rFonts w:ascii="Amiri" w:hAnsi="Amiri" w:eastAsia="Amiri" w:cs="Amiri"/>
          <w:color w:val="111111"/>
          <w:sz w:val="28"/>
          <w:sz w:val="28"/>
          <w:szCs w:val="28"/>
          <w:rtl w:val="true"/>
          <w:lang w:bidi="ar-SA"/>
        </w:rPr>
        <w:t>استناداً إلى خبرين غير معمولٌ بهما عند الأصحاب وهما مخالفان للكتاب كما أنّ أحدهما هو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نفي الولد هو على وجهين؛ فمرّة هو مع القذف بالزنا فيدلّ عليه الكتاب،</w:t>
      </w:r>
      <w:r>
        <w:rPr>
          <w:rStyle w:val="FootnoteAnchor"/>
          <w:rtl w:val="true"/>
        </w:rPr>
        <w:footnoteReference w:id="1881"/>
      </w:r>
      <w:r>
        <w:rPr>
          <w:rFonts w:ascii="Amiri" w:hAnsi="Amiri" w:eastAsia="Amiri" w:cs="Amiri"/>
          <w:color w:val="111111"/>
          <w:sz w:val="28"/>
          <w:sz w:val="28"/>
          <w:szCs w:val="28"/>
          <w:rtl w:val="true"/>
          <w:lang w:bidi="ar-SA"/>
        </w:rPr>
        <w:t>وأُخرى بغير قذفها به فلا يشمله الكتاب ولكنّ الإجماع قائم</w:t>
      </w:r>
      <w:r>
        <w:rPr>
          <w:rStyle w:val="FootnoteAnchor"/>
          <w:rtl w:val="true"/>
        </w:rPr>
        <w:footnoteReference w:id="1882"/>
      </w:r>
      <w:r>
        <w:rPr>
          <w:rFonts w:ascii="Amiri" w:hAnsi="Amiri" w:eastAsia="Amiri" w:cs="Amiri"/>
          <w:color w:val="111111"/>
          <w:sz w:val="28"/>
          <w:sz w:val="28"/>
          <w:szCs w:val="28"/>
          <w:rtl w:val="true"/>
          <w:lang w:bidi="ar-SA"/>
        </w:rPr>
        <w:t>على جريانه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اللعان موجبٌ لنفي الحدّ عمّن لاعن، ولنفي الولد عن الزوج دون الزوجة، وللّعان في كلّ منها شروط كالرؤية والدخول كما يأتي تفصيله ومع عدم تحقّقها يحدّ حدّ القذف؛ قضاءً لإطلاق الكتاب والسنّة</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5416951_2870459653"/>
      <w:bookmarkStart w:id="759" w:name="_Toc268"/>
      <w:bookmarkEnd w:id="758"/>
      <w:r>
        <w:rPr>
          <w:rtl w:val="true"/>
        </w:rPr>
        <w:t>جواز قذف الزوجة بالزنا عند اليقين لا غيره</w:t>
      </w:r>
      <w:bookmarkEnd w:id="759"/>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المستفاد من ظاهر عبارة غير واحد من الأصحاب لكنّ الحقّ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أنّ رمي المحصنة حرام مطلقاً من دون فرق بين كون الرامي الزوج أو غيره، ومن دون فرق بين المسلمة وغيرها، لكن يجوز في غير المسلمة عند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ثبت عند القاضي بالبيّنة فلا حرمة ولا حدّ عليه، بل بإقرارها أيضاً، بل غيره من طرق الإثبات عنده على تقدير قبول الثبوت عنده من غير البيّنة والإقرار، كما لا حرمة في خصوص الزوج إن أجرى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ذلك يلزم منه عدم جواز إعلام الزنا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يجري في الحدّ والحكم الوضعي أيضاً؛ لأنّ الرامي يحدّ إن لم يقم الشهود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أجيز الرمي مع قيام أربعة شهداء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ويدلّ عليه عموم الكتاب والسنّة، أمّا الكتاب، فهو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3"/>
      </w:r>
    </w:p>
    <w:p>
      <w:pPr>
        <w:pStyle w:val="BookText"/>
        <w:rPr/>
      </w:pPr>
      <w:r>
        <w:rPr>
          <w:rFonts w:ascii="IRNazanin" w:hAnsi="IRNazanin" w:eastAsia="IRNazanin"/>
          <w:color w:val="111111"/>
          <w:sz w:val="28"/>
          <w:sz w:val="28"/>
          <w:szCs w:val="28"/>
          <w:rtl w:val="true"/>
          <w:lang w:bidi="fa-IR"/>
        </w:rPr>
        <w:t>وأمّا السنّة،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إليه في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 الله قذف المحصنات لما فيه من فساد الأنساب ونفي الولد وإبطال المواريث وترك التربية وذهاب المعارف وما فيه من الكبائر والعلل التي تؤدّي إلى فساد الخلق</w:t>
      </w:r>
      <w:r>
        <w:rPr>
          <w:rFonts w:eastAsia="IRNazanin" w:cs="IRNazanin"/>
          <w:color w:val="111111"/>
          <w:sz w:val="28"/>
          <w:szCs w:val="28"/>
          <w:rtl w:val="true"/>
          <w:lang w:bidi="fa-IR"/>
        </w:rPr>
        <w:t>».</w:t>
      </w:r>
      <w:r>
        <w:rPr>
          <w:rStyle w:val="FootnoteAnchor"/>
          <w:rtl w:val="true"/>
        </w:rPr>
        <w:footnoteReference w:id="1884"/>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عقاب الأعمال،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رمى محصناً أو محصنة أحبط الله عمله، وجلده يوم القيامة سبعون ألف ملك من بين </w:t>
      </w:r>
      <w:bookmarkStart w:id="760" w:name="pg9375_100010"/>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بالقذف أن يدّعي المشاهدة، فلا لعان فيمن لم يدّعها ومن لم يتمكّن منها كالأعمى، فيحدّان مع عدم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يديه ومن خلفه، ثمّ يؤمر به إلى النار</w:t>
      </w:r>
      <w:r>
        <w:rPr>
          <w:rFonts w:eastAsia="Amiri" w:cs="Amiri" w:ascii="Amiri" w:hAnsi="Amiri"/>
          <w:color w:val="111111"/>
          <w:sz w:val="28"/>
          <w:szCs w:val="28"/>
          <w:rtl w:val="true"/>
          <w:lang w:bidi="ar-SA"/>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أبي عمير، عن أبي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فسألني رجل ما فعل غريمك؟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ابن الفاعلة فنظر إليّ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مجوسي أمّه أُخته،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ليس ذلك في دينهم نكاحاً؟</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نهى عن قذف من ليس على الإسلام إلّا أن يطّلع على ذلك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 ما يكون أن يكون قد كذب</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نهى عن قذف من كان على غير الإسلام إلّا أن تكون قد اطّلعت على ذلك منه</w:t>
      </w:r>
      <w:r>
        <w:rPr>
          <w:rFonts w:eastAsia="IRNazanin" w:cs="IRNazanin"/>
          <w:color w:val="111111"/>
          <w:sz w:val="28"/>
          <w:szCs w:val="28"/>
          <w:rtl w:val="true"/>
          <w:lang w:bidi="fa-IR"/>
        </w:rPr>
        <w:t>».</w:t>
      </w:r>
      <w:r>
        <w:rPr>
          <w:rStyle w:val="FootnoteAnchor"/>
          <w:rtl w:val="true"/>
        </w:rPr>
        <w:footnoteReference w:id="1888"/>
      </w:r>
    </w:p>
    <w:p>
      <w:pPr>
        <w:pStyle w:val="Heading3"/>
        <w:numPr>
          <w:ilvl w:val="2"/>
          <w:numId w:val="1"/>
        </w:numPr>
        <w:rPr/>
      </w:pPr>
      <w:bookmarkStart w:id="761" w:name="__RefHeading___Toc5416953_2870459653"/>
      <w:bookmarkStart w:id="762" w:name="_Toc269"/>
      <w:bookmarkEnd w:id="761"/>
      <w:r>
        <w:rPr>
          <w:rtl w:val="true"/>
        </w:rPr>
        <w:t>اشتراط اللعان بالقذف بادّعاء المشاهدة</w:t>
      </w:r>
      <w:bookmarkEnd w:id="762"/>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بلا خلاف بين الأصحاب بل ادّعي الإجماع عليه،</w:t>
      </w:r>
      <w:r>
        <w:rPr>
          <w:rStyle w:val="FootnoteAnchor"/>
          <w:rtl w:val="true"/>
        </w:rPr>
        <w:footnoteReference w:id="1889"/>
      </w:r>
      <w:r>
        <w:rPr>
          <w:rFonts w:ascii="Amiri" w:hAnsi="Amiri" w:eastAsia="Amiri" w:cs="Amiri"/>
          <w:color w:val="111111"/>
          <w:sz w:val="28"/>
          <w:sz w:val="28"/>
          <w:szCs w:val="28"/>
          <w:rtl w:val="true"/>
          <w:lang w:bidi="ar-SA"/>
        </w:rPr>
        <w:t>خلافاًللشهيد في المسالك</w:t>
      </w:r>
      <w:r>
        <w:rPr>
          <w:rStyle w:val="FootnoteAnchor"/>
          <w:rtl w:val="true"/>
        </w:rPr>
        <w:footnoteReference w:id="1890"/>
      </w:r>
      <w:r>
        <w:rPr>
          <w:rFonts w:ascii="IRNazanin" w:hAnsi="IRNazanin" w:eastAsia="IRNazanin"/>
          <w:color w:val="111111"/>
          <w:sz w:val="28"/>
          <w:sz w:val="28"/>
          <w:szCs w:val="28"/>
          <w:rtl w:val="true"/>
          <w:lang w:bidi="fa-IR"/>
        </w:rPr>
        <w:t xml:space="preserve">فإنّه مع نسبته هذا الشرط إلى مذهب الأصحاب ذهب إلى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مقتضى الآية عدمه، واستُدلّ لاشتراطه بأخبار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يقذف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يجلد ثمّ يخلّي بينهما ولا يلاعنها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رأى بين رجليها من يفجر بها</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يفتري على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ثمّ يخلّي بينهما ولا يلاعنها حتّى يقول أشهد أنّي رأيتك تفعلين كذا وكذا</w:t>
      </w:r>
      <w:r>
        <w:rPr>
          <w:rFonts w:eastAsia="Amiri" w:cs="Amiri" w:ascii="Amiri" w:hAnsi="Amiri"/>
          <w:color w:val="111111"/>
          <w:sz w:val="28"/>
          <w:szCs w:val="28"/>
          <w:rtl w:val="true"/>
          <w:lang w:bidi="ar-SA"/>
        </w:rPr>
        <w:t>».</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لعان حتّى يزعم أنّه قد عاين</w:t>
      </w:r>
      <w:r>
        <w:rPr>
          <w:rFonts w:eastAsia="IRNazanin" w:cs="IRNazanin"/>
          <w:color w:val="111111"/>
          <w:sz w:val="28"/>
          <w:szCs w:val="28"/>
          <w:rtl w:val="true"/>
          <w:lang w:bidi="fa-IR"/>
        </w:rPr>
        <w:t>».</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قذف الرجل امرأته فإنّه لا يلاعنها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بين رجليها رجلاً يزني بها</w:t>
      </w:r>
      <w:r>
        <w:rPr>
          <w:rFonts w:eastAsia="IRNazanin" w:cs="IRNazanin"/>
          <w:color w:val="111111"/>
          <w:sz w:val="28"/>
          <w:szCs w:val="28"/>
          <w:rtl w:val="true"/>
          <w:lang w:bidi="fa-IR"/>
        </w:rPr>
        <w:t>».</w:t>
      </w:r>
      <w:r>
        <w:rPr>
          <w:rStyle w:val="FootnoteAnchor"/>
          <w:rtl w:val="true"/>
        </w:rPr>
        <w:footnoteReference w:id="1894"/>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سليمان،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الرجل إذا قذف امرأته كانت شهادته أربع شهادات بالله وإذا قذفها غيره أب أو أخ أو ولد أو غريب جلّد الحدّ أو يقيم البيّنة على ماقال؟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الزوج إذا قذف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ذلك بعيني كانت شهادته أربع شهادات بالله،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يره قيل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البيّنة على ما قلت، وإلّا كان بمنزلة غيره، وذلك أنّ الله تعالى جعل للزوج مدخلاً لا يدخله غيره والد ولا ولد يدخله بالليل والنهار فجاز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ولو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أدخلك المدخل الذي ترى هذا فيه وحدك، أنت متّهم فلا بدّ من أن يقيم عليك الحدّ الذي أوجبه الله عليك</w:t>
      </w:r>
      <w:r>
        <w:rPr>
          <w:rFonts w:eastAsia="Amiri" w:cs="Amiri" w:ascii="Amiri" w:hAnsi="Amiri"/>
          <w:color w:val="111111"/>
          <w:sz w:val="28"/>
          <w:szCs w:val="28"/>
          <w:rtl w:val="true"/>
          <w:lang w:bidi="ar-SA"/>
        </w:rPr>
        <w:t>».</w:t>
      </w:r>
      <w:r>
        <w:rPr>
          <w:rStyle w:val="FootnoteAnchor"/>
          <w:rtl w:val="true"/>
        </w:rPr>
        <w:footnoteReference w:id="1895"/>
      </w:r>
    </w:p>
    <w:p>
      <w:pPr>
        <w:pStyle w:val="BookText"/>
        <w:rPr/>
      </w:pPr>
      <w:r>
        <w:rPr>
          <w:rFonts w:ascii="IRNazanin" w:hAnsi="IRNazanin" w:eastAsia="IRNazanin"/>
          <w:color w:val="111111"/>
          <w:sz w:val="28"/>
          <w:sz w:val="28"/>
          <w:szCs w:val="28"/>
          <w:rtl w:val="true"/>
          <w:lang w:bidi="fa-IR"/>
        </w:rPr>
        <w:t>ونحوه مرسلة محمّد بن أسلم الجبلي،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صارت شهادة الزوج أربع شهادات بالله، لمكان الأربعة الشهداء مكان كلّ شاهد يمين</w:t>
      </w:r>
      <w:r>
        <w:rPr>
          <w:rFonts w:eastAsia="IRNazanin" w:cs="IRNazanin"/>
          <w:color w:val="111111"/>
          <w:sz w:val="28"/>
          <w:szCs w:val="28"/>
          <w:rtl w:val="true"/>
          <w:lang w:bidi="fa-IR"/>
        </w:rPr>
        <w:t>».</w:t>
      </w:r>
      <w:r>
        <w:rPr>
          <w:rStyle w:val="FootnoteAnchor"/>
          <w:rtl w:val="true"/>
        </w:rPr>
        <w:footnoteReference w:id="1896"/>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الرؤية هو من باب أحد مصاديق العلم فلا مدخل لنفس الرؤية، ولاموضوعيّة لها،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معتبرة فيمن تمكن له لا أنّها معتبرة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مخالفٌ للنصوص؛ لأنّ الظاهر منها أنّ لها الموضوعيّة والمدخليّة، كما أنّ الظاهر منها اشتراطها مطلقاً، لكنّ الذي يختلج في الذهن أنّ الشهادة لا تتوقّف على الرؤية ويكفي العلم، مع أنّ المذكور في روايات الشهادة أيضاً هو الرؤية فإن جازت الشهادة بدونها فهنا أيضاً لم تشترط الرؤية وهو الذي قالوه في الشهادة على الزنا اعتماداً على العلم وإن لم ير كالميل في المكحلة، مضافاً إلى أنّ كفاية العلم هي موافقة للحكمة في جعل اللعان فإنّه جعل لرفع المشقّة والاضطرار، كمايؤيّده إطلاق الكتاب،</w:t>
      </w:r>
      <w:r>
        <w:rPr>
          <w:rStyle w:val="FootnoteAnchor"/>
          <w:rtl w:val="true"/>
        </w:rPr>
        <w:footnoteReference w:id="1897"/>
      </w:r>
      <w:r>
        <w:rPr>
          <w:rFonts w:ascii="Amiri" w:hAnsi="Amiri" w:eastAsia="Amiri" w:cs="Amiri"/>
          <w:color w:val="111111"/>
          <w:sz w:val="28"/>
          <w:sz w:val="28"/>
          <w:szCs w:val="28"/>
          <w:rtl w:val="true"/>
          <w:lang w:bidi="ar-SA"/>
        </w:rPr>
        <w:t>ولسان هذه النصوص لسان التفسير فهو مخالف لظاهر الكتاب إلّا أن يحمل على أنّ ذكرها من باب ذكر المصداق وليس لسانها لسان التقييد فهي تفسير بالمصداق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والتحقيق أنّ هذه الوجوه غير تامّة، مع أنّ بعضها ليس بحجّة حتّى مع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العلم في الشهادة وإن حصل عن غير رؤية فهي تختلف عمّا نحن فيه الذي هو اللعان لا الشهادة، مع أنّ المشهور في الشهادة على الزنا أيضاً لزوم كونها عن رؤية، وأمّا الحكمة فلا تستلزم الحكم في كلّ مورد وجدت فإنّ الحكم يدور مدار الحكمة عدماً لاوجوداً بخلاف العلّة حيث إنّ الحكم يدور مدارها وجوداً وعدماً فالحكم ليس دائراً على الحكمة وهو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هذه النصوص</w:t>
      </w:r>
      <w:r>
        <w:rPr>
          <w:rStyle w:val="FootnoteAnchor"/>
          <w:rtl w:val="true"/>
        </w:rPr>
        <w:footnoteReference w:id="1898"/>
      </w:r>
      <w:r>
        <w:rPr>
          <w:rFonts w:ascii="Amiri" w:hAnsi="Amiri" w:eastAsia="Amiri" w:cs="Amiri"/>
          <w:color w:val="111111"/>
          <w:sz w:val="28"/>
          <w:sz w:val="28"/>
          <w:szCs w:val="28"/>
          <w:rtl w:val="true"/>
          <w:lang w:bidi="ar-SA"/>
        </w:rPr>
        <w:t>مفسّرة للكتاب لا المقيّدة 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غير الحكومة فإنّ الدليل الحاكم ناظر إلى الدليل المحكوم ومع عدم الأخير لا معنى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التخصيص والتقييد فإنّه لا يلزم كونهما ناظرين إلى المطلق والعامّ، وجلّ الأدلّة المقيّدة للكتاب ليست ناظرة إليه؛ مضافاً إلى أنّ هذه الأخبار لو سلّم كونها مفسرة له ولكن لا يعلم ولم يثبت أنّها خلاف ظاهر الكتاب لأنّ المذكور في اللعان أيضاً هو الشهادة أربعاً فهي مكان أربعة شهود في الزنا فإنّ تلك الجملات الأربع نازلة منزلة أربعة شهود، فكما تعتبر الرؤية في الشهادة على الزنا عند المشهور فكذلك هنا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أنّ في النصوص ما هو صريح في اعتبار الرؤية ولا يمكن عدّه من باب ذكر المصداق، وهو صحيحة محمّد بن سليمان كما مرّ،</w:t>
      </w:r>
      <w:r>
        <w:rPr>
          <w:rStyle w:val="FootnoteAnchor"/>
          <w:rtl w:val="true"/>
        </w:rPr>
        <w:footnoteReference w:id="1899"/>
      </w:r>
      <w:r>
        <w:rPr>
          <w:rFonts w:ascii="Amiri" w:hAnsi="Amiri" w:eastAsia="Amiri" w:cs="Amiri"/>
          <w:color w:val="111111"/>
          <w:sz w:val="28"/>
          <w:sz w:val="28"/>
          <w:szCs w:val="28"/>
          <w:rtl w:val="true"/>
          <w:lang w:bidi="ar-SA"/>
        </w:rPr>
        <w:t>فماذهب إليه المشهور هو الحقّ في المسألة</w:t>
      </w:r>
      <w:r>
        <w:rPr>
          <w:rFonts w:eastAsia="Amiri" w:cs="Amiri" w:ascii="Amiri" w:hAnsi="Amiri"/>
          <w:color w:val="111111"/>
          <w:sz w:val="28"/>
          <w:szCs w:val="28"/>
          <w:rtl w:val="true"/>
          <w:lang w:bidi="ar-SA"/>
        </w:rPr>
        <w:t xml:space="preserve">. </w:t>
      </w:r>
      <w:bookmarkStart w:id="763" w:name="pg9375_100014"/>
    </w:p>
    <w:p>
      <w:pPr>
        <w:pStyle w:val="BookText"/>
        <w:rPr/>
      </w:pPr>
      <w:bookmarkEnd w:id="763"/>
      <w:r>
        <w:rPr>
          <w:rFonts w:ascii="Amiri" w:hAnsi="Amiri" w:eastAsia="Amiri" w:cs="Amiri"/>
          <w:color w:val="111111"/>
          <w:sz w:val="28"/>
          <w:sz w:val="28"/>
          <w:szCs w:val="28"/>
          <w:rtl w:val="true"/>
          <w:lang w:bidi="ar-SA"/>
        </w:rPr>
        <w:t>وأن لا تكون له بيّنة، فإن كانت تتعيّن إقامتها لنفي الحدّ ولا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اللعان أن تكون المقذوفة زوجة دائمة، فلا لعان في</w:t>
      </w:r>
    </w:p>
    <w:p>
      <w:pPr>
        <w:pStyle w:val="Heading3"/>
        <w:numPr>
          <w:ilvl w:val="2"/>
          <w:numId w:val="1"/>
        </w:numPr>
        <w:rPr/>
      </w:pPr>
      <w:bookmarkStart w:id="764" w:name="__RefHeading___Toc5416955_2870459653"/>
      <w:bookmarkStart w:id="765" w:name="_Toc270"/>
      <w:bookmarkEnd w:id="764"/>
      <w:r>
        <w:rPr>
          <w:rtl w:val="true"/>
        </w:rPr>
        <w:t>اشتراط فقد البيّنة في ثبوت اللعان</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وهو مختار الشيخ في المبسوط،</w:t>
      </w:r>
      <w:r>
        <w:rPr>
          <w:rStyle w:val="FootnoteAnchor"/>
          <w:rtl w:val="true"/>
        </w:rPr>
        <w:footnoteReference w:id="1900"/>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1901"/>
      </w:r>
      <w:r>
        <w:rPr>
          <w:rFonts w:ascii="Amiri" w:hAnsi="Amiri" w:eastAsia="Amiri" w:cs="Amiri"/>
          <w:color w:val="111111"/>
          <w:sz w:val="28"/>
          <w:sz w:val="28"/>
          <w:szCs w:val="28"/>
          <w:rtl w:val="true"/>
          <w:lang w:bidi="ar-SA"/>
        </w:rPr>
        <w:t>وكذا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Style w:val="FootnoteAnchor"/>
          <w:rtl w:val="true"/>
        </w:rPr>
        <w:footnoteReference w:id="1902"/>
      </w:r>
      <w:r>
        <w:rPr>
          <w:rFonts w:ascii="Amiri" w:hAnsi="Amiri" w:eastAsia="Amiri" w:cs="Amiri"/>
          <w:color w:val="111111"/>
          <w:sz w:val="28"/>
          <w:sz w:val="28"/>
          <w:szCs w:val="28"/>
          <w:rtl w:val="true"/>
          <w:lang w:bidi="ar-SA"/>
        </w:rPr>
        <w:t>ذهبا إلى عدم اعتباره، والدليل عليه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لَّهُمْ شُهَدَاء</w:t>
      </w:r>
      <w:r>
        <w:rPr>
          <w:rFonts w:ascii="IRNazanin" w:hAnsi="IRNazanin" w:eastAsia="IRNazanin"/>
          <w:color w:val="111111"/>
          <w:sz w:val="28"/>
          <w:sz w:val="28"/>
          <w:szCs w:val="28"/>
          <w:rtl w:val="true"/>
          <w:lang w:bidi="fa-IR"/>
        </w:rPr>
        <w:t>،</w:t>
      </w:r>
      <w:r>
        <w:rPr>
          <w:rStyle w:val="FootnoteAnchor"/>
          <w:rtl w:val="true"/>
        </w:rPr>
        <w:footnoteReference w:id="1903"/>
      </w:r>
      <w:r>
        <w:rPr>
          <w:rFonts w:ascii="Amiri" w:hAnsi="Amiri" w:eastAsia="Amiri" w:cs="Amiri"/>
          <w:color w:val="111111"/>
          <w:sz w:val="28"/>
          <w:sz w:val="28"/>
          <w:szCs w:val="28"/>
          <w:rtl w:val="true"/>
          <w:lang w:bidi="ar-SA"/>
        </w:rPr>
        <w:t>فإنّ الظاهر من القيد هو كونه حدّاً للحكم، ومع عدم مفهومه أيضاً لا دليل على صحّة اللعان كما هو مقتضى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لقول مثل الشيخ والعلّامة بأنّ القيد وارد مورد الغالب، وبعدم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له بيّنة أم لا؟</w:t>
      </w:r>
    </w:p>
    <w:p>
      <w:pPr>
        <w:pStyle w:val="BookText"/>
        <w:rPr/>
      </w:pPr>
      <w:r>
        <w:rPr>
          <w:rFonts w:ascii="IRNazanin" w:hAnsi="IRNazanin" w:eastAsia="IRNazanin"/>
          <w:color w:val="111111"/>
          <w:sz w:val="28"/>
          <w:sz w:val="28"/>
          <w:szCs w:val="28"/>
          <w:rtl w:val="true"/>
          <w:lang w:bidi="fa-IR"/>
        </w:rPr>
        <w:t>وفيهما أنّ الأصل في القيد هو كونه للاحتراز في مقام التحديد، وأمّا عدم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شخصيّة لا يدلّ على إطلاق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قضايا الأحوال لا من ترك الاستفصال عقيب السؤال</w:t>
      </w:r>
      <w:r>
        <w:rPr>
          <w:rFonts w:eastAsia="IRNazanin" w:cs="IRNazanin"/>
          <w:color w:val="111111"/>
          <w:sz w:val="28"/>
          <w:szCs w:val="28"/>
          <w:rtl w:val="true"/>
          <w:lang w:bidi="fa-IR"/>
        </w:rPr>
        <w:t>.</w:t>
      </w:r>
      <w:r>
        <w:rPr>
          <w:rStyle w:val="FootnoteAnchor"/>
          <w:rtl w:val="true"/>
        </w:rPr>
        <w:footnoteReference w:id="1904"/>
      </w:r>
      <w:r>
        <w:rPr>
          <w:rFonts w:ascii="Amiri" w:hAnsi="Amiri" w:eastAsia="Amiri" w:cs="Amiri"/>
          <w:color w:val="111111"/>
          <w:sz w:val="28"/>
          <w:sz w:val="28"/>
          <w:szCs w:val="28"/>
          <w:rtl w:val="true"/>
          <w:lang w:bidi="ar-SA"/>
        </w:rPr>
        <w:t>هذا، مع أنّ الحكمة تناسب اشتراطه بانتفاء البيّنة</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استدلّ في الحدائق على عدم اعتباره بإطلاق النصوص، وردّه في الجواهر بأنّها محمولة على الغالب،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نصّ مطلق حتّى يجاب عنه بما أجاب به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766" w:name="pg9375_100015"/>
    </w:p>
    <w:p>
      <w:pPr>
        <w:pStyle w:val="BookText"/>
        <w:rPr/>
      </w:pPr>
      <w:bookmarkEnd w:id="766"/>
      <w:r>
        <w:rPr>
          <w:rFonts w:ascii="Amiri" w:hAnsi="Amiri" w:eastAsia="Amiri" w:cs="Amiri"/>
          <w:color w:val="111111"/>
          <w:sz w:val="28"/>
          <w:sz w:val="28"/>
          <w:szCs w:val="28"/>
          <w:rtl w:val="true"/>
          <w:lang w:bidi="ar-SA"/>
        </w:rPr>
        <w:t>قذف الأجنبيّة، بل يحدّ القاذف مع عدم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المنقطعة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5416957_2870459653"/>
      <w:bookmarkStart w:id="768" w:name="_Toc271"/>
      <w:bookmarkEnd w:id="767"/>
      <w:r>
        <w:rPr>
          <w:rtl w:val="true"/>
        </w:rPr>
        <w:t>شرطيّة الزوجيّة والدوام في ثبوت اللعان</w:t>
      </w:r>
      <w:bookmarkEnd w:id="7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لدلالة الآية،</w:t>
      </w:r>
      <w:r>
        <w:rPr>
          <w:rStyle w:val="FootnoteAnchor"/>
          <w:rtl w:val="true"/>
        </w:rPr>
        <w:footnoteReference w:id="1905"/>
      </w:r>
      <w:r>
        <w:rPr>
          <w:rFonts w:ascii="Amiri" w:hAnsi="Amiri" w:eastAsia="Amiri" w:cs="Amiri"/>
          <w:color w:val="111111"/>
          <w:sz w:val="28"/>
          <w:sz w:val="28"/>
          <w:szCs w:val="28"/>
          <w:rtl w:val="true"/>
          <w:lang w:bidi="ar-SA"/>
        </w:rPr>
        <w:t>حيث نسب اللعان فيها إلى الزوجة، واللقب وإن لم يكن له المفهوم لكن ملاحظة سياق الآية من إثبات الحدّ على الذين يرمون المحصنات، ثمّ إثبات اللعان للذين يرمون أزواجهم، تفيدنا أنّ للزوجة دخلاً في الحكم، ولا أقلّ من قصور الأدلّة، فلا دليل على اللعان في غير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 بل لم يحكِ الخلاف إلّا عن السيّد والمفيد؛ أخذاً 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للمشهور بأنّ عموم الآية يخصّص بما يدلّ على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أبي يعفور،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يلاعن الرجل المرأة التي يتمتّع منها</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لايلاعن الحرّ الأمة، ولا الذمّيّة، ولا التي يتمتّع بها</w:t>
      </w:r>
      <w:r>
        <w:rPr>
          <w:rFonts w:eastAsia="IRNazanin" w:cs="IRNazanin"/>
          <w:color w:val="111111"/>
          <w:sz w:val="28"/>
          <w:szCs w:val="28"/>
          <w:rtl w:val="true"/>
          <w:lang w:bidi="fa-IR"/>
        </w:rPr>
        <w:t>».</w:t>
      </w:r>
      <w:r>
        <w:rPr>
          <w:rStyle w:val="FootnoteAnchor"/>
          <w:rtl w:val="true"/>
        </w:rPr>
        <w:footnoteReference w:id="1907"/>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والأخيرة منها هو ما رواه الشهيد في المسالك</w:t>
      </w:r>
      <w:r>
        <w:rPr>
          <w:rStyle w:val="FootnoteAnchor"/>
          <w:rtl w:val="true"/>
        </w:rPr>
        <w:footnoteReference w:id="1908"/>
      </w:r>
      <w:r>
        <w:rPr>
          <w:rFonts w:ascii="IRNazanin" w:hAnsi="IRNazanin" w:eastAsia="IRNazanin"/>
          <w:color w:val="111111"/>
          <w:sz w:val="28"/>
          <w:sz w:val="28"/>
          <w:szCs w:val="28"/>
          <w:rtl w:val="true"/>
          <w:lang w:bidi="fa-IR"/>
        </w:rPr>
        <w:t>من رواية عليّ بن جعفر،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المشهور إلى تقييد الكتاب بها، ولكنّ الثالثة منها ليست بأزيد من مرسلة على تقدير كونها رواية، مضافاً إلى أنّ صدر صحيحة ابن سنان </w:t>
      </w:r>
      <w:bookmarkStart w:id="769" w:name="pg9375_100016"/>
    </w:p>
    <w:p>
      <w:pPr>
        <w:pStyle w:val="BookText"/>
        <w:rPr/>
      </w:pPr>
      <w:bookmarkEnd w:id="769"/>
      <w:r>
        <w:rPr>
          <w:rFonts w:ascii="Amiri" w:hAnsi="Amiri" w:eastAsia="Amiri" w:cs="Amiri"/>
          <w:color w:val="111111"/>
          <w:sz w:val="28"/>
          <w:sz w:val="28"/>
          <w:szCs w:val="28"/>
          <w:rtl w:val="true"/>
          <w:lang w:bidi="ar-SA"/>
        </w:rPr>
        <w:t>وأن تكون مدخولاً بها، وإلّا فلا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لفتوى الأصحاب وللأخبار الكثيرة الواردة في لعان الأمة والذمّيّة المزوجتين، ولذلك قد حملوها على التقيّة أو غير المزوّجة، فالاستدلال بهما للتقييد لا يخلو من مناقشة، وأمّا احتمال انصراف الآية</w:t>
      </w:r>
      <w:r>
        <w:rPr>
          <w:rStyle w:val="FootnoteAnchor"/>
          <w:rtl w:val="true"/>
        </w:rPr>
        <w:footnoteReference w:id="1909"/>
      </w:r>
      <w:r>
        <w:rPr>
          <w:rFonts w:ascii="Amiri" w:hAnsi="Amiri" w:eastAsia="Amiri" w:cs="Amiri"/>
          <w:color w:val="111111"/>
          <w:sz w:val="28"/>
          <w:sz w:val="28"/>
          <w:szCs w:val="28"/>
          <w:rtl w:val="true"/>
          <w:lang w:bidi="ar-SA"/>
        </w:rPr>
        <w:t>إلى الدائمة لا سيّما مع لحاظ شأن نزولها فيدفعه أنّ الزوج والزوجة في الكتاب والسنّة أعمّ من الدائم والدائمة ولذا لم يستدلّ به أحد من الفقهاء</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5416959_2870459653"/>
      <w:bookmarkStart w:id="771" w:name="_Toc272"/>
      <w:bookmarkEnd w:id="770"/>
      <w:r>
        <w:rPr>
          <w:rtl w:val="true"/>
        </w:rPr>
        <w:t>شرطيّة الدخول في ثبوت اللعان</w:t>
      </w:r>
      <w:bookmarkEnd w:id="7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يدلّ عليه النصوص الكثيرة،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يقع اللعان حتّى يدخل الرجل بأهله</w:t>
      </w:r>
      <w:r>
        <w:rPr>
          <w:rFonts w:eastAsia="IRNazanin" w:cs="IRNazanin"/>
          <w:color w:val="111111"/>
          <w:sz w:val="28"/>
          <w:szCs w:val="28"/>
          <w:rtl w:val="true"/>
          <w:lang w:bidi="fa-IR"/>
        </w:rPr>
        <w:t>».</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يقذف امرأته قبل أن يدخل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الحدّ ويخلّى بينه وبينها</w:t>
      </w:r>
      <w:r>
        <w:rPr>
          <w:rFonts w:eastAsia="IRNazanin" w:cs="IRNazanin"/>
          <w:color w:val="111111"/>
          <w:sz w:val="28"/>
          <w:szCs w:val="28"/>
          <w:rtl w:val="true"/>
          <w:lang w:bidi="fa-IR"/>
        </w:rPr>
        <w:t>».</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مضارب،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قذف امرأته قبل أن يدخل بها جلد الحدّ، وهي امرأته</w:t>
      </w:r>
      <w:r>
        <w:rPr>
          <w:rFonts w:eastAsia="IRNazanin" w:cs="IRNazanin"/>
          <w:color w:val="111111"/>
          <w:sz w:val="28"/>
          <w:szCs w:val="28"/>
          <w:rtl w:val="true"/>
          <w:lang w:bidi="fa-IR"/>
        </w:rPr>
        <w:t>».</w:t>
      </w:r>
      <w:r>
        <w:rPr>
          <w:rStyle w:val="FootnoteAnchor"/>
          <w:rtl w:val="true"/>
        </w:rPr>
        <w:footnoteReference w:id="191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لاتكون الملاعنة ولا الإيلاء إلّا بعد الدخول</w:t>
      </w:r>
      <w:r>
        <w:rPr>
          <w:rFonts w:eastAsia="IRNazanin" w:cs="IRNazanin"/>
          <w:color w:val="111111"/>
          <w:sz w:val="28"/>
          <w:szCs w:val="28"/>
          <w:rtl w:val="true"/>
          <w:lang w:bidi="fa-IR"/>
        </w:rPr>
        <w:t>».</w:t>
      </w:r>
      <w:r>
        <w:rPr>
          <w:rStyle w:val="FootnoteAnchor"/>
          <w:rtl w:val="true"/>
        </w:rPr>
        <w:footnoteReference w:id="1913"/>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محمّد بن مضارب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w:t>
      </w:r>
      <w:bookmarkStart w:id="772" w:name="pg9375_100017"/>
    </w:p>
    <w:p>
      <w:pPr>
        <w:pStyle w:val="BookText"/>
        <w:rPr/>
      </w:pPr>
      <w:bookmarkEnd w:id="772"/>
      <w:r>
        <w:rPr>
          <w:rFonts w:ascii="Amiri" w:hAnsi="Amiri" w:eastAsia="Amiri" w:cs="Amiri"/>
          <w:color w:val="111111"/>
          <w:sz w:val="28"/>
          <w:sz w:val="28"/>
          <w:szCs w:val="28"/>
          <w:rtl w:val="true"/>
          <w:lang w:bidi="ar-SA"/>
        </w:rPr>
        <w:t>وأن تكون غير مشهورة بالزنا، وإلّا فلا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حدّ حتّى يدفع باللعان بل عليه التعزير لو لم يدفعه عن نفسه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متجاهرة بالزنا لا يبعد عدم ثبوت التعزير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اللعان أيضاً أن تكون كاملة سالمة عن الصمم والخرس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لاعن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ملاعناً إلّا بعد أن يدخل بها، يضرب حدّاً، وهي امرأته ويكون قاذفاً</w:t>
      </w:r>
      <w:r>
        <w:rPr>
          <w:rFonts w:eastAsia="Amiri" w:cs="Amiri" w:ascii="Amiri" w:hAnsi="Amiri"/>
          <w:color w:val="111111"/>
          <w:sz w:val="28"/>
          <w:szCs w:val="28"/>
          <w:rtl w:val="true"/>
          <w:lang w:bidi="ar-SA"/>
        </w:rPr>
        <w:t>».</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هذا، وقد أورد عليها في المسالك</w:t>
      </w:r>
      <w:r>
        <w:rPr>
          <w:rStyle w:val="FootnoteAnchor"/>
          <w:rtl w:val="true"/>
        </w:rPr>
        <w:footnoteReference w:id="1915"/>
      </w:r>
      <w:r>
        <w:rPr>
          <w:rFonts w:ascii="Amiri" w:hAnsi="Amiri" w:eastAsia="Amiri" w:cs="Amiri"/>
          <w:color w:val="111111"/>
          <w:sz w:val="28"/>
          <w:sz w:val="28"/>
          <w:szCs w:val="28"/>
          <w:rtl w:val="true"/>
          <w:lang w:bidi="ar-SA"/>
        </w:rPr>
        <w:t>بضعفه سنداً، ودلالة بأنّه لعلّها مختصّة بنفي الولد،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بعضها تامّ السند إلّا على مبناه في قبول الصحيح الأعلائي على حدّ تعبيرهم، مع أنّ ضعف السند منجبرٌ بعمل الأصحاب</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5416961_2870459653"/>
      <w:bookmarkStart w:id="774" w:name="_Toc273"/>
      <w:bookmarkEnd w:id="773"/>
      <w:r>
        <w:rPr>
          <w:rtl w:val="true"/>
        </w:rPr>
        <w:t>اشتراط ثبوت اللعان بأن تكون غير مشهورة بالزنا</w:t>
      </w:r>
      <w:bookmarkEnd w:id="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يوجد في غير كلام المحقّق</w:t>
      </w:r>
      <w:r>
        <w:rPr>
          <w:rStyle w:val="FootnoteAnchor"/>
          <w:rtl w:val="true"/>
        </w:rPr>
        <w:footnoteReference w:id="1916"/>
      </w:r>
      <w:r>
        <w:rPr>
          <w:rFonts w:ascii="Amiri" w:hAnsi="Amiri" w:eastAsia="Amiri" w:cs="Amiri"/>
          <w:color w:val="111111"/>
          <w:sz w:val="28"/>
          <w:sz w:val="28"/>
          <w:szCs w:val="28"/>
          <w:rtl w:val="true"/>
          <w:lang w:bidi="ar-SA"/>
        </w:rPr>
        <w:t>والعلّامة،</w:t>
      </w:r>
      <w:r>
        <w:rPr>
          <w:rStyle w:val="FootnoteAnchor"/>
          <w:rtl w:val="true"/>
        </w:rPr>
        <w:footnoteReference w:id="1917"/>
      </w:r>
      <w:r>
        <w:rPr>
          <w:rFonts w:ascii="Amiri" w:hAnsi="Amiri" w:eastAsia="Amiri" w:cs="Amiri"/>
          <w:color w:val="111111"/>
          <w:sz w:val="28"/>
          <w:sz w:val="28"/>
          <w:szCs w:val="28"/>
          <w:rtl w:val="true"/>
          <w:lang w:bidi="ar-SA"/>
        </w:rPr>
        <w:t>واستُدل له بأنّ اللعان في الآية جعل دافعاً للحدّ ومعلوم أنّ قذف المشهورة بالزنا ليس له حدّ لأنّها ليست محصنة، بل يعزّر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حرمة الافتراء، هي لحفظ العرض ولا يوجد هنا</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5416963_2870459653"/>
      <w:bookmarkStart w:id="776" w:name="_Toc274"/>
      <w:bookmarkEnd w:id="775"/>
      <w:r>
        <w:rPr>
          <w:rtl w:val="true"/>
        </w:rPr>
        <w:t>شرطيّة السلامة عن الصمم والخرس</w:t>
      </w:r>
      <w:bookmarkEnd w:id="776"/>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ويدلّ عليه الروايات وهي تحرم عليه بمجرّد القذف ولا يحرم </w:t>
      </w:r>
      <w:bookmarkStart w:id="777" w:name="pg9375_100018"/>
    </w:p>
    <w:p>
      <w:pPr>
        <w:pStyle w:val="BookText"/>
        <w:rPr/>
      </w:pPr>
      <w:bookmarkEnd w:id="7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أن ينكر ولديّة من تولّد في فراشه مع إمكان لحوقه به؛ بأن دخل بأُمّه أو أمنى في فرجها أو حواليه بحيث أمكن جذب الرحم إيّاه، وقد مضى من ذلك إلى زمان وضعه ستّة أشهر فصاعداً ولم يتجاوز عن أقصى مدّة الحمل، حتّى فيما إذا فجر أحد بها، فضلاً عمّا إذا اتّهمها، بل يجب الإقرار بولديته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أن ينفيه ولو باللعان مع علمه بعدم تكوّنه منه من جهة علمه باختلال شروط الالتحاق به إذا كان بحسب ظاهر الشرع ملحقاً به لو لا نفيه لئلّا يلحق بنسبه من ليس منه فيترتّب عليه حكم الولد في الميراث والنكاح ونظر محارمه وغير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ما دامت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خرساء بغير صمم ففيه خلاف ولا تشملها النصوص؛ لأنّ الخرس بالعرض خارج عن النصوص وهي منصرفة عنها</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5416965_2870459653"/>
      <w:bookmarkStart w:id="779" w:name="_Toc275"/>
      <w:bookmarkEnd w:id="778"/>
      <w:r>
        <w:rPr>
          <w:rtl w:val="true"/>
        </w:rPr>
        <w:t>حرمة نفي الولد مع إمكان اللحوق</w:t>
      </w:r>
      <w:bookmarkEnd w:id="7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قضاءً لقاعدة الولد للفراش وللعاهر الحجر، وقد روي أيضاً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يّما امرأة أدخلت على قوم من ليس منهم فليست من الله في شيء ولم تدخل جنّته وأيّما رجل نفى نسب ولده وهو ينظر إليه احتجب الله عنه وفضحه على رؤوس الخلائق من الأوّلين والآخرين</w:t>
      </w:r>
      <w:r>
        <w:rPr>
          <w:rFonts w:eastAsia="IRNazanin" w:cs="IRNazanin"/>
          <w:color w:val="111111"/>
          <w:sz w:val="28"/>
          <w:szCs w:val="28"/>
          <w:rtl w:val="true"/>
          <w:lang w:bidi="fa-IR"/>
        </w:rPr>
        <w:t>».</w:t>
      </w:r>
      <w:r>
        <w:rPr>
          <w:rStyle w:val="FootnoteAnchor"/>
          <w:rtl w:val="true"/>
        </w:rPr>
        <w:footnoteReference w:id="1918"/>
      </w:r>
    </w:p>
    <w:p>
      <w:pPr>
        <w:pStyle w:val="Heading3"/>
        <w:numPr>
          <w:ilvl w:val="2"/>
          <w:numId w:val="1"/>
        </w:numPr>
        <w:rPr/>
      </w:pPr>
      <w:bookmarkStart w:id="780" w:name="__RefHeading___Toc5416967_2870459653"/>
      <w:bookmarkStart w:id="781" w:name="_Toc276"/>
      <w:bookmarkEnd w:id="780"/>
      <w:r>
        <w:rPr>
          <w:rtl w:val="true"/>
        </w:rPr>
        <w:t>وجوب نفي الولد مع العلم بعدم التكوّن منه</w:t>
      </w:r>
      <w:bookmarkEnd w:id="781"/>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يخفى عليك أنّه لا دليل على وجوب إعلام الموضوعات فيما يرتبط بحقوق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ذلك في حقوق الناس، فيجب النفي لئلّا يترتّب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نفى ولديّة من ولد في فراشه فإن علم أنّه دخل بأُمّه دخولاً يمكن معه لحوق الولد به أو أقرّ بذلك ومع ذلك نفاه لا يسمع منه ولا ينتفي منه لا باللعان ولا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حكم الولد في الميراث وما شابهه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صاحب الجواهر مضافاً إلى ما ذكر بالنبويّ المزبور، وفيه ما لا يخفى، فإنّ الرواية في إلحاق المرأة الولد بمن ليس منه، والظاهر أنّ النهي فيها راجع إلى الخيانة والزنا فلا يمكن إلغاء الخصوصيّة منها إلى نفي الزوج ولداً جاءت به المرأة من طريق الزنا أو الوطء بالشبهة أو غيرهما من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في المسالك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قيل بعدم وجوب نفيه، وإنّما يحرم التصريح باستلحاقه كذباً دون السكوت عن النفي؛ وذلك لأنّ في اقتحام اللعان شهرة وفضيحة يصعب احتمالها على ذوي المروات فيبعد إيجابه</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وأورد عليه في الجواهر بما لا بأس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ضعفه، بل يمكن تحصيل الإجماع على خلافه، مضافاً إلى ظاهر بعض النصوص</w:t>
      </w:r>
      <w:r>
        <w:rPr>
          <w:rFonts w:eastAsia="Amiri" w:cs="Amiri" w:ascii="Amiri" w:hAnsi="Amiri"/>
          <w:color w:val="111111"/>
          <w:sz w:val="28"/>
          <w:szCs w:val="28"/>
          <w:rtl w:val="true"/>
          <w:lang w:bidi="ar-SA"/>
        </w:rPr>
        <w:t>.</w:t>
      </w:r>
      <w:r>
        <w:rPr>
          <w:rStyle w:val="FootnoteAnchor"/>
          <w:rtl w:val="true"/>
        </w:rPr>
        <w:footnoteReference w:id="1920"/>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صورة الإقرار فالحكم واضح، وأمّا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 أدلّة اللعان يفيد صحّة جريانه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المتنبالصيغة المبنيّة للمفعول؛ أي المجهولة، وأمّا إن قرء بالمبنيّة للفاعل فله وجهٌ وهو أنّ اللعان هو قسم في الحقيقة فمع احتمال كون الولد منه كيف يقسم لنفيه جزماً، كما أنّه شهادة </w:t>
      </w:r>
      <w:bookmarkStart w:id="782" w:name="pg9375_100020"/>
    </w:p>
    <w:p>
      <w:pPr>
        <w:pStyle w:val="BookText"/>
        <w:rPr/>
      </w:pPr>
      <w:bookmarkEnd w:id="782"/>
      <w:r>
        <w:rPr>
          <w:rFonts w:ascii="Amiri" w:hAnsi="Amiri" w:eastAsia="Amiri" w:cs="Amiri"/>
          <w:color w:val="111111"/>
          <w:sz w:val="28"/>
          <w:sz w:val="28"/>
          <w:szCs w:val="28"/>
          <w:rtl w:val="true"/>
          <w:lang w:bidi="ar-SA"/>
        </w:rPr>
        <w:t>وأمّا لو لم يعلم ذلك ولم يقرّ به، وقد نفاه إمّا مجرّداً عن ذكر السبب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ذكره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لم أدخل بأُمّه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أنكر دخولاً يمكن تكوّنه منه فحينئذٍ وإن لم ينتف عنه بمجرّد نفيه، لكن باللعان ينتفي عنه بشرط ثبوت الدخول، ومع عدم ثبوته لم يشرع اللعان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يشرع اللعان لنفي الولد إذا كان المرأة منكوحة بالعقد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ولد المتمتّع بها فينتفي بنفيه من دون لعان، وإن لم يجز له نفيه مع عدم علمه بالانتفاء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يشهد مع احتمال خلافه فهو ليس بجائز ولا نافذ، وعلى الأخير لا يناسب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علم الزوج لا يؤثّر في عدم السماع منه وعلى كلّ حالٍ، إن علم بأنّ الولد ليس منه فاللعان جائز تكليفاً ووضعاً وإن احتمل خلافه فهو حرام وغير نافذ</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5416969_2870459653"/>
      <w:bookmarkStart w:id="784" w:name="_Toc277"/>
      <w:bookmarkEnd w:id="783"/>
      <w:r>
        <w:rPr>
          <w:rtl w:val="true"/>
        </w:rPr>
        <w:t>عدم سماع النفي إن علم بدخوله أو أقرّ بذلك</w:t>
      </w:r>
      <w:bookmarkEnd w:id="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السبب وعدمه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Style w:val="FootnoteAnchor"/>
          <w:rtl w:val="true"/>
        </w:rPr>
        <w:footnoteReference w:id="1921"/>
      </w:r>
    </w:p>
    <w:p>
      <w:pPr>
        <w:pStyle w:val="Heading3"/>
        <w:numPr>
          <w:ilvl w:val="2"/>
          <w:numId w:val="1"/>
        </w:numPr>
        <w:rPr/>
      </w:pPr>
      <w:bookmarkStart w:id="785" w:name="__RefHeading___Toc5416971_2870459653"/>
      <w:bookmarkStart w:id="786" w:name="_Toc278"/>
      <w:bookmarkEnd w:id="785"/>
      <w:r>
        <w:rPr>
          <w:rtl w:val="true"/>
        </w:rPr>
        <w:t>انتفاء الولد بنفيه في المتمتّع بها</w:t>
      </w:r>
      <w:bookmarkEnd w:id="786"/>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قضاءً لقاعدة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علم أنّه ليس له فينتفىبنفيه كما ادّعي عليه الإجماع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بأنّه إذا كان الظاهر كون الولد له؛ قضاءً للقاعدة لا يجري اللعان بل لا يجوز له نفيه وإن علم أنّه ليس منه إن كان يلازم </w:t>
      </w:r>
      <w:bookmarkStart w:id="787" w:name="pg9375_100021"/>
    </w:p>
    <w:p>
      <w:pPr>
        <w:pStyle w:val="BookText"/>
        <w:rPr/>
      </w:pPr>
      <w:bookmarkEnd w:id="787"/>
      <w:r>
        <w:rPr>
          <w:rFonts w:ascii="IRNazanin" w:hAnsi="IRNazanin" w:eastAsia="IRNazanin"/>
          <w:color w:val="111111"/>
          <w:sz w:val="28"/>
          <w:sz w:val="28"/>
          <w:szCs w:val="28"/>
          <w:rtl w:val="true"/>
          <w:lang w:bidi="fa-IR"/>
        </w:rPr>
        <w:t>ولو علم</w:t>
      </w:r>
      <w:r>
        <w:rPr>
          <w:rStyle w:val="FootnoteAnchor"/>
          <w:rtl w:val="true"/>
        </w:rPr>
        <w:footnoteReference w:id="1922"/>
      </w:r>
      <w:r>
        <w:rPr>
          <w:rFonts w:ascii="Amiri" w:hAnsi="Amiri" w:eastAsia="Amiri" w:cs="Amiri"/>
          <w:color w:val="111111"/>
          <w:sz w:val="28"/>
          <w:sz w:val="28"/>
          <w:szCs w:val="28"/>
          <w:rtl w:val="true"/>
          <w:lang w:bidi="ar-SA"/>
        </w:rPr>
        <w:t>أنّه دخل بها أو أمنى في فرجها أو حواليه بحيث يمكن أن يكون الولد منه أو أقرّ بذلك ومع ذلك قد نفاه لم ينتف عنه بنفيه، ولم يسمع منه ذلك كالدائمة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مشروعيّة اللعان لنفي الولد بين كونه حملاً أو منفصلاً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انتفاء الولد عن الزوج لا يلازم كونه من زنا؛ لاحتمال تكوّنه من وطء الشبهة أو غيره، فلو علم الرجل بعدم التحاق الولد به وإن جاز له بل وجب عليه نفيه عن نفسه، لكن لا يجوز له أن يرميها بالزنا وينسب ولدها بكونه من 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بالولد لم يسمع إنكاره له بعد ذلك؛ سواء كان إقراره</w:t>
      </w:r>
    </w:p>
    <w:p>
      <w:pPr>
        <w:pStyle w:val="BookText"/>
        <w:rPr/>
      </w:pPr>
      <w:r>
        <w:rPr>
          <w:rFonts w:ascii="Amiri" w:hAnsi="Amiri" w:eastAsia="Amiri" w:cs="Amiri"/>
          <w:color w:val="111111"/>
          <w:sz w:val="28"/>
          <w:sz w:val="28"/>
          <w:szCs w:val="28"/>
          <w:rtl w:val="true"/>
          <w:lang w:bidi="ar-SA"/>
        </w:rPr>
        <w:t>القذف بالزنا، وأمّا الإجماع المدّعى، فيحمل على مورد لا تجري فيه قاعدة الفراش وهو موضع يحتاج ثبوت النسبة إلى إقراره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مرّ</w:t>
      </w:r>
      <w:r>
        <w:rPr>
          <w:rFonts w:eastAsia="Amiri" w:cs="Amiri" w:ascii="Amiri" w:hAnsi="Amiri"/>
          <w:color w:val="111111"/>
          <w:sz w:val="28"/>
          <w:szCs w:val="28"/>
          <w:rtl w:val="true"/>
          <w:lang w:bidi="ar-SA"/>
        </w:rPr>
        <w:t>.</w:t>
      </w:r>
      <w:r>
        <w:rPr>
          <w:rStyle w:val="FootnoteAnchor"/>
          <w:rtl w:val="true"/>
        </w:rPr>
        <w:footnoteReference w:id="1923"/>
      </w:r>
    </w:p>
    <w:p>
      <w:pPr>
        <w:pStyle w:val="Heading3"/>
        <w:numPr>
          <w:ilvl w:val="2"/>
          <w:numId w:val="1"/>
        </w:numPr>
        <w:rPr/>
      </w:pPr>
      <w:bookmarkStart w:id="788" w:name="__RefHeading___Toc5416973_2870459653"/>
      <w:bookmarkStart w:id="789" w:name="_Toc279"/>
      <w:bookmarkEnd w:id="788"/>
      <w:r>
        <w:rPr>
          <w:rtl w:val="true"/>
        </w:rPr>
        <w:t>عدم الفرق بين الحمل والمنفصل في مشروعيّة اللعان</w:t>
      </w:r>
      <w:bookmarkEnd w:id="7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لإطلاق الأدلّة</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5416975_2870459653"/>
      <w:bookmarkStart w:id="791" w:name="_Toc280"/>
      <w:bookmarkEnd w:id="790"/>
      <w:r>
        <w:rPr>
          <w:rtl w:val="true"/>
        </w:rPr>
        <w:t>عدم التلازم بين نفي الولد وكونه من الزنا</w:t>
      </w:r>
      <w:bookmarkEnd w:id="791"/>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مرّ</w:t>
      </w:r>
      <w:r>
        <w:rPr>
          <w:rFonts w:eastAsia="Amiri" w:cs="Amiri" w:ascii="Amiri" w:hAnsi="Amiri"/>
          <w:color w:val="111111"/>
          <w:sz w:val="28"/>
          <w:szCs w:val="28"/>
          <w:rtl w:val="true"/>
          <w:lang w:bidi="ar-SA"/>
        </w:rPr>
        <w:t xml:space="preserve">. </w:t>
      </w:r>
      <w:bookmarkStart w:id="792" w:name="pg9375_100022"/>
    </w:p>
    <w:p>
      <w:pPr>
        <w:pStyle w:val="BookText"/>
        <w:rPr/>
      </w:pPr>
      <w:bookmarkEnd w:id="792"/>
      <w:r>
        <w:rPr>
          <w:rFonts w:ascii="Amiri" w:hAnsi="Amiri" w:eastAsia="Amiri" w:cs="Amiri"/>
          <w:color w:val="111111"/>
          <w:sz w:val="28"/>
          <w:sz w:val="28"/>
          <w:szCs w:val="28"/>
          <w:rtl w:val="true"/>
          <w:lang w:bidi="ar-SA"/>
        </w:rPr>
        <w:t>صريحاً أو كناية، مثل أن يبشّر به ويقال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بارك الله لك في مولودك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الزوج حاضراً وقت الولادة ولم ينكر الولد مع ارتفاع العذر لم يكن له إنكاره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ذلك إلى المشهور لكنّ الأقوى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اللعان إلّا عند الحاكم الشرعي، والأحوط أن لا يقع حتّى عند المنصوب من قبله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5416977_2870459653"/>
      <w:bookmarkStart w:id="794" w:name="_Toc281"/>
      <w:bookmarkEnd w:id="793"/>
      <w:r>
        <w:rPr>
          <w:rtl w:val="true"/>
        </w:rPr>
        <w:t>لو أقرّ بالولد صريحاً أو كناية لا يسمع إنكاره</w:t>
      </w:r>
      <w:bookmarkEnd w:id="7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إقرار 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الحضور إن اعتبر إقراراً عمليّاً فلا يسمع وإلّا فيسمع</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416979_2870459653"/>
      <w:bookmarkStart w:id="796" w:name="_Toc282"/>
      <w:bookmarkEnd w:id="795"/>
      <w:r>
        <w:rPr>
          <w:rtl w:val="true"/>
        </w:rPr>
        <w:t>عدم وقوع اللعان إلّا عند الحاكم الشرعي</w:t>
      </w:r>
      <w:bookmarkEnd w:id="7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هنا 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اللعان عند المنصوب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اللعان عند قاضي التحكيم على فرض كفايته في غيره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هل الفقيه الجامع للشرائط يعدّ من مصاديق قاضي التحكيم أو يجوز عنده بما هو قاضٍ حاكمٍ، ولا يخفى أنّ مقتضى الأصل عدم نفوذ اللعان إلّا عند من ثبت النفوذ عنده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النصوص لا يفيد النفوذ عند الكلّ؛ لأنّه عند العرف والعقلاء هو أمر يرجع إلى الحكومة والولاية ويقوم به من يقوم بأُمورالعامّة كالدعاوي، فالإطلاقات إن لم نقل إنّها دالّة على لزوم كونه عند الحاكم فلا أقلّ من سكوتها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 اللعان هو إمّا شهادة وإمّا يمين أو كلاهما، وهما لا يسمعان عند غيره، والحقّ وجوب وقوعه عند الحاكم والوالي على أُمور المسلمين، وهذا مضافاً إلى ما قيل من أنّ الحدّ كما هو بيد الحاكم فدرؤه أيضاً، وما قيل من أنّ اليمين والشهادة تصحّان عند الحاكم فقط، يدلّ عليه سياق أخبار الباب الدالّ على أنّه من شؤون الحكومة،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جفعر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الملاعن والملاعنة كيف يصنعان؟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يجلس الإمام مستدبر القبلة يقيمهما بين يديه مستقبل القبلة بحذائه ويبدأ بالرجل، ثمّ المرأة والتي يجب عليها الرجم ترجم من ورائها ولا ترجم من وجهها، لأنّ الضرب والرجم لا يصيبان الوجه يضربان على الجسد على الأعضاء كلّها</w:t>
      </w:r>
      <w:r>
        <w:rPr>
          <w:rFonts w:eastAsia="IRNazanin" w:cs="IRNazanin"/>
          <w:color w:val="111111"/>
          <w:sz w:val="28"/>
          <w:szCs w:val="28"/>
          <w:rtl w:val="true"/>
          <w:lang w:bidi="fa-IR"/>
        </w:rPr>
        <w:t>».</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الملاعنة؟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يقعد الإمام ويجعل ظهره إلى القبلة ويجعل الرجل عن يمينه والمرأة عن يساره</w:t>
      </w:r>
      <w:r>
        <w:rPr>
          <w:rFonts w:eastAsia="IRNazanin" w:cs="IRNazanin"/>
          <w:color w:val="111111"/>
          <w:sz w:val="28"/>
          <w:szCs w:val="28"/>
          <w:rtl w:val="true"/>
          <w:lang w:bidi="fa-IR"/>
        </w:rPr>
        <w:t>».</w:t>
      </w:r>
      <w:r>
        <w:rPr>
          <w:rStyle w:val="FootnoteAnchor"/>
          <w:rtl w:val="true"/>
        </w:rPr>
        <w:footnoteReference w:id="1925"/>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دعائم الإسلام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 أن يقول الرجل لامرأته عند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رجلاً مكان مجلسي منها، أو ينتفي من ولدها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منّي، فإذا فعل ذلكتلاعنا عند الوالي</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ما رواه فيه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قذف الرجل امرأته، فإن هو رجع جُلد الحدّ ثمانين وردّت عليه امرأته، وإن أقام على القذف لاعنها، والملاعنة أن يشهد بين يدي الإمام أربع شهادات بالله إنّه لمن الصادقين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ويؤمّن الإمام بعد فراغ كلّ واحد منهما من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أن يجلس الإمام للمتلاعنين ويقيمهما بين يديه كلّ واحد منهما مستقبل القبلة</w:t>
      </w:r>
      <w:r>
        <w:rPr>
          <w:rFonts w:eastAsia="IRNazanin" w:cs="IRNazanin"/>
          <w:color w:val="111111"/>
          <w:sz w:val="28"/>
          <w:szCs w:val="28"/>
          <w:rtl w:val="true"/>
          <w:lang w:bidi="fa-IR"/>
        </w:rPr>
        <w:t>».</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أيضاً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تلاعن المتلاعنان عند الإمام فرّق بينهما ولم يجتمعا بنكاح أبداً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92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زمن الغيبة قد جعل الفقيه الجامع للشرائط حاكماً</w:t>
      </w:r>
      <w:r>
        <w:rPr>
          <w:rStyle w:val="FootnoteAnchor"/>
          <w:rtl w:val="true"/>
        </w:rPr>
        <w:footnoteReference w:id="1929"/>
      </w:r>
      <w:r>
        <w:rPr>
          <w:rFonts w:ascii="Amiri" w:hAnsi="Amiri" w:eastAsia="Amiri" w:cs="Amiri"/>
          <w:color w:val="111111"/>
          <w:sz w:val="28"/>
          <w:sz w:val="28"/>
          <w:szCs w:val="28"/>
          <w:rtl w:val="true"/>
          <w:lang w:bidi="ar-SA"/>
        </w:rPr>
        <w:t>على المسلمين؛ لإطلاق مثل مقبولة عمر بن حنظلة،</w:t>
      </w:r>
      <w:r>
        <w:rPr>
          <w:rStyle w:val="FootnoteAnchor"/>
          <w:rtl w:val="true"/>
        </w:rPr>
        <w:footnoteReference w:id="1930"/>
      </w:r>
      <w:r>
        <w:rPr>
          <w:rFonts w:ascii="Amiri" w:hAnsi="Amiri" w:eastAsia="Amiri" w:cs="Amiri"/>
          <w:color w:val="111111"/>
          <w:sz w:val="28"/>
          <w:sz w:val="28"/>
          <w:szCs w:val="28"/>
          <w:rtl w:val="true"/>
          <w:lang w:bidi="ar-SA"/>
        </w:rPr>
        <w:t>وقد صرّح بذلك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31"/>
      </w:r>
      <w:r>
        <w:rPr>
          <w:rFonts w:ascii="IRNazanin" w:hAnsi="IRNazanin" w:eastAsia="IRNazanin"/>
          <w:color w:val="111111"/>
          <w:sz w:val="28"/>
          <w:sz w:val="28"/>
          <w:szCs w:val="28"/>
          <w:rtl w:val="true"/>
          <w:lang w:bidi="fa-IR"/>
        </w:rPr>
        <w:t>في نفس المسألة، 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المذكور في تلك النصوص يشمل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الفقهاء الجامعين للشرائط، كما </w:t>
      </w:r>
    </w:p>
    <w:p>
      <w:pPr>
        <w:pStyle w:val="BookText"/>
        <w:rPr/>
      </w:pPr>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يبدأ الرجل ويقول بعد ما قذفها أو نفی ولدها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إنّي لمن الصادقين فيما قلت من قذفها أو في نفي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أربع مرّات، ثمّ يقول مرّة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عليّ إن كنت من الكاذبين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تقول المرأة بعد ذلك أربع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إنّه لمن الكاذبين في مقالته من الرمي بالزنا أو نفي الولد،</w:t>
      </w:r>
    </w:p>
    <w:p>
      <w:pPr>
        <w:pStyle w:val="BookText"/>
        <w:rPr/>
      </w:pPr>
      <w:r>
        <w:rPr>
          <w:rFonts w:ascii="Amiri" w:hAnsi="Amiri" w:eastAsia="Amiri" w:cs="Amiri"/>
          <w:color w:val="111111"/>
          <w:sz w:val="28"/>
          <w:sz w:val="28"/>
          <w:szCs w:val="28"/>
          <w:rtl w:val="true"/>
          <w:lang w:bidi="ar-SA"/>
        </w:rPr>
        <w:t>ذهب إليه صاحب تكملة الحدائق</w:t>
      </w:r>
      <w:r>
        <w:rPr>
          <w:rFonts w:eastAsia="Amiri" w:cs="Amiri" w:ascii="Amiri" w:hAnsi="Amiri"/>
          <w:color w:val="111111"/>
          <w:sz w:val="28"/>
          <w:szCs w:val="28"/>
          <w:rtl w:val="true"/>
          <w:lang w:bidi="ar-SA"/>
        </w:rPr>
        <w:t>.</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وأمّا المنصوب من قبل الفقيه للملاعنة،</w:t>
      </w:r>
      <w:r>
        <w:rPr>
          <w:rStyle w:val="FootnoteAnchor"/>
          <w:rtl w:val="true"/>
        </w:rPr>
        <w:footnoteReference w:id="1933"/>
      </w:r>
      <w:r>
        <w:rPr>
          <w:rFonts w:ascii="Amiri" w:hAnsi="Amiri" w:eastAsia="Amiri" w:cs="Amiri"/>
          <w:color w:val="111111"/>
          <w:sz w:val="28"/>
          <w:sz w:val="28"/>
          <w:szCs w:val="28"/>
          <w:rtl w:val="true"/>
          <w:lang w:bidi="ar-SA"/>
        </w:rPr>
        <w:t>أو المنصوب في الدعاوى والحدود والتعزيرات فهل يجوز لهما إجراء اللعان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بالصحّة مشكلٌ؛ لأنّ ما هو المذكور في النصوص هو الإمام والوالي، والمنصوب من قبل الفقيه ليس بوالٍ ولا إمام، كما أنّ ثبوت اللعان عند القضاة المتعارف نصبهم اليوم أيضاً مشكلٌ؛ لأنّهم ليسوا حكّاماً على المسلمين ولا ولاة عليهم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حكم قاضي التحكيم أيضاً؛ لأنّ الفقيه نفسه حاكمٌ على المسلمين ولا يصل الأمر إلى جعله قاضياً للتحكيم وجعل غير الفقيه الجامع للشرائط قاضياً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صحّته هنا وإن صحّ في غيره؛ لأنّ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934"/>
      </w:r>
      <w:r>
        <w:rPr>
          <w:rFonts w:ascii="Amiri" w:hAnsi="Amiri" w:eastAsia="Amiri" w:cs="Amiri"/>
          <w:color w:val="111111"/>
          <w:sz w:val="28"/>
          <w:sz w:val="28"/>
          <w:szCs w:val="28"/>
          <w:rtl w:val="true"/>
          <w:lang w:bidi="ar-SA"/>
        </w:rPr>
        <w:t>يجري هناك ولا يجري هنا؛ لاحتمال كونه من شؤون الإمام خاصّة، فالإمامة والولاية منشروطه، واحتمال الشرطيّة لا يمكن انتفائه بإعمال الولاية</w:t>
      </w:r>
      <w:r>
        <w:rPr>
          <w:rFonts w:eastAsia="Amiri" w:cs="Amiri" w:ascii="Amiri" w:hAnsi="Amiri"/>
          <w:color w:val="111111"/>
          <w:sz w:val="28"/>
          <w:szCs w:val="28"/>
          <w:rtl w:val="true"/>
          <w:lang w:bidi="ar-SA"/>
        </w:rPr>
        <w:t xml:space="preserve">. </w:t>
      </w:r>
      <w:bookmarkStart w:id="797" w:name="pg9375_100026"/>
    </w:p>
    <w:p>
      <w:pPr>
        <w:pStyle w:val="BookText"/>
        <w:rPr/>
      </w:pPr>
      <w:bookmarkEnd w:id="797"/>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غضب الله عليّ إن كان من الصادقين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الشهادة واللعن على الوجه المذكور، فلو قال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أو أُقسم أو شهدتُ أو أنا شاهد أو أبدلا لفظ الجلالة بغيره كالرحمن وخالق البشر ونحوهما أو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صادق أو لصادق أو من الصادقين بغير ذكر اللام أو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لكاذب أو كاذب أو من الكاذبين لم يقع، وكذا لو أبدل الرجل اللعنة بالغضب والمرأة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إتيان كلّ منهما باللعان بعد إلقاء الحاكم إيّاه عليه، فلو بادر به قبل أن يأمر الحاكم به لم يقع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الصيغة بالعربيّة الصحيحة مع القدرة عليها، وإلّا أتى بالميسور منها، ومع التعذّر أتى بغيرها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5416981_2870459653"/>
      <w:bookmarkStart w:id="799" w:name="_Toc283"/>
      <w:bookmarkEnd w:id="798"/>
      <w:r>
        <w:rPr>
          <w:rtl w:val="true"/>
        </w:rPr>
        <w:t>صورة اللعان</w:t>
      </w:r>
      <w:bookmarkEnd w:id="7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شكّ في كفايته عند الخاصّة والعامّة، وهو مطابق للنصوص والفتاوى، وأمّا كفاية غيره وعدمها، فيأتي الكلام فيها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فيها في المسألة الرابعة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يمين، فالمبادرة قبل أمر الحاكم كالمبادرة بالحلف قبل الإحلاف، وللأخبار المبيّنة لكيفيّة اللعان، ولأنّ الحدّ لا يقيمه إلّا الحاكم، فما يدرأه أيضاً لا يقيمه إلّا هو ولا إشكال</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5416983_2870459653"/>
      <w:bookmarkStart w:id="801" w:name="_Toc284"/>
      <w:bookmarkEnd w:id="800"/>
      <w:r>
        <w:rPr>
          <w:rtl w:val="true"/>
        </w:rPr>
        <w:t>وجوب كون الصيغة بالعربيّة مع القدرة</w:t>
      </w:r>
      <w:bookmarkEnd w:id="801"/>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لم ينقل خلاف من غير الإماميّة في عدم كفاية غير ما ذكر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الصيغة، بل نقل الإجماع من الإماميّة على عدم كفايته، لكن يقع الكلام في غير العربيّة من جهتين؛ من جهة اللسان كأدائها باللغة الفارسيّة أو غيرها من اللغات غير العربيّة، ومن جهة الكلمات والجملات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اللسان، فاعلم أنّ عبارات المتأخّرين من الأصحاب صريحة في لزوم العربيّة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يمكن لهما إتيانها صحيحة يجوز الاكتفاء بالميسور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مقتضى الصناعة هو عدم اشتراطها؛ لأنّه وإن ذكر في الكتاب والسنّة بالعربيّة، لكنّه معلوم أنّ ذكرها هناك بالعربيّة ليس في مقام البيان أو لبيان الاشتراط، بل المتفاهم العرفي من مثل تلك الصيغ هو كفاية سائر اللغات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الاشتراط بوروده في الكتاب والسنّة بالعربيّة، مضافاً إلى أنّه ليس أقلّ من العقود اللازمة وكذا بعض الإيقاعات، فكما يعتبر فيها العربيّة تعتبر هنا أيضاً، مضافاً إلى إجماع علماء الإسلام على كفاية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 ترى، فإنّ محض الذكر في الكتاب والسنّة لا يدلّ على الاشتراط، وفي العقود والإيقاعات أيضاً لا يعتبر في أكثرها اللفظ فضلاً عن العربيّة، والإجماع على كفاية العربيّة لا يدلّ على عدم كفاية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الإماميّة قائم على عدم كفاية غير تلك الصيغ ومن الغير التبديل في اللغة،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المذكور غير ثابت؛ مضافاً إلى أنّه لا يعلم ثبوته في غير تبديل الكلمة، فالجواز بغير العربيّة لا يخلو منقوّة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تقدير عدم التمكّن من الصحيح يجرى بغير العربيّة</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وهي تبديلها بكلمات أُخرى، كالجمع إلى الأفراد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أداة التأكيد، كما جاء في النصّ الشريف القرآني، فإنّ ذكرها فيه مع أنّه زائد في الكلام، يدلّ على لزوم الإتيان به، كما أنّه فرق بين لفظ الجلالة وسائر أساميه وصفاته سبحانه وتعالى، فإنّ الله جامع لجميع الصفات الكماليّة ومظهر لها، وهذا بخلاف مثل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الحقّ أنّه لا دليل على شرطيّة الإتيان بالمضارع في الشهادة، بل جاء في بعض الأخبار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في الجواهر عن كشف اللثام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تخصيص الألفاظ المعهودة على النهج المذكور للتغليظ والتأكيد، فإنّ الشهادة يتضمّن مع القسم الأخبار عن الشهود والحضور، والتعبير بالمضارع يقربه إلى الإنشاء؛ لدلالته على زمان الحال، ولفظ الجلالة اسم لذات المخصوص بها بلا شائبة اشتراك بوجهٍ، ومن الصادقين بمعنى أنّه من المعروفين بالصدق، وهو أبلغ من نحو صادق، وكذا من الكاذبين، ولكن اختيار هذا التركيب في الخامسة لعلّه للمشاكلة، فإنّ المناسب للتأكيد خلافه، وتخصيص اللعنة به والغضب بها، لأنّ جريمة الزنا أعظم من جريمة القذف</w:t>
      </w:r>
      <w:r>
        <w:rPr>
          <w:rFonts w:eastAsia="Amiri" w:cs="Amiri" w:ascii="Amiri" w:hAnsi="Amiri"/>
          <w:color w:val="111111"/>
          <w:sz w:val="28"/>
          <w:szCs w:val="28"/>
          <w:rtl w:val="true"/>
          <w:lang w:bidi="ar-SA"/>
        </w:rPr>
        <w:t>.</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ثمّ قال صاحب الجواهر ردّاً عليه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عدم اقتضاء ذلك الجمود المزبور، بل لا صراحةفي الكتاب والسنّة بذلك، بل ولا ظهور، فإنّ المنساق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إبراز المعنى المزبور وأنّ الكيفيّة المخصوصة إحدى العبارات </w:t>
      </w:r>
      <w:bookmarkStart w:id="802" w:name="pg9375_100029"/>
    </w:p>
    <w:p>
      <w:pPr>
        <w:pStyle w:val="BookText"/>
        <w:rPr/>
      </w:pPr>
      <w:bookmarkEnd w:id="8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يكونا قائمين عند التلفّظ بألفاظهما الخمسة، وهل يعتبر أن يكونا قائمين معاً عند تلفّظ كلّ منهما أو يكفي قيام كلّ عند تلفّظه بما يخصّه؟ أحوطهما الأوّل، بل لا يخلو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الدالّة عليه، بل لولا ظهور اتّفاق الأصحاب لأمكن المناقشة في بعض ما سمعته من الجمود المزبور وإن كان هو الموافق لأصالة عدم ترتّب حكم اللعان، إلّا أنّه يمكن دعوى ظهور النصوص في خلاف الجمود المزبور،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ملاعنة هلال بن أميّة،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إحلف بالله الذي لا إله إلّا هو إنّك لصادق</w:t>
      </w:r>
      <w:r>
        <w:rPr>
          <w:rFonts w:eastAsia="IRNazanin" w:cs="IRNazanin"/>
          <w:color w:val="111111"/>
          <w:sz w:val="28"/>
          <w:szCs w:val="28"/>
          <w:rtl w:val="true"/>
          <w:lang w:bidi="fa-IR"/>
        </w:rPr>
        <w:t>»</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7"/>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مرّ</w:t>
      </w:r>
      <w:r>
        <w:rPr>
          <w:rStyle w:val="FootnoteAnchor"/>
          <w:rtl w:val="true"/>
        </w:rPr>
        <w:footnoteReference w:id="1938"/>
      </w:r>
      <w:r>
        <w:rPr>
          <w:rFonts w:ascii="Amiri" w:hAnsi="Amiri" w:eastAsia="Amiri" w:cs="Amiri"/>
          <w:color w:val="111111"/>
          <w:sz w:val="28"/>
          <w:sz w:val="28"/>
          <w:szCs w:val="28"/>
          <w:rtl w:val="true"/>
          <w:lang w:bidi="ar-SA"/>
        </w:rPr>
        <w:t>منّا ما في الأخير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 الكتاب والسنّة الجمود في غير مادّة الشهادة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5416985_2870459653"/>
      <w:bookmarkStart w:id="804" w:name="_Toc285"/>
      <w:bookmarkEnd w:id="803"/>
      <w:r>
        <w:rPr>
          <w:rtl w:val="true"/>
        </w:rPr>
        <w:t>وجوب القيام عند التلفّظ بالألفاظ</w:t>
      </w:r>
      <w:bookmarkEnd w:id="804"/>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من الشروط المذكورة في اللعان هو قيام المتلاعنين، وفيه ثلاثة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قيام كلّ منهما عند إتيانه نفسه باللعان، وهو مختار المحقّق في الشرائع</w:t>
      </w:r>
      <w:r>
        <w:rPr>
          <w:rStyle w:val="FootnoteAnchor"/>
          <w:rtl w:val="true"/>
        </w:rPr>
        <w:footnoteReference w:id="1939"/>
      </w:r>
      <w:r>
        <w:rPr>
          <w:rFonts w:ascii="Amiri" w:hAnsi="Amiri" w:eastAsia="Amiri" w:cs="Amiri"/>
          <w:color w:val="111111"/>
          <w:sz w:val="28"/>
          <w:sz w:val="28"/>
          <w:szCs w:val="28"/>
          <w:rtl w:val="true"/>
          <w:lang w:bidi="ar-SA"/>
        </w:rPr>
        <w:t>والمحكيّ</w:t>
      </w:r>
      <w:r>
        <w:rPr>
          <w:rStyle w:val="FootnoteAnchor"/>
          <w:rtl w:val="true"/>
        </w:rPr>
        <w:footnoteReference w:id="1940"/>
      </w:r>
      <w:r>
        <w:rPr>
          <w:rFonts w:ascii="Amiri" w:hAnsi="Amiri" w:eastAsia="Amiri" w:cs="Amiri"/>
          <w:color w:val="111111"/>
          <w:sz w:val="28"/>
          <w:sz w:val="28"/>
          <w:szCs w:val="28"/>
          <w:rtl w:val="true"/>
          <w:lang w:bidi="ar-SA"/>
        </w:rPr>
        <w:t>عن الصدوق في المقنع</w:t>
      </w:r>
      <w:r>
        <w:rPr>
          <w:rStyle w:val="FootnoteAnchor"/>
          <w:rtl w:val="true"/>
        </w:rPr>
        <w:footnoteReference w:id="1941"/>
      </w:r>
      <w:r>
        <w:rPr>
          <w:rFonts w:ascii="Amiri" w:hAnsi="Amiri" w:eastAsia="Amiri" w:cs="Amiri"/>
          <w:color w:val="111111"/>
          <w:sz w:val="28"/>
          <w:sz w:val="28"/>
          <w:szCs w:val="28"/>
          <w:rtl w:val="true"/>
          <w:lang w:bidi="ar-SA"/>
        </w:rPr>
        <w:t>والشيخ فيالمبسوط</w:t>
      </w:r>
      <w:r>
        <w:rPr>
          <w:rStyle w:val="FootnoteAnchor"/>
          <w:rtl w:val="true"/>
        </w:rPr>
        <w:footnoteReference w:id="1942"/>
      </w:r>
      <w:r>
        <w:rPr>
          <w:rFonts w:ascii="Amiri" w:hAnsi="Amiri" w:eastAsia="Amiri" w:cs="Amiri"/>
          <w:color w:val="111111"/>
          <w:sz w:val="28"/>
          <w:sz w:val="28"/>
          <w:szCs w:val="28"/>
          <w:rtl w:val="true"/>
          <w:lang w:bidi="ar-SA"/>
        </w:rPr>
        <w:t>وابن إدريس</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قيامهما معاً عند لعان كلّ واحد منهما، ونسبه الشهيد في المسالك</w:t>
      </w:r>
      <w:r>
        <w:rPr>
          <w:rStyle w:val="FootnoteAnchor"/>
          <w:rtl w:val="true"/>
        </w:rPr>
        <w:footnoteReference w:id="1944"/>
      </w:r>
      <w:r>
        <w:rPr>
          <w:rFonts w:ascii="Amiri" w:hAnsi="Amiri" w:eastAsia="Amiri" w:cs="Amiri"/>
          <w:color w:val="111111"/>
          <w:sz w:val="28"/>
          <w:sz w:val="28"/>
          <w:szCs w:val="28"/>
          <w:rtl w:val="true"/>
          <w:lang w:bidi="ar-SA"/>
        </w:rPr>
        <w:t>إلى الأكثر، وهو مختار الشيخ في النهاية</w:t>
      </w:r>
      <w:r>
        <w:rPr>
          <w:rStyle w:val="FootnoteAnchor"/>
          <w:rtl w:val="true"/>
        </w:rPr>
        <w:footnoteReference w:id="1945"/>
      </w:r>
      <w:r>
        <w:rPr>
          <w:rFonts w:ascii="Amiri" w:hAnsi="Amiri" w:eastAsia="Amiri" w:cs="Amiri"/>
          <w:color w:val="111111"/>
          <w:sz w:val="28"/>
          <w:sz w:val="28"/>
          <w:szCs w:val="28"/>
          <w:rtl w:val="true"/>
          <w:lang w:bidi="ar-SA"/>
        </w:rPr>
        <w:t>وكذا مختار المتأخّرين، وقد نُسب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القيام، وهو المحكيّ عن ابن سعيد،</w:t>
      </w:r>
      <w:r>
        <w:rPr>
          <w:rStyle w:val="FootnoteAnchor"/>
          <w:rtl w:val="true"/>
        </w:rPr>
        <w:footnoteReference w:id="1946"/>
      </w:r>
      <w:r>
        <w:rPr>
          <w:rFonts w:ascii="Amiri" w:hAnsi="Amiri" w:eastAsia="Amiri" w:cs="Amiri"/>
          <w:color w:val="111111"/>
          <w:sz w:val="28"/>
          <w:sz w:val="28"/>
          <w:szCs w:val="28"/>
          <w:rtl w:val="true"/>
          <w:lang w:bidi="ar-SA"/>
        </w:rPr>
        <w:t>كما أنّ ذلك هو ظاهر الصدوق في الهداية</w:t>
      </w:r>
      <w:r>
        <w:rPr>
          <w:rStyle w:val="FootnoteAnchor"/>
          <w:rtl w:val="true"/>
        </w:rPr>
        <w:footnoteReference w:id="1947"/>
      </w:r>
      <w:r>
        <w:rPr>
          <w:rFonts w:ascii="Amiri" w:hAnsi="Amiri" w:eastAsia="Amiri" w:cs="Amiri"/>
          <w:color w:val="111111"/>
          <w:sz w:val="28"/>
          <w:sz w:val="28"/>
          <w:szCs w:val="28"/>
          <w:rtl w:val="true"/>
          <w:lang w:bidi="ar-SA"/>
        </w:rPr>
        <w:t>والمحقّق في المختصر،</w:t>
      </w:r>
      <w:r>
        <w:rPr>
          <w:rStyle w:val="FootnoteAnchor"/>
          <w:rtl w:val="true"/>
        </w:rPr>
        <w:footnoteReference w:id="1948"/>
      </w:r>
      <w:r>
        <w:rPr>
          <w:rFonts w:ascii="Amiri" w:hAnsi="Amiri" w:eastAsia="Amiri" w:cs="Amiri"/>
          <w:color w:val="111111"/>
          <w:sz w:val="28"/>
          <w:sz w:val="28"/>
          <w:szCs w:val="28"/>
          <w:rtl w:val="true"/>
          <w:lang w:bidi="ar-SA"/>
        </w:rPr>
        <w:t>حيث إنّهما لم يذكراه في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واستدلّ للأوّل بمرسلة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يقوم الرجل فيحلف أربع مرّات بالله إنّه لمن الصادقين فيما رماها به، ثمّ يقول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لعنة الله شديدة، ثمّ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إن كان من الكاذبين فيما رماها به، ثمّ تقوم المرأة فتحلف أربع مرّات بالله إنّه لمن الكاذبين فيما رماها به </w:t>
      </w:r>
      <w:r>
        <w:rPr>
          <w:rFonts w:eastAsia="Amiri" w:cs="Amiri" w:ascii="Amiri" w:hAnsi="Amiri"/>
          <w:color w:val="111111"/>
          <w:sz w:val="28"/>
          <w:szCs w:val="28"/>
          <w:rtl w:val="true"/>
          <w:lang w:bidi="ar-SA"/>
        </w:rPr>
        <w:t>... ».</w:t>
      </w:r>
      <w:r>
        <w:rPr>
          <w:rStyle w:val="FootnoteAnchor"/>
          <w:rtl w:val="true"/>
        </w:rPr>
        <w:footnoteReference w:id="1949"/>
      </w:r>
    </w:p>
    <w:p>
      <w:pPr>
        <w:pStyle w:val="BookText"/>
        <w:rPr/>
      </w:pPr>
      <w:r>
        <w:rPr>
          <w:rFonts w:ascii="IRNazanin" w:hAnsi="IRNazanin" w:eastAsia="IRNazanin"/>
          <w:color w:val="111111"/>
          <w:sz w:val="28"/>
          <w:sz w:val="28"/>
          <w:szCs w:val="28"/>
          <w:rtl w:val="true"/>
          <w:lang w:bidi="fa-IR"/>
        </w:rPr>
        <w:t>وكذا بما حكي من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أَمَر عويمر بالقيام، فلمّا تمّت شهادته أَمَر امرأته بالقيام على ما هو المحكيّ منسنن البيهقي</w:t>
      </w:r>
      <w:r>
        <w:rPr>
          <w:rFonts w:eastAsia="IRNazanin" w:cs="IRNazanin"/>
          <w:color w:val="111111"/>
          <w:sz w:val="28"/>
          <w:szCs w:val="28"/>
          <w:rtl w:val="true"/>
          <w:lang w:bidi="fa-IR"/>
        </w:rPr>
        <w:t>.</w:t>
      </w:r>
      <w:r>
        <w:rPr>
          <w:rStyle w:val="FootnoteAnchor"/>
          <w:rtl w:val="true"/>
        </w:rPr>
        <w:footnoteReference w:id="1950"/>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للثاني بصحيحة محمّد بن مسلم التي قد 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الملاعن والملاعنة، كيف يصنعان؟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يجلس الإمام مستدبر القبلة يقيمهما بين يديه مستقبل القبلة بحذائه ويبدأ بالرجل ثمّ المرأة </w:t>
      </w:r>
      <w:r>
        <w:rPr>
          <w:rFonts w:eastAsia="IRNazanin" w:cs="IRNazanin"/>
          <w:color w:val="111111"/>
          <w:sz w:val="28"/>
          <w:szCs w:val="28"/>
          <w:rtl w:val="true"/>
          <w:lang w:bidi="fa-IR"/>
        </w:rPr>
        <w:t>... ».</w:t>
      </w:r>
      <w:r>
        <w:rPr>
          <w:rStyle w:val="FootnoteAnchor"/>
          <w:rtl w:val="true"/>
        </w:rPr>
        <w:footnoteReference w:id="19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بصحيحة عبد الرحمن بن الحجّاج،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قد مرّت أيضاً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فأحضرها زوجها، فوقفها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أربع شهادات بالله إنّك لمن الصادقين فيما رميتها به </w:t>
      </w:r>
      <w:r>
        <w:rPr>
          <w:rFonts w:eastAsia="IRNazanin" w:cs="IRNazanin"/>
          <w:color w:val="111111"/>
          <w:sz w:val="28"/>
          <w:szCs w:val="28"/>
          <w:rtl w:val="true"/>
          <w:lang w:bidi="fa-IR"/>
        </w:rPr>
        <w:t>... ».</w:t>
      </w:r>
      <w:r>
        <w:rPr>
          <w:rStyle w:val="FootnoteAnchor"/>
          <w:rtl w:val="true"/>
        </w:rPr>
        <w:footnoteReference w:id="1952"/>
      </w:r>
    </w:p>
    <w:p>
      <w:pPr>
        <w:pStyle w:val="BookText"/>
        <w:rPr/>
      </w:pPr>
      <w:r>
        <w:rPr>
          <w:rFonts w:ascii="IRNazanin" w:hAnsi="IRNazanin" w:eastAsia="IRNazanin"/>
          <w:color w:val="111111"/>
          <w:sz w:val="28"/>
          <w:sz w:val="28"/>
          <w:szCs w:val="28"/>
          <w:rtl w:val="true"/>
          <w:lang w:bidi="fa-IR"/>
        </w:rPr>
        <w:t>واستدلّ للثالث بإطلاق الكتاب وبرواية دعائم الإسلام،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والسنّة أن يجلس الإمام للمتلاعنين ويقيمهما بين يديه كلّ واحد منهما مستقبل القبلة</w:t>
      </w:r>
      <w:r>
        <w:rPr>
          <w:rFonts w:eastAsia="IRNazanin" w:cs="IRNazanin"/>
          <w:color w:val="111111"/>
          <w:sz w:val="28"/>
          <w:szCs w:val="28"/>
          <w:rtl w:val="true"/>
          <w:lang w:bidi="fa-IR"/>
        </w:rPr>
        <w:t>».</w:t>
      </w:r>
      <w:r>
        <w:rPr>
          <w:rStyle w:val="FootnoteAnchor"/>
          <w:rtl w:val="true"/>
        </w:rPr>
        <w:footnoteReference w:id="1953"/>
      </w:r>
      <w:r>
        <w:rPr>
          <w:rFonts w:ascii="IRNazanin" w:hAnsi="IRNazanin" w:eastAsia="IRNazanin"/>
          <w:color w:val="111111"/>
          <w:sz w:val="28"/>
          <w:sz w:val="28"/>
          <w:szCs w:val="28"/>
          <w:rtl w:val="true"/>
          <w:lang w:bidi="fa-IR"/>
        </w:rPr>
        <w:t>وهو مقتضى الجمع بين النصوص، فإنّ الاختلاف بين الصحيحتين وبين المرسلة وما وقع في عويمر مشعرٌ بالندب، وتحمل صحيحة عليّ بن جعفر أيضاً على الاستحباب، فإنّه روى عن أخيه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الملاعنة قائماً يلاعن أم قاعداً؟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الملاعنة وما أشبهها من قيام</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هذا، ولكنّ التحقيق هو وجوب قيامهما معاً؛ وذلك لدلالة الصحيحتين، وأمّا مرسلة الفقيه ورواية العامّة في عويمر ومرسلة الدعائم لا تقاوم الصحيحتين؛ للضعف في أسنادها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ظهر عدم كونه وجهاً للجمع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يعلم أنّ المراد من السنّة في مرسلةالدعائم هو خصوص الاستحباب، فإنّها قد تطلق على الواجب أيضاً</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سلّم استحباب إقامتهما ولكن لا دليل على استحباب كلّ واحد منهما عند لعانه، فأضعف الأقوال القول بالاستحباب مطلقاً ثمّ القول بوجوب قيام كلّ </w:t>
      </w:r>
      <w:bookmarkStart w:id="805" w:name="pg9375_100032"/>
    </w:p>
    <w:p>
      <w:pPr>
        <w:pStyle w:val="BookText"/>
        <w:rPr/>
      </w:pPr>
      <w:bookmarkEnd w:id="8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 عند لعانه</w:t>
      </w:r>
      <w:r>
        <w:rPr>
          <w:rFonts w:eastAsia="IRNazanin" w:cs="IRNazanin"/>
          <w:color w:val="111111"/>
          <w:sz w:val="28"/>
          <w:szCs w:val="28"/>
          <w:rtl w:val="true"/>
          <w:lang w:bidi="fa-IR"/>
        </w:rPr>
        <w:t>.</w:t>
      </w:r>
    </w:p>
    <w:p>
      <w:pPr>
        <w:pStyle w:val="Heading3"/>
        <w:numPr>
          <w:ilvl w:val="2"/>
          <w:numId w:val="1"/>
        </w:numPr>
        <w:rPr/>
      </w:pPr>
      <w:bookmarkStart w:id="806" w:name="__RefHeading___Toc5416987_2870459653"/>
      <w:bookmarkStart w:id="807" w:name="_Toc286"/>
      <w:bookmarkEnd w:id="806"/>
      <w:r>
        <w:rPr>
          <w:rtl w:val="true"/>
        </w:rPr>
        <w:t>وجوب تقديم لعان الرجل على لعان المرأة</w:t>
      </w:r>
      <w:bookmarkEnd w:id="807"/>
    </w:p>
    <w:p>
      <w:pPr>
        <w:pStyle w:val="BookText"/>
        <w:rPr/>
      </w:pPr>
      <w:r>
        <w:rPr>
          <w:rFonts w:ascii="Amiri" w:hAnsi="Amiri" w:eastAsia="Amiri" w:cs="Amiri"/>
          <w:color w:val="111111"/>
          <w:sz w:val="28"/>
          <w:sz w:val="28"/>
          <w:szCs w:val="28"/>
          <w:rtl w:val="true"/>
          <w:lang w:bidi="ar-SA"/>
        </w:rPr>
        <w:t>ثمّ إنّه يجب تقديم لعانه على لعانها، كما يدلّ عليه الكتاب والسنّة، ولأنّ الرجل يريد رفع الحدّ عن نفسه، كما أنّه يجب كون الخامسة بعد الأربع في الرجل والمرأة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العامّة جواز عكسه وهو مخالفٌ للنصّ، كما أنّه مخالفٌ لطبع القضيّة</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5416989_2870459653"/>
      <w:bookmarkStart w:id="809" w:name="_Toc287"/>
      <w:bookmarkEnd w:id="808"/>
      <w:r>
        <w:rPr>
          <w:rtl w:val="true"/>
        </w:rPr>
        <w:t>شرطيّة الموالاة بين الأحلاف الخمسة</w:t>
      </w:r>
      <w:bookmarkEnd w:id="809"/>
    </w:p>
    <w:p>
      <w:pPr>
        <w:pStyle w:val="BookText"/>
        <w:rPr/>
      </w:pPr>
      <w:r>
        <w:rPr>
          <w:rFonts w:ascii="Amiri" w:hAnsi="Amiri" w:eastAsia="Amiri" w:cs="Amiri"/>
          <w:color w:val="111111"/>
          <w:sz w:val="28"/>
          <w:sz w:val="28"/>
          <w:szCs w:val="28"/>
          <w:rtl w:val="true"/>
          <w:lang w:bidi="ar-SA"/>
        </w:rPr>
        <w:t>ومن الشرائط فيه الموالاة بين الإحلاف الخمسة؛ لأنّه المنصوص، ولأنّ كلّ يمين بمنزلة شاهد واحد وفي الشهود ليجب الاجتماع فكذا فيما هو بمنزلتهم</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5416991_2870459653"/>
      <w:bookmarkStart w:id="811" w:name="_Toc288"/>
      <w:bookmarkEnd w:id="810"/>
      <w:r>
        <w:rPr>
          <w:rtl w:val="true"/>
        </w:rPr>
        <w:t>كلام كاشف اللثام في الشروط الواجبة والمندوبة</w:t>
      </w:r>
      <w:bookmarkEnd w:id="811"/>
    </w:p>
    <w:p>
      <w:pPr>
        <w:pStyle w:val="BookText"/>
        <w:rPr/>
      </w:pPr>
      <w:r>
        <w:rPr>
          <w:rFonts w:ascii="Amiri" w:hAnsi="Amiri" w:eastAsia="Amiri" w:cs="Amiri"/>
          <w:color w:val="111111"/>
          <w:sz w:val="28"/>
          <w:sz w:val="28"/>
          <w:szCs w:val="28"/>
          <w:rtl w:val="true"/>
          <w:lang w:bidi="ar-SA"/>
        </w:rPr>
        <w:t>ثمّ إنّه لينبغي نقل ما ذكره كشف اللثام</w:t>
      </w:r>
      <w:r>
        <w:rPr>
          <w:rStyle w:val="FootnoteAnchor"/>
          <w:rtl w:val="true"/>
        </w:rPr>
        <w:footnoteReference w:id="1955"/>
      </w:r>
      <w:r>
        <w:rPr>
          <w:rFonts w:ascii="Amiri" w:hAnsi="Amiri" w:eastAsia="Amiri" w:cs="Amiri"/>
          <w:color w:val="111111"/>
          <w:sz w:val="28"/>
          <w:sz w:val="28"/>
          <w:szCs w:val="28"/>
          <w:rtl w:val="true"/>
          <w:lang w:bidi="ar-SA"/>
        </w:rPr>
        <w:t>من الشروط الواجبة والمندوبة، إكمالاً للفائدة وإيراداً على بعض ما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 نصّ كلامه ممزوجاً بما قاله العلّامة في القواعد</w:t>
      </w:r>
      <w:r>
        <w:rPr>
          <w:rStyle w:val="FootnoteAnchor"/>
          <w:rtl w:val="true"/>
        </w:rPr>
        <w:footnoteReference w:id="1956"/>
      </w:r>
      <w:r>
        <w:rPr>
          <w:rFonts w:ascii="Amiri" w:hAnsi="Amiri" w:eastAsia="Amiri" w:cs="Amiri"/>
          <w:color w:val="111111"/>
          <w:sz w:val="28"/>
          <w:sz w:val="28"/>
          <w:szCs w:val="28"/>
          <w:rtl w:val="true"/>
          <w:lang w:bidi="ar-SA"/>
        </w:rPr>
        <w:t>الذي هو المتن لشرحه</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فيه أُمور أربعة عشر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عند الحاكم أو من نصبه لذلك، كما نصّ عليه جماعة، منهم الشيخ</w:t>
      </w:r>
      <w:r>
        <w:rPr>
          <w:rStyle w:val="FootnoteAnchor"/>
          <w:rtl w:val="true"/>
        </w:rPr>
        <w:footnoteReference w:id="1957"/>
      </w:r>
      <w:r>
        <w:rPr>
          <w:rFonts w:ascii="Amiri" w:hAnsi="Amiri" w:eastAsia="Amiri" w:cs="Amiri"/>
          <w:color w:val="111111"/>
          <w:sz w:val="28"/>
          <w:sz w:val="28"/>
          <w:szCs w:val="28"/>
          <w:rtl w:val="true"/>
          <w:lang w:bidi="ar-SA"/>
        </w:rPr>
        <w:t>وأبو عليّ؛</w:t>
      </w:r>
      <w:r>
        <w:rPr>
          <w:rStyle w:val="FootnoteAnchor"/>
          <w:rtl w:val="true"/>
        </w:rPr>
        <w:footnoteReference w:id="1958"/>
      </w:r>
      <w:r>
        <w:rPr>
          <w:rFonts w:ascii="IRNazanin" w:hAnsi="IRNazanin" w:eastAsia="IRNazanin"/>
          <w:color w:val="111111"/>
          <w:sz w:val="28"/>
          <w:sz w:val="28"/>
          <w:szCs w:val="28"/>
          <w:rtl w:val="true"/>
          <w:lang w:bidi="fa-IR"/>
        </w:rPr>
        <w:t>لأنّه حكم شرعي يتعلّق به كيفيّات وأحكام وهيئات فيناط بالإمام وخليفته؛ لأنّه المنصوب لذلك، كذا في المختلف، ولأنّ الحدّ يقيمه الحاكم فكذا ما يدرؤه، ولصحيح محمّد بن مسلم، سئل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الملاعنة والملاعن،</w:t>
      </w:r>
      <w:r>
        <w:rPr>
          <w:rStyle w:val="FootnoteAnchor"/>
          <w:rtl w:val="true"/>
        </w:rPr>
        <w:footnoteReference w:id="1959"/>
      </w:r>
      <w:r>
        <w:rPr>
          <w:rFonts w:ascii="Amiri" w:hAnsi="Amiri" w:eastAsia="Amiri" w:cs="Amiri"/>
          <w:color w:val="111111"/>
          <w:sz w:val="28"/>
          <w:sz w:val="28"/>
          <w:szCs w:val="28"/>
          <w:rtl w:val="true"/>
          <w:lang w:bidi="ar-SA"/>
        </w:rPr>
        <w:t>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يجلس الإمام مستدبر القبلة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وصحيح البزنطي وحسنه،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الملاعنة؟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يقعد الإمام ويجعل ظهره إلى القبلة ويجعل الرجل عن يمينه والمرأة عن يساره</w:t>
      </w:r>
      <w:r>
        <w:rPr>
          <w:rFonts w:eastAsia="IRNazanin" w:cs="IRNazanin"/>
          <w:color w:val="111111"/>
          <w:sz w:val="28"/>
          <w:szCs w:val="28"/>
          <w:rtl w:val="true"/>
          <w:lang w:bidi="fa-IR"/>
        </w:rPr>
        <w:t>».</w:t>
      </w:r>
      <w:r>
        <w:rPr>
          <w:rStyle w:val="FootnoteAnchor"/>
          <w:rtl w:val="true"/>
        </w:rPr>
        <w:footnoteReference w:id="1961"/>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أرسل في بعض الكتب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اللعان أن يقول الرجل لامرأته عند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رجلاً مكان مجلسي منها أو ينتفي من ولدها،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منّي، فإذا فعل ذلك تلاعنا عند الوالي</w:t>
      </w:r>
      <w:r>
        <w:rPr>
          <w:rFonts w:eastAsia="IRNazanin" w:cs="IRNazanin"/>
          <w:color w:val="111111"/>
          <w:sz w:val="28"/>
          <w:szCs w:val="28"/>
          <w:rtl w:val="true"/>
          <w:lang w:bidi="fa-IR"/>
        </w:rPr>
        <w:t>».</w:t>
      </w:r>
      <w:r>
        <w:rPr>
          <w:rStyle w:val="FootnoteAnchor"/>
          <w:rtl w:val="true"/>
        </w:rPr>
        <w:footnoteReference w:id="196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والملاعنةأن يشهد بين يدي الإمام أربع شهادات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9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 عنه وعن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تلاعن المتلاعنان عند الإمام فرّق بينهما</w:t>
      </w:r>
      <w:r>
        <w:rPr>
          <w:rFonts w:eastAsia="Amiri" w:cs="Amiri" w:ascii="Amiri" w:hAnsi="Amiri"/>
          <w:color w:val="111111"/>
          <w:sz w:val="28"/>
          <w:szCs w:val="28"/>
          <w:rtl w:val="true"/>
          <w:lang w:bidi="ar-SA"/>
        </w:rPr>
        <w:t>».</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ما ذهبنا إليه من الاحتياط في عدم جواز إيكال اللعان إلى الغير؛ لأنّ الأخبار قد اعتبرته من شؤون الإمام والحاكم لا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المذكور في الأحاديث أنّ ذلك بيد الإمام والحاكم كان يمكن العدول إلى غيره ولكنه لم يذكر هكذا، خلافاً لمثل باب الحدود والقضاء فإنّ المذكور فيها أنّها بيد الحاكم،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w:t>
      </w:r>
      <w:r>
        <w:rPr>
          <w:rStyle w:val="FootnoteAnchor"/>
          <w:rtl w:val="true"/>
        </w:rPr>
        <w:footnoteReference w:id="1965"/>
      </w:r>
      <w:r>
        <w:rPr>
          <w:rFonts w:ascii="Amiri" w:hAnsi="Amiri" w:eastAsia="Amiri" w:cs="Amiri"/>
          <w:color w:val="111111"/>
          <w:sz w:val="28"/>
          <w:sz w:val="28"/>
          <w:szCs w:val="28"/>
          <w:rtl w:val="true"/>
          <w:lang w:bidi="ar-SA"/>
        </w:rPr>
        <w:t>والوسيلة</w:t>
      </w:r>
      <w:r>
        <w:rPr>
          <w:rStyle w:val="FootnoteAnchor"/>
          <w:rtl w:val="true"/>
        </w:rPr>
        <w:footnoteReference w:id="1966"/>
      </w:r>
      <w:r>
        <w:rPr>
          <w:rFonts w:ascii="IRNazanin" w:hAnsi="IRNazanin" w:eastAsia="IRNazanin"/>
          <w:color w:val="111111"/>
          <w:sz w:val="28"/>
          <w:sz w:val="28"/>
          <w:szCs w:val="28"/>
          <w:rtl w:val="true"/>
          <w:lang w:bidi="fa-IR"/>
        </w:rPr>
        <w:t>والشرائع</w:t>
      </w:r>
      <w:r>
        <w:rPr>
          <w:rStyle w:val="FootnoteAnchor"/>
          <w:rtl w:val="true"/>
        </w:rPr>
        <w:footnoteReference w:id="1967"/>
      </w:r>
      <w:r>
        <w:rPr>
          <w:rFonts w:ascii="Amiri" w:hAnsi="Amiri" w:eastAsia="Amiri" w:cs="Amiri"/>
          <w:color w:val="111111"/>
          <w:sz w:val="28"/>
          <w:sz w:val="28"/>
          <w:szCs w:val="28"/>
          <w:rtl w:val="true"/>
          <w:lang w:bidi="ar-SA"/>
        </w:rPr>
        <w:t>أنّهما لو تراضيا برجل من العامّة فلاعن بينهما جاز إلّا أنّه لم يصرّح في المبسوط والوسيلة بكونه من العامّة وزاد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عندنا وعند جماعة،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Style w:val="FootnoteAnchor"/>
          <w:rtl w:val="true"/>
        </w:rPr>
        <w:footnoteReference w:id="1968"/>
      </w:r>
      <w:r>
        <w:rPr>
          <w:rFonts w:ascii="Amiri" w:hAnsi="Amiri" w:eastAsia="Amiri" w:cs="Amiri"/>
          <w:color w:val="111111"/>
          <w:sz w:val="28"/>
          <w:sz w:val="28"/>
          <w:szCs w:val="28"/>
          <w:rtl w:val="true"/>
          <w:lang w:bidi="ar-SA"/>
        </w:rPr>
        <w:t>وهو مشعرٌ بالاتّفاق مع أنّه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لا يصحّ إلّا عند الحاكم أو من يقوم مقامه من خلفائه</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لا يصحّ إلّا عند الحاكم أو خليفتهإجماعاً،</w:t>
      </w:r>
      <w:r>
        <w:rPr>
          <w:rStyle w:val="FootnoteAnchor"/>
          <w:rtl w:val="true"/>
        </w:rPr>
        <w:footnoteReference w:id="1970"/>
      </w:r>
      <w:r>
        <w:rPr>
          <w:rFonts w:ascii="Amiri" w:hAnsi="Amiri" w:eastAsia="Amiri" w:cs="Amiri"/>
          <w:color w:val="111111"/>
          <w:sz w:val="28"/>
          <w:sz w:val="28"/>
          <w:szCs w:val="28"/>
          <w:rtl w:val="true"/>
          <w:lang w:bidi="ar-SA"/>
        </w:rPr>
        <w:t xml:space="preserve">فلعلّه إذا لم يحصل التراضي بغيره أو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بالحاكم الإمام وبخلفائه ما يعمّ الفقهاء في الغيبة وبمن تراضيا عليه الفقيه في الغيبة أو لا يجوز عند كلّ من تراضيا عنده إلّا إذا لم يمكن الحاكم أو منصوبه، وجعلهما في المختلف قولين، واختار عدم الجواز إلّا عند الحاكم أو من ينصبه،</w:t>
      </w:r>
      <w:r>
        <w:rPr>
          <w:rStyle w:val="FootnoteAnchor"/>
          <w:rtl w:val="true"/>
        </w:rPr>
        <w:footnoteReference w:id="1971"/>
      </w:r>
      <w:r>
        <w:rPr>
          <w:rFonts w:ascii="Amiri" w:hAnsi="Amiri" w:eastAsia="Amiri" w:cs="Amiri"/>
          <w:color w:val="111111"/>
          <w:sz w:val="28"/>
          <w:sz w:val="28"/>
          <w:szCs w:val="28"/>
          <w:rtl w:val="true"/>
          <w:lang w:bidi="ar-SA"/>
        </w:rPr>
        <w:t>وتردّد في التحرير،</w:t>
      </w:r>
      <w:r>
        <w:rPr>
          <w:rStyle w:val="FootnoteAnchor"/>
          <w:rtl w:val="true"/>
        </w:rPr>
        <w:footnoteReference w:id="1972"/>
      </w: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بالرجل العامّي الفقيه المجتهد حال حضور الإمام إذا لم يكن منصوباً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973"/>
      </w:r>
      <w:r>
        <w:rPr>
          <w:rFonts w:ascii="Amiri" w:hAnsi="Amiri" w:eastAsia="Amiri" w:cs="Amiri"/>
          <w:color w:val="111111"/>
          <w:sz w:val="28"/>
          <w:sz w:val="28"/>
          <w:szCs w:val="28"/>
          <w:rtl w:val="true"/>
          <w:lang w:bidi="ar-SA"/>
        </w:rPr>
        <w:t>وبالجملة، فينبغي القول بصحّة إيقاعه من الفقيه في زمن الغيبة لعموم النصوص من الكتاب</w:t>
      </w:r>
      <w:r>
        <w:rPr>
          <w:rStyle w:val="FootnoteAnchor"/>
          <w:rtl w:val="true"/>
        </w:rPr>
        <w:footnoteReference w:id="1974"/>
      </w:r>
      <w:r>
        <w:rPr>
          <w:rFonts w:ascii="Amiri" w:hAnsi="Amiri" w:eastAsia="Amiri" w:cs="Amiri"/>
          <w:color w:val="111111"/>
          <w:sz w:val="28"/>
          <w:sz w:val="28"/>
          <w:szCs w:val="28"/>
          <w:rtl w:val="true"/>
          <w:lang w:bidi="ar-SA"/>
        </w:rPr>
        <w:t>والسنّة</w:t>
      </w:r>
      <w:r>
        <w:rPr>
          <w:rStyle w:val="FootnoteAnchor"/>
          <w:rtl w:val="true"/>
        </w:rPr>
        <w:footnoteReference w:id="1975"/>
      </w:r>
      <w:r>
        <w:rPr>
          <w:rFonts w:ascii="Amiri" w:hAnsi="Amiri" w:eastAsia="Amiri" w:cs="Amiri"/>
          <w:color w:val="111111"/>
          <w:sz w:val="28"/>
          <w:sz w:val="28"/>
          <w:szCs w:val="28"/>
          <w:rtl w:val="true"/>
          <w:lang w:bidi="ar-SA"/>
        </w:rPr>
        <w:t>والوالي بل الإمام له، على أنّ خبري الإمام ليسا من النصوصيّة في امتناعه من غيره في شيء ولقضاء الضرورة بذلك، ولأنّه منصوبٌ من قبله، وأمّا إيقاعه في زمن الحضور وإيقاع غيره فالظاهر العدم، ويثبت حكم اللعان إذا تلاعنا عند من رضيا به غير الحاكم ونائبه بنفس الحكم منه مثل الحاكم سواء كما في الشرائع</w:t>
      </w:r>
      <w:r>
        <w:rPr>
          <w:rStyle w:val="FootnoteAnchor"/>
          <w:rtl w:val="true"/>
        </w:rPr>
        <w:footnoteReference w:id="1976"/>
      </w:r>
      <w:r>
        <w:rPr>
          <w:rFonts w:ascii="IRNazanin" w:hAnsi="IRNazanin" w:eastAsia="IRNazanin"/>
          <w:color w:val="111111"/>
          <w:sz w:val="28"/>
          <w:sz w:val="28"/>
          <w:szCs w:val="28"/>
          <w:rtl w:val="true"/>
          <w:lang w:bidi="fa-IR"/>
        </w:rPr>
        <w:t>والخلاف</w:t>
      </w:r>
      <w:r>
        <w:rPr>
          <w:rStyle w:val="FootnoteAnchor"/>
          <w:rtl w:val="true"/>
        </w:rPr>
        <w:footnoteReference w:id="1977"/>
      </w:r>
      <w:r>
        <w:rPr>
          <w:rFonts w:ascii="IRNazanin" w:hAnsi="IRNazanin" w:eastAsia="IRNazanin"/>
          <w:color w:val="111111"/>
          <w:sz w:val="28"/>
          <w:sz w:val="28"/>
          <w:szCs w:val="28"/>
          <w:rtl w:val="true"/>
          <w:lang w:bidi="fa-IR"/>
        </w:rPr>
        <w:t>ولعانالمبسوط</w:t>
      </w:r>
      <w:r>
        <w:rPr>
          <w:rStyle w:val="FootnoteAnchor"/>
          <w:rtl w:val="true"/>
        </w:rPr>
        <w:footnoteReference w:id="1978"/>
      </w:r>
      <w:r>
        <w:rPr>
          <w:rFonts w:ascii="Amiri" w:hAnsi="Amiri" w:eastAsia="Amiri" w:cs="Amiri"/>
          <w:color w:val="111111"/>
          <w:sz w:val="28"/>
          <w:sz w:val="28"/>
          <w:szCs w:val="28"/>
          <w:rtl w:val="true"/>
          <w:lang w:bidi="ar-SA"/>
        </w:rPr>
        <w:t>وقيل في قضاء المبسوط</w:t>
      </w:r>
      <w:r>
        <w:rPr>
          <w:rStyle w:val="FootnoteAnchor"/>
          <w:rtl w:val="true"/>
        </w:rPr>
        <w:footnoteReference w:id="1979"/>
      </w:r>
      <w:r>
        <w:rPr>
          <w:rFonts w:ascii="Amiri" w:hAnsi="Amiri" w:eastAsia="Amiri" w:cs="Amiri"/>
          <w:color w:val="111111"/>
          <w:sz w:val="28"/>
          <w:sz w:val="28"/>
          <w:szCs w:val="28"/>
          <w:rtl w:val="true"/>
          <w:lang w:bidi="ar-SA"/>
        </w:rPr>
        <w:t>يعتبر رضاهما بعد الحكم وموضع تحقيقه كتاب القضاء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بالشهادة على الوجه المذكور اتباعاً للمنصوص المتّفق عليه،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شاهد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مشابه ذلك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يجز، خلافاً لبعض العامّة</w:t>
      </w:r>
      <w:r>
        <w:rPr>
          <w:rFonts w:eastAsia="IRNazanin" w:cs="IRNazanin"/>
          <w:color w:val="111111"/>
          <w:sz w:val="28"/>
          <w:szCs w:val="28"/>
          <w:rtl w:val="true"/>
          <w:lang w:bidi="fa-IR"/>
        </w:rPr>
        <w:t>.</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w:t>
      </w:r>
      <w:r>
        <w:rPr>
          <w:rStyle w:val="FootnoteAnchor"/>
          <w:rtl w:val="true"/>
        </w:rPr>
        <w:footnoteReference w:id="1981"/>
      </w:r>
      <w:r>
        <w:rPr>
          <w:rFonts w:ascii="Amiri" w:hAnsi="Amiri" w:eastAsia="Amiri" w:cs="Amiri"/>
          <w:color w:val="111111"/>
          <w:sz w:val="28"/>
          <w:sz w:val="28"/>
          <w:szCs w:val="28"/>
          <w:rtl w:val="true"/>
          <w:lang w:bidi="ar-SA"/>
        </w:rPr>
        <w:t>من صحّة ما استعمل فيه مادّة الشهادة؛ قضاءً لإطلاق الكتاب، والأخبار قاصرة عن الدلالة على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ذكر الولد في كلّ مرّة يشهد فيها الرجل إن كان هناك ولد ينفيه ليتمّ عدد الشهادات عليه أيضاً وليس على المرأة إعادة ذكره؛ أي ذكره في شيء من المرّات لما عرفت وهو إعادة لما وقع بينهما قبل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جميع الكلمات الخمس، فلا يقوم معظمها مقامها، فإنّ حكم الحاكم بالفرقة بالمعظم لم ينفذ لخروجه عن النصّ، خلافاً لأبي حنيفة</w:t>
      </w:r>
      <w:r>
        <w:rPr>
          <w:rStyle w:val="FootnoteAnchor"/>
          <w:rtl w:val="true"/>
        </w:rPr>
        <w:footnoteReference w:id="1982"/>
      </w:r>
      <w:r>
        <w:rPr>
          <w:rFonts w:ascii="Amiri" w:hAnsi="Amiri" w:eastAsia="Amiri" w:cs="Amiri"/>
          <w:color w:val="111111"/>
          <w:sz w:val="28"/>
          <w:sz w:val="28"/>
          <w:szCs w:val="28"/>
          <w:rtl w:val="true"/>
          <w:lang w:bidi="ar-SA"/>
        </w:rPr>
        <w:t>فأنفذ حكمه بها بالمعظم</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لفظ الجلالة،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بالقادر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بخالق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ممّا يخصّه تعالىفالأقرب عدم الوقوع للخروج عن النصّ واستصحاب النكاح ويحتمل الوقوع ضعيفاً؛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لاتّحاد المعنى وعدم تعيّن الآية لكون الشهادة بلفظ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أردف ذكر الله تعالى بذكر صفاته وقع اتّفاقاً وكان أولى لاستحباب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أنّهما غير تامّين إن لم يدلّ عليه إطلاق الكتاب، فإنّ الظاهر منه هو خصوصيّة لفظ الجلالة وتعيّنه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الرجل اللعن والمرأة الغضب، فلو بدل الملاعن كلاً منهما؛ أي أيّاً منهما بمساويه كالبعد والطرد المساويين للعن أو السخط المساوي للغضب أو أحدهما بالآخر لم يقع، للخروج عن النصّ والاستصحاب، وللعامّة قول بالوقوع</w:t>
      </w:r>
      <w:r>
        <w:rPr>
          <w:rFonts w:eastAsia="Amiri" w:cs="Amiri" w:ascii="Amiri" w:hAnsi="Amiri"/>
          <w:color w:val="111111"/>
          <w:sz w:val="28"/>
          <w:szCs w:val="28"/>
          <w:rtl w:val="true"/>
          <w:lang w:bidi="ar-SA"/>
        </w:rPr>
        <w:t>.</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w:t>
      </w:r>
      <w:r>
        <w:rPr>
          <w:rStyle w:val="FootnoteAnchor"/>
          <w:rtl w:val="true"/>
        </w:rPr>
        <w:footnoteReference w:id="1984"/>
      </w:r>
      <w:r>
        <w:rPr>
          <w:rFonts w:ascii="Amiri" w:hAnsi="Amiri" w:eastAsia="Amiri" w:cs="Amiri"/>
          <w:color w:val="111111"/>
          <w:sz w:val="28"/>
          <w:sz w:val="28"/>
          <w:szCs w:val="28"/>
          <w:rtl w:val="true"/>
          <w:lang w:bidi="ar-SA"/>
        </w:rPr>
        <w:t>ولا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 بالصدق على ما قلناه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للنصّ،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إنّي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الإتيان بلام التأكيد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لبعض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وكذا المرأة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إنّه 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منغير لام التأكيد لم يجز، وكذا لا يجوز أن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عليّ إن كنت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عليّ إن كان صادقاً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للاقتصار في خلاف الأصل على موضع النصّ</w:t>
      </w:r>
      <w:r>
        <w:rPr>
          <w:rStyle w:val="FootnoteAnchor"/>
          <w:rtl w:val="true"/>
        </w:rPr>
        <w:footnoteReference w:id="1985"/>
      </w:r>
      <w:r>
        <w:rPr>
          <w:rFonts w:ascii="IRNazanin" w:hAnsi="IRNazanin" w:eastAsia="IRNazanin"/>
          <w:color w:val="111111"/>
          <w:sz w:val="28"/>
          <w:sz w:val="28"/>
          <w:szCs w:val="28"/>
          <w:rtl w:val="true"/>
          <w:lang w:bidi="fa-IR"/>
        </w:rPr>
        <w:t>والإجماع</w:t>
      </w:r>
      <w:r>
        <w:rPr>
          <w:rStyle w:val="FootnoteAnchor"/>
          <w:rtl w:val="true"/>
        </w:rPr>
        <w:footnoteReference w:id="1986"/>
      </w:r>
      <w:r>
        <w:rPr>
          <w:rFonts w:ascii="Amiri" w:hAnsi="Amiri" w:eastAsia="Amiri" w:cs="Amiri"/>
          <w:color w:val="111111"/>
          <w:sz w:val="28"/>
          <w:sz w:val="28"/>
          <w:szCs w:val="28"/>
          <w:rtl w:val="true"/>
          <w:lang w:bidi="ar-SA"/>
        </w:rPr>
        <w:t>ولعلّ تخصيص الألفاظ المعهودة على النهج المذكور للتغليظ والتأكيد فإنّ الشهادة يتضمّن مع القسم الإخبار عن الشهود والحضور والتعبير بالمضارع يقرّبه إلى الإنشاء لدلالته على زمان الحال ولفظ الجلالة اسم لذات المخصوص بها بلا شائبة اشتراك بوجهٍ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من المعروفين بالصدق وهو أبلغ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اختيار هذا التركيب في الخامسة لعلّه للمشاكلة فإنّ المناسب للتأكيد خلافه وتخصيص اللعنة به والغضب بها لأنّ جريمة الزنا أعظم من جريمة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النطق بالعربيّة مع القدرة كلاً أو بعضاً موافقة للنصّ ويجوز مع التعذّر النطق بغيرها للضرورة وحصول الغرض من الإيمان فيفتقر الحاكم إن لم يعرف لغتهما إلى مترجمين عدلين ولا يكفي الواحد ولا غير العَدل كما في سائر الشهادات ولا يشترط الزائد فإنّ الشهادة هنا إنّما هي على قولهما لا على الزنا خصوصاً في حقّها فإنّها يدفعه عن نفسها وللعامّة قول باشتراط أربعة شهود</w:t>
      </w:r>
      <w:r>
        <w:rPr>
          <w:rFonts w:eastAsia="Amiri" w:cs="Amiri" w:ascii="Amiri" w:hAnsi="Amiri"/>
          <w:color w:val="111111"/>
          <w:sz w:val="28"/>
          <w:szCs w:val="28"/>
          <w:rtl w:val="true"/>
          <w:lang w:bidi="ar-SA"/>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ذهبنا في باب القضاء بكفاية ترجمة الثقة، فإنّها ليست بشهادة</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على ما ذكرناه، بأن يبدأ الرجل بالشهادات أربعاً ثمّ باللعن، ثمّ المرأة بالشهادات أربعاً ثمّ بالغضب اتّباعاً للنصّ ويناسبه الاعتبار فإنّ الدعاء باللعن والغضب غاية التغليظ والتأكيد في اليمين فناسب أن يكون آخراً وللعامّة قول بالعدم؛ لحصول التأكيد بهما قدّماً أو أخّراً</w:t>
      </w:r>
      <w:r>
        <w:rPr>
          <w:rFonts w:eastAsia="Amiri" w:cs="Amiri" w:ascii="Amiri" w:hAnsi="Amiri"/>
          <w:color w:val="111111"/>
          <w:sz w:val="28"/>
          <w:szCs w:val="28"/>
          <w:rtl w:val="true"/>
          <w:lang w:bidi="ar-SA"/>
        </w:rPr>
        <w:t>.</w:t>
      </w:r>
      <w:r>
        <w:rPr>
          <w:rStyle w:val="FootnoteAnchor"/>
          <w:rtl w:val="true"/>
        </w:rPr>
        <w:footnoteReference w:id="1988"/>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كلّ منهما عند لفظه، وفاقاً للمقنع</w:t>
      </w:r>
      <w:r>
        <w:rPr>
          <w:rStyle w:val="FootnoteAnchor"/>
          <w:rtl w:val="true"/>
        </w:rPr>
        <w:footnoteReference w:id="1989"/>
      </w:r>
      <w:r>
        <w:rPr>
          <w:rFonts w:ascii="IRNazanin" w:hAnsi="IRNazanin" w:eastAsia="IRNazanin"/>
          <w:color w:val="111111"/>
          <w:sz w:val="28"/>
          <w:sz w:val="28"/>
          <w:szCs w:val="28"/>
          <w:rtl w:val="true"/>
          <w:lang w:bidi="fa-IR"/>
        </w:rPr>
        <w:t>والمبسوط</w:t>
      </w:r>
      <w:r>
        <w:rPr>
          <w:rStyle w:val="FootnoteAnchor"/>
          <w:rtl w:val="true"/>
        </w:rPr>
        <w:footnoteReference w:id="1990"/>
      </w:r>
      <w:r>
        <w:rPr>
          <w:rFonts w:ascii="IRNazanin" w:hAnsi="IRNazanin" w:eastAsia="IRNazanin"/>
          <w:color w:val="111111"/>
          <w:sz w:val="28"/>
          <w:sz w:val="28"/>
          <w:szCs w:val="28"/>
          <w:rtl w:val="true"/>
          <w:lang w:bidi="fa-IR"/>
        </w:rPr>
        <w:t>والسرائر</w:t>
      </w:r>
      <w:r>
        <w:rPr>
          <w:rStyle w:val="FootnoteAnchor"/>
          <w:rtl w:val="true"/>
        </w:rPr>
        <w:footnoteReference w:id="1991"/>
      </w:r>
      <w:r>
        <w:rPr>
          <w:rFonts w:ascii="IRNazanin" w:hAnsi="IRNazanin" w:eastAsia="IRNazanin"/>
          <w:color w:val="111111"/>
          <w:sz w:val="28"/>
          <w:sz w:val="28"/>
          <w:szCs w:val="28"/>
          <w:rtl w:val="true"/>
          <w:lang w:bidi="fa-IR"/>
        </w:rPr>
        <w:t>والشرائع،</w:t>
      </w:r>
      <w:r>
        <w:rPr>
          <w:rStyle w:val="FootnoteAnchor"/>
          <w:rtl w:val="true"/>
        </w:rPr>
        <w:footnoteReference w:id="1992"/>
      </w:r>
      <w:r>
        <w:rPr>
          <w:rFonts w:ascii="IRNazanin" w:hAnsi="IRNazanin" w:eastAsia="IRNazanin"/>
          <w:color w:val="111111"/>
          <w:sz w:val="28"/>
          <w:sz w:val="28"/>
          <w:szCs w:val="28"/>
          <w:rtl w:val="true"/>
          <w:lang w:bidi="fa-IR"/>
        </w:rPr>
        <w:t>لما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عويمر بالقيام، فلمّا تمّت شهاداته أمر امرأته بالقيام،</w:t>
      </w:r>
      <w:r>
        <w:rPr>
          <w:rStyle w:val="FootnoteAnchor"/>
          <w:rtl w:val="true"/>
        </w:rPr>
        <w:footnoteReference w:id="1993"/>
      </w:r>
      <w:r>
        <w:rPr>
          <w:rFonts w:ascii="Amiri" w:hAnsi="Amiri" w:eastAsia="Amiri" w:cs="Amiri"/>
          <w:color w:val="111111"/>
          <w:sz w:val="28"/>
          <w:sz w:val="28"/>
          <w:szCs w:val="28"/>
          <w:rtl w:val="true"/>
          <w:lang w:bidi="ar-SA"/>
        </w:rPr>
        <w:t xml:space="preserve">وفي الفقيه أنّ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يقوم الرجل فيحلف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تقوم المرأة فتحلف</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وقيل</w:t>
      </w:r>
      <w:r>
        <w:rPr>
          <w:rStyle w:val="FootnoteAnchor"/>
          <w:rtl w:val="true"/>
        </w:rPr>
        <w:footnoteReference w:id="1995"/>
      </w:r>
      <w:r>
        <w:rPr>
          <w:rFonts w:ascii="Amiri" w:hAnsi="Amiri" w:eastAsia="Amiri" w:cs="Amiri"/>
          <w:color w:val="111111"/>
          <w:sz w:val="28"/>
          <w:sz w:val="28"/>
          <w:szCs w:val="28"/>
          <w:rtl w:val="true"/>
          <w:lang w:bidi="ar-SA"/>
        </w:rPr>
        <w:t>في المقنعة</w:t>
      </w:r>
      <w:r>
        <w:rPr>
          <w:rStyle w:val="FootnoteAnchor"/>
          <w:rtl w:val="true"/>
        </w:rPr>
        <w:footnoteReference w:id="1996"/>
      </w:r>
      <w:r>
        <w:rPr>
          <w:rFonts w:ascii="Amiri" w:hAnsi="Amiri" w:eastAsia="Amiri" w:cs="Amiri"/>
          <w:color w:val="111111"/>
          <w:sz w:val="28"/>
          <w:sz w:val="28"/>
          <w:szCs w:val="28"/>
          <w:rtl w:val="true"/>
          <w:lang w:bidi="ar-SA"/>
        </w:rPr>
        <w:t>والنهاية</w:t>
      </w:r>
      <w:r>
        <w:rPr>
          <w:rStyle w:val="FootnoteAnchor"/>
          <w:rtl w:val="true"/>
        </w:rPr>
        <w:footnoteReference w:id="1997"/>
      </w:r>
      <w:r>
        <w:rPr>
          <w:rFonts w:ascii="IRNazanin" w:hAnsi="IRNazanin" w:eastAsia="IRNazanin"/>
          <w:color w:val="111111"/>
          <w:sz w:val="28"/>
          <w:sz w:val="28"/>
          <w:szCs w:val="28"/>
          <w:rtl w:val="true"/>
          <w:lang w:bidi="fa-IR"/>
        </w:rPr>
        <w:t>والمراسم</w:t>
      </w:r>
      <w:r>
        <w:rPr>
          <w:rStyle w:val="FootnoteAnchor"/>
          <w:rtl w:val="true"/>
        </w:rPr>
        <w:footnoteReference w:id="1998"/>
      </w:r>
      <w:r>
        <w:rPr>
          <w:rFonts w:ascii="Amiri" w:hAnsi="Amiri" w:eastAsia="Amiri" w:cs="Amiri"/>
          <w:color w:val="111111"/>
          <w:sz w:val="28"/>
          <w:sz w:val="28"/>
          <w:szCs w:val="28"/>
          <w:rtl w:val="true"/>
          <w:lang w:bidi="ar-SA"/>
        </w:rPr>
        <w:t>والغنية</w:t>
      </w:r>
      <w:r>
        <w:rPr>
          <w:rStyle w:val="FootnoteAnchor"/>
          <w:rtl w:val="true"/>
        </w:rPr>
        <w:footnoteReference w:id="1999"/>
      </w:r>
      <w:r>
        <w:rPr>
          <w:rFonts w:ascii="Amiri" w:hAnsi="Amiri" w:eastAsia="Amiri" w:cs="Amiri"/>
          <w:color w:val="111111"/>
          <w:sz w:val="28"/>
          <w:sz w:val="28"/>
          <w:szCs w:val="28"/>
          <w:rtl w:val="true"/>
          <w:lang w:bidi="ar-SA"/>
        </w:rPr>
        <w:t>والوسيلة</w:t>
      </w:r>
      <w:r>
        <w:rPr>
          <w:rStyle w:val="FootnoteAnchor"/>
          <w:rtl w:val="true"/>
        </w:rPr>
        <w:footnoteReference w:id="2000"/>
      </w:r>
      <w:r>
        <w:rPr>
          <w:rFonts w:ascii="Amiri" w:hAnsi="Amiri" w:eastAsia="Amiri" w:cs="Amiri"/>
          <w:color w:val="111111"/>
          <w:sz w:val="28"/>
          <w:sz w:val="28"/>
          <w:szCs w:val="28"/>
          <w:rtl w:val="true"/>
          <w:lang w:bidi="ar-SA"/>
        </w:rPr>
        <w:t xml:space="preserve">يجب قيامهما معاً بين يدي الحاكم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الرجل عن يمينه والمرأة عن يمين الرجل لحسن محمّد بن مسلم، سأل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الملاعن والملاعنة، كيف يصنعان؟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يجلس الإمام مستدبر القبلة يقيمهما بين يديه مستقبل</w:t>
      </w:r>
      <w:r>
        <w:rPr>
          <w:rStyle w:val="FootnoteAnchor"/>
          <w:rtl w:val="true"/>
        </w:rPr>
        <w:footnoteReference w:id="2001"/>
      </w:r>
      <w:r>
        <w:rPr>
          <w:rFonts w:ascii="Amiri" w:hAnsi="Amiri" w:eastAsia="Amiri" w:cs="Amiri"/>
          <w:color w:val="111111"/>
          <w:sz w:val="28"/>
          <w:sz w:val="28"/>
          <w:szCs w:val="28"/>
          <w:rtl w:val="true"/>
          <w:lang w:bidi="ar-SA"/>
        </w:rPr>
        <w:t>القبلة بحذائه ويبدأ بالرجل، ثمّ المرأة</w:t>
      </w:r>
      <w:r>
        <w:rPr>
          <w:rFonts w:eastAsia="Amiri" w:cs="Amiri" w:ascii="Amiri" w:hAnsi="Amiri"/>
          <w:color w:val="111111"/>
          <w:sz w:val="28"/>
          <w:szCs w:val="28"/>
          <w:rtl w:val="true"/>
          <w:lang w:bidi="ar-SA"/>
        </w:rPr>
        <w:t>».</w:t>
      </w:r>
      <w:r>
        <w:rPr>
          <w:rStyle w:val="FootnoteAnchor"/>
          <w:rtl w:val="true"/>
        </w:rPr>
        <w:footnoteReference w:id="2002"/>
      </w:r>
      <w:r>
        <w:rPr>
          <w:rFonts w:ascii="IRNazanin" w:hAnsi="IRNazanin" w:eastAsia="IRNazanin"/>
          <w:color w:val="111111"/>
          <w:sz w:val="28"/>
          <w:sz w:val="28"/>
          <w:szCs w:val="28"/>
          <w:rtl w:val="true"/>
          <w:lang w:bidi="fa-IR"/>
        </w:rPr>
        <w:t>وحسن عبد 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للزوج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200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ينصّان على اجتماعهما في القيام وأمّا جعل المرأة من يمين الزوج فلصحيح البزنطي، سأل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الملاعنة؟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يقعد الإمام ويجعل ظهره إلى القبلة ويجعل الرجل عن يمينه والمرأة والصبيّ عن يساره</w:t>
      </w:r>
      <w:r>
        <w:rPr>
          <w:rFonts w:eastAsia="IRNazanin" w:cs="IRNazanin"/>
          <w:color w:val="111111"/>
          <w:sz w:val="28"/>
          <w:szCs w:val="28"/>
          <w:rtl w:val="true"/>
          <w:lang w:bidi="fa-IR"/>
        </w:rPr>
        <w:t>».</w:t>
      </w:r>
      <w:r>
        <w:rPr>
          <w:rStyle w:val="FootnoteAnchor"/>
          <w:rtl w:val="true"/>
        </w:rPr>
        <w:footnoteReference w:id="2004"/>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وجوب قيامهما في الجملة فلصحيح عليّ بن جعفر، عن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الملاعنة قائماً يلاعن أو قاعداً؟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الملاعنة وما أشبهها من قيام</w:t>
      </w:r>
      <w:r>
        <w:rPr>
          <w:rFonts w:eastAsia="IRNazanin" w:cs="IRNazanin"/>
          <w:color w:val="111111"/>
          <w:sz w:val="28"/>
          <w:szCs w:val="28"/>
          <w:rtl w:val="true"/>
          <w:lang w:bidi="fa-IR"/>
        </w:rPr>
        <w:t>».</w:t>
      </w:r>
      <w:r>
        <w:rPr>
          <w:rStyle w:val="FootnoteAnchor"/>
          <w:rtl w:val="true"/>
        </w:rPr>
        <w:footnoteReference w:id="2005"/>
      </w:r>
      <w:r>
        <w:rPr>
          <w:rFonts w:ascii="Amiri" w:hAnsi="Amiri" w:eastAsia="Amiri" w:cs="Amiri"/>
          <w:color w:val="111111"/>
          <w:sz w:val="28"/>
          <w:sz w:val="28"/>
          <w:szCs w:val="28"/>
          <w:rtl w:val="true"/>
          <w:lang w:bidi="ar-SA"/>
        </w:rPr>
        <w:t>ونصّ ابن سعيد على استحبابه</w:t>
      </w:r>
      <w:r>
        <w:rPr>
          <w:rStyle w:val="FootnoteAnchor"/>
          <w:rtl w:val="true"/>
        </w:rPr>
        <w:footnoteReference w:id="2006"/>
      </w:r>
      <w:r>
        <w:rPr>
          <w:rFonts w:ascii="Amiri" w:hAnsi="Amiri" w:eastAsia="Amiri" w:cs="Amiri"/>
          <w:color w:val="111111"/>
          <w:sz w:val="28"/>
          <w:sz w:val="28"/>
          <w:szCs w:val="28"/>
          <w:rtl w:val="true"/>
          <w:lang w:bidi="ar-SA"/>
        </w:rPr>
        <w:t>ولم يتعرّض له الصدوق في الهداية</w:t>
      </w:r>
      <w:r>
        <w:rPr>
          <w:rStyle w:val="FootnoteAnchor"/>
          <w:rtl w:val="true"/>
        </w:rPr>
        <w:footnoteReference w:id="2007"/>
      </w:r>
      <w:r>
        <w:rPr>
          <w:rFonts w:ascii="Amiri" w:hAnsi="Amiri" w:eastAsia="Amiri" w:cs="Amiri"/>
          <w:color w:val="111111"/>
          <w:sz w:val="28"/>
          <w:sz w:val="28"/>
          <w:szCs w:val="28"/>
          <w:rtl w:val="true"/>
          <w:lang w:bidi="ar-SA"/>
        </w:rPr>
        <w:t>والمحقّق فيالنافع</w:t>
      </w:r>
      <w:r>
        <w:rPr>
          <w:rStyle w:val="FootnoteAnchor"/>
          <w:rtl w:val="true"/>
        </w:rPr>
        <w:footnoteReference w:id="2008"/>
      </w:r>
      <w:r>
        <w:rPr>
          <w:rFonts w:ascii="Amiri" w:hAnsi="Amiri" w:eastAsia="Amiri" w:cs="Amiri"/>
          <w:color w:val="111111"/>
          <w:sz w:val="28"/>
          <w:sz w:val="28"/>
          <w:szCs w:val="28"/>
          <w:rtl w:val="true"/>
          <w:lang w:bidi="ar-SA"/>
        </w:rPr>
        <w:t>فربما لم يوجباه أيضاً، ولعلّه للأصل وعدم نصوصيّ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ما ذكر في الوجوب وقد أرسل في بعض الكتب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والسنّة أن يجلس الإمام للمتلاعنين ويقيمهما بين يديه، كلّ واحد منهما مستقبل القبلة</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بدأة الرجل أوّلاً بالشهادات ثمّ اللعن ويعقّب المرأة له، فلو بدأت المرأة لم يجز للنصوص، ولأنّها إنّما يلاعن لدرء الحدّ عن نفسها ولا حدّ عليها ما لم يلاعن الزوج، وللعامّة قول بجواز تقدّمها</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المرأة بما يزيل الاحتمال إمّا بأن يذكر اسمها واسم أبيها أو يصفها بما يميّزها عن غيرها ولعلّه لا يكفي التعبير عنها بزوجتي وإن لم يكن له في الظاهر زوجة غيرها لاحتمال التعدّد أو يشير إليها إن كانت حاضرة إشارة مميّزة وكذا يجب عليها تعيين الرجل ولعلّه لم يتعرّض له اكتفاءً في تمييزه بالزوج لعدم احتمال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بين الكلمات؛ أي الشهادات فإن تخلّل فصل طويل لم يعتدّ بها اقتصاراً في خلاف الأصل على الواقع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ولأنّها من الزوج بمنزلة الشهادات ويجباجتماع الشهود على الزنا ولوجوب مبادرة كلّ منهما إلى دفع الحدّ عن نفسه ونفي الولد إن كان منتفياً ولم أر غيره من الأصحاب ذكره، وللشافعيّة في وجوبها وجهان</w:t>
      </w:r>
      <w:r>
        <w:rPr>
          <w:rFonts w:eastAsia="IRNazanin" w:cs="IRNazanin"/>
          <w:color w:val="111111"/>
          <w:sz w:val="28"/>
          <w:szCs w:val="28"/>
          <w:rtl w:val="true"/>
          <w:lang w:bidi="fa-IR"/>
        </w:rPr>
        <w:t>.</w:t>
      </w:r>
      <w:r>
        <w:rPr>
          <w:rStyle w:val="FootnoteAnchor"/>
          <w:rtl w:val="true"/>
        </w:rPr>
        <w:footnoteReference w:id="2011"/>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كلّ واحد منهما باللعان بعد إلقائه؛ أي الحاكم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فلو بادر به قبل أن يلقيه عليه الإمام لم يصحّ؛ لأنّه أمين، فلو بادر به كان كما لو حلف قبل الإحلاف وللأخبار</w:t>
      </w:r>
      <w:r>
        <w:rPr>
          <w:rStyle w:val="FootnoteAnchor"/>
          <w:rtl w:val="true"/>
        </w:rPr>
        <w:footnoteReference w:id="2012"/>
      </w:r>
      <w:r>
        <w:rPr>
          <w:rFonts w:ascii="Amiri" w:hAnsi="Amiri" w:eastAsia="Amiri" w:cs="Amiri"/>
          <w:color w:val="111111"/>
          <w:sz w:val="28"/>
          <w:sz w:val="28"/>
          <w:szCs w:val="28"/>
          <w:rtl w:val="true"/>
          <w:lang w:bidi="ar-SA"/>
        </w:rPr>
        <w:t>المبيّنة لكيفيّة الملاعنة فإنّها تضمّنت ذلك ولأنّ الحدّ لا يقيمه إلّا الحاكم فكذا ما يدرؤه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المستحبّ، فأُمور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الحاكم مستدبر القبلة ليكون وجههما إليها فيكون أدخل في التغليظ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الرجل عن يمين الحاكم والمرأة عن يمين الرجل إن قاما معاً وقد سمعت من الأخبار</w:t>
      </w:r>
      <w:r>
        <w:rPr>
          <w:rStyle w:val="FootnoteAnchor"/>
          <w:rtl w:val="true"/>
        </w:rPr>
        <w:footnoteReference w:id="2013"/>
      </w:r>
      <w:r>
        <w:rPr>
          <w:rFonts w:ascii="Amiri" w:hAnsi="Amiri" w:eastAsia="Amiri" w:cs="Amiri"/>
          <w:color w:val="111111"/>
          <w:sz w:val="28"/>
          <w:sz w:val="28"/>
          <w:szCs w:val="28"/>
          <w:rtl w:val="true"/>
          <w:lang w:bidi="ar-SA"/>
        </w:rPr>
        <w:t>ما يضمن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من يسمع اللعان غير الحاكم لوقوعه كذلك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وليعرف الناس ما يجرى عليهما من الفراق المؤبدّ أو حكم القذف أو ثبوت الزنا،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الأقلّ أربعة نفر بعدد شهود الزنا ولمناسبته للتغليظ وارتداعهما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الحاكم وتخويفه بعد الشهادات قبل اللعن للرجل، وكذا المرأة قبل الغضب كما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التغليظ بالمكان؛ بأن يلاعن بينهما في أشرف البقاع فيأرض الملاعنة، فإن كان بمكّة فبين الركن والمقام وهو الحطيم وإن كان ببيت المقدّس ففي المسجد عند الصخرة وإن كان بالمدينة فعند منبر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القبر، والأخبار الناطقة بشرف هذه البقاع كثيرة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معروفة، قال في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 بين رجل وامرأته على المنبر وروى جابر بن عبدالله الأنصاري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على منبري هذا يميناً فاجرة ليقتطع بها مال امرء مسلم ولو على سواك من أراك، وفي بعضها ولو على سواك وأحقر فليتبوّأ مقعده من النار</w:t>
      </w:r>
      <w:r>
        <w:rPr>
          <w:rFonts w:eastAsia="IRNazanin" w:cs="IRNazanin"/>
          <w:color w:val="111111"/>
          <w:sz w:val="28"/>
          <w:szCs w:val="28"/>
          <w:rtl w:val="true"/>
          <w:lang w:bidi="fa-IR"/>
        </w:rPr>
        <w:t>».</w:t>
      </w:r>
      <w:r>
        <w:rPr>
          <w:rStyle w:val="FootnoteAnchor"/>
          <w:rtl w:val="true"/>
        </w:rPr>
        <w:footnoteReference w:id="20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عند منبري على يمين آثمة ولو بسواك وجبت 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واختلف العامّة في صعودها المنبر،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015"/>
      </w:r>
      <w:r>
        <w:rPr>
          <w:rFonts w:ascii="IRNazanin" w:hAnsi="IRNazanin" w:eastAsia="IRNazanin"/>
          <w:color w:val="111111"/>
          <w:sz w:val="28"/>
          <w:sz w:val="28"/>
          <w:szCs w:val="28"/>
          <w:rtl w:val="true"/>
          <w:lang w:bidi="fa-IR"/>
        </w:rPr>
        <w:t>لما ذكره الشيخ،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لأنّهما أو أحدهما فاسقان لا يلتقيان بالصعود على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6"/>
      </w:r>
      <w:r>
        <w:rPr>
          <w:rFonts w:ascii="IRNazanin" w:hAnsi="IRNazanin" w:eastAsia="IRNazanin"/>
          <w:color w:val="111111"/>
          <w:sz w:val="28"/>
          <w:sz w:val="28"/>
          <w:szCs w:val="28"/>
          <w:rtl w:val="true"/>
          <w:lang w:bidi="fa-IR"/>
        </w:rPr>
        <w:t>والخبر محمولٌ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لاعن بينهما وهو على المنبر، وهو مناسبٌ لما مرّ من استحباب جعل الحاكم ظهره إلى القبلة واستقبالهما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بالصعود إنّ أكثر الناس ليروا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فعنده،</w:t>
      </w:r>
      <w:r>
        <w:rPr>
          <w:rStyle w:val="FootnoteAnchor"/>
          <w:rtl w:val="true"/>
        </w:rPr>
        <w:footnoteReference w:id="2017"/>
      </w:r>
      <w:r>
        <w:rPr>
          <w:rFonts w:ascii="Amiri" w:hAnsi="Amiri" w:eastAsia="Amiri" w:cs="Amiri"/>
          <w:color w:val="111111"/>
          <w:sz w:val="28"/>
          <w:sz w:val="28"/>
          <w:szCs w:val="28"/>
          <w:rtl w:val="true"/>
          <w:lang w:bidi="ar-SA"/>
        </w:rPr>
        <w:t xml:space="preserve">وإن كان في سائر الأمصار، ففي الجامع، وفي الجامع عند القبلة والمنبر، وللشافعيّة في اختصاص المنبر بالشرف وجهان وإن كان بهما ما يمنع الدخولفي المسجد أو اللبث فيه كالحيض والجنابة لم يلاعن فيه، ومن التغليظ بالمكان استقبالهما القبلة وإن كان المتلاعنان ذمّيين، ففي المبسوط يلاعنان في الموضع الذي يعتقدان </w:t>
      </w:r>
      <w:bookmarkStart w:id="812" w:name="pg9375_100044"/>
    </w:p>
    <w:p>
      <w:pPr>
        <w:pStyle w:val="BookText"/>
        <w:rPr/>
      </w:pPr>
      <w:bookmarkEnd w:id="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اللعان الجامع للشرائط منهما يترتّب عليه أحكام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تعظيمه من البيعة والكنيسة وبيت النار، وللشافعيّة في بيت النار وجهان؛</w:t>
      </w:r>
      <w:r>
        <w:rPr>
          <w:rStyle w:val="FootnoteAnchor"/>
          <w:rtl w:val="true"/>
        </w:rPr>
        <w:footnoteReference w:id="2018"/>
      </w:r>
      <w:r>
        <w:rPr>
          <w:rFonts w:ascii="Amiri" w:hAnsi="Amiri" w:eastAsia="Amiri" w:cs="Amiri"/>
          <w:color w:val="111111"/>
          <w:sz w:val="28"/>
          <w:sz w:val="28"/>
          <w:szCs w:val="28"/>
          <w:rtl w:val="true"/>
          <w:lang w:bidi="ar-SA"/>
        </w:rPr>
        <w:t>من أنّه لم يكن له حرمة أصلاً بخلاف البيعة والكنيسة، ومن أنّ المقصود تعظيم الواقعة وزجر الكاذب عن الكذب واليمين في الموضع الذي يعظم الحالف أغلظ وهو أظهرهما عندهم ولم يعتبروا بيت الأصنام للوثنيين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التغليظ بالزمان؛ بأن يلاعن بعد العصر،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تَحْبِسُونَهُمَا مِن بَعْدِ الصَّلَاةِ فَيُقْسِمَانِ بِاللهِ‌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9"/>
      </w:r>
      <w:r>
        <w:rPr>
          <w:rFonts w:ascii="IRNazanin" w:hAnsi="IRNazanin" w:eastAsia="IRNazanin"/>
          <w:color w:val="111111"/>
          <w:sz w:val="28"/>
          <w:sz w:val="28"/>
          <w:szCs w:val="28"/>
          <w:rtl w:val="true"/>
          <w:lang w:bidi="fa-IR"/>
        </w:rPr>
        <w:t>قيل في التفسير بعد العصر، وروي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حلف بعد العصر يميناً كاذبة ليقتطع بها مال امرء مسلم لقى الله تعالى وهو عليه غضبان</w:t>
      </w:r>
      <w:r>
        <w:rPr>
          <w:rFonts w:eastAsia="IRNazanin" w:cs="IRNazanin"/>
          <w:color w:val="111111"/>
          <w:sz w:val="28"/>
          <w:szCs w:val="28"/>
          <w:rtl w:val="true"/>
          <w:lang w:bidi="fa-IR"/>
        </w:rPr>
        <w:t>».</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الناس لهما، فإنّه من التغليظ الموجب للارتداع، ولأنّه قائم مقام الحدّ، وقد أمر فيه بأن يشهد عذابهما طائفة من المؤمنين، ولأنّه حضر اللعان على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وسهل بن سعد وابن عمر وهم من الأحداث، فدلّ على حضور جمع كثير لقضاء العادة بأنّ الصغار لاينفردون بالحضور</w:t>
      </w:r>
      <w:r>
        <w:rPr>
          <w:rFonts w:eastAsia="IRNazanin" w:cs="IRNazanin"/>
          <w:color w:val="111111"/>
          <w:sz w:val="28"/>
          <w:szCs w:val="28"/>
          <w:rtl w:val="true"/>
          <w:lang w:bidi="fa-IR"/>
        </w:rPr>
        <w:t>.</w:t>
      </w:r>
      <w:r>
        <w:rPr>
          <w:rStyle w:val="FootnoteAnchor"/>
          <w:rtl w:val="true"/>
        </w:rPr>
        <w:footnoteReference w:id="2021"/>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5416993_2870459653"/>
      <w:bookmarkStart w:id="814" w:name="_Toc289"/>
      <w:bookmarkEnd w:id="813"/>
      <w:r>
        <w:rPr>
          <w:rtl w:val="true"/>
        </w:rPr>
        <w:t>ترتّب الأحكام الأربعة بعد وقوع اللعان</w:t>
      </w:r>
      <w:bookmarkEnd w:id="814"/>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نصّاً وفتوىً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عقد النكاح والفرقة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الأبديّة، فلا تحلّ له أبداً ولو بعقد جديد، وهذان الحكمان ثابتان في مطلق اللعان؛ سواءٌ كان للقذف أو لنفي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حدّ القذف عن الزوج بلعانه، وسقوط حدّ الزنا عن الزوجة بلعانها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قذفها ثمّ لاعن ونكلت هي عن اللعان تخلّص الرجل عن حدّ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أخبار،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آخر صحيحة عبد الرحمن بن الحجّاج،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ففرّق بينهما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تجتمعا بنكاح أبداً بعد ما تلاعنتما</w:t>
      </w:r>
      <w:r>
        <w:rPr>
          <w:rFonts w:eastAsia="IRNazanin" w:cs="IRNazanin"/>
          <w:color w:val="111111"/>
          <w:sz w:val="28"/>
          <w:szCs w:val="28"/>
          <w:rtl w:val="true"/>
          <w:lang w:bidi="fa-IR"/>
        </w:rPr>
        <w:t>».</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البزنطي،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يفرّق بينهما ولا تحلّ له أبداً</w:t>
      </w:r>
      <w:r>
        <w:rPr>
          <w:rFonts w:eastAsia="IRNazanin" w:cs="IRNazanin"/>
          <w:color w:val="111111"/>
          <w:sz w:val="28"/>
          <w:szCs w:val="28"/>
          <w:rtl w:val="true"/>
          <w:lang w:bidi="fa-IR"/>
        </w:rPr>
        <w:t>».</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تفعل رجمت، وإن فعلت درأت عن نفسها الحدّ، ثمّ لا تحلّ له إلى يوم القيامة</w:t>
      </w:r>
      <w:r>
        <w:rPr>
          <w:rFonts w:eastAsia="IRNazanin" w:cs="IRNazanin"/>
          <w:color w:val="111111"/>
          <w:sz w:val="28"/>
          <w:szCs w:val="28"/>
          <w:rtl w:val="true"/>
          <w:lang w:bidi="fa-IR"/>
        </w:rPr>
        <w:t>».</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وغيرها من الأخبار، وإنّ مقتضى إطلاقها عدم الفرق بين كونه لنفي الولد أو لدفع حدّ القذف</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ما مرّ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أَزْوَاجَهُمْ وَلَمْيَكُن لَهُمْ شُهَدَآءُ إلّا أَنفُسُهُمْ فَشَهَادَةُ أَحَدِهِمْ أَرْبَعُ شَهَادَاتِ بِاللهِ‌ِ إِنَّهُ لَمِنَ الصّادِقِينَ وَالْخَامِسَةُ أَنَّ لَعْنَتَ اللهِ‌َُِِِِ عَلَيْهِ إِن كَانَ مِنَ الْكَاذِبِينَ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القذف، وتحدّ المرأة حدّ الزانية؛ لأنّ لعانه بمنزلة البيّنة في إثبات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الولد عن الرجل دون المرأة إن تلاعنا لنفيه؛ بمعنى أنّه لو نفاه وادّعت كونه له فتلاعنا لم يكن توارث بين الرجل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بين الولد وكلّ من انتسب إليه بالأُبوة، كالجدّ والجدّة والأخ والأُخت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الأعمام والعمّات،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الأُمّ ومن انتسب إليه بها، حتّى أنّ الإخوة للأب والأُمّ بحكم الإخوة للأُمّ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نفسه بعد ما لاعن لنفي الولد لحق به الولد فيما عليه، لا</w:t>
      </w:r>
    </w:p>
    <w:p>
      <w:pPr>
        <w:pStyle w:val="BookText"/>
        <w:rPr/>
      </w:pPr>
      <w:r>
        <w:rPr>
          <w:rFonts w:ascii="IRNazanin" w:hAnsi="IRNazanin" w:eastAsia="IRNazanin"/>
          <w:color w:val="111111"/>
          <w:sz w:val="28"/>
          <w:sz w:val="28"/>
          <w:szCs w:val="28"/>
          <w:rtl w:val="true"/>
          <w:lang w:bidi="fa-IR"/>
        </w:rPr>
        <w:t>وكذا الأخبار، مثل ما مرّ آنفاً عن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الكتاب،</w:t>
      </w:r>
      <w:r>
        <w:rPr>
          <w:rStyle w:val="FootnoteAnchor"/>
          <w:rtl w:val="true"/>
        </w:rPr>
        <w:footnoteReference w:id="2026"/>
      </w:r>
      <w:r>
        <w:rPr>
          <w:rFonts w:ascii="IRNazanin" w:hAnsi="IRNazanin" w:eastAsia="IRNazanin"/>
          <w:color w:val="111111"/>
          <w:sz w:val="28"/>
          <w:sz w:val="28"/>
          <w:szCs w:val="28"/>
          <w:rtl w:val="true"/>
          <w:lang w:bidi="fa-IR"/>
        </w:rPr>
        <w:t>وكذا ما في صحيح البزنطي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نكلت رجمت، ويكون الرجم من ورائها ولا ترجم من وجهها، لأنّ الضرب والرجم لا يصيبان الوجه، يضربان على الجسد على الأعضاء كلّها ويتّقى الوجه والفرج، وإذا كانت المرأة حبلى لم ترجم، وإن لم تنكل درئ عنها الحدّ وهو الرجم</w:t>
      </w:r>
      <w:r>
        <w:rPr>
          <w:rFonts w:eastAsia="IRNazanin" w:cs="IRNazanin"/>
          <w:color w:val="111111"/>
          <w:sz w:val="28"/>
          <w:szCs w:val="28"/>
          <w:rtl w:val="true"/>
          <w:lang w:bidi="fa-IR"/>
        </w:rPr>
        <w:t>».</w:t>
      </w:r>
      <w:r>
        <w:rPr>
          <w:rStyle w:val="FootnoteAnchor"/>
          <w:rtl w:val="true"/>
        </w:rPr>
        <w:footnoteReference w:id="20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قضاءً لاقتضاء اللعان، ويدلّ عليه ما رواه زرارة، عن أبي‌عبدالله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رأيت إن فرّق بينهما ولها ولد فمات؟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ترثه أمّه، فإن ماتت أمّه ورثه أخواله</w:t>
      </w:r>
      <w:r>
        <w:rPr>
          <w:rFonts w:eastAsia="IRNazanin" w:cs="IRNazanin"/>
          <w:color w:val="111111"/>
          <w:sz w:val="28"/>
          <w:szCs w:val="28"/>
          <w:rtl w:val="true"/>
          <w:lang w:bidi="fa-IR"/>
        </w:rPr>
        <w:t>».</w:t>
      </w:r>
      <w:r>
        <w:rPr>
          <w:rStyle w:val="FootnoteAnchor"/>
          <w:rtl w:val="true"/>
        </w:rPr>
        <w:footnoteReference w:id="2028"/>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 xml:space="preserve">. </w:t>
      </w:r>
      <w:bookmarkStart w:id="815" w:name="pg9375_100047"/>
    </w:p>
    <w:p>
      <w:pPr>
        <w:pStyle w:val="BookText"/>
        <w:rPr/>
      </w:pPr>
      <w:bookmarkEnd w:id="815"/>
      <w:r>
        <w:rPr>
          <w:rFonts w:ascii="Amiri" w:hAnsi="Amiri" w:eastAsia="Amiri" w:cs="Amiri"/>
          <w:color w:val="111111"/>
          <w:sz w:val="28"/>
          <w:sz w:val="28"/>
          <w:szCs w:val="28"/>
          <w:rtl w:val="true"/>
          <w:lang w:bidi="ar-SA"/>
        </w:rPr>
        <w:t>فيما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فيرثه الولد ولا يرثه الأب ولا من يتقرّب به، ولا يرث الولد أقارب أبيه بإقراره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5416995_2870459653"/>
      <w:bookmarkStart w:id="817" w:name="_Toc290"/>
      <w:bookmarkEnd w:id="816"/>
      <w:r>
        <w:rPr>
          <w:rtl w:val="true"/>
        </w:rPr>
        <w:t>تكذیب الرجل نفسه بعد اللعان</w:t>
      </w:r>
      <w:bookmarkEnd w:id="817"/>
    </w:p>
    <w:p>
      <w:pPr>
        <w:pStyle w:val="Heading4"/>
        <w:numPr>
          <w:ilvl w:val="3"/>
          <w:numId w:val="1"/>
        </w:numPr>
        <w:rPr/>
      </w:pPr>
      <w:bookmarkStart w:id="818" w:name="__RefHeading___Toc5416997_2870459653"/>
      <w:bookmarkStart w:id="819" w:name="_Toc291"/>
      <w:bookmarkEnd w:id="818"/>
      <w:r>
        <w:rPr>
          <w:rtl w:val="true"/>
        </w:rPr>
        <w:t>اشارة</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إقرار على نفسه وهو جائز بخلاف فيما له؛ قضاءً 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تحقّق الإقرار بالنسبة إليهم كما هو واضح</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5416999_2870459653"/>
      <w:bookmarkStart w:id="821" w:name="_Toc292"/>
      <w:bookmarkEnd w:id="820"/>
      <w:r>
        <w:rPr>
          <w:rtl w:val="true"/>
        </w:rPr>
        <w:t>فرعٌ</w:t>
      </w:r>
      <w:r>
        <w:rPr>
          <w:rtl w:val="true"/>
        </w:rPr>
        <w:t xml:space="preserve">: </w:t>
      </w:r>
      <w:r>
        <w:rPr>
          <w:rtl w:val="true"/>
        </w:rPr>
        <w:t>في زوال تمام الآثار لو كذّب نفسه وعدمه</w:t>
      </w:r>
      <w:bookmarkEnd w:id="821"/>
    </w:p>
    <w:p>
      <w:pPr>
        <w:pStyle w:val="BookText"/>
        <w:rPr/>
      </w:pPr>
      <w:r>
        <w:rPr>
          <w:rFonts w:ascii="Amiri" w:hAnsi="Amiri" w:eastAsia="Amiri" w:cs="Amiri"/>
          <w:color w:val="111111"/>
          <w:sz w:val="28"/>
          <w:sz w:val="28"/>
          <w:szCs w:val="28"/>
          <w:rtl w:val="true"/>
          <w:lang w:bidi="ar-SA"/>
        </w:rPr>
        <w:t>لو كذّب نفسه بعد تماميّة اللعان فهل تزول بقيّة الآثار المترتّبة عليه أيضاً؛ من الحرمة الأبديّة والفرقة وسقوط الحدّ أيضاً أم لا؟ أمّا الأوّل والثاني فلا شكّ ولا خلاف في عدم زوالهما ولا دليل عليه، بل يدلّ عليه استصحاب آثار اللعان وأخبار الباب، وأمّا الثالث، ففيه قولان؛ فنرى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في بعض كتبه إلى سقوط الحدّ</w:t>
      </w:r>
      <w:r>
        <w:rPr>
          <w:rStyle w:val="FootnoteAnchor"/>
          <w:rtl w:val="true"/>
        </w:rPr>
        <w:footnoteReference w:id="2029"/>
      </w:r>
      <w:r>
        <w:rPr>
          <w:rFonts w:ascii="Amiri" w:hAnsi="Amiri" w:eastAsia="Amiri" w:cs="Amiri"/>
          <w:color w:val="111111"/>
          <w:sz w:val="28"/>
          <w:sz w:val="28"/>
          <w:szCs w:val="28"/>
          <w:rtl w:val="true"/>
          <w:lang w:bidi="ar-SA"/>
        </w:rPr>
        <w:t>وفي بعضها إلى عدمه،</w:t>
      </w:r>
      <w:r>
        <w:rPr>
          <w:rStyle w:val="FootnoteAnchor"/>
          <w:rtl w:val="true"/>
        </w:rPr>
        <w:footnoteReference w:id="2030"/>
      </w:r>
      <w:r>
        <w:rPr>
          <w:rFonts w:ascii="Amiri" w:hAnsi="Amiri" w:eastAsia="Amiri" w:cs="Amiri"/>
          <w:color w:val="111111"/>
          <w:sz w:val="28"/>
          <w:sz w:val="28"/>
          <w:szCs w:val="28"/>
          <w:rtl w:val="true"/>
          <w:lang w:bidi="ar-SA"/>
        </w:rPr>
        <w:t>والأخبار في ذلك مختلفة وإن دلّ غير واحد منها على عدم الحدّ، ودلّ واحد منها فقط على ثبوته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يدلّ على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لاعن امرأته، وهي حبلى، ثمّ ادّعى ولدها بعد ما ولدت وزعم أنّهمنه؟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إليه الولد ولا يجلد، لأنّه قد مضى التلاعن</w:t>
      </w:r>
      <w:r>
        <w:rPr>
          <w:rFonts w:eastAsia="IRNazanin" w:cs="IRNazanin"/>
          <w:color w:val="111111"/>
          <w:sz w:val="28"/>
          <w:szCs w:val="28"/>
          <w:rtl w:val="true"/>
          <w:lang w:bidi="fa-IR"/>
        </w:rPr>
        <w:t>».</w:t>
      </w:r>
      <w:r>
        <w:rPr>
          <w:rStyle w:val="FootnoteAnchor"/>
          <w:rtl w:val="true"/>
        </w:rPr>
        <w:footnoteReference w:id="2031"/>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الحلبي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لاعن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امرأته، وهي حبلى قد استبان حملها وأنكر ما في بطنها، فلمّا وضعت ادّعاه وأقرّ به وزعم أنّه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ولده ويرثه ولا يجلد، لأنّ اللعان قد مضى</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ونحوهما صحيحته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رجل لاعن امرأته، وهي حبلى وقد استبان حملها وأنكر ما في بطنها، فلمّا وضعت ادّعاه وأقرّ به وزعم أنّه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عليه ولده ويرثه ولا يجلد، لأنّ اللعان بينهما قد مضى</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ويدلّ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الفضيل،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لاعن امرأته وانتفى من ولدها، ثمّ أكذب نفسه، هل يردّ عليه ولده؟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أكذب نفسه جلّد الحدّ، وردّ عليه ابنه، ولا ترجع إليه امرأته أبداً</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ولا يخفى أنّه بناءً على وجود التعارض فالترجيح للطائفة الأُولی؛ وذلك لقوّة السند فيها كثرةً وصحّةً، ولتطابقها لمقتضى اللعان من سقوط الحدّ بجريانه، وكذا لقاعدة درء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تعارض بينهما؛ لأنّ رواية ابن الفضيل هي نصّ فيما نحن فيه وتلك الأخبار لا ظهور لها في محلّ البحث بل يحتمل أو هي ظاهرة فيما لو نفی الولد ثمّ أقرّ به، والإقرار بالولد لاحدّ له كما أنّ نفي الولد لاحدّ له، فلا تعارض</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كان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مضى التلاعن، فتلك الروايات هي ظاهرة في محلّ البحث إن لم نقل أنّها كالنصّ فيه وإلّا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يعبّر بأنّه لا حدّ لعدم الموجب، وقد يستدلّ لثبوت الحدّ بالاستصحاب وهو كما ترى؛ لأنّ العكس هو أولى كما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فالحدّ ساقط</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Style w:val="FootnoteAnchor"/>
          <w:rtl w:val="true"/>
        </w:rPr>
        <w:footnoteReference w:id="2035"/>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2" w:name="pg9375_100051"/>
      <w:bookmarkStart w:id="823" w:name="pg9375_100051"/>
      <w:bookmarkEnd w:id="823"/>
    </w:p>
    <w:p>
      <w:pPr>
        <w:pStyle w:val="Heading2"/>
        <w:numPr>
          <w:ilvl w:val="1"/>
          <w:numId w:val="1"/>
        </w:numPr>
        <w:rPr/>
      </w:pPr>
      <w:bookmarkStart w:id="824" w:name="pg9375_100051"/>
      <w:bookmarkStart w:id="825" w:name="__RefHeading___Toc5417001_2870459653"/>
      <w:bookmarkStart w:id="826" w:name="_Toc293"/>
      <w:bookmarkEnd w:id="824"/>
      <w:bookmarkEnd w:id="825"/>
      <w:r>
        <w:rPr>
          <w:rtl w:val="true"/>
        </w:rPr>
        <w:t>وجوب طلاق الخُلع على الرجل</w:t>
      </w:r>
      <w:bookmarkEnd w:id="826"/>
    </w:p>
    <w:p>
      <w:pPr>
        <w:pStyle w:val="Heading3"/>
        <w:numPr>
          <w:ilvl w:val="2"/>
          <w:numId w:val="1"/>
        </w:numPr>
        <w:rPr/>
      </w:pPr>
      <w:bookmarkStart w:id="827" w:name="__RefHeading___Toc5417003_2870459653"/>
      <w:bookmarkStart w:id="828" w:name="_Toc294"/>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طبقاً لنظريات المرجع الديني</w:t>
      </w:r>
    </w:p>
    <w:p>
      <w:pPr>
        <w:pStyle w:val="BookText"/>
        <w:rPr/>
      </w:pPr>
      <w:r>
        <w:rPr>
          <w:rFonts w:ascii="Amiri" w:hAnsi="Amiri" w:eastAsia="Amiri" w:cs="Amiri"/>
          <w:color w:val="111111"/>
          <w:sz w:val="28"/>
          <w:sz w:val="28"/>
          <w:szCs w:val="28"/>
          <w:rtl w:val="true"/>
          <w:lang w:bidi="ar-SA"/>
        </w:rPr>
        <w:t xml:space="preserve">سماحة آية الله العظمى الشيخ يوسف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الصانعي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9375_100053"/>
      <w:bookmarkStart w:id="830" w:name="pg9375_100053"/>
      <w:bookmarkEnd w:id="830"/>
    </w:p>
    <w:p>
      <w:pPr>
        <w:pStyle w:val="Heading3"/>
        <w:numPr>
          <w:ilvl w:val="2"/>
          <w:numId w:val="1"/>
        </w:numPr>
        <w:rPr/>
      </w:pPr>
      <w:bookmarkStart w:id="831" w:name="pg9375_100053"/>
      <w:bookmarkStart w:id="832" w:name="__RefHeading___Toc5417005_2870459653"/>
      <w:bookmarkStart w:id="833" w:name="_Toc295"/>
      <w:bookmarkEnd w:id="831"/>
      <w:bookmarkEnd w:id="832"/>
      <w:r>
        <w:rPr>
          <w:rtl w:val="true"/>
        </w:rPr>
        <w:t>مدخل</w:t>
      </w:r>
      <w:bookmarkEnd w:id="833"/>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أعلن الله تعالى عن منشأ ظهور الإنسان بقوله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وَنَفَخْتُ فِيهِ مِنْ رُوحِي</w:t>
      </w:r>
      <w:r>
        <w:rPr>
          <w:rFonts w:ascii="IRNazanin" w:hAnsi="IRNazanin" w:eastAsia="IRNazanin"/>
          <w:color w:val="111111"/>
          <w:sz w:val="28"/>
          <w:sz w:val="28"/>
          <w:szCs w:val="28"/>
          <w:rtl w:val="true"/>
          <w:lang w:bidi="fa-IR"/>
        </w:rPr>
        <w:t>،</w:t>
      </w:r>
      <w:r>
        <w:rPr>
          <w:rStyle w:val="FootnoteAnchor"/>
          <w:rtl w:val="true"/>
        </w:rPr>
        <w:footnoteReference w:id="2036"/>
      </w:r>
      <w:r>
        <w:rPr>
          <w:rFonts w:ascii="IRNazanin" w:hAnsi="IRNazanin" w:eastAsia="IRNazanin"/>
          <w:color w:val="111111"/>
          <w:sz w:val="28"/>
          <w:sz w:val="28"/>
          <w:szCs w:val="28"/>
          <w:rtl w:val="true"/>
          <w:lang w:bidi="fa-IR"/>
        </w:rPr>
        <w:t>مطلقاً على الخالق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2037"/>
      </w:r>
      <w:r>
        <w:rPr>
          <w:rFonts w:ascii="Amiri" w:hAnsi="Amiri" w:eastAsia="Amiri" w:cs="Amiri"/>
          <w:color w:val="111111"/>
          <w:sz w:val="28"/>
          <w:sz w:val="28"/>
          <w:szCs w:val="28"/>
          <w:rtl w:val="true"/>
          <w:lang w:bidi="ar-SA"/>
        </w:rPr>
        <w:t>عبّد تمام طرق تكامل البشر نحو الكمال المطلق أمامهم، وجعل ملاك الوصول إلى مرحلة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تخرق أبصار القلوب حجب النور</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ومعياره، التقوى والإيمان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اعتبر أنّ إحقاق الحقّ وعدم لحوق الظلم بآحاد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الوصول إلى حقوقهم المعنوية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الأساس لرسالة الأنبياء، ولم يرد في القرآن الكريم ولا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معيار الحركة إلى الله والوصول إلى الحقّ بمعايير من نوع القومية والعرقية والجنس؛ لأنّ الوصول إلى الحقّ بمثل هذه المعايير التي تمثل أُموراً تكوينية يعدّ في نفسه ظلماً وجوراً يتبرّأ منه المقنّنون، سيّما الشارع الحكيم تبارك وتعالى،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بِظَلَّاملِلْعَبِيدِ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ومع الأخذ بعين الاعتبار هذا المبدأ العامّ في مجال الحقوق، تطرح في هذا السياق إشكالية التمييز الجنسي؛ فحقّ الطلاق في القوانين المدنية الإسلامية يعطى للرجل بحيث يصبح له الحقّ الكامل في حرمان المرأة من الحياة الزوجية التي تريدها وتطلبها، وهذا الحقّ يثبت له في أيّ زمان أراد دون أن يكون للمرأة ما يشبه هذا الحقّ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القانون المدني الإيراني وفي المادة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المؤرّخة في </w:t>
      </w:r>
      <w:r>
        <w:rPr>
          <w:rFonts w:eastAsia="Amiri" w:cs="Amiri" w:ascii="Amiri" w:hAnsi="Amiri"/>
          <w:color w:val="111111"/>
          <w:sz w:val="28"/>
          <w:szCs w:val="28"/>
          <w:lang w:bidi="ar-SA"/>
        </w:rPr>
        <w:t>19/8/1381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للرجل في أيّ وقت أراد أن يطلّق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إصلاحٌ وتعديل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للرجل مع مراعاة الشروط المقرّرة في هذا القانون، مراجعة المحكمة لطلب طلاق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أضيف الملحقّ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للمرأة أيضاً طلب الطلاق من المحكمة إذا تحقّقت الشروط المقرّرة في المواد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لطرفي عقد الزواج أخذ أيّ شرط في عقد الزواج أو أيّ عقد لازم آخر، على أن لا يخالف هذا الشرط مقتضى العقد المذكور، كأن يشرط أنّه كلّما أراد الزوج التزويج بإمرأة ثانية، أو غاب مدّة معيّنة، أو ترك الإنفاق، أو قصد قتل المرأة، أو أساء التعامل معها بحيث لم تعد الحياة بينهما قابلة للتحمّل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للمرأة التي هي وكيلة، ووكيلة في 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 تحقّق الشرط في المحكمة وصدور الحكم النهائي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تطلق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استنكاف الزوج عن أداء النفقة وعدم إمكان إجراء حكم المحكمة وإلزامه بأدائها، يمكن للمرأة الرجوع للحاكم بقصد الطلاق؛ فيجبر الحاكم الزوج على الطلاق، وهكذا الحال في صورة عجز الزوج عن أداء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يكون استمرار الزوجية موجباً للعسر والحرج للزوجة، يمكنها مراجعة الحاكم الشرعي وطلب الطلاق، وإذا ثبت هذا العسر والحرج عند المحكمة، يمكن للمحكمة إجبار الزوج على الطلاق، وإذا لم يكن الإجبار ميسّراً، تُطَلَّق الزوجة بإذن الحاكم الشرعي</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إعطاء حقّ الطلاق للمرأة أو تحقيقه لها عبّر الشرط أو في حال عدم دفع النفقة، أو العسر والحرج، إضافةً إلى أنّه لا يحلّ إشكالية التمييز التي يخلقها إعطاء </w:t>
      </w:r>
    </w:p>
    <w:p>
      <w:pPr>
        <w:pStyle w:val="BookText"/>
        <w:rPr/>
      </w:pPr>
      <w:r>
        <w:rPr>
          <w:rFonts w:ascii="Amiri" w:hAnsi="Amiri" w:eastAsia="Amiri" w:cs="Amiri"/>
          <w:color w:val="111111"/>
          <w:sz w:val="28"/>
          <w:sz w:val="28"/>
          <w:szCs w:val="28"/>
          <w:rtl w:val="true"/>
          <w:lang w:bidi="ar-SA"/>
        </w:rPr>
        <w:t xml:space="preserve">الرجل حقّ الطلاق بصورة مطلقة ودون أيّ قيد أو شرط أو عسر أو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إثبات هذه الأُمور أمراً صعباً ومعضلاً في ظلّ التفاسير المختلفة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ففي هذا الكتاب وهو الثامن من سلسلة المباحث المصوّبة من طرف المكتب الحقوقي لمؤسّسة فقه الثقلين،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نواصل البحث عن الآليات والمنافذ التي تحلّ الشبهة المذكورة في القوانين المدنية الإسلامية مع الأخذ بعين الاعتبار عنصر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لا يخفى على القارئ العزيز أن النظرية المطروحة في هذا الكتاب والاستدلالات المدرجة فيه من إبداعات وابتكارات حضرة آية الله العظمى الصانعي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قدّمها في دروس البحث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شهر رمضان المبارك، وقد سعينا في تدوين هذه المحاضرات العلمية مخاطبة الباحثين والمهتمّين غير الحوزويين؛ لهذا بذلنا جهداً حتّى المقدور لمراعاة ذلك وفي الوقت عينه حفظ إتقان الاستدلالات مع عبارات غير حوزوية، آملين أن يقع عملنا هذا محلاً لقبول الحقّ جلّ وعلا ورضا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فقه الثقلين الثقافية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4" w:name="pg9375_100057"/>
      <w:bookmarkStart w:id="835" w:name="pg9375_100057"/>
      <w:bookmarkEnd w:id="835"/>
    </w:p>
    <w:p>
      <w:pPr>
        <w:pStyle w:val="Heading3"/>
        <w:numPr>
          <w:ilvl w:val="2"/>
          <w:numId w:val="1"/>
        </w:numPr>
        <w:rPr/>
      </w:pPr>
      <w:bookmarkStart w:id="836" w:name="pg9375_100057"/>
      <w:bookmarkStart w:id="837" w:name="__RefHeading___Toc5417007_2870459653"/>
      <w:bookmarkStart w:id="838" w:name="_Toc296"/>
      <w:bookmarkEnd w:id="836"/>
      <w:bookmarkEnd w:id="837"/>
      <w:r>
        <w:rPr>
          <w:rtl w:val="true"/>
        </w:rPr>
        <w:t>المقدّمة</w:t>
      </w:r>
      <w:bookmarkEnd w:id="838"/>
    </w:p>
    <w:p>
      <w:pPr>
        <w:pStyle w:val="BookText"/>
        <w:rPr/>
      </w:pPr>
      <w:r>
        <w:rPr>
          <w:rFonts w:ascii="Amiri" w:hAnsi="Amiri" w:eastAsia="Amiri" w:cs="Amiri"/>
          <w:color w:val="111111"/>
          <w:sz w:val="28"/>
          <w:sz w:val="28"/>
          <w:szCs w:val="28"/>
          <w:rtl w:val="true"/>
          <w:lang w:bidi="ar-SA"/>
        </w:rPr>
        <w:t>التمييز بين الرجل والمرأة في حقّ الطلاق من الموضوعات التي تثير في الفقه التساؤلات والاستفهامات، حيث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للرجل الحقّ في قطع العلاقة بين الزوج والزوجة، في أيّ زمان شاء بدفع المهر، أما المرأة فليس لها الانفصال عن زوجها عندما لا تغدو راضيةً عن حياتها مع شريكها؟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يعطي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القائم على أساس كرامة الإنسان وتساوي الرجل والمرأة</w:t>
      </w:r>
      <w:r>
        <w:rPr>
          <w:rStyle w:val="FootnoteAnchor"/>
          <w:rtl w:val="true"/>
        </w:rPr>
        <w:footnoteReference w:id="2041"/>
      </w:r>
      <w:r>
        <w:rPr>
          <w:rFonts w:ascii="Amiri" w:hAnsi="Amiri" w:eastAsia="Amiri" w:cs="Amiri"/>
          <w:color w:val="111111"/>
          <w:sz w:val="28"/>
          <w:sz w:val="28"/>
          <w:szCs w:val="28"/>
          <w:rtl w:val="true"/>
          <w:lang w:bidi="ar-SA"/>
        </w:rPr>
        <w:t xml:space="preserve">في الاستفادة من المواهب المادية والمعنوية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حقّ إبادة حياة المرأة فيما لا سبيل لهذه المرأة للخلاص من حياة سوداء تعيشها؟</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حاول بعضهم الإجابة عن هذه الشبهة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الطلاق بيد المرأة وأمكنها أن تطلق نفسها، فإنّ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نلاحظ الجانب العاطفي النشط والحساس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لديها للطلاق عند بروز أدنى مشكلة، ولا تكون متوازنةً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ومحاباتهنّ النساء في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042"/>
      </w:r>
      <w:r>
        <w:rPr>
          <w:rFonts w:ascii="IRNazanin" w:hAnsi="IRNazanin" w:eastAsia="IRNazanin"/>
          <w:color w:val="111111"/>
          <w:sz w:val="28"/>
          <w:sz w:val="28"/>
          <w:szCs w:val="28"/>
          <w:rtl w:val="true"/>
          <w:lang w:bidi="fa-IR"/>
        </w:rPr>
        <w:t xml:space="preserve">وهذا ما </w:t>
      </w:r>
    </w:p>
    <w:p>
      <w:pPr>
        <w:pStyle w:val="BookText"/>
        <w:rPr/>
      </w:pPr>
      <w:r>
        <w:rPr>
          <w:rFonts w:ascii="Amiri" w:hAnsi="Amiri" w:eastAsia="Amiri" w:cs="Amiri"/>
          <w:color w:val="111111"/>
          <w:sz w:val="28"/>
          <w:sz w:val="28"/>
          <w:szCs w:val="28"/>
          <w:rtl w:val="true"/>
          <w:lang w:bidi="ar-SA"/>
        </w:rPr>
        <w:t>يوجب تزلزل مؤسّسة الأُسرة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الجواب لا يرفع إشكالية التمييز وشبهة ظلم النساء؛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عن رغبة النساء وميلهنّ للطلاق ادّعاء بلا دليل، ولا يوجد بأيدينا أي مستند أو دليل معتبر على ذلك على مستوى علم النفس وعلم النفس التحليلي والإحصائي، فهو ليس سوى صرف احتمال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الحال في الحديث المستند إليه هنا، فهو مناقش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لا يمكنه رفع إشكال أولئك الذين لا يعتقدون إطلاقاً بالإسلام، فكيف بالأخبار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تزلزل مؤسّسة الأُسرة أمر حاصل أيضاً مع جعل الطلاق بيد الرجل؛ ذلك أنّ المرأة لا اطمئنان عندها باستمرار حياتها المشتركة مع زوج يمكنه في أيّ لحظة أن ينفصل عنها، وعليه فهذا الحقّ عندما يعطى للرجل فسوف يهزّ أركان الحياة العائلية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بدورنا، ما نسعى له في هذه الدراسة، هو مارسة قراءة جديدة في النصوص الفقهية وفي مستندات حكم الطلاق، بهدف العثور على منفذ وطريق لرفع هذا الاختلاف، ورفع شبهة التمييز في البين، من هنا سوف نحاول تفسير القانون الإلهي هنا في حدود فهمنا وإدراكنا</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السبيل الوحيد لرفع إشكالية التمييز هنا هي الحكم بوجوب طلاق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توفّر شروطه وظروفه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الرجل، والشرط الرئيسفي طلاق الخلع هو كراهة المرأة وعدم رضاها باستمرار حياتها الزوجية، ولا يوجد أيّ قيد لهذه الكراهة وعدم الرضا، حتّى أنّ أيّ سبب ينتجهما يحقّق القضيّة هنا؛ فلو تحقّقت الكراهة لأنّ المرأة تريد الزواج من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تريد الطلاق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إثبات هذا القول الذي هو مختار الأُستاذ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يرتفع معضل التمييز؛ إذ كما أنّ الرجل يمكنه في أيّ وقت أراد دفع مهر المرأة وتطليقها، كذلك الحال في الزوجة أيضاً، فإنّ بإمكانها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المهر أو هبته والتنازل عنه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الرجل ملزماً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فالمرأة والرجل متساويان في امتلاك حق الطلاق ولا اختلاف، وهنا قد يقال بأنّه في حالة إرادة المرأة للطلاق يفترض أن يكون لها الحقّ أيضاً في الحصول على مهرها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الجواب بأنّ هذا الكلام واضح البطلان؛ لأنّ إعطاء مثل هذا الحقّ للمرأة ليس فقط لا يعدّ عدلاً ومساواة في حقّ الطلاق، بل هو ظلم فاحش على الرجل؛ ذلك أنّه لم يصدر منه أو يحصل لديه أيّة كراهة في الاستمرار في الحياة الزوجية، بل هو راض بذلك، وعليه فوجود حكم من هذا النوع وإلزامه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المهر لتنفصل زوجته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 بين العوض والمعوّض لأحد طرفي العقد، وبطلان الجمع بين العوض والمعوّض في العقود والمعاملات هو أيضاً حكم عقلي وعقلائي واجتماعي</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9375_100061"/>
      <w:bookmarkStart w:id="840" w:name="pg9375_100061"/>
      <w:bookmarkEnd w:id="840"/>
    </w:p>
    <w:p>
      <w:pPr>
        <w:pStyle w:val="Heading2"/>
        <w:numPr>
          <w:ilvl w:val="1"/>
          <w:numId w:val="1"/>
        </w:numPr>
        <w:rPr/>
      </w:pPr>
      <w:bookmarkStart w:id="841" w:name="pg9375_100061"/>
      <w:bookmarkStart w:id="842" w:name="__RefHeading___Toc5417009_2870459653"/>
      <w:bookmarkStart w:id="843" w:name="_Toc297"/>
      <w:bookmarkEnd w:id="841"/>
      <w:bookmarkEnd w:id="842"/>
      <w:r>
        <w:rPr>
          <w:rtl w:val="true"/>
        </w:rPr>
        <w:t>تقسيمات الطلاق</w:t>
      </w:r>
      <w:bookmarkEnd w:id="843"/>
    </w:p>
    <w:p>
      <w:pPr>
        <w:pStyle w:val="Heading3"/>
        <w:numPr>
          <w:ilvl w:val="2"/>
          <w:numId w:val="1"/>
        </w:numPr>
        <w:rPr/>
      </w:pPr>
      <w:bookmarkStart w:id="844" w:name="__RefHeading___Toc5417011_2870459653"/>
      <w:bookmarkStart w:id="845" w:name="_Toc298"/>
      <w:bookmarkEnd w:id="844"/>
      <w:r>
        <w:rPr>
          <w:rtl w:val="true"/>
        </w:rPr>
        <w:t>اشارة</w:t>
      </w:r>
      <w:bookmarkEnd w:id="845"/>
    </w:p>
    <w:p>
      <w:pPr>
        <w:pStyle w:val="BookText"/>
        <w:rPr/>
      </w:pPr>
      <w:r>
        <w:rPr>
          <w:rFonts w:ascii="Amiri" w:hAnsi="Amiri" w:eastAsia="Amiri" w:cs="Amiri"/>
          <w:color w:val="111111"/>
          <w:sz w:val="28"/>
          <w:sz w:val="28"/>
          <w:szCs w:val="28"/>
          <w:rtl w:val="true"/>
          <w:lang w:bidi="ar-SA"/>
        </w:rPr>
        <w:t xml:space="preserve">قبل الشروع في بيان تقسيمات الطلاق؛ لابدّ من ذكر أمرين ضروريين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 الذي أكّد فيه الإسلام على الزواج، وبشّر الزوجين بنتائجه وآثاره الإيجابية، واعتبره في الآيات القرآنية أساساً لسكينة الزوجين</w:t>
      </w:r>
      <w:r>
        <w:rPr>
          <w:rStyle w:val="FootnoteAnchor"/>
          <w:rtl w:val="true"/>
        </w:rPr>
        <w:footnoteReference w:id="2043"/>
      </w:r>
      <w:r>
        <w:rPr>
          <w:rFonts w:ascii="Amiri" w:hAnsi="Amiri" w:eastAsia="Amiri" w:cs="Amiri"/>
          <w:color w:val="111111"/>
          <w:sz w:val="28"/>
          <w:sz w:val="28"/>
          <w:szCs w:val="28"/>
          <w:rtl w:val="true"/>
          <w:lang w:bidi="ar-SA"/>
        </w:rPr>
        <w:t>كما اعتبره في الأخبار سنّةً نبوية وأحبّ بناء عند الله تعالى،</w:t>
      </w:r>
      <w:r>
        <w:rPr>
          <w:rStyle w:val="FootnoteAnchor"/>
          <w:rtl w:val="true"/>
        </w:rPr>
        <w:footnoteReference w:id="2044"/>
      </w:r>
      <w:r>
        <w:rPr>
          <w:rFonts w:ascii="Amiri" w:hAnsi="Amiri" w:eastAsia="Amiri" w:cs="Amiri"/>
          <w:color w:val="111111"/>
          <w:sz w:val="28"/>
          <w:sz w:val="28"/>
          <w:szCs w:val="28"/>
          <w:rtl w:val="true"/>
          <w:lang w:bidi="ar-SA"/>
        </w:rPr>
        <w:t>بقدر ذلك كلّه حذّر من الطلاق والوقوع فيه، واعتبره أبغض الحلال عند الله، وأوصى بتركه وتجنبه</w:t>
      </w:r>
      <w:r>
        <w:rPr>
          <w:rFonts w:eastAsia="Amiri" w:cs="Amiri" w:ascii="Amiri" w:hAnsi="Amiri"/>
          <w:color w:val="111111"/>
          <w:sz w:val="28"/>
          <w:szCs w:val="28"/>
          <w:rtl w:val="true"/>
          <w:lang w:bidi="ar-SA"/>
        </w:rPr>
        <w:t>.</w:t>
      </w:r>
      <w:r>
        <w:rPr>
          <w:rStyle w:val="FootnoteAnchor"/>
          <w:rtl w:val="true"/>
        </w:rPr>
        <w:footnoteReference w:id="2045"/>
      </w:r>
      <w:r>
        <w:rPr>
          <w:rFonts w:ascii="Amiri" w:hAnsi="Amiri" w:eastAsia="Amiri" w:cs="Amiri"/>
          <w:color w:val="111111"/>
          <w:sz w:val="28"/>
          <w:sz w:val="28"/>
          <w:szCs w:val="28"/>
          <w:rtl w:val="true"/>
          <w:lang w:bidi="ar-SA"/>
        </w:rPr>
        <w:t>فلا شكّ أنّ تخريب صرّح الزواج المحبوبلا يمكن أن يكون محبوباً عند الله وإلّا لزم في هذه الحال اجتماع النقيضين</w:t>
      </w:r>
      <w:r>
        <w:rPr>
          <w:rFonts w:eastAsia="Amiri" w:cs="Amiri" w:ascii="Amiri" w:hAnsi="Amiri"/>
          <w:color w:val="111111"/>
          <w:sz w:val="28"/>
          <w:szCs w:val="28"/>
          <w:rtl w:val="true"/>
          <w:lang w:bidi="ar-SA"/>
        </w:rPr>
        <w:t xml:space="preserve">. </w:t>
      </w:r>
      <w:bookmarkStart w:id="846" w:name="pg9375_100062"/>
    </w:p>
    <w:p>
      <w:pPr>
        <w:pStyle w:val="BookText"/>
        <w:rPr/>
      </w:pPr>
      <w:bookmarkEnd w:id="846"/>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الطلاق في الإسلام من الأحكام الإمضائية لا التأسيسية، بمعنى وجوده قبل البعثة النبوية، وتحقّقه طبق أعراف وعادات ذلك الزمان، وما فعله الإسلام أنّه أنفذه وأمضاه، فليس صحيحاً أنّ الإسلام أقامه وشاده وأوجده وأحدثه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فالشواهد التاريخية في حياة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عرب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رواج ظاهرة الطلاق دون قيد أو شرط فيه، بل حصوله بكلّ يُسر وسهولة، إلى حدّ أنّ الرجل الواحد كان يطلّق زوجاته مراراً وتكراراً دون الأخذ بعين الاعتبار وجود حقوق لهنّ عليه، وبمجيء الإسلام صيّر حركة الطلاق مؤطّرة بإطار المزيد من المنافع للنساء</w:t>
      </w:r>
      <w:r>
        <w:rPr>
          <w:rFonts w:eastAsia="Amiri" w:cs="Amiri" w:ascii="Amiri" w:hAnsi="Amiri"/>
          <w:color w:val="111111"/>
          <w:sz w:val="28"/>
          <w:szCs w:val="28"/>
          <w:rtl w:val="true"/>
          <w:lang w:bidi="ar-SA"/>
        </w:rPr>
        <w:t>.</w:t>
      </w:r>
      <w:r>
        <w:rPr>
          <w:rStyle w:val="FootnoteAnchor"/>
          <w:rtl w:val="true"/>
        </w:rPr>
        <w:footnoteReference w:id="2046"/>
      </w:r>
    </w:p>
    <w:p>
      <w:pPr>
        <w:pStyle w:val="BookText"/>
        <w:rPr/>
      </w:pPr>
      <w:r>
        <w:rPr>
          <w:rFonts w:ascii="Amiri" w:hAnsi="Amiri" w:eastAsia="Amiri" w:cs="Amiri"/>
          <w:color w:val="111111"/>
          <w:sz w:val="28"/>
          <w:sz w:val="28"/>
          <w:szCs w:val="28"/>
          <w:rtl w:val="true"/>
          <w:lang w:bidi="ar-SA"/>
        </w:rPr>
        <w:t xml:space="preserve">ينقسم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تنويع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5417013_2870459653"/>
      <w:bookmarkStart w:id="848" w:name="_Toc299"/>
      <w:bookmarkEnd w:id="847"/>
      <w:r>
        <w:rPr/>
        <w:t>1</w:t>
      </w:r>
      <w:r>
        <w:rPr>
          <w:rtl w:val="true"/>
        </w:rPr>
        <w:t xml:space="preserve">. </w:t>
      </w:r>
      <w:r>
        <w:rPr>
          <w:rtl w:val="true"/>
        </w:rPr>
        <w:t>الطلاق الرجعي</w:t>
      </w:r>
      <w:bookmarkEnd w:id="848"/>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ويطلق على الطلاق الذي يوقعه الرجل بعد دفعه المهر وإجراء صيغة الطلاق، ويمكنه فيه بعد الشروع في العدّة إعادة إقامة العلاقة الزوجية عبر ألفاظ أو سلوك وأعمال تدلّ على رضاه باستمرار هذه الحياة الزوجية، وذلك في أيّام العدّة ودون حاجة إلى عقد نكاح، فهذا العود إلى الحياة الزوجية يسمّى رجوعاً، وهو محدود من حيث العدد</w:t>
      </w:r>
      <w:r>
        <w:rPr>
          <w:rFonts w:eastAsia="Amiri" w:cs="Amiri" w:ascii="Amiri" w:hAnsi="Amiri"/>
          <w:color w:val="111111"/>
          <w:sz w:val="28"/>
          <w:szCs w:val="28"/>
          <w:rtl w:val="true"/>
          <w:lang w:bidi="ar-SA"/>
        </w:rPr>
        <w:t>.</w:t>
      </w:r>
      <w:r>
        <w:rPr>
          <w:rStyle w:val="FootnoteAnchor"/>
          <w:rtl w:val="true"/>
        </w:rPr>
        <w:footnoteReference w:id="2047"/>
      </w:r>
      <w:bookmarkStart w:id="849" w:name="pg9375_100063"/>
    </w:p>
    <w:p>
      <w:pPr>
        <w:pStyle w:val="Heading3"/>
        <w:numPr>
          <w:ilvl w:val="2"/>
          <w:numId w:val="1"/>
        </w:numPr>
        <w:rPr/>
      </w:pPr>
      <w:bookmarkStart w:id="850" w:name="__RefHeading___Toc5417015_2870459653"/>
      <w:bookmarkStart w:id="851" w:name="_Toc300"/>
      <w:bookmarkEnd w:id="849"/>
      <w:bookmarkEnd w:id="850"/>
      <w:r>
        <w:rPr/>
        <w:t>2</w:t>
      </w:r>
      <w:r>
        <w:rPr>
          <w:rtl w:val="true"/>
        </w:rPr>
        <w:t xml:space="preserve">. </w:t>
      </w:r>
      <w:r>
        <w:rPr>
          <w:rtl w:val="true"/>
        </w:rPr>
        <w:t>الطلاق البائن</w:t>
      </w:r>
      <w:bookmarkEnd w:id="851"/>
    </w:p>
    <w:p>
      <w:pPr>
        <w:pStyle w:val="Heading4"/>
        <w:numPr>
          <w:ilvl w:val="3"/>
          <w:numId w:val="1"/>
        </w:numPr>
        <w:rPr/>
      </w:pPr>
      <w:bookmarkStart w:id="852" w:name="__RefHeading___Toc5417017_2870459653"/>
      <w:bookmarkStart w:id="853" w:name="_Toc301"/>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 xml:space="preserve">يطلق على الطلاق الذي لا يمكن للزوجين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حصول الانفصال وفكّ عقدة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يعودا فيه لبعضهما دون عقد جديد والحياة معاً، بل لابدّ من نكاح جديد لهما</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5417019_2870459653"/>
      <w:bookmarkStart w:id="855" w:name="_Toc302"/>
      <w:bookmarkEnd w:id="854"/>
      <w:r>
        <w:rPr>
          <w:rtl w:val="true"/>
        </w:rPr>
        <w:t>أقسام الطلاق البائن</w:t>
      </w:r>
      <w:bookmarkEnd w:id="855"/>
    </w:p>
    <w:p>
      <w:pPr>
        <w:pStyle w:val="BookText"/>
        <w:rPr/>
      </w:pPr>
      <w:r>
        <w:rPr>
          <w:rFonts w:ascii="Amiri" w:hAnsi="Amiri" w:eastAsia="Amiri" w:cs="Amiri"/>
          <w:color w:val="111111"/>
          <w:sz w:val="28"/>
          <w:sz w:val="28"/>
          <w:szCs w:val="28"/>
          <w:rtl w:val="true"/>
          <w:lang w:bidi="ar-SA"/>
        </w:rPr>
        <w:t>ينقسم الطلاق البائن إلى ستة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طلّق الزوج ثمّ رجع وطلق مرّتين، فهنا الطلاق الثالث يكون بائناً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الخُلعي المشروط بعدم رضا الزوجة عن الحياة الزوجية فيما يكون الرجل راضياً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المباراة، وشرطه عدم رضا الزوجين، وفي هذه الصورة يمكن للرجل الانفصال عن الزوجة مع أخذ كامل المهر أو أقلّ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الزوجة التي لم يدخل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الزوجة اليائسة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طلاق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البنت التي لم تبلغ سنّ رؤية الحيض وما زالت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بدورنا، سنبحث هنا حول طلاق الخُلع الذي هو أحد أقسام الطلاقالبائن</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5417021_2870459653"/>
      <w:bookmarkStart w:id="857" w:name="_Toc303"/>
      <w:bookmarkEnd w:id="856"/>
      <w:r>
        <w:rPr>
          <w:rtl w:val="true"/>
        </w:rPr>
        <w:t>طلاق الخُلع</w:t>
      </w:r>
      <w:bookmarkEnd w:id="857"/>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الخلع أحد أنواع الطلاق المشروع في الفقه الإسلامي، وسنحاول هنا إعادة قراءته ومطالعة أدلّته لنرى هل يرفع هذا الطلاق شبهة ظلم المرأة والتمييز بينها وبين الرجل؟ وقبل بيان موضوع البحث وتقرير محلّ النزاع في طلاق الخلع، </w:t>
      </w:r>
      <w:bookmarkStart w:id="858" w:name="pg9375_100064"/>
    </w:p>
    <w:p>
      <w:pPr>
        <w:pStyle w:val="BookText"/>
        <w:rPr/>
      </w:pPr>
      <w:bookmarkEnd w:id="858"/>
      <w:r>
        <w:rPr>
          <w:rFonts w:ascii="Amiri" w:hAnsi="Amiri" w:eastAsia="Amiri" w:cs="Amiri"/>
          <w:color w:val="111111"/>
          <w:sz w:val="28"/>
          <w:sz w:val="28"/>
          <w:szCs w:val="28"/>
          <w:rtl w:val="true"/>
          <w:lang w:bidi="ar-SA"/>
        </w:rPr>
        <w:t>نتعرّض لبيان المعنى اللغوي والاصطلاحي للخلع، ثمّ بعد ذلك نبحث في الأدلّة والأقوال المتعلّقة بحكمه</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5417023_2870459653"/>
      <w:bookmarkStart w:id="860" w:name="_Toc304"/>
      <w:bookmarkEnd w:id="859"/>
      <w:r>
        <w:rPr>
          <w:rtl w:val="true"/>
        </w:rPr>
        <w:t>المعنى اللغوي للخلع</w:t>
      </w:r>
      <w:bookmarkEnd w:id="860"/>
    </w:p>
    <w:p>
      <w:pPr>
        <w:pStyle w:val="BookText"/>
        <w:rPr/>
      </w:pPr>
      <w:r>
        <w:rPr>
          <w:rFonts w:ascii="Amiri" w:hAnsi="Amiri" w:eastAsia="Amiri" w:cs="Amiri"/>
          <w:color w:val="111111"/>
          <w:sz w:val="28"/>
          <w:sz w:val="28"/>
          <w:szCs w:val="28"/>
          <w:rtl w:val="true"/>
          <w:lang w:bidi="ar-SA"/>
        </w:rPr>
        <w:t xml:space="preserve">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 والقلع، يقول صاحب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الخلع، كالمنع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المرأة ببذل منها أو من غيرها</w:t>
      </w:r>
      <w:r>
        <w:rPr>
          <w:rFonts w:eastAsia="Amiri" w:cs="Amiri" w:ascii="Amiri" w:hAnsi="Amiri"/>
          <w:color w:val="111111"/>
          <w:sz w:val="28"/>
          <w:szCs w:val="28"/>
          <w:rtl w:val="true"/>
          <w:lang w:bidi="ar-SA"/>
        </w:rPr>
        <w:t>.</w:t>
      </w:r>
      <w:r>
        <w:rPr>
          <w:rStyle w:val="FootnoteAnchor"/>
          <w:rtl w:val="true"/>
        </w:rPr>
        <w:footnoteReference w:id="2048"/>
      </w:r>
      <w:r>
        <w:rPr>
          <w:rFonts w:ascii="Amiri" w:hAnsi="Amiri" w:eastAsia="Amiri" w:cs="Amiri"/>
          <w:color w:val="111111"/>
          <w:sz w:val="28"/>
          <w:sz w:val="28"/>
          <w:szCs w:val="28"/>
          <w:rtl w:val="true"/>
          <w:lang w:bidi="ar-SA"/>
        </w:rPr>
        <w:t>وجاء في الصحاح الكلام عينه،</w:t>
      </w:r>
      <w:r>
        <w:rPr>
          <w:rStyle w:val="FootnoteAnchor"/>
          <w:rtl w:val="true"/>
        </w:rPr>
        <w:footnoteReference w:id="2049"/>
      </w:r>
      <w:r>
        <w:rPr>
          <w:rFonts w:ascii="Amiri" w:hAnsi="Amiri" w:eastAsia="Amiri" w:cs="Amiri"/>
          <w:color w:val="111111"/>
          <w:sz w:val="28"/>
          <w:sz w:val="28"/>
          <w:szCs w:val="28"/>
          <w:rtl w:val="true"/>
          <w:lang w:bidi="ar-SA"/>
        </w:rPr>
        <w:t>وقال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خلعت النعل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افتدت منه وطلّقها على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وهو استعارة من خلع اللباس؛ لأنّ كلّ واحد منهما لباس للآخر، فإذا فعلا ذلك فكأنّ كلّ واحد نزع لباسهعنه</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 لِبَاسٌ لَكُمْ وَأَنْتُمْ لِبَاسٌ لَهُنَّ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1"/>
      </w:r>
    </w:p>
    <w:p>
      <w:pPr>
        <w:pStyle w:val="Heading4"/>
        <w:numPr>
          <w:ilvl w:val="3"/>
          <w:numId w:val="1"/>
        </w:numPr>
        <w:rPr/>
      </w:pPr>
      <w:bookmarkStart w:id="861" w:name="__RefHeading___Toc5417025_2870459653"/>
      <w:bookmarkStart w:id="862" w:name="_Toc305"/>
      <w:bookmarkEnd w:id="861"/>
      <w:r>
        <w:rPr>
          <w:rtl w:val="true"/>
        </w:rPr>
        <w:t>المعنى المصطلح للخلع</w:t>
      </w:r>
      <w:bookmarkEnd w:id="862"/>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الخلع في الاصطلاح الفقهي قطع علاقة الزوجية وفصلها بفدية تقدّمها الزوجة للزوج، وقد جاء هذا التعريف في كلام العلّامة في القواعد،</w:t>
      </w:r>
      <w:r>
        <w:rPr>
          <w:rStyle w:val="FootnoteAnchor"/>
          <w:rtl w:val="true"/>
        </w:rPr>
        <w:footnoteReference w:id="2052"/>
      </w:r>
      <w:r>
        <w:rPr>
          <w:rFonts w:ascii="Amiri" w:hAnsi="Amiri" w:eastAsia="Amiri" w:cs="Amiri"/>
          <w:color w:val="111111"/>
          <w:sz w:val="28"/>
          <w:sz w:val="28"/>
          <w:szCs w:val="28"/>
          <w:rtl w:val="true"/>
          <w:lang w:bidi="ar-SA"/>
        </w:rPr>
        <w:t>وذكره الفقهاء بعده واعتبروه صحيحاً</w:t>
      </w:r>
      <w:r>
        <w:rPr>
          <w:rFonts w:eastAsia="Amiri" w:cs="Amiri" w:ascii="Amiri" w:hAnsi="Amiri"/>
          <w:color w:val="111111"/>
          <w:sz w:val="28"/>
          <w:szCs w:val="28"/>
          <w:rtl w:val="true"/>
          <w:lang w:bidi="ar-SA"/>
        </w:rPr>
        <w:t>.</w:t>
      </w:r>
      <w:r>
        <w:rPr>
          <w:rStyle w:val="FootnoteAnchor"/>
          <w:rtl w:val="true"/>
        </w:rPr>
        <w:footnoteReference w:id="2053"/>
      </w:r>
      <w:bookmarkStart w:id="863" w:name="pg9375_100065"/>
    </w:p>
    <w:p>
      <w:pPr>
        <w:pStyle w:val="BookText"/>
        <w:rPr/>
      </w:pPr>
      <w:bookmarkEnd w:id="863"/>
      <w:r>
        <w:rPr>
          <w:rFonts w:ascii="Amiri" w:hAnsi="Amiri" w:eastAsia="Amiri" w:cs="Amiri"/>
          <w:color w:val="111111"/>
          <w:sz w:val="28"/>
          <w:sz w:val="28"/>
          <w:szCs w:val="28"/>
          <w:rtl w:val="true"/>
          <w:lang w:bidi="ar-SA"/>
        </w:rPr>
        <w:t>وفي بعض العبارات عبّر عن الخلع بالافتداء أيضاً،</w:t>
      </w:r>
      <w:r>
        <w:rPr>
          <w:rStyle w:val="FootnoteAnchor"/>
          <w:rtl w:val="true"/>
        </w:rPr>
        <w:footnoteReference w:id="2054"/>
      </w:r>
      <w:r>
        <w:rPr>
          <w:rFonts w:ascii="Amiri" w:hAnsi="Amiri" w:eastAsia="Amiri" w:cs="Amiri"/>
          <w:color w:val="111111"/>
          <w:sz w:val="28"/>
          <w:sz w:val="28"/>
          <w:szCs w:val="28"/>
          <w:rtl w:val="true"/>
          <w:lang w:bidi="ar-SA"/>
        </w:rPr>
        <w:t>كما جاء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لهذا الإيقاع افتداء وخلع؛ أمّا الأوّل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فِيمَا افْتَدَتْ 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كأنّها لمكان كراهتها له مأسورة؛ فافتدت منه بشيء</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5417027_2870459653"/>
      <w:bookmarkStart w:id="865" w:name="_Toc306"/>
      <w:bookmarkEnd w:id="864"/>
      <w:r>
        <w:rPr>
          <w:rtl w:val="true"/>
        </w:rPr>
        <w:t>بيان كيفيّة كراهة المرأة للزوج</w:t>
      </w:r>
      <w:bookmarkEnd w:id="865"/>
    </w:p>
    <w:p>
      <w:pPr>
        <w:pStyle w:val="BookText"/>
        <w:rPr/>
      </w:pPr>
      <w:r>
        <w:rPr>
          <w:rFonts w:ascii="Amiri" w:hAnsi="Amiri" w:eastAsia="Amiri" w:cs="Amiri"/>
          <w:color w:val="111111"/>
          <w:sz w:val="28"/>
          <w:sz w:val="28"/>
          <w:szCs w:val="28"/>
          <w:rtl w:val="true"/>
          <w:lang w:bidi="ar-SA"/>
        </w:rPr>
        <w:t>ولابدّ هنا من الالتفات إلى أنّ طلاق الخلع يشترط فيه كراهة وتنفّر الزوجة فقط، بحيث لا يكون عند الرجل كراهة أصلاً، وهذه الكراهة التيتعبّر عن شرط في موضوع الخلع لها مراحل مختلفة؛ ذلك أنّه قد يكون عند المرأة أحياناً نفرة شديدة من الرجل، بحيث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أطيعك بعد اليوم، بل قد يتخطئ الأمر ذلك ليبلغ حدّ التهديد،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أشارك رجلاً آخر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تهدّد المرأة الرجل بارتكاب معصية عِرضية أو تهدّده بترك واجب يفترض أن تقوم به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الأحيان قد تظهر كراهتها وعدم رضاها عبّر أخلاقها وسلوكها وشمائلها للزوج، ولا تتحدّث عن أيّ كلام يستشمّ منه رائحة المعصية والذنب، من هنا فما أفاده الأُستاذ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هو قابلية الخلع للتحقّق بمطلق الكراهة، وليس لزاماً أن تبرز الزوجة بالألفاظ والتعابير ما يدلّ على العصيان</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5417029_2870459653"/>
      <w:bookmarkStart w:id="867" w:name="_Toc307"/>
      <w:bookmarkEnd w:id="866"/>
      <w:r>
        <w:rPr>
          <w:rtl w:val="true"/>
        </w:rPr>
        <w:t>أدلّة إثبات طلاق الخُلع</w:t>
      </w:r>
      <w:bookmarkEnd w:id="867"/>
    </w:p>
    <w:p>
      <w:pPr>
        <w:pStyle w:val="Heading4"/>
        <w:numPr>
          <w:ilvl w:val="3"/>
          <w:numId w:val="1"/>
        </w:numPr>
        <w:rPr/>
      </w:pPr>
      <w:bookmarkStart w:id="868" w:name="__RefHeading___Toc5417031_2870459653"/>
      <w:bookmarkStart w:id="869" w:name="_Toc308"/>
      <w:bookmarkEnd w:id="868"/>
      <w:r>
        <w:rPr>
          <w:rtl w:val="true"/>
        </w:rPr>
        <w:t>اشارة</w:t>
      </w:r>
      <w:bookmarkEnd w:id="869"/>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أدلّة إثبات طلاق الخلع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وإجماع المسلمين</w:t>
      </w:r>
      <w:r>
        <w:rPr>
          <w:rFonts w:eastAsia="Amiri" w:cs="Amiri" w:ascii="Amiri" w:hAnsi="Amiri"/>
          <w:color w:val="111111"/>
          <w:sz w:val="28"/>
          <w:szCs w:val="28"/>
          <w:rtl w:val="true"/>
          <w:lang w:bidi="ar-SA"/>
        </w:rPr>
        <w:t>.</w:t>
      </w:r>
      <w:r>
        <w:rPr>
          <w:rStyle w:val="FootnoteAnchor"/>
          <w:rtl w:val="true"/>
        </w:rPr>
        <w:footnoteReference w:id="2056"/>
      </w:r>
      <w:bookmarkStart w:id="870" w:name="pg9375_100066"/>
    </w:p>
    <w:p>
      <w:pPr>
        <w:pStyle w:val="Heading4"/>
        <w:numPr>
          <w:ilvl w:val="3"/>
          <w:numId w:val="1"/>
        </w:numPr>
        <w:rPr/>
      </w:pPr>
      <w:bookmarkStart w:id="871" w:name="__RefHeading___Toc5417033_2870459653"/>
      <w:bookmarkStart w:id="872" w:name="_Toc309"/>
      <w:bookmarkEnd w:id="870"/>
      <w:bookmarkEnd w:id="871"/>
      <w:r>
        <w:rPr/>
        <w:t>1</w:t>
      </w:r>
      <w:r>
        <w:rPr>
          <w:rtl w:val="true"/>
        </w:rPr>
        <w:t xml:space="preserve">. </w:t>
      </w:r>
      <w:r>
        <w:rPr>
          <w:rtl w:val="true"/>
        </w:rPr>
        <w:t>الكتاب</w:t>
      </w:r>
      <w:bookmarkEnd w:id="872"/>
    </w:p>
    <w:p>
      <w:pPr>
        <w:pStyle w:val="BookText"/>
        <w:rPr/>
      </w:pPr>
      <w:r>
        <w:rPr>
          <w:rFonts w:ascii="Amiri" w:hAnsi="Amiri" w:eastAsia="Amiri" w:cs="Amiri"/>
          <w:color w:val="111111"/>
          <w:sz w:val="28"/>
          <w:sz w:val="28"/>
          <w:szCs w:val="28"/>
          <w:rtl w:val="true"/>
          <w:lang w:bidi="ar-SA"/>
        </w:rPr>
        <w:t xml:space="preserve">أصل شرعية طلاق الخلع تنبع من القرآن الكريم، فقد قال تعالى في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الاستدلال بالنص القرآني</w:t>
      </w:r>
    </w:p>
    <w:p>
      <w:pPr>
        <w:pStyle w:val="BookText"/>
        <w:rPr/>
      </w:pPr>
      <w:r>
        <w:rPr>
          <w:rFonts w:ascii="Amiri" w:hAnsi="Amiri" w:eastAsia="Amiri" w:cs="Amiri"/>
          <w:color w:val="111111"/>
          <w:sz w:val="28"/>
          <w:sz w:val="28"/>
          <w:szCs w:val="28"/>
          <w:rtl w:val="true"/>
          <w:lang w:bidi="ar-SA"/>
        </w:rPr>
        <w:t>مع الأخذ بعين الاعتبار شأن نزول الآية وسببه واستدلال الإمام الصادق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بها في رواية أبي بصير</w:t>
      </w:r>
      <w:r>
        <w:rPr>
          <w:rStyle w:val="FootnoteAnchor"/>
          <w:rtl w:val="true"/>
        </w:rPr>
        <w:footnoteReference w:id="2057"/>
      </w:r>
      <w:r>
        <w:rPr>
          <w:rFonts w:ascii="Amiri" w:hAnsi="Amiri" w:eastAsia="Amiri" w:cs="Amiri"/>
          <w:color w:val="111111"/>
          <w:sz w:val="28"/>
          <w:sz w:val="28"/>
          <w:szCs w:val="28"/>
          <w:rtl w:val="true"/>
          <w:lang w:bidi="ar-SA"/>
        </w:rPr>
        <w:t>في مورد أخذ المقدار المجاز من المال من المرأة، تبيّن الآية تشريع طلاق الخلع في الإسلام</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5417035_2870459653"/>
      <w:bookmarkStart w:id="874" w:name="_Toc310"/>
      <w:bookmarkEnd w:id="873"/>
      <w:r>
        <w:rPr/>
        <w:t>2</w:t>
      </w:r>
      <w:r>
        <w:rPr>
          <w:rtl w:val="true"/>
        </w:rPr>
        <w:t xml:space="preserve">. </w:t>
      </w:r>
      <w:r>
        <w:rPr>
          <w:rtl w:val="true"/>
        </w:rPr>
        <w:t>السنّة</w:t>
      </w:r>
      <w:bookmarkEnd w:id="874"/>
    </w:p>
    <w:p>
      <w:pPr>
        <w:pStyle w:val="BookText"/>
        <w:rPr/>
      </w:pPr>
      <w:r>
        <w:rPr>
          <w:rFonts w:ascii="Amiri" w:hAnsi="Amiri" w:eastAsia="Amiri" w:cs="Amiri"/>
          <w:color w:val="111111"/>
          <w:sz w:val="28"/>
          <w:sz w:val="28"/>
          <w:szCs w:val="28"/>
          <w:rtl w:val="true"/>
          <w:lang w:bidi="ar-SA"/>
        </w:rPr>
        <w:t>هناك روايات متواترة من طرف الشيعة</w:t>
      </w:r>
      <w:r>
        <w:rPr>
          <w:rStyle w:val="FootnoteAnchor"/>
          <w:rtl w:val="true"/>
        </w:rPr>
        <w:footnoteReference w:id="2058"/>
      </w:r>
      <w:r>
        <w:rPr>
          <w:rFonts w:ascii="Amiri" w:hAnsi="Amiri" w:eastAsia="Amiri" w:cs="Amiri"/>
          <w:color w:val="111111"/>
          <w:sz w:val="28"/>
          <w:sz w:val="28"/>
          <w:szCs w:val="28"/>
          <w:rtl w:val="true"/>
          <w:lang w:bidi="ar-SA"/>
        </w:rPr>
        <w:t>والسنّة تدلّ على مشروعية طلاق الخلع، ونكتفي هنا برواية وردت من طرق أهل السنّة، تبين سبب نزول الآية المتقدّمة أيضاً وتشير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أنّه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جميلة بنت عبدالله بن أبي كانت تحت ثابت بن قيس بن شماس، وكانت تبغضه وهو يحبّها، فأتت رسول الله</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ولا ثابت، لا يجمع رأسي ورأسه شيء، والله ما أعيب عليه في دين </w:t>
      </w:r>
      <w:bookmarkStart w:id="875" w:name="pg9375_100067"/>
    </w:p>
    <w:p>
      <w:pPr>
        <w:pStyle w:val="BookText"/>
        <w:rPr/>
      </w:pPr>
      <w:bookmarkEnd w:id="875"/>
      <w:r>
        <w:rPr>
          <w:rFonts w:ascii="Amiri" w:hAnsi="Amiri" w:eastAsia="Amiri" w:cs="Amiri"/>
          <w:color w:val="111111"/>
          <w:sz w:val="28"/>
          <w:sz w:val="28"/>
          <w:szCs w:val="28"/>
          <w:rtl w:val="true"/>
          <w:lang w:bidi="ar-SA"/>
        </w:rPr>
        <w:t>ولا خلق، ولكن أكره الكفر في الإسلام، ما أطيعه بغضاً، إنّي رفعت جانب الخباء فرأيته أقبل في عدّة، فإذا هو أشدّهم سواداً وأقصرهم قامة وأقبحهم وجهاً، فنزلت، وكان قد أصدقها حديقةفاختلعت منه بها، وهو أوّل خلع كان في الإسلام</w:t>
      </w:r>
      <w:r>
        <w:rPr>
          <w:rFonts w:eastAsia="Amiri" w:cs="Amiri" w:ascii="Amiri" w:hAnsi="Amiri"/>
          <w:color w:val="111111"/>
          <w:sz w:val="28"/>
          <w:szCs w:val="28"/>
          <w:rtl w:val="true"/>
          <w:lang w:bidi="ar-SA"/>
        </w:rPr>
        <w:t>.</w:t>
      </w:r>
      <w:r>
        <w:rPr>
          <w:rStyle w:val="FootnoteAnchor"/>
          <w:rtl w:val="true"/>
        </w:rPr>
        <w:footnoteReference w:id="2059"/>
      </w:r>
    </w:p>
    <w:p>
      <w:pPr>
        <w:pStyle w:val="Heading3"/>
        <w:numPr>
          <w:ilvl w:val="2"/>
          <w:numId w:val="1"/>
        </w:numPr>
        <w:rPr/>
      </w:pPr>
      <w:bookmarkStart w:id="876" w:name="__RefHeading___Toc5417037_2870459653"/>
      <w:bookmarkStart w:id="877" w:name="_Toc311"/>
      <w:bookmarkEnd w:id="876"/>
      <w:r>
        <w:rPr>
          <w:rtl w:val="true"/>
        </w:rPr>
        <w:t>موضوع البحث ومركز النزاع والخلاف</w:t>
      </w:r>
      <w:bookmarkEnd w:id="877"/>
    </w:p>
    <w:p>
      <w:pPr>
        <w:pStyle w:val="BookText"/>
        <w:rPr/>
      </w:pPr>
      <w:r>
        <w:rPr>
          <w:rFonts w:ascii="Amiri" w:hAnsi="Amiri" w:eastAsia="Amiri" w:cs="Amiri"/>
          <w:color w:val="111111"/>
          <w:sz w:val="28"/>
          <w:sz w:val="28"/>
          <w:szCs w:val="28"/>
          <w:rtl w:val="true"/>
          <w:lang w:bidi="ar-SA"/>
        </w:rPr>
        <w:t>يقسّم العلّامة الحلّي</w:t>
      </w:r>
      <w:r>
        <w:rPr>
          <w:rStyle w:val="FootnoteAnchor"/>
          <w:rtl w:val="true"/>
        </w:rPr>
        <w:footnoteReference w:id="2060"/>
      </w:r>
      <w:r>
        <w:rPr>
          <w:rFonts w:ascii="Amiri" w:hAnsi="Amiri" w:eastAsia="Amiri" w:cs="Amiri"/>
          <w:color w:val="111111"/>
          <w:sz w:val="28"/>
          <w:sz w:val="28"/>
          <w:szCs w:val="28"/>
          <w:rtl w:val="true"/>
          <w:lang w:bidi="ar-SA"/>
        </w:rPr>
        <w:t xml:space="preserve">طلاق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أنواع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ومباح، ومستحبّ، وواجب</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5417039_2870459653"/>
      <w:bookmarkStart w:id="879" w:name="_Toc312"/>
      <w:bookmarkEnd w:id="878"/>
      <w:r>
        <w:rPr>
          <w:rtl w:val="true"/>
        </w:rPr>
        <w:t>الأحكام الأربعة لطلاق الخلع</w:t>
      </w:r>
      <w:bookmarkEnd w:id="879"/>
    </w:p>
    <w:p>
      <w:pPr>
        <w:pStyle w:val="Heading4"/>
        <w:numPr>
          <w:ilvl w:val="3"/>
          <w:numId w:val="1"/>
        </w:numPr>
        <w:rPr/>
      </w:pPr>
      <w:bookmarkStart w:id="880" w:name="__RefHeading___Toc5417041_2870459653"/>
      <w:bookmarkStart w:id="881" w:name="_Toc313"/>
      <w:bookmarkEnd w:id="880"/>
      <w:r>
        <w:rPr/>
        <w:t>1</w:t>
      </w:r>
      <w:r>
        <w:rPr>
          <w:rtl w:val="true"/>
        </w:rPr>
        <w:t xml:space="preserve">. </w:t>
      </w:r>
      <w:r>
        <w:rPr>
          <w:rtl w:val="true"/>
        </w:rPr>
        <w:t>الخلع المحرّم</w:t>
      </w:r>
      <w:bookmarkEnd w:id="881"/>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ما يجبر الزوج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تهبه مالاً ما أو تتنازل عن مال ما، والحال أنّ الزوجين متفاهمان مع بعضهما في حياتهما الزوجية، ولا تكون المرأة متنفرةً من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يحكم الفقهاء جميعاً بأنّ الطلاق الذي يقع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والقطع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خلعاً أبداً، وأنّ هذا المال الذي قدّمته الزوجة للزوج في سياق الطلاق ما زال على ملكية الزوجة، ولا يجوز للزوج التصرّف به إطلاقاً،</w:t>
      </w:r>
      <w:r>
        <w:rPr>
          <w:rStyle w:val="FootnoteAnchor"/>
          <w:rtl w:val="true"/>
        </w:rPr>
        <w:footnoteReference w:id="2061"/>
      </w:r>
      <w:r>
        <w:rPr>
          <w:rFonts w:ascii="Amiri" w:hAnsi="Amiri" w:eastAsia="Amiri" w:cs="Amiri"/>
          <w:color w:val="111111"/>
          <w:sz w:val="28"/>
          <w:sz w:val="28"/>
          <w:szCs w:val="28"/>
          <w:rtl w:val="true"/>
          <w:lang w:bidi="ar-SA"/>
        </w:rPr>
        <w:t>لكن بمجرّد أن يجري المطلّق أو وكيله صيغة الطلاق على لسانه يحكم الفقهاء بوقوع الطلاق رجعياً،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الرجل المال، رغم أنّ صاحب كشف اللثام</w:t>
      </w:r>
      <w:r>
        <w:rPr>
          <w:rStyle w:val="FootnoteAnchor"/>
          <w:rtl w:val="true"/>
        </w:rPr>
        <w:footnoteReference w:id="2062"/>
      </w:r>
      <w:bookmarkStart w:id="882" w:name="pg9375_100068"/>
    </w:p>
    <w:p>
      <w:pPr>
        <w:pStyle w:val="BookText"/>
        <w:rPr/>
      </w:pPr>
      <w:bookmarkEnd w:id="882"/>
      <w:r>
        <w:rPr>
          <w:rFonts w:ascii="Amiri" w:hAnsi="Amiri" w:eastAsia="Amiri" w:cs="Amiri"/>
          <w:color w:val="111111"/>
          <w:sz w:val="28"/>
          <w:sz w:val="28"/>
          <w:szCs w:val="28"/>
          <w:rtl w:val="true"/>
          <w:lang w:bidi="ar-SA"/>
        </w:rPr>
        <w:t>يحتمل بطلان هذا الطلاق من رأس، تماماً كما ذهب إليه أهلالسنّة؛</w:t>
      </w:r>
      <w:r>
        <w:rPr>
          <w:rStyle w:val="FootnoteAnchor"/>
          <w:rtl w:val="true"/>
        </w:rPr>
        <w:footnoteReference w:id="2063"/>
      </w:r>
      <w:r>
        <w:rPr>
          <w:rFonts w:ascii="Amiri" w:hAnsi="Amiri" w:eastAsia="Amiri" w:cs="Amiri"/>
          <w:color w:val="111111"/>
          <w:sz w:val="28"/>
          <w:sz w:val="28"/>
          <w:szCs w:val="28"/>
          <w:rtl w:val="true"/>
          <w:lang w:bidi="ar-SA"/>
        </w:rPr>
        <w:t xml:space="preserve">وذلك أنّ قصد الزوج من وراء إجراء صيغة الطلاق إيقاع الطلاق المؤدّي إلى أن يأخذ في مقابله شيئاً، ومع الأخذ بعين الاعتبار حرمة المال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إجبار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مالكيته له، سيصبح طلاقه مجانياً؛ وعليه فما بنى عليه صيغة الطلاق لم يقع في الخارج، بمعنى أنّ ما قصد لم يقع وما وقع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عند ما يكون طلاقه صحيحاً فإنّ لازم ذلك صحّة وحلّية المال الذي أوقع الطلاق له؛ لكن بطلان هذا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لإجماع الفقهاء على حرمة المال المأخوذ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وبيّن يوجب بطلان الملزوم، وهو صحّة مثل هذا الطلاق</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5417043_2870459653"/>
      <w:bookmarkStart w:id="884" w:name="_Toc314"/>
      <w:bookmarkEnd w:id="883"/>
      <w:r>
        <w:rPr/>
        <w:t>2</w:t>
      </w:r>
      <w:r>
        <w:rPr>
          <w:rtl w:val="true"/>
        </w:rPr>
        <w:t xml:space="preserve">. </w:t>
      </w:r>
      <w:r>
        <w:rPr>
          <w:rtl w:val="true"/>
        </w:rPr>
        <w:t>الطلاق الخلعي المباح</w:t>
      </w:r>
      <w:bookmarkEnd w:id="884"/>
    </w:p>
    <w:p>
      <w:pPr>
        <w:pStyle w:val="BookText"/>
        <w:rPr/>
      </w:pPr>
      <w:r>
        <w:rPr>
          <w:rFonts w:ascii="Amiri" w:hAnsi="Amiri" w:eastAsia="Amiri" w:cs="Amiri"/>
          <w:color w:val="111111"/>
          <w:sz w:val="28"/>
          <w:sz w:val="28"/>
          <w:szCs w:val="28"/>
          <w:rtl w:val="true"/>
          <w:lang w:bidi="ar-SA"/>
        </w:rPr>
        <w:t>ويكون عند ما تتنفّر الزوجة من زوجها وتخاف أن لا تقدر على أداء حقوق زوجها، أي يفضي ذلك بها إلى المعصية، فهنا تهب مهرها أو أموالاً أُخرى للرجل حتّى يطلّقها</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5417045_2870459653"/>
      <w:bookmarkStart w:id="886" w:name="_Toc315"/>
      <w:bookmarkEnd w:id="885"/>
      <w:r>
        <w:rPr/>
        <w:t>3</w:t>
      </w:r>
      <w:r>
        <w:rPr>
          <w:rtl w:val="true"/>
        </w:rPr>
        <w:t xml:space="preserve">. </w:t>
      </w:r>
      <w:r>
        <w:rPr>
          <w:rtl w:val="true"/>
        </w:rPr>
        <w:t>الطلاق الخلعي المستحبّ</w:t>
      </w:r>
      <w:bookmarkEnd w:id="886"/>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فيما إذا 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سوف تدخل شخصاً عليه يكرهه ويتنفّر منه، كنايةً عن افتراشها لرجل آخر، وهذا القول ذهب إليه ابن إدريس،</w:t>
      </w:r>
      <w:r>
        <w:rPr>
          <w:rStyle w:val="FootnoteAnchor"/>
          <w:rtl w:val="true"/>
        </w:rPr>
        <w:footnoteReference w:id="2064"/>
      </w:r>
      <w:r>
        <w:rPr>
          <w:rFonts w:ascii="Amiri" w:hAnsi="Amiri" w:eastAsia="Amiri" w:cs="Amiri"/>
          <w:color w:val="111111"/>
          <w:sz w:val="28"/>
          <w:sz w:val="28"/>
          <w:szCs w:val="28"/>
          <w:rtl w:val="true"/>
          <w:lang w:bidi="ar-SA"/>
        </w:rPr>
        <w:t>والمحقّق الحلّي،</w:t>
      </w:r>
      <w:r>
        <w:rPr>
          <w:rStyle w:val="FootnoteAnchor"/>
          <w:rtl w:val="true"/>
        </w:rPr>
        <w:footnoteReference w:id="2065"/>
      </w:r>
      <w:r>
        <w:rPr>
          <w:rFonts w:ascii="Amiri" w:hAnsi="Amiri" w:eastAsia="Amiri" w:cs="Amiri"/>
          <w:color w:val="111111"/>
          <w:sz w:val="28"/>
          <w:sz w:val="28"/>
          <w:szCs w:val="28"/>
          <w:rtl w:val="true"/>
          <w:lang w:bidi="ar-SA"/>
        </w:rPr>
        <w:t>رغم أنّ صاحب كشف اللثام</w:t>
      </w:r>
      <w:r>
        <w:rPr>
          <w:rStyle w:val="FootnoteAnchor"/>
          <w:rtl w:val="true"/>
        </w:rPr>
        <w:footnoteReference w:id="2066"/>
      </w:r>
      <w:r>
        <w:rPr>
          <w:rFonts w:ascii="Amiri" w:hAnsi="Amiri" w:eastAsia="Amiri" w:cs="Amiri"/>
          <w:color w:val="111111"/>
          <w:sz w:val="28"/>
          <w:sz w:val="28"/>
          <w:szCs w:val="28"/>
          <w:rtl w:val="true"/>
          <w:lang w:bidi="ar-SA"/>
        </w:rPr>
        <w:t xml:space="preserve">يقول في نهاية حديثه عنهذا التقسيم بأنّه </w:t>
      </w:r>
      <w:bookmarkStart w:id="887" w:name="pg9375_100069"/>
    </w:p>
    <w:p>
      <w:pPr>
        <w:pStyle w:val="BookText"/>
        <w:rPr/>
      </w:pPr>
      <w:bookmarkEnd w:id="887"/>
      <w:r>
        <w:rPr>
          <w:rFonts w:ascii="Amiri" w:hAnsi="Amiri" w:eastAsia="Amiri" w:cs="Amiri"/>
          <w:color w:val="111111"/>
          <w:sz w:val="28"/>
          <w:sz w:val="28"/>
          <w:szCs w:val="28"/>
          <w:rtl w:val="true"/>
          <w:lang w:bidi="ar-SA"/>
        </w:rPr>
        <w:t>لا وجود له ولا لهذه المراتب من الكراهة في كلمات أيّ من الفقهاء، سوى كلام العلّامة</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5417047_2870459653"/>
      <w:bookmarkStart w:id="889" w:name="_Toc316"/>
      <w:bookmarkEnd w:id="888"/>
      <w:r>
        <w:rPr/>
        <w:t>4</w:t>
      </w:r>
      <w:r>
        <w:rPr>
          <w:rtl w:val="true"/>
        </w:rPr>
        <w:t xml:space="preserve">. </w:t>
      </w:r>
      <w:r>
        <w:rPr>
          <w:rtl w:val="true"/>
        </w:rPr>
        <w:t>الطلاق الخلعي الواجب</w:t>
      </w:r>
      <w:bookmarkEnd w:id="889"/>
    </w:p>
    <w:p>
      <w:pPr>
        <w:pStyle w:val="BookText"/>
        <w:rPr/>
      </w:pPr>
      <w:r>
        <w:rPr>
          <w:rFonts w:ascii="Amiri" w:hAnsi="Amiri" w:eastAsia="Amiri" w:cs="Amiri"/>
          <w:color w:val="111111"/>
          <w:sz w:val="28"/>
          <w:sz w:val="28"/>
          <w:szCs w:val="28"/>
          <w:rtl w:val="true"/>
          <w:lang w:bidi="ar-SA"/>
        </w:rPr>
        <w:t>وموضوعه عين موضوع الطلاق السابق، لكنّ بعض الفقهاء قائل هنا بالوجوب، حيث يذهبون إلى أنّه إذا بلغت الكراهة هذا الحدّ وجب على الزوج طلاق زوجته بعد قبولها بهبة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الأخذ بعين الاعتبار هذه التقسيمات، لابدّ أن نجعل مورد البحث وجوب الطلاق في مطلق حالات كراهة الزوجة للزوج، حتّى لو أخذت شكلاً ظاهرياً مختلفاً، سواء التنفّر الظاهري أم إرادة إدخال رجل آخر، وليس من الضروري أن يبلغ هذا التنفّر حدّاً يحتمل معه المعصية من طرف الزوجة في الأُمور الواجبة عليها تجاه زوجها</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دراسة أدلّة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التوصل إلى وجوب الخلع في هذه الصورة فإنّه لا مجال بعد ذلك لشبهة التمييز بين الرجل والمرأة في حكم الطلاق، ومن ثمّ لا يضيع أيّ حقّ من المرأة حينئذٍ في هذا المجال، ولا يعرض عليها أيّ حيف أو ظلم؛ إذ كما يمكن للزوج أن يطلّق زوجته لأيّ سبب بدفعه المهر لها، كذلك يمكن للمرأة عند ما تكون كارهة لزوجها بأيّ شكل من أشكال الكراهة، ولو الكراهة الناشئة من إرادتها الزواج منشخص آخر، يمكنها بدفع المهر لزوجها أو مقداره على تقدير التلف، المطالبة بالطلاق من الرجل، وعلى الرجل الاستجابة لمطالبتها بإجراء الطلاق حتّى تتمكّن المرأة من العيش بحرية تامّة والاستمرار بحياتها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الرجل راضياً عن حياته مع هذه الزوجة وليس عنده أيّ نفرة منها</w:t>
      </w:r>
      <w:r>
        <w:rPr>
          <w:rFonts w:eastAsia="Amiri" w:cs="Amiri" w:ascii="Amiri" w:hAnsi="Amiri"/>
          <w:color w:val="111111"/>
          <w:sz w:val="28"/>
          <w:szCs w:val="28"/>
          <w:rtl w:val="true"/>
          <w:lang w:bidi="ar-SA"/>
        </w:rPr>
        <w:t xml:space="preserve">. </w:t>
      </w:r>
      <w:bookmarkStart w:id="890" w:name="pg9375_100070"/>
    </w:p>
    <w:p>
      <w:pPr>
        <w:pStyle w:val="BookText"/>
        <w:rPr/>
      </w:pPr>
      <w:bookmarkEnd w:id="890"/>
      <w:r>
        <w:rPr>
          <w:rFonts w:ascii="Amiri" w:hAnsi="Amiri" w:eastAsia="Amiri" w:cs="Amiri"/>
          <w:color w:val="111111"/>
          <w:sz w:val="28"/>
          <w:sz w:val="28"/>
          <w:szCs w:val="28"/>
          <w:rtl w:val="true"/>
          <w:lang w:bidi="ar-SA"/>
        </w:rPr>
        <w:t>وطبقاً لهذه النظرية، لا يضيع على الرجل أيّ حقّ، إذ في الحدّ الأدنى سوف يرجع إليه المهر الذي أعطاه للمرأة، ولا يضيع حقّ الزوجة؛ لأنّها لو طلّقت من طرف الرجل ستأخذ مهرها وعوض بضعها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وبعد تحديد محلّ النزاع، وهو مهمّ جدّاً في فتح مغالق الموضوع والجواب عن إحدى الشبهات المسجلة على النظام الحقوقي الإسلامي، نواصل بحثنا باستعراض الأقوال في المسألة والأدلّة من الطرفين مع ذكر الإشكالات والإيرادات؛ وفي خاتمة البحث نذكر أدلّتنا ونحلّل تحليلاً ماهوياً جوهرياً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التي تمثل أحد أهمّ أدلّة القائلين بعدم وجوب طلاق الخلع هنا</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5417049_2870459653"/>
      <w:bookmarkStart w:id="892" w:name="_Toc317"/>
      <w:bookmarkEnd w:id="891"/>
      <w:r>
        <w:rPr>
          <w:rtl w:val="true"/>
        </w:rPr>
        <w:t>الأقوال في المسألة</w:t>
      </w:r>
      <w:bookmarkEnd w:id="892"/>
    </w:p>
    <w:p>
      <w:pPr>
        <w:pStyle w:val="BookText"/>
        <w:rPr/>
      </w:pPr>
      <w:r>
        <w:rPr>
          <w:rFonts w:ascii="Amiri" w:hAnsi="Amiri" w:eastAsia="Amiri" w:cs="Amiri"/>
          <w:color w:val="111111"/>
          <w:sz w:val="28"/>
          <w:sz w:val="28"/>
          <w:szCs w:val="28"/>
          <w:rtl w:val="true"/>
          <w:lang w:bidi="ar-SA"/>
        </w:rPr>
        <w:t>وقبل بيان أقوال الفقهاء، لابدّ من الالتفات إلى أنّ ما يرفع شبهة التمييز هنا هو وجوب الخلع مع مطلق الكراهة، إلّا أنّ محلّ النزاع بين الفقهاء إنّما هو الصورة الثالثة من الصور التي ذكرها العلّامة الحلّي، والتيأسلفناها في بيان طلاق الخلع وأنواعه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ولكي ندرس تمام جوانب الموضوع، من الضروري عرض آراء الفقهاء واستدلالاتهم في هذه الصورة السالفة الإشارة إليها، ثمّ نخضعها للبحث والدراسة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قولان في القسم الثالث من طلاق الخلع</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المشهور بين الفقهاء، والقائل بعدم وجوب طلاق الخلع على الرجل</w:t>
      </w:r>
      <w:r>
        <w:rPr>
          <w:rFonts w:eastAsia="Amiri" w:cs="Amiri" w:ascii="Amiri" w:hAnsi="Amiri"/>
          <w:color w:val="111111"/>
          <w:sz w:val="28"/>
          <w:szCs w:val="28"/>
          <w:rtl w:val="true"/>
          <w:lang w:bidi="ar-SA"/>
        </w:rPr>
        <w:t xml:space="preserve">. </w:t>
      </w:r>
      <w:bookmarkStart w:id="893" w:name="pg9375_100071"/>
    </w:p>
    <w:p>
      <w:pPr>
        <w:pStyle w:val="BookText"/>
        <w:rPr/>
      </w:pPr>
      <w:bookmarkEnd w:id="893"/>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بعض الفقهاء مثل الشيخ الطوسي في النهاية،</w:t>
      </w:r>
      <w:r>
        <w:rPr>
          <w:rStyle w:val="FootnoteAnchor"/>
          <w:rtl w:val="true"/>
        </w:rPr>
        <w:footnoteReference w:id="2068"/>
      </w:r>
      <w:r>
        <w:rPr>
          <w:rFonts w:ascii="Amiri" w:hAnsi="Amiri" w:eastAsia="Amiri" w:cs="Amiri"/>
          <w:color w:val="111111"/>
          <w:sz w:val="28"/>
          <w:sz w:val="28"/>
          <w:szCs w:val="28"/>
          <w:rtl w:val="true"/>
          <w:lang w:bidi="ar-SA"/>
        </w:rPr>
        <w:t>وابن زهرة الحلبي في غنية النزوع،</w:t>
      </w:r>
      <w:r>
        <w:rPr>
          <w:rStyle w:val="FootnoteAnchor"/>
          <w:rtl w:val="true"/>
        </w:rPr>
        <w:footnoteReference w:id="2069"/>
      </w:r>
      <w:r>
        <w:rPr>
          <w:rFonts w:ascii="Amiri" w:hAnsi="Amiri" w:eastAsia="Amiri" w:cs="Amiri"/>
          <w:color w:val="111111"/>
          <w:sz w:val="28"/>
          <w:sz w:val="28"/>
          <w:szCs w:val="28"/>
          <w:rtl w:val="true"/>
          <w:lang w:bidi="ar-SA"/>
        </w:rPr>
        <w:t>وابن حمزة في الوسيلة</w:t>
      </w:r>
      <w:r>
        <w:rPr>
          <w:rStyle w:val="FootnoteAnchor"/>
          <w:rtl w:val="true"/>
        </w:rPr>
        <w:footnoteReference w:id="2070"/>
      </w:r>
      <w:r>
        <w:rPr>
          <w:rFonts w:ascii="Amiri" w:hAnsi="Amiri" w:eastAsia="Amiri" w:cs="Amiri"/>
          <w:color w:val="111111"/>
          <w:sz w:val="28"/>
          <w:sz w:val="28"/>
          <w:szCs w:val="28"/>
          <w:rtl w:val="true"/>
          <w:lang w:bidi="ar-SA"/>
        </w:rPr>
        <w:t>وأبي الصلاح الحلبي في الكافي،</w:t>
      </w:r>
      <w:r>
        <w:rPr>
          <w:rStyle w:val="FootnoteAnchor"/>
          <w:rtl w:val="true"/>
        </w:rPr>
        <w:footnoteReference w:id="2071"/>
      </w:r>
      <w:r>
        <w:rPr>
          <w:rFonts w:ascii="Amiri" w:hAnsi="Amiri" w:eastAsia="Amiri" w:cs="Amiri"/>
          <w:color w:val="111111"/>
          <w:sz w:val="28"/>
          <w:sz w:val="28"/>
          <w:szCs w:val="28"/>
          <w:rtl w:val="true"/>
          <w:lang w:bidi="ar-SA"/>
        </w:rPr>
        <w:t>وابن البرّاج في الكامل</w:t>
      </w:r>
      <w:r>
        <w:rPr>
          <w:rStyle w:val="FootnoteAnchor"/>
          <w:rtl w:val="true"/>
        </w:rPr>
        <w:footnoteReference w:id="2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وجوب طلاق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يفوتنا أنّ أوّل القائلين بهذا القول هو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النهاية</w:t>
      </w:r>
      <w:r>
        <w:rPr>
          <w:rFonts w:eastAsia="Amiri" w:cs="Amiri" w:ascii="Amiri" w:hAnsi="Amiri"/>
          <w:color w:val="111111"/>
          <w:sz w:val="28"/>
          <w:szCs w:val="28"/>
          <w:rtl w:val="true"/>
          <w:lang w:bidi="ar-SA"/>
        </w:rPr>
        <w:t>.</w:t>
      </w:r>
      <w:r>
        <w:rPr>
          <w:rStyle w:val="FootnoteAnchor"/>
          <w:rtl w:val="true"/>
        </w:rPr>
        <w:footnoteReference w:id="2073"/>
      </w:r>
    </w:p>
    <w:p>
      <w:pPr>
        <w:pStyle w:val="Heading4"/>
        <w:numPr>
          <w:ilvl w:val="3"/>
          <w:numId w:val="1"/>
        </w:numPr>
        <w:rPr/>
      </w:pPr>
      <w:bookmarkStart w:id="894" w:name="__RefHeading___Toc5417051_2870459653"/>
      <w:bookmarkStart w:id="895" w:name="_Toc318"/>
      <w:bookmarkEnd w:id="894"/>
      <w:r>
        <w:rPr>
          <w:rtl w:val="true"/>
        </w:rPr>
        <w:t>أدلة القائلين بعدم وجوب طلاق الخلع</w:t>
      </w:r>
      <w:bookmarkEnd w:id="895"/>
    </w:p>
    <w:p>
      <w:pPr>
        <w:pStyle w:val="Heading5"/>
        <w:numPr>
          <w:ilvl w:val="4"/>
          <w:numId w:val="1"/>
        </w:numPr>
        <w:rPr/>
      </w:pPr>
      <w:bookmarkStart w:id="896" w:name="__RefHeading___Toc5417053_2870459653"/>
      <w:bookmarkStart w:id="897" w:name="_Toc319"/>
      <w:bookmarkEnd w:id="896"/>
      <w:r>
        <w:rPr>
          <w:rtl w:val="true"/>
        </w:rPr>
        <w:t>اشارة</w:t>
      </w:r>
      <w:bookmarkEnd w:id="897"/>
    </w:p>
    <w:p>
      <w:pPr>
        <w:pStyle w:val="BookText"/>
        <w:rPr/>
      </w:pP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تمام الفقهاء القائلين بعدم الوجوب هنا إلى وجهين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 البراءة، أي براءة ذمّة الرجل عن حكم الوجوب، ولا معارض</w:t>
      </w:r>
      <w:bookmarkStart w:id="898" w:name="pg9375_100072"/>
    </w:p>
    <w:p>
      <w:pPr>
        <w:pStyle w:val="BookText"/>
        <w:rPr/>
      </w:pPr>
      <w:bookmarkEnd w:id="898"/>
      <w:r>
        <w:rPr>
          <w:rFonts w:ascii="IRNazanin" w:hAnsi="IRNazanin" w:eastAsia="IRNazanin"/>
          <w:color w:val="111111"/>
          <w:sz w:val="28"/>
          <w:sz w:val="28"/>
          <w:szCs w:val="28"/>
          <w:rtl w:val="true"/>
          <w:lang w:bidi="fa-IR"/>
        </w:rPr>
        <w:t>لهذا 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دليل لا من الكتاب ولا من السنّة على إلزام الرجل بالطلاق، ذلك أنّ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من سورة البقرة، التي تشكل الدليل الرئيس لطلاق الخلع، جاء فيها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الجواز لا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الحال في الروايات؛</w:t>
      </w:r>
      <w:r>
        <w:rPr>
          <w:rStyle w:val="FootnoteAnchor"/>
          <w:rtl w:val="true"/>
        </w:rPr>
        <w:footnoteReference w:id="2075"/>
      </w:r>
      <w:r>
        <w:rPr>
          <w:rFonts w:ascii="Amiri" w:hAnsi="Amiri" w:eastAsia="Amiri" w:cs="Amiri"/>
          <w:color w:val="111111"/>
          <w:sz w:val="28"/>
          <w:sz w:val="28"/>
          <w:szCs w:val="28"/>
          <w:rtl w:val="true"/>
          <w:lang w:bidi="ar-SA"/>
        </w:rPr>
        <w:t>حيث ورد التعبير في حقّ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له ما أخذ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مشعر بالجواز، وهناك ملازمة بين جواز الأخذ وجواز الطلاق لا وجوب الطلاق، وعليه فإلزام الرجل بالطلاق اجتهاد فيمقابل النصّ</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5417055_2870459653"/>
      <w:bookmarkStart w:id="900" w:name="_Toc320"/>
      <w:bookmarkEnd w:id="899"/>
      <w:r>
        <w:rPr>
          <w:rtl w:val="true"/>
        </w:rPr>
        <w:t>الإشكال على الاستدلال الأوّل</w:t>
      </w:r>
      <w:bookmarkEnd w:id="900"/>
    </w:p>
    <w:p>
      <w:pPr>
        <w:pStyle w:val="BookText"/>
        <w:rPr/>
      </w:pPr>
      <w:r>
        <w:rPr>
          <w:rFonts w:ascii="Amiri" w:hAnsi="Amiri" w:eastAsia="Amiri" w:cs="Amiri"/>
          <w:color w:val="111111"/>
          <w:sz w:val="28"/>
          <w:sz w:val="28"/>
          <w:szCs w:val="28"/>
          <w:rtl w:val="true"/>
          <w:lang w:bidi="ar-SA"/>
        </w:rPr>
        <w:t>لا يمكن الاعتماد على أصالة البراءة هنا؛ لما سيأتي من الأدلّة التي سنقيمها على القول المختار في المسألة، لأنّ أصل البراءة مبني على فقدان الأدلّة على الوجوب</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5417057_2870459653"/>
      <w:bookmarkStart w:id="902" w:name="_Toc321"/>
      <w:bookmarkEnd w:id="901"/>
      <w:r>
        <w:rPr>
          <w:rtl w:val="true"/>
        </w:rPr>
        <w:t>الإشكال على الاستدلال الثاني</w:t>
      </w:r>
      <w:bookmarkEnd w:id="902"/>
    </w:p>
    <w:p>
      <w:pPr>
        <w:pStyle w:val="BookText"/>
        <w:rPr/>
      </w:pPr>
      <w:r>
        <w:rPr>
          <w:rFonts w:ascii="Amiri" w:hAnsi="Amiri" w:eastAsia="Amiri" w:cs="Amiri"/>
          <w:color w:val="111111"/>
          <w:sz w:val="28"/>
          <w:sz w:val="28"/>
          <w:szCs w:val="28"/>
          <w:rtl w:val="true"/>
          <w:lang w:bidi="ar-SA"/>
        </w:rPr>
        <w:t>هذا الاستدلال غير تام أيضاً؛ وذلك</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من سورة البقرة والروايات الواردة في موضوع طلاق الخلع، ناظرة إلى حلّية الأخذ، وليست في مقام بيان حكم جواز الخلع وعدم وجوبه؛ وذلك أنّ أصل تشريع الطلاق جاء في القرآن، ومع ملاحظة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جُنَاحَ عَلَيْهِمَا فِيمَا افْتَدَتْ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الجمل السابقة التي يقول فيها الله العادل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يَحِلُّ لَكُمْ أَنْ تَأْخُذُوا مِمَّا آتَيْتُمُوهُنَّ شَيْئاً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نفهم أنّ المولى الحكيم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حرمة الأخذ الإجباري لأموال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واحداً، وهو دفع المرأة المهر أو مالاً من جانبها باختيارها ودون إجبار زوجها ومطالبتها بالطلاق منه، وعليه فالاستثناء من حكم الحرمة مربوط فقط بما بيّنته الآية حيث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خِفْتُمْ أَلَّا يُقِيمَا حُدُودَ اللهِفَلَا جُنَاحَ عَلَيْهِمَا فِيمَا افْتَدَتْ 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هنا استثناء منقطع يدلّ على خروج فرد مّا من حكم المستثنى</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منه، دون أن يكون هذا الفرد من أفراد المستثنى منه نفسه، تماماً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078"/>
      </w:r>
      <w:r>
        <w:rPr>
          <w:rFonts w:ascii="Amiri" w:hAnsi="Amiri" w:eastAsia="Amiri" w:cs="Amiri"/>
          <w:color w:val="111111"/>
          <w:sz w:val="28"/>
          <w:sz w:val="28"/>
          <w:szCs w:val="28"/>
          <w:rtl w:val="true"/>
          <w:lang w:bidi="ar-SA"/>
        </w:rPr>
        <w:t>فإنّ التجارة عن تراض، ليست من أفراد الباطل والمستثنى منه، لكنها استثنيت وأخرجت عن حكم المستثنى منه، وهو عدم جواز الأكل، وفي بحثنا الحكم المستثنى منه هو عدم جواز أخذ الأموال المدفوعة للمرأة، فيما حكم المستثنى هو جواز الأخذ في حالة تنفّر المرأة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هنا أنّ الروايات أيضاً ناظرة إلى هذا المطلب الذي جاء في القرآن الكريم، أي جواز وحلّية أخذ الأموال التي تدفعها المرأة لزوجها عن كامل إرادتها واختيارها حتّى يطلّقها، وليست الروايات في مقام بيان جواز الخلع أو وجوبه</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قبلنا بأنّ الآية والروايات كانت في مقام بيان جواز الخلع أيضاً، لكن لابدّ من الانتباه إلى أنّ جواز الخلع المستفاد منها لا ينافي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 </w:t>
      </w:r>
      <w:bookmarkStart w:id="903" w:name="pg9375_100074"/>
    </w:p>
    <w:p>
      <w:pPr>
        <w:pStyle w:val="BookText"/>
        <w:rPr/>
      </w:pPr>
      <w:bookmarkEnd w:id="903"/>
      <w:r>
        <w:rPr>
          <w:rFonts w:ascii="Amiri" w:hAnsi="Amiri" w:eastAsia="Amiri" w:cs="Amiri"/>
          <w:color w:val="111111"/>
          <w:sz w:val="28"/>
          <w:sz w:val="28"/>
          <w:szCs w:val="28"/>
          <w:rtl w:val="true"/>
          <w:lang w:bidi="ar-SA"/>
        </w:rPr>
        <w:t>باب النهي عن المنكر أم نفي الظلم أو العدل والارتكاز العقلائي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أكثر الأحكام مترتّبة على الموضوعات في حدّ نفسها وبما هي هي، أيأنّ الحكم يحمل على الطبيعة المطلقة، لا على مطلق الطبيعة مع تمام عوارضها وطوارئها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هذه النقطة أنّنا عند نقول بتعلّق الحكم بالطبيعة المطلقة للموضوع، فهذا معناه أنّ هذا الحكم يقبل التغيير مع الظروف الاختيارية أو مع العسر والحرج فهو حكم شأني، بخلاف المورد الذي يكون الحكم فيه منصباً على مطلق الطبيعة بتمام عوارض الموضوع وطوارئه، ففي هذه الحالة سيكون الحكم حكماً فعلياً من تمام الجهات لا يقبل التغيير بأيّ وجه من الوجوه، مثل الحكم بأنّ إجراء صيغة الطلاق جعله المولى بيد الرجل، والمرأة لا يمكنها إطلاقاً أن تجري صيغة الطلاق من طرف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أنّ جواز الخلع ليس حكماً فعلياً من تمام الجهات؛ ذلك أنّ فعلية حكم من تمام الجهات مخالفة لظواهر الأدلّة، فإذا أريد لحكم أن يكون فعلياً بهذا الشكل وبهذه الطريقة فلابدّ من إبراز شواهد وقرائن في أدلّته تعطي هذا المؤدّى، وفي موضوعنا هنا لا يوجد أي دليل من أدلّة طلاق الخلع يحتوي على هذا الشاهد وهذه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الخلع منصبّ على الموضوع بما هو هو والطبيعة المطلقة، فيقبل هذا الجواز التغيير</w:t>
      </w:r>
      <w:r>
        <w:rPr>
          <w:rFonts w:eastAsia="Amiri" w:cs="Amiri" w:ascii="Amiri" w:hAnsi="Amiri"/>
          <w:color w:val="111111"/>
          <w:sz w:val="28"/>
          <w:szCs w:val="28"/>
          <w:rtl w:val="true"/>
          <w:lang w:bidi="ar-SA"/>
        </w:rPr>
        <w:t>.</w:t>
      </w:r>
      <w:r>
        <w:rPr>
          <w:rStyle w:val="FootnoteAnchor"/>
          <w:rtl w:val="true"/>
        </w:rPr>
        <w:footnoteReference w:id="2079"/>
      </w:r>
    </w:p>
    <w:p>
      <w:pPr>
        <w:pStyle w:val="Heading3"/>
        <w:numPr>
          <w:ilvl w:val="2"/>
          <w:numId w:val="1"/>
        </w:numPr>
        <w:rPr/>
      </w:pPr>
      <w:bookmarkStart w:id="904" w:name="__RefHeading___Toc5417059_2870459653"/>
      <w:bookmarkStart w:id="905" w:name="_Toc322"/>
      <w:bookmarkEnd w:id="904"/>
      <w:r>
        <w:rPr>
          <w:rtl w:val="true"/>
        </w:rPr>
        <w:t>أدلّة القائلين بوجوب طلاق الخُلع</w:t>
      </w:r>
      <w:bookmarkEnd w:id="905"/>
    </w:p>
    <w:p>
      <w:pPr>
        <w:pStyle w:val="Heading4"/>
        <w:numPr>
          <w:ilvl w:val="3"/>
          <w:numId w:val="1"/>
        </w:numPr>
        <w:rPr/>
      </w:pPr>
      <w:bookmarkStart w:id="906" w:name="__RefHeading___Toc5417061_2870459653"/>
      <w:bookmarkStart w:id="907" w:name="_Toc323"/>
      <w:bookmarkEnd w:id="906"/>
      <w:r>
        <w:rPr>
          <w:rtl w:val="true"/>
        </w:rPr>
        <w:t>اشارة</w:t>
      </w:r>
      <w:bookmarkEnd w:id="907"/>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يستوعب مدّعانا وجوب الطلاق الخلعي على الرجل في تمامصور تنفّر </w:t>
      </w:r>
      <w:bookmarkStart w:id="908" w:name="pg9375_100075"/>
    </w:p>
    <w:p>
      <w:pPr>
        <w:pStyle w:val="BookText"/>
        <w:rPr/>
      </w:pPr>
      <w:bookmarkEnd w:id="908"/>
      <w:r>
        <w:rPr>
          <w:rFonts w:ascii="Amiri" w:hAnsi="Amiri" w:eastAsia="Amiri" w:cs="Amiri"/>
          <w:color w:val="111111"/>
          <w:sz w:val="28"/>
          <w:sz w:val="28"/>
          <w:szCs w:val="28"/>
          <w:rtl w:val="true"/>
          <w:lang w:bidi="ar-SA"/>
        </w:rPr>
        <w:t xml:space="preserve">الزوجة من الزوج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ذكر دليل الفقهاء القائلين بوجوب الطلاق في الصورة الخاصّة، التي هي الحالة الثالثة من حالات كراهة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نورد الأدلّة التي تفيد وجوب طلاق الخلع في تمام موارد الكراهة، وهي كالتالي</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5417063_2870459653"/>
      <w:bookmarkStart w:id="910" w:name="_Toc324"/>
      <w:bookmarkEnd w:id="909"/>
      <w:r>
        <w:rPr/>
        <w:t>1</w:t>
      </w:r>
      <w:r>
        <w:rPr>
          <w:rtl w:val="true"/>
        </w:rPr>
        <w:t xml:space="preserve">. </w:t>
      </w:r>
      <w:r>
        <w:rPr>
          <w:rtl w:val="true"/>
        </w:rPr>
        <w:t>وجوب النهي عن المنكر</w:t>
      </w:r>
      <w:bookmarkEnd w:id="910"/>
    </w:p>
    <w:p>
      <w:pPr>
        <w:pStyle w:val="Heading5"/>
        <w:numPr>
          <w:ilvl w:val="4"/>
          <w:numId w:val="1"/>
        </w:numPr>
        <w:rPr/>
      </w:pPr>
      <w:bookmarkStart w:id="911" w:name="__RefHeading___Toc5417065_2870459653"/>
      <w:bookmarkStart w:id="912" w:name="_Toc325"/>
      <w:bookmarkEnd w:id="911"/>
      <w:r>
        <w:rPr>
          <w:rtl w:val="true"/>
        </w:rPr>
        <w:t>اشارة</w:t>
      </w:r>
      <w:bookmarkEnd w:id="912"/>
    </w:p>
    <w:p>
      <w:pPr>
        <w:pStyle w:val="BookText"/>
        <w:rPr/>
      </w:pP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تبدي المرأة كراهتها العيش مع زوجها، فإذا لم يطلّقها الرجل فمن الممكن أن تتخلّى عن بعض الواجبات المفروضة عليها تجاه زوجها، وهذا ما يجعلها تسقط في المعصية والمنكر، وبناءً عليه، وللحيلولة دون معصية المرأة وفعلها المنكر، يجب على الزوج تطليقها وتخلية سبيلها</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5417067_2870459653"/>
      <w:bookmarkStart w:id="914" w:name="_Toc326"/>
      <w:bookmarkEnd w:id="913"/>
      <w:r>
        <w:rPr>
          <w:rtl w:val="true"/>
        </w:rPr>
        <w:t>الإشكالات الواردة على هذا الاستدلال</w:t>
      </w:r>
      <w:bookmarkEnd w:id="914"/>
    </w:p>
    <w:p>
      <w:pPr>
        <w:pStyle w:val="BookText"/>
        <w:rPr/>
      </w:pPr>
      <w:r>
        <w:rPr>
          <w:rFonts w:ascii="Amiri" w:hAnsi="Amiri" w:eastAsia="Amiri" w:cs="Amiri"/>
          <w:color w:val="111111"/>
          <w:sz w:val="28"/>
          <w:sz w:val="28"/>
          <w:szCs w:val="28"/>
          <w:rtl w:val="true"/>
          <w:lang w:bidi="ar-SA"/>
        </w:rPr>
        <w:t>أشكل مشهور الفقهاء على هذا الدليل وردّوه، وترجع عمدة إشكالاتهم إلى ثلاثة، هي</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5417069_2870459653"/>
      <w:bookmarkStart w:id="916" w:name="_Toc327"/>
      <w:bookmarkEnd w:id="915"/>
      <w:r>
        <w:rPr>
          <w:rtl w:val="true"/>
        </w:rPr>
        <w:t>الإشكال الأوّل وردّه</w:t>
      </w:r>
      <w:bookmarkEnd w:id="916"/>
    </w:p>
    <w:p>
      <w:pPr>
        <w:pStyle w:val="BookText"/>
        <w:rPr/>
      </w:pPr>
      <w:r>
        <w:rPr>
          <w:rFonts w:ascii="Amiri" w:hAnsi="Amiri" w:eastAsia="Amiri" w:cs="Amiri"/>
          <w:color w:val="111111"/>
          <w:sz w:val="28"/>
          <w:sz w:val="28"/>
          <w:szCs w:val="28"/>
          <w:rtl w:val="true"/>
          <w:lang w:bidi="ar-SA"/>
        </w:rPr>
        <w:t>لا ينحصر طريق النهي عن المنكر بالطلاق الخلعي؛ وذلك أنّ النهي عن المنكر يمكن أن يقع عن طريق الطلاق العادي، أي أنّ الرجل يطلق زوجته دون أخذ المال منها، فعدم أخذه المال يوجب حفظ غيرته ومكانته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الإشكال ليس وارداً؛ لأنّه إذا قيل بوجوب الطلاق على الزوج الذي </w:t>
      </w:r>
      <w:bookmarkStart w:id="917" w:name="pg9375_100076"/>
    </w:p>
    <w:p>
      <w:pPr>
        <w:pStyle w:val="BookText"/>
        <w:rPr/>
      </w:pPr>
      <w:bookmarkEnd w:id="917"/>
      <w:r>
        <w:rPr>
          <w:rFonts w:ascii="Amiri" w:hAnsi="Amiri" w:eastAsia="Amiri" w:cs="Amiri"/>
          <w:color w:val="111111"/>
          <w:sz w:val="28"/>
          <w:sz w:val="28"/>
          <w:szCs w:val="28"/>
          <w:rtl w:val="true"/>
          <w:lang w:bidi="ar-SA"/>
        </w:rPr>
        <w:t>تكرهه زوجته، وهو سعيد معها غير متأذٍ من حياته العائلية، مع عدم أخذه المال، فإنّ الحكم بالوجوب هنا ظلمٌ على الرجل نفسه، لأنّ قطع العلاقة الأسرية وتدمير العائلة، يترك آثاراً روحيةً ونفسيةً ضاغطة على الزوج الذي يرغب ببقاء هذه العلاقة الأسرية، فإذا ألزمناه بالطلاق مع دفع المال فسيكون ذلك ضرراً عليه، من حيث ما دفعه من أموال لتكوين هذه الأُسرة والمصاريف التي قدّمها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أنّ هذا الإشكال نفسه يُثبت مطلوبنا ومقصودنا، وهو وجوب الطلاق على الرجل في حالة طلب الزوجة وكراهتها للزوج، بل هو ينتج أزيد ممّا نطلبه، إذ بهذا النوع من الطلاق تتحرّر المرأة بإرادتها من قيد الزوجية، وتأخذ معها مبلغاً من المال أيضاً، على خلاف طلاق الخلع الذي يفرض على الزوجة دفع شيء مقابل تحرّرها من عُلقة الزوجية، وبناءً عليه، وللحيلولة دون ظلم الرجل، لابدّ من القول بأنّ السبيل الوحيد للنهي عن المنكر في موضوع طلاق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كراهة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في طلاق الخلع نفسه، لا في الطلاق العادي</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5417071_2870459653"/>
      <w:bookmarkStart w:id="919" w:name="_Toc328"/>
      <w:bookmarkEnd w:id="918"/>
      <w:r>
        <w:rPr>
          <w:rtl w:val="true"/>
        </w:rPr>
        <w:t>الإشكال الثاني وجوابه</w:t>
      </w:r>
      <w:bookmarkEnd w:id="919"/>
    </w:p>
    <w:p>
      <w:pPr>
        <w:pStyle w:val="Heading6"/>
        <w:numPr>
          <w:ilvl w:val="5"/>
          <w:numId w:val="1"/>
        </w:numPr>
        <w:rPr/>
      </w:pPr>
      <w:bookmarkStart w:id="920" w:name="__RefHeading___Toc5417073_2870459653"/>
      <w:bookmarkStart w:id="921" w:name="_Toc329"/>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لابدّ في المنكر أن يتحقّق في الخارج حتّى يغدو رفعه والنهي عنه واجباً، وفيما نحن فيه لم يحصل من المرأة فعلٌ للمنكر وإنّما صدر منها مجرّد التنفّر والكراهة لزوجها، وعليه لا يمكن الحكم بوجوب الطلاق على الزوج للمنع من وقوع زوجته في المنكر، فالاستدلال بالنهي عن المنكر لإلزام الرجل بالطلاق لا وجه له،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رفع المنكر لا دفعه</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الجواب عن هذا الإشكال يمكننا القول بأنّ دفع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ولتجلية هذه النقطة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فلسفة النهي عن المنكر هي الحيلولة دون وقوع </w:t>
      </w:r>
      <w:bookmarkStart w:id="922" w:name="pg9375_100077"/>
    </w:p>
    <w:p>
      <w:pPr>
        <w:pStyle w:val="BookText"/>
        <w:rPr/>
      </w:pPr>
      <w:bookmarkEnd w:id="922"/>
      <w:r>
        <w:rPr>
          <w:rFonts w:ascii="Amiri" w:hAnsi="Amiri" w:eastAsia="Amiri" w:cs="Amiri"/>
          <w:color w:val="111111"/>
          <w:sz w:val="28"/>
          <w:sz w:val="28"/>
          <w:szCs w:val="28"/>
          <w:rtl w:val="true"/>
          <w:lang w:bidi="ar-SA"/>
        </w:rPr>
        <w:t>المفاسد وإصلاح المجتمع، وهذه العلّة موجودة أيضاً في دفع المنكر، كما أنّ رفع المنكر يرجع في الحقيقة إلى دفعه، ذلك أنّه في رفعه يكون قد وقع منكرٌ ما، ويريد الناهي بنهيه عدم قيام الفاعل مرّة ثانية بهذا الفعل السيء والقبيح، وهذا بنفسه دفع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أنّ فلسفة رفع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القيام بالمنكرات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بشكل أقوى في دفع المنكر؛ لأنّ الشارع الحكيم يمكنه، بإيجاب دفع المنكر ابتداءً، الحيلولة دون أصل القيام بالمنكر من رأس،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وقاية خير من قنطار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يشكل على المناط المشار إليه بأنّه مع الأخذ بعين الاعتبار فلسفة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شخصٌ منكراً، فلامعنى بعد ذلك لوجوب نهيه عن المنكر، لأنّ المنكر 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عن هذا الكلام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الشارع على المكلّف بوجوب النهي عن المنكر الذي وقع وتحقّق إنّما هو لأنّ صدور هذا المنكر من جانب العاصي يمثل قرينةً على تكرار هذا الشخص لهذا الفعل مرّةً أُخرى، وعليه فقد أمر الشارع بالنهي عن المنكر حتّى لا يكرّر هذا العاصي فعله في المستقبل مرّةً أُخرى، من هنا تظل فلسفة النهي عن المنكر باقيةً على حالها لا تلغو ولا تبطل، فإذا حصل اطمئنان بأنّ شخصاً سوف يوقع المنكر فيما بعد ولم يوقعه حتّى الآن فالنهي عن المنكر في مورده يكون واجباً أيضاً، رغم أنّه لم يوقع المنكر بعدُ، ولابدّ من دفع هذا الشخص كي لا يصدر عنه الذنب</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5417075_2870459653"/>
      <w:bookmarkStart w:id="924" w:name="_Toc330"/>
      <w:bookmarkEnd w:id="923"/>
      <w:r>
        <w:rPr>
          <w:rtl w:val="true"/>
        </w:rPr>
        <w:t>الإشكال الثالث والجواب عنه</w:t>
      </w:r>
      <w:bookmarkEnd w:id="924"/>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سلّمنا وقبلنا بأنّ هذا الكلام من المرأة وكراهتها منكرٌ، وأنّ رفع المنكر </w:t>
      </w:r>
    </w:p>
    <w:p>
      <w:pPr>
        <w:pStyle w:val="BookText"/>
        <w:rPr/>
      </w:pPr>
      <w:r>
        <w:rPr>
          <w:rFonts w:ascii="Amiri" w:hAnsi="Amiri" w:eastAsia="Amiri" w:cs="Amiri"/>
          <w:color w:val="111111"/>
          <w:sz w:val="28"/>
          <w:sz w:val="28"/>
          <w:szCs w:val="28"/>
          <w:rtl w:val="true"/>
          <w:lang w:bidi="ar-SA"/>
        </w:rPr>
        <w:t>واجب، إلّا أنّه قد ثبت في محلّه أنّ النهي عن المنكر غير واجب إذا لزم منه زوال حقّ الناهي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المرأة تريد أو قد تقع في الحرام لا يمكننا أن نقول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عليك طلاقها حتّى لا يتكرّر منها فعل المنكر؛ لأنّ الطلاق مفض إلى ذهاب حقّ الرجل الذي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حياته الزوجية مع امرأته، ومن الواضح أنّه لا يقول بهذا الكلام فقيهٌ قطّ؛ لأنّه إذا كان النهي عن المنكر واجباً بشكل مطلق ودون قيد أو شرط، لزموقوع لوازم باطلة؛ منها القول بأنّ العبد عند ما لا يطيع مولاه في الأُمور الراجعة إلى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يعصي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المولى من باب النهي عن المنكر، وحتّى لا يرتكب العبد إصراراً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يحرّره من رق العبودية ويطلق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هذا الإشكال واضح؛ وذلك أنّنا نقبل أيضاً بأنّ الحيلولة دون وقوع الذنب من الآخرين لا يفترض أن تؤدّي إلى ذهاب حقوق الناهين عن المنكر أو أيّ شخص آخر، وهذه قاعدة عقلائية وشرعية، إلّا أنّ إشكالنا هنا يكمن في أنّ إلزام الرجل بالطلاق الخلعي لا يضيّع حقّاً من حقوقه؛ لأنّ طلاق الخلع يعطي الرجل الأموال التي دفعها مهراً لزوجته، فيما تأخذ المرأة ما كان مقابلاً لهذا المهر، وهو البضع، بحيث لا يصبح للرجل بعد ذلك حقّ التصرّف في بضعها، وعليه، يكون الموقف مقارباً لعودة العوضين إلى المالك الأصلي والسابق، ولا يفوت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أحد، حتّى يقال بعدم إمكان إجراء النهي عن المنكر لإفضائه إلى ضياع حقّ الناهي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نقبل الكبرى الكلّية، إلّا أنّ ما نرفضه هو تطبيق الكبرى على الصغرى، فلا نعتبر هذه الصغرى مصداقاً للقاعدة الكلّية العقلائية المذكورة</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يُشكل على هذا الجواب بأنّ الذي يضيع على الرجل هو حقّه في بقاء حياته </w:t>
      </w:r>
      <w:bookmarkStart w:id="925" w:name="pg9375_100079"/>
    </w:p>
    <w:p>
      <w:pPr>
        <w:pStyle w:val="BookText"/>
        <w:rPr/>
      </w:pPr>
      <w:bookmarkEnd w:id="925"/>
      <w:r>
        <w:rPr>
          <w:rFonts w:ascii="Amiri" w:hAnsi="Amiri" w:eastAsia="Amiri" w:cs="Amiri"/>
          <w:color w:val="111111"/>
          <w:sz w:val="28"/>
          <w:sz w:val="28"/>
          <w:szCs w:val="28"/>
          <w:rtl w:val="true"/>
          <w:lang w:bidi="ar-SA"/>
        </w:rPr>
        <w:t>الزوجية حيث يلزم هنا صيرورته بلا زوجة، وهذا ما يعني أنّ إشكاليةالتعارض بين وجوب النهي عن المنكر ولحوق الضرر للناهي ما تزال باقيةً على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غير وارد أيضاً، إذ في الطلاق العادي الذي يدفع فيه الرجل المهر ويطلّق زوجته ستكون الزوجة بلا زوج، وهذا ما يؤدّي إلى ضياع حقّ المرأة، وقد علمتَ أنّه لا ضياع للحقوق في الموردين معاً، ولم يحلقهما ظلم، ذلك أنّ ما قدّمه كلّ واحد منهما بعنوان العوض قد عاد إليه</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5417077_2870459653"/>
      <w:bookmarkStart w:id="927" w:name="_Toc331"/>
      <w:bookmarkEnd w:id="926"/>
      <w:r>
        <w:rPr/>
        <w:t>2</w:t>
      </w:r>
      <w:r>
        <w:rPr>
          <w:rtl w:val="true"/>
        </w:rPr>
        <w:t xml:space="preserve">. </w:t>
      </w:r>
      <w:r>
        <w:rPr>
          <w:rtl w:val="true"/>
        </w:rPr>
        <w:t>الارتكاز والاعتبار العقلائي في العقود</w:t>
      </w:r>
      <w:bookmarkEnd w:id="927"/>
    </w:p>
    <w:p>
      <w:pPr>
        <w:pStyle w:val="BookText"/>
        <w:rPr/>
      </w:pPr>
      <w:r>
        <w:rPr>
          <w:rFonts w:ascii="Amiri" w:hAnsi="Amiri" w:eastAsia="Amiri" w:cs="Amiri"/>
          <w:color w:val="111111"/>
          <w:sz w:val="28"/>
          <w:sz w:val="28"/>
          <w:szCs w:val="28"/>
          <w:rtl w:val="true"/>
          <w:lang w:bidi="ar-SA"/>
        </w:rPr>
        <w:t xml:space="preserve">يقضي الارتكاز والاعتبار العقلائي في العقود بأنّه إذا كان عقدٌ مّا لازماً فإنّ لزومه يكون من ناحية طرفي العقد، كذلك إذا كان جائزاً فإنّ جوازه يطالهما معاً، أمّا الاختلاف بين الطرفين في لزوم العقد وجوازه، بحيث يكون لازماً بالنسبة لأحد الطرفين وجائزاً بالنسبة للطرف الآخر، فهو مخالف للارتكاز العقلائي؛ إذ لا يرى العقلاء مبرراً لإعطاء أحد الطرفين قرار فسخ العقد باختياره فيما يُحرم الطرف الآخر من هذا الحقّ، بل يرونه تمييزاً وترجيحاً بلا مرجّح ولا مبرّر،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 حقوق الأفراد، ويخالف الحياة الاجتماعية، كما يناقض مبدأ المساواة في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استقراء تمام العقود التأسيسية والإمضائية ودراستها يدلّ على موافقة ما قلناه من الاعتبار العقلائي، فلا يمكن أن نجد عقداً يكون لازماً من أحد الطرفين فيما يكون جائزاً من الطرف الآخر، فإذا كان لأحد الطرفين حقّ فسخ العقد وإلغائه فلابدّ أن يثبت هذا الحقّ للطرف الآخر</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مسألتنا هنا، لا يقبل العقلاء أن يكون للرجل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أنيفسخ أو يلغي أو يبطل عقد النكاح القائم بطرفين اثنين، فيما تسلب المرأة التي هي طرفٌ </w:t>
      </w:r>
    </w:p>
    <w:p>
      <w:pPr>
        <w:pStyle w:val="BookText"/>
        <w:rPr/>
      </w:pPr>
      <w:r>
        <w:rPr>
          <w:rFonts w:ascii="Amiri" w:hAnsi="Amiri" w:eastAsia="Amiri" w:cs="Amiri"/>
          <w:color w:val="111111"/>
          <w:sz w:val="28"/>
          <w:sz w:val="28"/>
          <w:szCs w:val="28"/>
          <w:rtl w:val="true"/>
          <w:lang w:bidi="ar-SA"/>
        </w:rPr>
        <w:t>أساس في هذا العقد من مثل هذا الحقّ، وبناءً عليه يقول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مجال لأنّ تطلّق المرأة نفسها، فلابدّ من العثور على سبيل يمكّن المرأة من إلزام الرجل بإلغاء العقد، ولو لم يرغب الرجل في ذلك أو يرده؛ حتّى تتمّ بهذه الطريقة مراعاة البناء العقلائي في العقود، وهو البناء الذي لم يرد أيّ دليل على الردع عنه، لا عموماً ولا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هذا الارتكاز العقلائي في العقود ممضى من الشارع أيضاً ومقبول، إلّا في موارد منع الشارع نفسه عنها، فعند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للرجل متى أراد أن يطلّق زوجته مع دفعه المهر لها، فهذا إنّما يقبل عقلائياً به ويحكم العقلاء بكونه حكماً عادلاً عند ما تطالب المرأة به، وتدفع المهر أو تهبه وتتنازل عنه، فيكون الرجل ملزماً بطلاق المرأة، وهذه الملازمة توافق الأُصول والضوابط الإسلامية وكذلك عدالة الأحكام التشريعية، التي تدلّ عليها أيضاً نصوص الكتاب والسنّة،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ascii="IRNazanin" w:hAnsi="IRNazanin" w:eastAsia="IRNazanin"/>
          <w:color w:val="111111"/>
          <w:sz w:val="28"/>
          <w:sz w:val="28"/>
          <w:szCs w:val="28"/>
          <w:rtl w:val="true"/>
          <w:lang w:bidi="fa-IR"/>
        </w:rPr>
        <w:t>،</w:t>
      </w:r>
      <w:r>
        <w:rPr>
          <w:rStyle w:val="FootnoteAnchor"/>
          <w:rtl w:val="true"/>
        </w:rPr>
        <w:footnoteReference w:id="2081"/>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ascii="IRNazanin" w:hAnsi="IRNazanin" w:eastAsia="IRNazanin"/>
          <w:color w:val="111111"/>
          <w:sz w:val="28"/>
          <w:sz w:val="28"/>
          <w:szCs w:val="28"/>
          <w:rtl w:val="true"/>
          <w:lang w:bidi="fa-IR"/>
        </w:rPr>
        <w:t>،</w:t>
      </w:r>
      <w:r>
        <w:rPr>
          <w:rStyle w:val="FootnoteAnchor"/>
          <w:rtl w:val="true"/>
        </w:rPr>
        <w:footnoteReference w:id="2082"/>
      </w:r>
      <w:r>
        <w:rPr>
          <w:rFonts w:ascii="Amiri" w:hAnsi="Amiri" w:eastAsia="Amiri" w:cs="Amiri"/>
          <w:color w:val="111111"/>
          <w:sz w:val="28"/>
          <w:sz w:val="28"/>
          <w:szCs w:val="28"/>
          <w:rtl w:val="true"/>
          <w:lang w:bidi="ar-SA"/>
        </w:rPr>
        <w:t>كما يعتبر العقلاء أنّ ما يخالف هذه الملازمة مخالفٌ للعدل فيكون ظلماً</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العقل والعقلاء من القبيح أن يكون هناك أمرٌ غيراختياري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الرجولة أو الأُنوثة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لإعطاء تمام الصلاحيات لأحد طرفي العقد، ويكون هذا الأمر غير الاختياري نفسه موجباً لفقد أحد الطرفين المستعدّ لمراعاة تمام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صلاحياته؛ فإنّ الرجولة أو الأُنوثة ليست في يد الإنسان،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يَهَبُ لِمَنْ يَشَاءُ إِنَاثاً وَيَهَبُ لِمَنْ يَشَاءُ الذُّكُورَ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3"/>
      </w:r>
      <w:bookmarkStart w:id="928" w:name="pg9375_100081"/>
    </w:p>
    <w:p>
      <w:pPr>
        <w:pStyle w:val="BookText"/>
        <w:rPr/>
      </w:pPr>
      <w:bookmarkEnd w:id="928"/>
      <w:r>
        <w:rPr>
          <w:rFonts w:ascii="Amiri" w:hAnsi="Amiri" w:eastAsia="Amiri" w:cs="Amiri"/>
          <w:color w:val="111111"/>
          <w:sz w:val="28"/>
          <w:sz w:val="28"/>
          <w:szCs w:val="28"/>
          <w:rtl w:val="true"/>
          <w:lang w:bidi="ar-SA"/>
        </w:rPr>
        <w:t xml:space="preserve">ونشير إلى أنّ أيّ مقنّن في الأُمور الاختيارية الإرادية يمكنه أن يضع تفاوتاً واختلافاً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المصالح الكامنة في تقنيناته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الأفراد في صلاحياتهم وحقّهم في الاختيار والانتخاب والإرادة، ولا يوجد قبح عقلي ولا ظلم في ذلك؛ لا في الأُمور غير الاختيارية كالذكورة والأُنوثة</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5417079_2870459653"/>
      <w:bookmarkStart w:id="930" w:name="_Toc332"/>
      <w:bookmarkEnd w:id="929"/>
      <w:r>
        <w:rPr/>
        <w:t>3</w:t>
      </w:r>
      <w:r>
        <w:rPr>
          <w:rtl w:val="true"/>
        </w:rPr>
        <w:t xml:space="preserve">. </w:t>
      </w:r>
      <w:r>
        <w:rPr>
          <w:rtl w:val="true"/>
        </w:rPr>
        <w:t>حكم العقل</w:t>
      </w:r>
      <w:bookmarkEnd w:id="930"/>
    </w:p>
    <w:p>
      <w:pPr>
        <w:pStyle w:val="BookText"/>
        <w:rPr/>
      </w:pPr>
      <w:r>
        <w:rPr>
          <w:rFonts w:ascii="Amiri" w:hAnsi="Amiri" w:eastAsia="Amiri" w:cs="Amiri"/>
          <w:color w:val="111111"/>
          <w:sz w:val="28"/>
          <w:sz w:val="28"/>
          <w:szCs w:val="28"/>
          <w:rtl w:val="true"/>
          <w:lang w:bidi="ar-SA"/>
        </w:rPr>
        <w:t xml:space="preserve">يحكم العقل بقبح تمكين الزوج لوحده من طلاق زوجته مع دفعه المهر لها متى أراد حتّى لو لم ترضَ الزوجة بذلك، فيما تحرم المرأة من ذلك، فلا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بالتخلّي عن مهرها أو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تلزم الزوج بطلاقها، ففي هذا النوع من الموارد يحكم العقل بأنّ هذا ظلم على المرأة، لأنّ العقل لا يرى اختلافاً بين المرأة والرجل في مثل هذا الحقّ؛ فإذا أراد الشارع الردع عن هذا الحكم العقلي أو الارتكازات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الضروري أن يردع عبّر نصوص كثيرة وصريحة، ويبيّن خطأ هذه الارتكازات واشتباهها، فالشارع يجب عليه أن يبيّن خطأ حكم العقل بالظلم أو القبح في فعل مّا، بياناً واضحاً جلياً متيناً، وإلّا فرواية واحدة أو دليل شرعي يقع على خلافحكم العقل سوف يسقطان عن الحجّية تلقائياً، ذلك أنّ المخالف لحكم العقل لا يمكنه أن يكشف عن بطلان الإدراك العقلي، وبناءً عليه فالشارع الحكيم مطالب بتفهيم خطأ الإدراك العقلي للمكلّف عبر إقامة أدلّة وبراهين ونصوص كثيرة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موردنا لا توجد فيه أيّ رواية أو نصّ، فكيف بنصوص وروايات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الاستناد إليه والتمسّك به هو إطلاق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4"/>
      </w:r>
      <w:r>
        <w:rPr>
          <w:rFonts w:ascii="Amiri" w:hAnsi="Amiri" w:eastAsia="Amiri" w:cs="Amiri"/>
          <w:color w:val="111111"/>
          <w:sz w:val="28"/>
          <w:sz w:val="28"/>
          <w:szCs w:val="28"/>
          <w:rtl w:val="true"/>
          <w:lang w:bidi="ar-SA"/>
        </w:rPr>
        <w:t xml:space="preserve">وهو حديث مخالف لمبدأ العدل </w:t>
      </w:r>
      <w:bookmarkStart w:id="931" w:name="pg9375_100082"/>
    </w:p>
    <w:p>
      <w:pPr>
        <w:pStyle w:val="BookText"/>
        <w:rPr/>
      </w:pPr>
      <w:bookmarkEnd w:id="931"/>
      <w:r>
        <w:rPr>
          <w:rFonts w:ascii="Amiri" w:hAnsi="Amiri" w:eastAsia="Amiri" w:cs="Amiri"/>
          <w:color w:val="111111"/>
          <w:sz w:val="28"/>
          <w:sz w:val="28"/>
          <w:szCs w:val="28"/>
          <w:rtl w:val="true"/>
          <w:lang w:bidi="ar-SA"/>
        </w:rPr>
        <w:t>ورفض الظلم في أحكام الإسلام، وقد بيّنّا أنّه لا حجّية لظهور الدليل المخالف للأُصول المسلّمة العقلية والنقلية، وهي العدل، وعدم الظلم في أحكام الإسلام، وعدم مخالفة الأحكام للعقل، فما ذا لو أردنا أن يكون إطلاق مثل هذه الرواية هو الدليل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لا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 العقل بظلم الحكم 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على الرجل مع كراهة الزوجة وتقديمها المال له وقبحه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القول بوجوب مثل هذا الطلاق الخلعي؛ انطلاقاً من حكم العقل بقبح الجواز، وحكمه بحسن اللزوم والإيجاب</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5417081_2870459653"/>
      <w:bookmarkStart w:id="933" w:name="_Toc333"/>
      <w:bookmarkEnd w:id="932"/>
      <w:r>
        <w:rPr>
          <w:rtl w:val="true"/>
        </w:rPr>
        <w:t>إشكالات على مبدأ القول بوجوب الخُلع</w:t>
      </w:r>
      <w:bookmarkEnd w:id="933"/>
    </w:p>
    <w:p>
      <w:pPr>
        <w:pStyle w:val="Heading4"/>
        <w:numPr>
          <w:ilvl w:val="3"/>
          <w:numId w:val="1"/>
        </w:numPr>
        <w:rPr/>
      </w:pPr>
      <w:bookmarkStart w:id="934" w:name="__RefHeading___Toc5417083_2870459653"/>
      <w:bookmarkStart w:id="935" w:name="_Toc334"/>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بعد الفراغ عن الأدلّة التي سقناها لإثبات القول المختار، وهو إلزام الرجل بالطلاق بعد دفع المرأة أو تنازلها عن المهر وكراهتها للرجل،نحاول هنا إكمال البحث عبر مطالعة الإشكالات التي يمكن أن ترد على هذه الأدلّة الدالّة على مبدأ القول بوجوب الخلع</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5417085_2870459653"/>
      <w:bookmarkStart w:id="937" w:name="_Toc335"/>
      <w:bookmarkEnd w:id="936"/>
      <w:r>
        <w:rPr>
          <w:rtl w:val="true"/>
        </w:rPr>
        <w:t>الإشكال الأوّل</w:t>
      </w:r>
      <w:bookmarkEnd w:id="937"/>
    </w:p>
    <w:p>
      <w:pPr>
        <w:pStyle w:val="Heading5"/>
        <w:numPr>
          <w:ilvl w:val="4"/>
          <w:numId w:val="1"/>
        </w:numPr>
        <w:rPr/>
      </w:pPr>
      <w:bookmarkStart w:id="938" w:name="__RefHeading___Toc5417087_2870459653"/>
      <w:bookmarkStart w:id="939" w:name="_Toc336"/>
      <w:bookmarkEnd w:id="938"/>
      <w:r>
        <w:rPr>
          <w:rtl w:val="true"/>
        </w:rPr>
        <w:t>اشارة</w:t>
      </w:r>
      <w:bookmarkEnd w:id="939"/>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وجوب طلاق الخلع على الرجل ينافي الرواية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2085"/>
      </w:r>
      <w:r>
        <w:rPr>
          <w:rFonts w:ascii="Amiri" w:hAnsi="Amiri" w:eastAsia="Amiri" w:cs="Amiri"/>
          <w:color w:val="111111"/>
          <w:sz w:val="28"/>
          <w:sz w:val="28"/>
          <w:szCs w:val="28"/>
          <w:rtl w:val="true"/>
          <w:lang w:bidi="ar-SA"/>
        </w:rPr>
        <w:t>وذلك أنّ ظاهر هذه الرواية كون الرجل كامل الحرّية والإرادة في أمر الطلاق، وهذا الأمر يعارض الحكم بوجوب الطلاق على الرجل، وعند ما تقع المعارضة تقدّم هذه الرواية على الوجوه والأدلّة المقدّمة لصالح نظرية وجوب الطلاق على الرجل؛ لأنّها رواية موافقة للكتاب ولما وصلنا من روايات في خصوص طلاق الخلع، فيكون الحكم بالوجوب اجتهادٌ في مقابل النصّ</w:t>
      </w:r>
      <w:r>
        <w:rPr>
          <w:rFonts w:eastAsia="Amiri" w:cs="Amiri" w:ascii="Amiri" w:hAnsi="Amiri"/>
          <w:color w:val="111111"/>
          <w:sz w:val="28"/>
          <w:szCs w:val="28"/>
          <w:rtl w:val="true"/>
          <w:lang w:bidi="ar-SA"/>
        </w:rPr>
        <w:t xml:space="preserve">. </w:t>
      </w:r>
      <w:bookmarkStart w:id="940" w:name="pg9375_100083"/>
    </w:p>
    <w:p>
      <w:pPr>
        <w:pStyle w:val="Heading5"/>
        <w:numPr>
          <w:ilvl w:val="4"/>
          <w:numId w:val="1"/>
        </w:numPr>
        <w:rPr/>
      </w:pPr>
      <w:bookmarkStart w:id="941" w:name="__RefHeading___Toc5417089_2870459653"/>
      <w:bookmarkStart w:id="942" w:name="_Toc337"/>
      <w:bookmarkEnd w:id="940"/>
      <w:bookmarkEnd w:id="941"/>
      <w:r>
        <w:rPr>
          <w:rtl w:val="true"/>
        </w:rPr>
        <w:t>دراسة في الحديث النبوي</w:t>
      </w:r>
      <w:r>
        <w:rPr>
          <w:rtl w:val="true"/>
        </w:rPr>
        <w:t>:«</w:t>
      </w:r>
      <w:r>
        <w:rPr>
          <w:rtl w:val="true"/>
        </w:rPr>
        <w:t>الطلاق بيد من أخذ بالساق</w:t>
      </w:r>
      <w:r>
        <w:rPr>
          <w:rtl w:val="true"/>
        </w:rPr>
        <w:t>»</w:t>
      </w:r>
      <w:bookmarkEnd w:id="942"/>
    </w:p>
    <w:p>
      <w:pPr>
        <w:pStyle w:val="BookText"/>
        <w:rPr/>
      </w:pPr>
      <w:r>
        <w:rPr>
          <w:rFonts w:ascii="Amiri" w:hAnsi="Amiri" w:eastAsia="Amiri" w:cs="Amiri"/>
          <w:color w:val="111111"/>
          <w:sz w:val="28"/>
          <w:sz w:val="28"/>
          <w:szCs w:val="28"/>
          <w:rtl w:val="true"/>
          <w:lang w:bidi="ar-SA"/>
        </w:rPr>
        <w:t>يمكن دراسة هذه الرواية من 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سند الحديث</w:t>
      </w:r>
    </w:p>
    <w:p>
      <w:pPr>
        <w:pStyle w:val="BookText"/>
        <w:rPr/>
      </w:pPr>
      <w:r>
        <w:rPr>
          <w:rFonts w:ascii="Amiri" w:hAnsi="Amiri" w:eastAsia="Amiri" w:cs="Amiri"/>
          <w:color w:val="111111"/>
          <w:sz w:val="28"/>
          <w:sz w:val="28"/>
          <w:szCs w:val="28"/>
          <w:rtl w:val="true"/>
          <w:lang w:bidi="ar-SA"/>
        </w:rPr>
        <w:t>هذه الرواية رواية سنّية؛ فلم ينقلها سوى أهل السنّة في كتبهم؛ ولم ينقل ما يشابه هذه الرواية في المصادر الشيعية</w:t>
      </w:r>
      <w:r>
        <w:rPr>
          <w:rFonts w:eastAsia="Amiri" w:cs="Amiri" w:ascii="Amiri" w:hAnsi="Amiri"/>
          <w:color w:val="111111"/>
          <w:sz w:val="28"/>
          <w:szCs w:val="28"/>
          <w:rtl w:val="true"/>
          <w:lang w:bidi="ar-SA"/>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هذه الرواية في كتب أهل السنّة بطريقين وسندين كلاهما ضعيف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حدّثنا يحيى بن عبدالله بن بكير، حدّثنا ابن لهيعة، عن موسى بن أيّوب الغافقي،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صلي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زوّجني أمته وهو يريد أن يفرّق بيني وبينها،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رسول الله صلي الله عليه و آله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أحدكم يزوج عبده أمته، ثمّ يريد أن يفرّق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 لمن أخذ بالساق</w:t>
      </w:r>
      <w:r>
        <w:rPr>
          <w:rFonts w:eastAsia="Amiri" w:cs="Amiri" w:ascii="Amiri" w:hAnsi="Amiri"/>
          <w:color w:val="111111"/>
          <w:sz w:val="28"/>
          <w:szCs w:val="28"/>
          <w:rtl w:val="true"/>
          <w:lang w:bidi="ar-SA"/>
        </w:rPr>
        <w:t>».</w:t>
      </w:r>
      <w:r>
        <w:rPr>
          <w:rStyle w:val="FootnoteAnchor"/>
          <w:rtl w:val="true"/>
        </w:rPr>
        <w:footnoteReference w:id="20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عبدالسلام الصدفي، حدّثنا الفضل بن المختار، عن عبيدالله بن موهب، عن عصمة بن مالك</w:t>
      </w:r>
      <w:r>
        <w:rPr>
          <w:rFonts w:eastAsia="Amiri" w:cs="Amiri" w:ascii="Amiri" w:hAnsi="Amiri"/>
          <w:color w:val="111111"/>
          <w:sz w:val="28"/>
          <w:szCs w:val="28"/>
          <w:rtl w:val="true"/>
          <w:lang w:bidi="ar-SA"/>
        </w:rPr>
        <w:t>.</w:t>
      </w:r>
      <w:r>
        <w:rPr>
          <w:rStyle w:val="FootnoteAnchor"/>
          <w:rtl w:val="true"/>
        </w:rPr>
        <w:footnoteReference w:id="2088"/>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الطريق الأوّل نجد ابن لهيعة الذي ضعّفوه،</w:t>
      </w:r>
      <w:r>
        <w:rPr>
          <w:rStyle w:val="FootnoteAnchor"/>
          <w:rtl w:val="true"/>
        </w:rPr>
        <w:footnoteReference w:id="2089"/>
      </w:r>
      <w:r>
        <w:rPr>
          <w:rFonts w:ascii="Amiri" w:hAnsi="Amiri" w:eastAsia="Amiri" w:cs="Amiri"/>
          <w:color w:val="111111"/>
          <w:sz w:val="28"/>
          <w:sz w:val="28"/>
          <w:szCs w:val="28"/>
          <w:rtl w:val="true"/>
          <w:lang w:bidi="ar-SA"/>
        </w:rPr>
        <w:t xml:space="preserve">كما نجد في السند الثاني </w:t>
      </w:r>
    </w:p>
    <w:p>
      <w:pPr>
        <w:pStyle w:val="BookText"/>
        <w:rPr/>
      </w:pPr>
      <w:r>
        <w:rPr>
          <w:rFonts w:ascii="Amiri" w:hAnsi="Amiri" w:eastAsia="Amiri" w:cs="Amiri"/>
          <w:color w:val="111111"/>
          <w:sz w:val="28"/>
          <w:sz w:val="28"/>
          <w:szCs w:val="28"/>
          <w:rtl w:val="true"/>
          <w:lang w:bidi="ar-SA"/>
        </w:rPr>
        <w:t>الفضل بن المختار الذي عدّوه ضعيفاً أيضاً،</w:t>
      </w:r>
      <w:r>
        <w:rPr>
          <w:rStyle w:val="FootnoteAnchor"/>
          <w:rtl w:val="true"/>
        </w:rPr>
        <w:footnoteReference w:id="2090"/>
      </w:r>
      <w:r>
        <w:rPr>
          <w:rFonts w:ascii="Amiri" w:hAnsi="Amiri" w:eastAsia="Amiri" w:cs="Amiri"/>
          <w:color w:val="111111"/>
          <w:sz w:val="28"/>
          <w:sz w:val="28"/>
          <w:szCs w:val="28"/>
          <w:rtl w:val="true"/>
          <w:lang w:bidi="ar-SA"/>
        </w:rPr>
        <w:t>وعليه فلا سند صحيح لهذا الحديث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دلالة الحديث</w:t>
      </w:r>
    </w:p>
    <w:p>
      <w:pPr>
        <w:pStyle w:val="BookText"/>
        <w:rPr/>
      </w:pPr>
      <w:r>
        <w:rPr>
          <w:rFonts w:ascii="Amiri" w:hAnsi="Amiri" w:eastAsia="Amiri" w:cs="Amiri"/>
          <w:color w:val="111111"/>
          <w:sz w:val="28"/>
          <w:sz w:val="28"/>
          <w:szCs w:val="28"/>
          <w:rtl w:val="true"/>
          <w:lang w:bidi="ar-SA"/>
        </w:rPr>
        <w:t xml:space="preserve">يعاني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على عدم وجوب طلاق الخلع على الرجل وإلزامه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إشكالات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الحصر الوارد فيه حصر إضافي وليس بالحقيقي؛ وذلك أنّه مع الالتفات إلى صدر الرواية الوارد في الاختلاف بين الزوج والمولى في حقّ الطلاق، لا يكون حصر حقّ الطلاق بيد الزوج من قبل الشارع حصراً حقيقياً حتّى يدلّ على أنّ أيّ شخص غير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له في طلاق زوجة الرجل، بحيث يشمل هذا الأمر الزوجة نفسها، وسلب حقّ صيرورتها مطلقة من يدها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إضافية الحصر هو مورد الرواية؛ ذلك أنّها جاءت في السؤال عن اختلاف الزوج مع المولى، والجواب فيه ظهور في الحصر الإضافي بالنسبة إلى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الذي طرحناه لو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الحديث، فلا أقلّ من كفايته في إعاقة تمامية الاستدلال به، وإذا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إنّ ظهور الحديث في الحصر الإضافي يغدو واضحاً بقرينة المورد ونصوص النبيّ الأكرم</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فيما يخصّ حُسن تزويج العبيد</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يحتمل أن يكون مورد الرواية مربوط فقط بالحصر في أمثال موردها، وهو طلاق المولى والعبد، أي لا يكون طلاق زوجة العبد بيد مولاه، </w:t>
      </w:r>
    </w:p>
    <w:p>
      <w:pPr>
        <w:pStyle w:val="BookText"/>
        <w:rPr/>
      </w:pPr>
      <w:r>
        <w:rPr>
          <w:rFonts w:ascii="Amiri" w:hAnsi="Amiri" w:eastAsia="Amiri" w:cs="Amiri"/>
          <w:color w:val="111111"/>
          <w:sz w:val="28"/>
          <w:sz w:val="28"/>
          <w:szCs w:val="28"/>
          <w:rtl w:val="true"/>
          <w:lang w:bidi="ar-SA"/>
        </w:rPr>
        <w:t xml:space="preserve">وإنّما بيد العبد نفسه، وبهذا لا يكون الحصر حقيقياً حتّى يدلّ على أنّالطلاق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وأبداً وفي جميع الموارد ومقابل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فالحصر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أيضاً بهذا الحصر الإضافي، أي بالنسبة للعبد في مقابل المولى، وشاهد ذلك الاستفادة من تعابير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إنّما يملك الطلاق من أخذ بالساق</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في إطار اختلاف نقل الحديث؛ وكان النبيّ يريد أن ينهى الناس عن تزويج العبيد والإماء من بعضهم ثمّ العمل على فصلهم وطلاقهم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الآخر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صور نقلها ومصادره، جاءت إمّا طبقاً للصورة المنقولة عن ابن عبّاس، أو أنّه جاء في تكملتها تحذير النبيّ من تزويج العبيد والجواري، ثمّ الفصل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لا يمكن الوصول إلى حصر حقيقي من خلال هذه الجملة بحيث يشمل تمام الأفراد بمن فيهم الزوجة نفسها؛ لأنّ احتمال إضافية الحصر مانع عن الاستدلال بالعموم في الحديث، فكيف بادّعاء ظهور الحديث في الحصر الإضافي؟</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قبلنا بأنّ هذه الجملة تعبّر عن قاعدة عامّة، وأن الحصر فيها حصر حقيقي،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بتنافي هذه القاعدة مع وجوب طلاق الخلع؛ لأنّ هذه القاعدة مرتبطة بالطلاق، أمّا بحثنا فهو في الخلع الذي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يحتاج إلى صيغة طلاق،</w:t>
      </w:r>
      <w:r>
        <w:rPr>
          <w:rStyle w:val="FootnoteAnchor"/>
          <w:rtl w:val="true"/>
        </w:rPr>
        <w:footnoteReference w:id="2092"/>
      </w:r>
      <w:r>
        <w:rPr>
          <w:rFonts w:ascii="Amiri" w:hAnsi="Amiri" w:eastAsia="Amiri" w:cs="Amiri"/>
          <w:color w:val="111111"/>
          <w:sz w:val="28"/>
          <w:sz w:val="28"/>
          <w:szCs w:val="28"/>
          <w:rtl w:val="true"/>
          <w:lang w:bidi="ar-SA"/>
        </w:rPr>
        <w:t>كما ذهب بعضهم إلى أنّ وقوعه بدون لفظ الطلاق معناه أنّه فسخ وليس بطلاق،</w:t>
      </w:r>
      <w:r>
        <w:rPr>
          <w:rStyle w:val="FootnoteAnchor"/>
          <w:rtl w:val="true"/>
        </w:rPr>
        <w:footnoteReference w:id="2093"/>
      </w:r>
      <w:r>
        <w:rPr>
          <w:rFonts w:ascii="Amiri" w:hAnsi="Amiri" w:eastAsia="Amiri" w:cs="Amiri"/>
          <w:color w:val="111111"/>
          <w:sz w:val="28"/>
          <w:sz w:val="28"/>
          <w:szCs w:val="28"/>
          <w:rtl w:val="true"/>
          <w:lang w:bidi="ar-SA"/>
        </w:rPr>
        <w:t xml:space="preserve">وعليه فالخلعوالطلاق بابان </w:t>
      </w:r>
      <w:bookmarkStart w:id="943" w:name="pg9375_100086"/>
    </w:p>
    <w:p>
      <w:pPr>
        <w:pStyle w:val="BookText"/>
        <w:rPr/>
      </w:pPr>
      <w:bookmarkEnd w:id="943"/>
      <w:r>
        <w:rPr>
          <w:rFonts w:ascii="Amiri" w:hAnsi="Amiri" w:eastAsia="Amiri" w:cs="Amiri"/>
          <w:color w:val="111111"/>
          <w:sz w:val="28"/>
          <w:sz w:val="28"/>
          <w:szCs w:val="28"/>
          <w:rtl w:val="true"/>
          <w:lang w:bidi="ar-SA"/>
        </w:rPr>
        <w:t>منفصلان عن بعضهما، فلا تسري أدلّة الطلاق إلى الخلع أساساً</w:t>
      </w:r>
      <w:r>
        <w:rPr>
          <w:rFonts w:eastAsia="Amiri" w:cs="Amiri" w:ascii="Amiri" w:hAnsi="Amiri"/>
          <w:color w:val="111111"/>
          <w:sz w:val="28"/>
          <w:szCs w:val="28"/>
          <w:rtl w:val="true"/>
          <w:lang w:bidi="ar-SA"/>
        </w:rPr>
        <w:t>.</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تمّت هذه القاعدة فلا تنافي إجبار الرجل وإلزامه بالطلاق؛ لأنّنا ندّعي أنّه مع فرض كراهة المرأة وتنازلها عن مهرها ومطالبتها بالطلاق يجب على الزوج أن يطلقها، وعند ما لا يطلّق يجبره الحاكم الشرعي على الطلاق تماماً مثل موارد العسر والحرج بالنسبة للمرأة؛ ومع هذا كلّه يظلّ الطلاق بيد الرجل، ولو لم نعتبر الطلاق بيد الرجل لكان يفترض الحكم بانفصال الزوجين عن بعضهما بمجرّد هبة المرأة المهر للرجل، لكنّنا نرى أنّ القائلين بوجوب طلاق الخلع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الخلع لابدّ من صيغة الطلاق من قبل الرجل</w:t>
      </w:r>
      <w:r>
        <w:rPr>
          <w:rFonts w:eastAsia="Amiri" w:cs="Amiri" w:ascii="Amiri" w:hAnsi="Amiri"/>
          <w:color w:val="111111"/>
          <w:sz w:val="28"/>
          <w:szCs w:val="28"/>
          <w:rtl w:val="true"/>
          <w:lang w:bidi="ar-SA"/>
        </w:rPr>
        <w:t>.</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من هنا، فهذا الإلزام يؤيّد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ينافيها، وإنّما يؤكّدها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5417091_2870459653"/>
      <w:bookmarkStart w:id="945" w:name="_Toc338"/>
      <w:bookmarkEnd w:id="944"/>
      <w:r>
        <w:rPr>
          <w:rtl w:val="true"/>
        </w:rPr>
        <w:t>الإشكال الثاني</w:t>
      </w:r>
      <w:bookmarkEnd w:id="945"/>
    </w:p>
    <w:p>
      <w:pPr>
        <w:pStyle w:val="Heading5"/>
        <w:numPr>
          <w:ilvl w:val="4"/>
          <w:numId w:val="1"/>
        </w:numPr>
        <w:rPr/>
      </w:pPr>
      <w:bookmarkStart w:id="946" w:name="__RefHeading___Toc5417093_2870459653"/>
      <w:bookmarkStart w:id="947" w:name="_Toc339"/>
      <w:bookmarkEnd w:id="946"/>
      <w:r>
        <w:rPr>
          <w:rtl w:val="true"/>
        </w:rPr>
        <w:t>اشارة</w:t>
      </w:r>
      <w:bookmarkEnd w:id="947"/>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ينافي وجوب الخلع على الرجل وإلزامه بالطلاق، الرواياتُ</w:t>
      </w:r>
      <w:r>
        <w:rPr>
          <w:rStyle w:val="FootnoteAnchor"/>
          <w:rtl w:val="true"/>
        </w:rPr>
        <w:footnoteReference w:id="2096"/>
      </w:r>
      <w:r>
        <w:rPr>
          <w:rFonts w:ascii="Amiri" w:hAnsi="Amiri" w:eastAsia="Amiri" w:cs="Amiri"/>
          <w:color w:val="111111"/>
          <w:sz w:val="28"/>
          <w:sz w:val="28"/>
          <w:szCs w:val="28"/>
          <w:rtl w:val="true"/>
          <w:lang w:bidi="ar-SA"/>
        </w:rPr>
        <w:t>التي تدلّ على أنّه لا يمكن للرجل نقل حقّ الطلاق للزوجة عبر الشرط؛ ذلك أنّاختيار الرجل في الطلاق ينافي إلزامه به، وإحدى هذه الروايات صحيحة محمّد بن قيس،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رجل تزوّج امرأةً وأصدقته هي، واشترطت عليه أن بيدها الجماع والطلاق،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السنّة وولّيت حقّاً ليست بأهله، فقضى أنّ عليه </w:t>
      </w:r>
      <w:bookmarkStart w:id="948" w:name="pg9375_100087"/>
    </w:p>
    <w:p>
      <w:pPr>
        <w:pStyle w:val="BookText"/>
        <w:rPr/>
      </w:pPr>
      <w:bookmarkEnd w:id="948"/>
      <w:r>
        <w:rPr>
          <w:rFonts w:ascii="Amiri" w:hAnsi="Amiri" w:eastAsia="Amiri" w:cs="Amiri"/>
          <w:color w:val="111111"/>
          <w:sz w:val="28"/>
          <w:sz w:val="28"/>
          <w:szCs w:val="28"/>
          <w:rtl w:val="true"/>
          <w:lang w:bidi="ar-SA"/>
        </w:rPr>
        <w:t>الصداق وبيده الجماع والطلاق، وذلك السنّة</w:t>
      </w:r>
      <w:r>
        <w:rPr>
          <w:rFonts w:eastAsia="Amiri" w:cs="Amiri" w:ascii="Amiri" w:hAnsi="Amiri"/>
          <w:color w:val="111111"/>
          <w:sz w:val="28"/>
          <w:szCs w:val="28"/>
          <w:rtl w:val="true"/>
          <w:lang w:bidi="ar-SA"/>
        </w:rPr>
        <w:t>».</w:t>
      </w:r>
      <w:r>
        <w:rPr>
          <w:rStyle w:val="FootnoteAnchor"/>
          <w:rtl w:val="true"/>
        </w:rPr>
        <w:footnoteReference w:id="2097"/>
      </w:r>
    </w:p>
    <w:p>
      <w:pPr>
        <w:pStyle w:val="Heading5"/>
        <w:numPr>
          <w:ilvl w:val="4"/>
          <w:numId w:val="1"/>
        </w:numPr>
        <w:rPr/>
      </w:pPr>
      <w:bookmarkStart w:id="949" w:name="__RefHeading___Toc5417095_2870459653"/>
      <w:bookmarkStart w:id="950" w:name="_Toc340"/>
      <w:bookmarkEnd w:id="949"/>
      <w:r>
        <w:rPr>
          <w:rtl w:val="true"/>
        </w:rPr>
        <w:t>جواب الإشكال</w:t>
      </w:r>
      <w:bookmarkEnd w:id="950"/>
    </w:p>
    <w:p>
      <w:pPr>
        <w:pStyle w:val="BookText"/>
        <w:rPr/>
      </w:pPr>
      <w:r>
        <w:rPr>
          <w:rFonts w:ascii="Amiri" w:hAnsi="Amiri" w:eastAsia="Amiri" w:cs="Amiri"/>
          <w:color w:val="111111"/>
          <w:sz w:val="28"/>
          <w:sz w:val="28"/>
          <w:szCs w:val="28"/>
          <w:rtl w:val="true"/>
          <w:lang w:bidi="ar-SA"/>
        </w:rPr>
        <w:t>ويمكن الإجابة عن هذا الإشكال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الفقهاء الكبار لهذه الصحيحة لإثبات بطلان شرط وضع الطلاق بيد الزوجة، وعلى أساس هذه الدلالة في الرواية يمكن القول بمنافاة هذه الصحيحة للقول بوجوب وإلزام الرجل بطلاق الخلع، لكنّنا نعتقد أنّه ليس لهذه الصحيحة ظهور في هذا المعنى ولا دلالة عليه، وإنّما هناك احتمال آخر فيها، لا تنافي معه القول بوجوب الخلع، وهذا الاحتمال هو أنّ الإمام بيّن أنّ الطلاق بيد الرجل بمعنى أنّ الرجل هو الذي يطلّق المرأة لا أنّ المرأة هي التي تطلّق الرجل، فالمرأة ليس لها الحقّ في أن تشرط على الرجل أنّها في أيّ وقت أرادت يمكنها أن تطلّقه، فتقول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أو هو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الأخذ بعين الاعتبار هذا الاحتمال تغدو الرواية متّصلة بنفي طلاق الرجل بيد المرأة، وليست في مقام بيان جوازأو عدم وجوب الطلاق على الرجل وإلزامه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الاحتمال بشاهدين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خارجي، والآخر داخلي</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الشاهد الخارجي، فهو رواية ابن مسعود الواردة في كتاب كنز العمّال، والتي وردت في هذا المجال، ومتنها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مسعود، أنّه جاء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امرأتي بعض ما يكون بين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الذي بيدك من أمري بيدي لعلمت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بيدي من أمرك بيدك،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ثلاثاً </w:t>
      </w:r>
      <w:r>
        <w:rPr>
          <w:rFonts w:eastAsia="IRNazanin" w:cs="IRNazanin"/>
          <w:color w:val="111111"/>
          <w:sz w:val="28"/>
          <w:szCs w:val="28"/>
          <w:rtl w:val="true"/>
          <w:lang w:bidi="fa-IR"/>
        </w:rPr>
        <w:t>...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وشاهدنا في هذا الخبر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صراحة هذه الرواية تقوي الاحتمال الذي اخترناه في رواية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الشاهد الداخلي، فهو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المراد من السنّة، هو السنّة الاجتماعية وديدن العقلاء في الجماع والطلاق، ذلك أنّ المبادرة والإقدام في الجماع وفي الطلاق كان بيد الزوج في كلّ المجتمعات وفي تمام الأزمنة ولو السابقة على الإسلام، وإذا ما قيل في مجتمع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الفلانية طلّقت الرجل الفلاني، فإنّهم يسخرون من ذلك ويثير الضحك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السنّة والديدن العقلائي استمرّ أيضاً سائداً بعد الإسلام إلى زماننا هذا، وبناءً على هذا المعنى للسنّة يتقوى الاحتمال الذي اخترناه من أنّ الرواية في مقام بيان طلاق المرأة للزوج وإجرائها صيغة الطلاق بنفسها عليه؛ فإنّ هذا الفعل مخالف للسنن السائدة ودأبالناس وديدن العقلاء؛ إذ الرجل هو الذي يفترض أن يطلق المرأة</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هذا الحديث دالّ على حقّ الرجل واختياره في أمر الطلاق، ودلالته كدلالة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لا يمكننا القول بأنّ أيّ حكم يثبت بهذا الحديث في الطلاق يجري في طلاق الخلع أيضاً، لأنّ ما يقع في الطلاق هو دفع المهر من طرف الزوج وانفصال الزوجين عن بعضهما، أمّا طلاق الخلع فدفع المهر والمال فيه يكون من طرف المرأة؛ وبناءً عليه، فهما نوعان منفصلان وإن كانا قسمين من الطلاق؛ لهذا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الخلع ليس من أقسام الطلاق؛ فإنّ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يشرطوا إجراء صيغة الطلاق فيه،</w:t>
      </w:r>
      <w:r>
        <w:rPr>
          <w:rStyle w:val="FootnoteAnchor"/>
          <w:rtl w:val="true"/>
        </w:rPr>
        <w:footnoteReference w:id="2099"/>
      </w:r>
      <w:r>
        <w:rPr>
          <w:rFonts w:ascii="Amiri" w:hAnsi="Amiri" w:eastAsia="Amiri" w:cs="Amiri"/>
          <w:color w:val="111111"/>
          <w:sz w:val="28"/>
          <w:sz w:val="28"/>
          <w:szCs w:val="28"/>
          <w:rtl w:val="true"/>
          <w:lang w:bidi="ar-SA"/>
        </w:rPr>
        <w:t xml:space="preserve">كما أنّ كتب الفقهاء </w:t>
      </w:r>
      <w:bookmarkStart w:id="951" w:name="pg9375_100089"/>
    </w:p>
    <w:p>
      <w:pPr>
        <w:pStyle w:val="BookText"/>
        <w:rPr/>
      </w:pPr>
      <w:bookmarkEnd w:id="951"/>
      <w:r>
        <w:rPr>
          <w:rFonts w:ascii="Amiri" w:hAnsi="Amiri" w:eastAsia="Amiri" w:cs="Amiri"/>
          <w:color w:val="111111"/>
          <w:sz w:val="28"/>
          <w:sz w:val="28"/>
          <w:szCs w:val="28"/>
          <w:rtl w:val="true"/>
          <w:lang w:bidi="ar-SA"/>
        </w:rPr>
        <w:t>وضعت الطلاق والخلع ضمن عنوانين منفصلين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الخلع والمباراة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النظر عن الجوابين السابقين، لا يرد هنا أيضاً إشكال التنافي، ذلك أنّ القول بوجوب الخلع تصرّف في حدود اختيار الرجل وصلاحياته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تصرّف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إطلاق مثل صحيحة محمّد بن قيس،</w:t>
      </w:r>
      <w:r>
        <w:rPr>
          <w:rStyle w:val="FootnoteAnchor"/>
          <w:rtl w:val="true"/>
        </w:rPr>
        <w:footnoteReference w:id="2100"/>
      </w:r>
      <w:r>
        <w:rPr>
          <w:rFonts w:ascii="Amiri" w:hAnsi="Amiri" w:eastAsia="Amiri" w:cs="Amiri"/>
          <w:color w:val="111111"/>
          <w:sz w:val="28"/>
          <w:sz w:val="28"/>
          <w:szCs w:val="28"/>
          <w:rtl w:val="true"/>
          <w:lang w:bidi="ar-SA"/>
        </w:rPr>
        <w:t xml:space="preserve">التي هي دليل حقّ الرجل واختياره في الطلاق، فالوجوب تقييد لهما، لا أنّه ينفي أصل الحقّ والاختيار نفياً تامّاً حتّى يرد إشكال التنافي والتعارض، وهذا التحديد في حرّية الرجل في طلاق الخلع حالةٌ لها أشباهها ونماذجها العديدة في الفقهالإسلامي، مثل فتوى الأصحاب بوجوب الطلاق على الرجل في مورد لحوق العسر والحرج على المرأة، وهناك أيضاً يدور البحث حول التصرّف في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الفقهاء أنّ إطلاق هذا الدليل محكوم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أنّ دليل لا حرج ينفي أصل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لم يرَ الفقهاء تنافياً في مورد العسر والحرج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هذا الإطلاق في الخلع فقط، بل وقع تقييده أيضاً في موارد أُخرى مثل العسر والحرج اللاحقين للزوجة بسبب استمرار الحياة الزوجية</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417097_2870459653"/>
      <w:bookmarkStart w:id="953" w:name="_Toc341"/>
      <w:bookmarkEnd w:id="952"/>
      <w:r>
        <w:rPr>
          <w:rtl w:val="true"/>
        </w:rPr>
        <w:t>الإشكال الثالث</w:t>
      </w:r>
      <w:bookmarkEnd w:id="953"/>
    </w:p>
    <w:p>
      <w:pPr>
        <w:pStyle w:val="Heading5"/>
        <w:numPr>
          <w:ilvl w:val="4"/>
          <w:numId w:val="1"/>
        </w:numPr>
        <w:rPr/>
      </w:pPr>
      <w:bookmarkStart w:id="954" w:name="__RefHeading___Toc5417099_2870459653"/>
      <w:bookmarkStart w:id="955" w:name="_Toc342"/>
      <w:bookmarkEnd w:id="954"/>
      <w:r>
        <w:rPr>
          <w:rtl w:val="true"/>
        </w:rPr>
        <w:t>اشارة</w:t>
      </w:r>
      <w:bookmarkEnd w:id="955"/>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هذا الإشكال على مقدّمة تقضي بأنّ أحد أوجه الاختلاف بين الخلع </w:t>
      </w:r>
    </w:p>
    <w:p>
      <w:pPr>
        <w:pStyle w:val="BookText"/>
        <w:rPr/>
      </w:pPr>
      <w:r>
        <w:rPr>
          <w:rFonts w:ascii="Amiri" w:hAnsi="Amiri" w:eastAsia="Amiri" w:cs="Amiri"/>
          <w:color w:val="111111"/>
          <w:sz w:val="28"/>
          <w:sz w:val="28"/>
          <w:szCs w:val="28"/>
          <w:rtl w:val="true"/>
          <w:lang w:bidi="ar-SA"/>
        </w:rPr>
        <w:t>والمباراة هو أنّ الرجل في المباراة لا حقّ له في أخذ ما زاد على مهر المرأة منها، على خلاف الحال في الخلع؛ حيث لا تحديد من هذا النوع أمام الرجل، فيمكن للرجل أخذ أيّ مقدار يراه من المرأة ولو زاد عن المهر، ثمّ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انطلاقاً من هذه المقدّمة، يثار هنا إشكال وهو أنّ عدم المحدودية هذه في المطالبة بالمال في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أمرٌ مجمع عليه بين الأصحاب وعليه رواية صحيحة السند تامّة الدلالة</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تتلائم مع إجبار الرجل وإلزامهبالطلاق؛ ذلك أنّه إذا أراد الرجل أن لا يطلّق زوجته كان بإمكانه رفع سقف المبلغ الذي يطالب به بحيث يصبح فوق قدرة المرأة، وأنتم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إجبار الزوج على الطلاق ما لم يأخذ منه ماله أو تكون هناك قابلية للأخذ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المقنن وضع هنا قانوناً استبطن سبيلاً لعدم إجرائه وتنفيذه، بل للغوه، وهذا عمل قبيح لا يصدر من المقنن الحكيم، وعليه فالقول باللزوم لا وجه له ولا دليل، بل الدليل على خلافه</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هذا الاختلاف بين الخلع والمباراة، دلّت عليه الروايات الصحيحة، إضافةً إلى الجانب الاعتباري</w:t>
      </w:r>
      <w:r>
        <w:rPr>
          <w:rStyle w:val="FootnoteAnchor"/>
          <w:rtl w:val="true"/>
        </w:rPr>
        <w:footnoteReference w:id="2102"/>
      </w:r>
      <w:r>
        <w:rPr>
          <w:rFonts w:ascii="Amiri" w:hAnsi="Amiri" w:eastAsia="Amiri" w:cs="Amiri"/>
          <w:color w:val="111111"/>
          <w:sz w:val="28"/>
          <w:sz w:val="28"/>
          <w:szCs w:val="28"/>
          <w:rtl w:val="true"/>
          <w:lang w:bidi="ar-SA"/>
        </w:rPr>
        <w:t>الذي أشارت إليه أيضاً بعض الروايات،</w:t>
      </w:r>
      <w:r>
        <w:rPr>
          <w:rStyle w:val="FootnoteAnchor"/>
          <w:rtl w:val="true"/>
        </w:rPr>
        <w:footnoteReference w:id="2103"/>
      </w:r>
      <w:r>
        <w:rPr>
          <w:rFonts w:ascii="Amiri" w:hAnsi="Amiri" w:eastAsia="Amiri" w:cs="Amiri"/>
          <w:color w:val="111111"/>
          <w:sz w:val="28"/>
          <w:sz w:val="28"/>
          <w:szCs w:val="28"/>
          <w:rtl w:val="true"/>
          <w:lang w:bidi="ar-SA"/>
        </w:rPr>
        <w:t xml:space="preserve">وحيث إنّ جوابنا على هذا الإشكال يرجع إلى دراسة تعارض هذه الروايات مع بعضها؛ لذا نشير إليها، ثمّ نخضعها للبحث والتحليل؛ وبدراسة </w:t>
      </w:r>
    </w:p>
    <w:p>
      <w:pPr>
        <w:pStyle w:val="BookText"/>
        <w:rPr/>
      </w:pPr>
      <w:r>
        <w:rPr>
          <w:rFonts w:ascii="Amiri" w:hAnsi="Amiri" w:eastAsia="Amiri" w:cs="Amiri"/>
          <w:color w:val="111111"/>
          <w:sz w:val="28"/>
          <w:sz w:val="28"/>
          <w:szCs w:val="28"/>
          <w:rtl w:val="true"/>
          <w:lang w:bidi="ar-SA"/>
        </w:rPr>
        <w:t>هذه الروايات يعلم أنّ الروايات الدالّة على الاختلاف بين الخلع والمباراة على مجموعتين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تدلّ بإطلاقها على أنّ الرجل بإمكانه المطالبة في الخلع بأيّ مبلغ مالي من المرأة وله أخذه، فيما المجموعة الثانية صريحة في الدلالة على هذا الأمر، والمجموعتان تدلّان على عدمإمكان أخذ ما زاد على المهر في طلاق المباراة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المجموعة الأُولی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أطيع الله فيك حلّ له أن يأخذ منها ما وجد</w:t>
      </w:r>
      <w:r>
        <w:rPr>
          <w:rFonts w:eastAsia="Amiri" w:cs="Amiri" w:ascii="Amiri" w:hAnsi="Amiri"/>
          <w:color w:val="111111"/>
          <w:sz w:val="28"/>
          <w:szCs w:val="28"/>
          <w:rtl w:val="true"/>
          <w:lang w:bidi="ar-SA"/>
        </w:rPr>
        <w:t>».</w:t>
      </w:r>
      <w:r>
        <w:rPr>
          <w:rStyle w:val="FootnoteAnchor"/>
          <w:rtl w:val="true"/>
        </w:rPr>
        <w:footnoteReference w:id="2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محمّد بن مسلم، عن أبي جعفر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قالت المرأة لزوجها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له ما أخذ منها </w:t>
      </w:r>
      <w:r>
        <w:rPr>
          <w:rFonts w:eastAsia="Amiri" w:cs="Amiri" w:ascii="Amiri" w:hAnsi="Amiri"/>
          <w:color w:val="111111"/>
          <w:sz w:val="28"/>
          <w:szCs w:val="28"/>
          <w:rtl w:val="true"/>
          <w:lang w:bidi="ar-SA"/>
        </w:rPr>
        <w:t>... ».</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ومثل هاتين الروايتين روايات كثيرة وردت في الباب الأوّل والثالث من كتاب الخلع والمباراة، من وسائل الشيعة،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وبهذه التعابير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الاستدلال</w:t>
      </w:r>
    </w:p>
    <w:p>
      <w:pPr>
        <w:pStyle w:val="BookText"/>
        <w:rPr/>
      </w:pPr>
      <w:r>
        <w:rPr>
          <w:rFonts w:ascii="Amiri" w:hAnsi="Amiri" w:eastAsia="Amiri" w:cs="Amiri"/>
          <w:color w:val="111111"/>
          <w:sz w:val="28"/>
          <w:sz w:val="28"/>
          <w:szCs w:val="28"/>
          <w:rtl w:val="true"/>
          <w:lang w:bidi="ar-SA"/>
        </w:rPr>
        <w:t xml:space="preserve">تدل هذه الروايات بإطلاقها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ما أخذ منها، وله أن يأخذ من ما لها 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للرجل أن يأخذ من الزائد على المهر من المرأة، وهذا الإطلاق حيث ورد في مقام البيان كان تامّاً وقابلاً للاستناد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الثانية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زرارة، عن أبي جعفر</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المباراة يؤخذ منها دون الصداق، والمختلعة يؤخذ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تراضيا عليه من صداق أو أكثر </w:t>
      </w:r>
      <w:r>
        <w:rPr>
          <w:rFonts w:eastAsia="Amiri" w:cs="Amiri" w:ascii="Amiri" w:hAnsi="Amiri"/>
          <w:color w:val="111111"/>
          <w:sz w:val="28"/>
          <w:szCs w:val="28"/>
          <w:rtl w:val="true"/>
          <w:lang w:bidi="ar-SA"/>
        </w:rPr>
        <w:t>...</w:t>
      </w:r>
      <w:bookmarkStart w:id="956" w:name="pg9375_100092"/>
    </w:p>
    <w:p>
      <w:pPr>
        <w:pStyle w:val="BookText"/>
        <w:rPr/>
      </w:pPr>
      <w:bookmarkEnd w:id="956"/>
      <w:r>
        <w:rPr>
          <w:rFonts w:ascii="Amiri" w:hAnsi="Amiri" w:eastAsia="Amiri" w:cs="Amiri"/>
          <w:color w:val="111111"/>
          <w:sz w:val="28"/>
          <w:sz w:val="28"/>
          <w:szCs w:val="28"/>
          <w:rtl w:val="true"/>
          <w:lang w:bidi="ar-SA"/>
        </w:rPr>
        <w:t xml:space="preserve">والمختلعة يؤخذ منها ما شاء </w:t>
      </w:r>
      <w:r>
        <w:rPr>
          <w:rFonts w:eastAsia="Amiri" w:cs="Amiri" w:ascii="Amiri" w:hAnsi="Amiri"/>
          <w:color w:val="111111"/>
          <w:sz w:val="28"/>
          <w:szCs w:val="28"/>
          <w:rtl w:val="true"/>
          <w:lang w:bidi="ar-SA"/>
        </w:rPr>
        <w:t>... ».</w:t>
      </w:r>
      <w:r>
        <w:rPr>
          <w:rStyle w:val="FootnoteAnchor"/>
          <w:rtl w:val="true"/>
        </w:rPr>
        <w:footnoteReference w:id="2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اختلعت فهي بائن، وله أن يأخذ من مالها ما قدر عليه، وليس له أن يأخذ من المباراة كلَّ الذي أعطاها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 الأُولى نصّ وصريحة في المطلوب، كما أنّ رواية سماعة ظاهرة في جواز أخذ ما زاد على المهر من طرف الرجل في طلاق الخلع، نظراً 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يأخذ من المباراة كلّ الذي أعطاها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5417101_2870459653"/>
      <w:bookmarkStart w:id="958" w:name="_Toc343"/>
      <w:bookmarkEnd w:id="957"/>
      <w:r>
        <w:rPr>
          <w:rtl w:val="true"/>
        </w:rPr>
        <w:t>دراسة الروايات وتحليلها</w:t>
      </w:r>
      <w:bookmarkEnd w:id="958"/>
    </w:p>
    <w:p>
      <w:pPr>
        <w:pStyle w:val="BookText"/>
        <w:rPr/>
      </w:pPr>
      <w:r>
        <w:rPr>
          <w:rFonts w:ascii="Amiri" w:hAnsi="Amiri" w:eastAsia="Amiri" w:cs="Amiri"/>
          <w:color w:val="111111"/>
          <w:sz w:val="28"/>
          <w:sz w:val="28"/>
          <w:szCs w:val="28"/>
          <w:rtl w:val="true"/>
          <w:lang w:bidi="ar-SA"/>
        </w:rPr>
        <w:t>حيث كان الإشكال الثالث المسجّل على القول المختار هنا، وهو وجوب طلاق الخلع على الرجل، مبنياً على هذه الروايات والاستفادة منها، كان لابدّ من تحليل الإشكالات الواردة على دلالة هذه الروايات، وذلك أنّها تواجه إشكالين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إشكالية التعارض بين الروايات</w:t>
      </w:r>
    </w:p>
    <w:p>
      <w:pPr>
        <w:pStyle w:val="BookText"/>
        <w:rPr/>
      </w:pPr>
      <w:r>
        <w:rPr>
          <w:rFonts w:ascii="Amiri" w:hAnsi="Amiri" w:eastAsia="Amiri" w:cs="Amiri"/>
          <w:color w:val="111111"/>
          <w:sz w:val="28"/>
          <w:sz w:val="28"/>
          <w:szCs w:val="28"/>
          <w:rtl w:val="true"/>
          <w:lang w:bidi="ar-SA"/>
        </w:rPr>
        <w:t>تدل صراحة صحيحة زرارة وظهور رواية سماعة على أنّ الرجل لا يحقّ له في المباراة أن يأخذ تمام المهر، وإنّما المتعيّن أن يأخذ ما قلّ عنه، وهذا المقطع من مدلول هاتين الروايتين يعارض رواية أبي بصير الصحيحة السند</w:t>
      </w:r>
      <w:r>
        <w:rPr>
          <w:rStyle w:val="FootnoteAnchor"/>
          <w:rtl w:val="true"/>
        </w:rPr>
        <w:footnoteReference w:id="2107"/>
      </w:r>
      <w:r>
        <w:rPr>
          <w:rFonts w:ascii="Amiri" w:hAnsi="Amiri" w:eastAsia="Amiri" w:cs="Amiri"/>
          <w:color w:val="111111"/>
          <w:sz w:val="28"/>
          <w:sz w:val="28"/>
          <w:szCs w:val="28"/>
          <w:rtl w:val="true"/>
          <w:lang w:bidi="ar-SA"/>
        </w:rPr>
        <w:t>الواردة بالخصوص في المبارة نفسها؛ فإنّ الإمام</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يصرّح في هذه الرواية بأنّه لا يحلّ للرجل في طلاق المباراة سوىأخذ المهر أو ما هو أقلّ منه</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تدلّ هاتان الروايتان على عدم جواز أخذ تمام المهر في المباراة، فيما </w:t>
      </w:r>
    </w:p>
    <w:p>
      <w:pPr>
        <w:pStyle w:val="BookText"/>
        <w:rPr/>
      </w:pPr>
      <w:r>
        <w:rPr>
          <w:rFonts w:ascii="Amiri" w:hAnsi="Amiri" w:eastAsia="Amiri" w:cs="Amiri"/>
          <w:color w:val="111111"/>
          <w:sz w:val="28"/>
          <w:sz w:val="28"/>
          <w:szCs w:val="28"/>
          <w:rtl w:val="true"/>
          <w:lang w:bidi="ar-SA"/>
        </w:rPr>
        <w:t>تدلّ الصحيحة على جواز أخذ تمام المهر، وعليه فهناك تعارض حول أخذ مقدار المهر نفسه في المباراة، وهو ما يؤدّي إلى تساقط روايتي زرارة وسماعة في حكم المباراة وسقوطهما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وانطلاقاً من ذلك، وحيث سقط مقطع من روايتي زرارة وسماعة عن الحجّية، نستنتج عدم حجّية سائر فقرات الروايتين بما في ذلك أخذ الرجل للمال بلا قيد ولا شرط من المرأة في طلاق الخلع؛ لأنّ هذين الحكمين عطفاً على بعضهما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أنّه إذا كان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المال في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حجّة؛ فإنّ 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أيّ مقدار من أموال المرأة في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يكون 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صحيحة أبي بصير، كذلك الحال في المعطوف أيضاً يكون في حكم التعارض ويسقط عن الحجّية؛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للمعطوف معارضة عَرَضيّة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الكلام أنّه مع الأخذ بعين الاعتبار هذا التعارض؛ فإمّا أن نقول بالتساقط ونلتزم بالرجوع إلى الأُصول والقواعد الأوّلية، أو نقول بالتخيير في باب التعارض وهو مبنى الأُستاذ المعظم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نحن نعمل في المباراة برواية أبي بصير الدالّة على جواز أخذ المهر والأقلّ منه في المباراة، ولا تكون روايتا زرارة وسماعة معمولاً بهما عندنا، وهذا يعني عدم بقاء دليل يجيز للرجل أخذ أموال المرأة بلا قيد ولا حدّ ولا شرط فيطلاق الخلع، وعملاً بالقواعد لا يحقّ للرجل أن يأخذ ما زاد على المهر الذي تمّ التوافق عليه في هذا النكاح كما لا يحقّ له مطالبة المرأة بغيره</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التعارض هنا فيما يخصّ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موارد عديدة في الروايات يكون فيها صدر الرواية ساقطاً عن الحجّية فيما يكون ذيلها حجّة، فيفتي الفقهاء بقسم من الرواية ويرونه حجّة، وهو ما يوافقهم عليه بناء العقلاء؛ من هنا </w:t>
      </w:r>
    </w:p>
    <w:p>
      <w:pPr>
        <w:pStyle w:val="BookText"/>
        <w:rPr/>
      </w:pPr>
      <w:r>
        <w:rPr>
          <w:rFonts w:ascii="Amiri" w:hAnsi="Amiri" w:eastAsia="Amiri" w:cs="Amiri"/>
          <w:color w:val="111111"/>
          <w:sz w:val="28"/>
          <w:sz w:val="28"/>
          <w:szCs w:val="28"/>
          <w:rtl w:val="true"/>
          <w:lang w:bidi="ar-SA"/>
        </w:rPr>
        <w:t>إذا كانت صحيحة زرارة وموثّقة سماعة في بحثنا هنا غير حجّة في مجال المباراة، إلّا أنّ عدم حجّيتهما في حكم الطلاق الخلعي يظلّ بلا مبرر ولا مسوغ؛ لأنّ رفع اليد عن الحجّة يحتاج إلى دليل، ولا دليل لدينا هنا على رفع اليد عن هذه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القليل من التأمّل في بحثنا هنا يفهمنا عدم تمامية هذه القاعدة في نطاق دراستنا الحالية؛ لأنّ تلك الموارد التي اعتبر فيها الفقهاء مقطعاً من الرواية حجّةً دون مقطع آخر، تنصل بحالة ما إذا كان كل حكم من حكمي المقطعين منفصلاً عن الحكم في المقطع الثاني، كأنّهما كلامان منفصلان، في موضوعين مختلفين، كما أنّ الصدر والذيل قابلان للتفكيك من ناحية الحكم، لا في مثل الحال التي نحن فيها حيث يعطف الحكمان على بعضهما بحرف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ويرتبطان ببعضهما بهذه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في الموردين معاً هو الطلاق بين الزوجين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إشكالية مخالفة مبدأ العدالة</w:t>
      </w:r>
    </w:p>
    <w:p>
      <w:pPr>
        <w:pStyle w:val="BookText"/>
        <w:rPr/>
      </w:pPr>
      <w:r>
        <w:rPr>
          <w:rFonts w:ascii="Amiri" w:hAnsi="Amiri" w:eastAsia="Amiri" w:cs="Amiri"/>
          <w:color w:val="111111"/>
          <w:sz w:val="28"/>
          <w:sz w:val="28"/>
          <w:szCs w:val="28"/>
          <w:rtl w:val="true"/>
          <w:lang w:bidi="ar-SA"/>
        </w:rPr>
        <w:t>ثمّة مشكلة أُخرى هنا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المستفاد من صحيحة زرارة وموثّقة سماعة والروايات المطلقة الدالّة على أنّه يمكن للرجل أخذ أيّ مقدار أراده من المرأة على أن 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مخالف للعدل الذي يعدّ جزءاً من الأُصول الإسلامية المسلّمة؛ لأنّ البنية التحتية لتمام الأحكام هي العدالة والحيلولة دون الظلم وتضييع الحقوق، فالعدل والعدالة ميزان أحكام الإسلام، لا أنّ الأحكام الشرعية هي ميزان العدالة ومعيارها</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أجمل أن نبيّن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لاتّضاح هذه النظرية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الشهيد مرتضى مطهري، حيث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العدالة من مقاييس الإسلام، حيث لابدّ أن نرى ما الذي ينطبق عليه؛ إنّ العدالة تقع في سلسلة علل الأحكام لا معلولاتها، فليس ما قاله الدين هو العدل، بل ما هو عدلٌ قاله الدين، وهذا معنى </w:t>
      </w:r>
    </w:p>
    <w:p>
      <w:pPr>
        <w:pStyle w:val="BookText"/>
        <w:rPr/>
      </w:pPr>
      <w:r>
        <w:rPr>
          <w:rFonts w:ascii="Amiri" w:hAnsi="Amiri" w:eastAsia="Amiri" w:cs="Amiri"/>
          <w:color w:val="111111"/>
          <w:sz w:val="28"/>
          <w:sz w:val="28"/>
          <w:szCs w:val="28"/>
          <w:rtl w:val="true"/>
          <w:lang w:bidi="ar-SA"/>
        </w:rPr>
        <w:t>معيارية العدالة للدين، إذاً فلابدّ من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مقياس العدالة أم العدالة مقياس الدين؟ الشكل التقديسي للأُمور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مقياس العدالة، إلّا أنّ الحقيقة مختلفة تماماً عن ذلك، فهذا شبيه بما ساد في أبحاث المتكلّمين في مسألة الحسن والقبح العقليين، فصار الشيعة والمعتزلة عدليين، أي أنّهم جعلوا العدل مقياساً للدين، لا الدين مقياساً للعدل؛ من هنا كان العقل أحد الأدلّة الشرعية حتّى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والتوحيد علويان، والجبر والتشبيه أُمويان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الجاهلية كان الدين هو مقياس العدالة ويعتبرونه معياراً للحسن والقبح؛ لهذا نقل عنهم في سورة الأعراف أنّهم كانوا ينسبون كلّ عمل قبيح إلى الدين، وقد قال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إِنَّاللهَ لَا يَأْمُرُ بِالْفَحْشَاءِ</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والمهمّ في هذا المجال أنّ تحديد العدالة وعدم الظلم في غير التعبّديات يرجع إلى العقلاء وضمن مسؤولياتهم؛ وذلك أنّ الشارع والمقنّن الحكيم إذا أراد بيان حكم وطالب الناس بالعمل به، فلا محالة مضطرّ لسنّ قانون يفضي إلى نشر العدالة في المجتمع ورفع ألوان الظلم والتمييز؛ وهذا ما يستلزم أن يرى أفراد المجتمع والعقلاء هذا القانون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هذا التوضيح يمكننا القول أيضاً</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ليس مخالفاً للعدل فحسب، بل هو حكم ظالم، ومخالف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ascii="IRNazanin" w:hAnsi="IRNazanin" w:eastAsia="IRNazanin"/>
          <w:color w:val="111111"/>
          <w:sz w:val="28"/>
          <w:sz w:val="28"/>
          <w:szCs w:val="28"/>
          <w:rtl w:val="true"/>
          <w:lang w:bidi="fa-IR"/>
        </w:rPr>
        <w:t>؛</w:t>
      </w:r>
      <w:r>
        <w:rPr>
          <w:rStyle w:val="FootnoteAnchor"/>
          <w:rtl w:val="true"/>
        </w:rPr>
        <w:footnoteReference w:id="2110"/>
      </w:r>
      <w:r>
        <w:rPr>
          <w:rFonts w:ascii="Amiri" w:hAnsi="Amiri" w:eastAsia="Amiri" w:cs="Amiri"/>
          <w:color w:val="111111"/>
          <w:sz w:val="28"/>
          <w:sz w:val="28"/>
          <w:szCs w:val="28"/>
          <w:rtl w:val="true"/>
          <w:lang w:bidi="ar-SA"/>
        </w:rPr>
        <w:t xml:space="preserve">لأنّ الرجل إذا أراد طلاق زوجته فهو ملزم فقط بدفع المهر لها، أمّا المرأة إذا أرادت الطلاق فإنّ بإمكان الرجل أن يطالبها بما أراد ورغب وتمنّى، بل يمكنه أن يقدم مطالب ثقيلة قد تعدمها حقّها في الحياة </w:t>
      </w:r>
    </w:p>
    <w:p>
      <w:pPr>
        <w:pStyle w:val="BookText"/>
        <w:rPr/>
      </w:pPr>
      <w:r>
        <w:rPr>
          <w:rFonts w:ascii="Amiri" w:hAnsi="Amiri" w:eastAsia="Amiri" w:cs="Amiri"/>
          <w:color w:val="111111"/>
          <w:sz w:val="28"/>
          <w:sz w:val="28"/>
          <w:szCs w:val="28"/>
          <w:rtl w:val="true"/>
          <w:lang w:bidi="ar-SA"/>
        </w:rPr>
        <w:t>والوجود، وهي الحياة التي قدّرها الشارع سبحانه واحترمها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في الحكم بين شخصين نتيجة أمر غير 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اتّفاق وعقد عقلائي، ليس سوى ظلم وإجحاف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مخالف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111"/>
      </w:r>
      <w:r>
        <w:rPr>
          <w:rFonts w:ascii="Amiri" w:hAnsi="Amiri" w:eastAsia="Amiri" w:cs="Amiri"/>
          <w:color w:val="111111"/>
          <w:sz w:val="28"/>
          <w:sz w:val="28"/>
          <w:szCs w:val="28"/>
          <w:rtl w:val="true"/>
          <w:lang w:bidi="ar-SA"/>
        </w:rPr>
        <w:t>لأنّ مثل هذا الحكم الظالم لايتناغم مع مطالبة الناس بإقامة العدل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لأحكام يفترض أن تكون مصدراً لتعليم القسط وعدم الظلم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تغدو هي بنفسها أحكاماً تمييزية على أسس غير إرادية ممّا يمثل أعلى درجات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مخالف لآية التسريح بإحسان أو الإمساك بالمعروف في الطلاق،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فَإمْسَاكٌ بِمَعْرُوف أَوْ تَسْرِيحٌ بِإِحْسَان وَلَا يَحِلُّ لَكُمْ أَنْ تَأْخُذُوا مِمَّا آتَيْتُمُوهُنَّ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وقد يشكل شخص هنا بأنّ هذا الذي ذكرتموه بأجمعه اجتهاد في مقابل النصّ؛ ذلك أنّ الحكم الذي تعدّونه ظالماً، قد استفيد من الروايات الصحيحة التي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نصّية صريحة، وعليه ومع الأخذ بعين الاعتبار وجود هذه الروايات فلابدّ لنا من التعبّد بالحكم الوارد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الإشكال غير وارد؛ وذلك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أوامر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جعلت ملاك صحّة الروايات وحجّيتها عدم مخالفتها للقرآن، وقد أثبتنا فيما سبق أنّ هذا الحكم مخالف للأُصول القرآنية المسلّمة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الروايات المخالفة للعقل والنقل لا يمكن أن تكون حجّةً ومعتبرة،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الفقهاء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يردّ علمها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ما يصدق علىمواضع متعدّدة من رواياتنا، كالكثير من الروايات التي يمتاز بعضها بأسانيد معتبرة، لكنّها تدلّ على تحريف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 الروايات المرتبطة بسهو النبيّ والمذكورة في الكتب الأربعة، وعددها ثمانية عشر رواية نقلها ثلاثة عشر شخصاً من المحدّثين الكبار، إلّا أنّ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ردّوها لمخالفتها لمبدأ عصمة الأنبياء الذي هو مبدأ عقلي وعقلائي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فصرف وجود روايات صحيحة لا يمكن أن يبرر إصدار أحكام وفتاوى؛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عرضها على القرآن حتّى لا تكون مخالفةً للآيات الصريحة والمحكمة، كما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عدم كونها مخالفةً للعقل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الفقيه المحقّق الزاهد المرحوم 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مجمع الفائدة والبرهان مراراً إلى هذا الأمر، وعلى سبيل المثال ذكر ذيل الحكم بتنصيف دية المرأة نسبةً لدية الرجل، بأنّ هذا الحكم مخالف للقواعد المنقولة والمعقولة، مع أنّه هو نفسه ذكر الأخبار الصحيحة الدالّة على التنصيف</w:t>
      </w:r>
      <w:r>
        <w:rPr>
          <w:rFonts w:eastAsia="Amiri" w:cs="Amiri" w:ascii="Amiri" w:hAnsi="Amiri"/>
          <w:color w:val="111111"/>
          <w:sz w:val="28"/>
          <w:szCs w:val="28"/>
          <w:rtl w:val="true"/>
          <w:lang w:bidi="ar-SA"/>
        </w:rPr>
        <w:t>.</w:t>
      </w:r>
      <w:r>
        <w:rPr>
          <w:rStyle w:val="FootnoteAnchor"/>
          <w:rtl w:val="true"/>
        </w:rPr>
        <w:footnoteReference w:id="2113"/>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كلامه واستدلالاته أنّ المقصود من العقل ليس عقل المعصومين عليهم السلام، وفهمهم الذي هو علم ويقين؛ إذ لا سبيل لنا إليه، كما أنّهليس المراد من العقل العقلُ البرهاني القطعي الفلسفي؛ لأنّ تلك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كاجتماع </w:t>
      </w:r>
    </w:p>
    <w:p>
      <w:pPr>
        <w:pStyle w:val="BookText"/>
        <w:rPr/>
      </w:pPr>
      <w:r>
        <w:rPr>
          <w:rFonts w:ascii="Amiri" w:hAnsi="Amiri" w:eastAsia="Amiri" w:cs="Amiri"/>
          <w:color w:val="111111"/>
          <w:sz w:val="28"/>
          <w:sz w:val="28"/>
          <w:szCs w:val="28"/>
          <w:rtl w:val="true"/>
          <w:lang w:bidi="ar-SA"/>
        </w:rPr>
        <w:t xml:space="preserve">النقيضين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بالحقائق والتكوين، لا بمجال القوانين والأحكام التي هي مجالات اعتبار ومواضعة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غالبية وجود مقدّمة ظنّية في مجال الأحكام الشرعية وحيث إنّ النتيجة في كلّ برهان تتّبع أخسّ المقدّمتين لهذا كانت نتيجة البرهان ظنّية، ومن الواضح أنّ المقدّمة الظنّية لا يمكنها أن تكون وسيلةً لنتيجة قطعية، ولابدّ من الالتفات أيضاً إلى أنّه ليس المراد من العقل هو الإدراكات والأفكار والآراء المستقلّة غير المرتبطة بالكتاب والسنّة، 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ولا حجّية مثل هذه الآراء التي هي ظنّية؛ لأصالة عدم حجّية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الظَّنَّ لَا يُغْنِي مِنْ الْحَقِّ شَيْئاً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4"/>
      </w:r>
      <w:r>
        <w:rPr>
          <w:rFonts w:ascii="Amiri" w:hAnsi="Amiri" w:eastAsia="Amiri" w:cs="Amiri"/>
          <w:color w:val="111111"/>
          <w:sz w:val="28"/>
          <w:sz w:val="28"/>
          <w:szCs w:val="28"/>
          <w:rtl w:val="true"/>
          <w:lang w:bidi="ar-SA"/>
        </w:rPr>
        <w:t xml:space="preserve">كما أنّ الأدلّة القطعية 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وبطلان القياس والاعتبارات العقلية غير المتّصلة بل المنفصلة عن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يراد هذا كلّه من العقل؛ وإنّما المراد ما استدلّ به في الفقه وأُصوله وطرح في موارد كثيرة من الفقه الإسلامي وكان معتمداً عند الفقهاء، وهو الفهم والاستنتاج الذي يتراءى للفقيه من خلال نظره في الكتاب والسنّة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عليه، فإذا عثر الفقيه على حكم مخالف لحكم العقل فلا يمكنه الإفتاء وفقه، حتّى لو دلّت عليه الروايات الصحيحة؛ ومن الواضح أنّ هذهالمخالفة لا سبيل لها إلى أحكام العبادات؛ لأنّ العقل لا يمكنه إدراك الحسن والقبح والمصالح والمفاسد في التعبّديات التي هي بيد الشارع نفسه، وهذا معناه أنّه لا يمكن للعقل الحكم بصواب أو عدم صواب عمل ما </w:t>
      </w:r>
      <w:r>
        <w:rPr>
          <w:rFonts w:eastAsia="Amiri" w:cs="Amiri" w:ascii="Amiri" w:hAnsi="Amiri"/>
          <w:color w:val="111111"/>
          <w:sz w:val="28"/>
          <w:szCs w:val="28"/>
          <w:rtl w:val="true"/>
          <w:lang w:bidi="ar-SA"/>
        </w:rPr>
        <w:t>...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العقل فهماً كاملاً للمصالح والمفاسد والحسن والقبح </w:t>
      </w:r>
    </w:p>
    <w:p>
      <w:pPr>
        <w:pStyle w:val="BookText"/>
        <w:rPr/>
      </w:pPr>
      <w:r>
        <w:rPr>
          <w:rFonts w:ascii="Amiri" w:hAnsi="Amiri" w:eastAsia="Amiri" w:cs="Amiri"/>
          <w:color w:val="111111"/>
          <w:sz w:val="28"/>
          <w:sz w:val="28"/>
          <w:szCs w:val="28"/>
          <w:rtl w:val="true"/>
          <w:lang w:bidi="ar-SA"/>
        </w:rPr>
        <w:t>وسائر الجهات فيها؛ فيمكنه تقديم حكم اطمئناني في موردها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آخر</w:t>
      </w:r>
    </w:p>
    <w:p>
      <w:pPr>
        <w:pStyle w:val="BookText"/>
        <w:rPr/>
      </w:pPr>
      <w:r>
        <w:rPr>
          <w:rFonts w:ascii="Amiri" w:hAnsi="Amiri" w:eastAsia="Amiri" w:cs="Amiri"/>
          <w:color w:val="111111"/>
          <w:sz w:val="28"/>
          <w:sz w:val="28"/>
          <w:szCs w:val="28"/>
          <w:rtl w:val="true"/>
          <w:lang w:bidi="ar-SA"/>
        </w:rPr>
        <w:t xml:space="preserve">مع الأخذ بعين الاعتبار وجود نصوص صريحة من جهة على جواز أخذ الزائد على المهر في طلاق الخلع، ومخالفة هذه الأخبار من جهة أُخرى لحكم العقل والعقلاء في باب المعاوضات، ووجود شبهة الظلم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يمكن رفع هذه الشبهة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أن تشرط في بداية عقد الزواج على الرجل أنّه إذا أرادت أن تصبح مختلعة فلا حقّ للرجل بأخذ ما زاد على المهر منها؛ وبهذا الشرط لا تخالف عقد النكاح ومقتضياته، كما وأنّه في الوقت عينه يمكن رفع شبهة الظلم السالفة الإشارة إليها، والعمل بالنصوص والروايات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على الجواب</w:t>
      </w:r>
    </w:p>
    <w:p>
      <w:pPr>
        <w:pStyle w:val="BookText"/>
        <w:rPr/>
      </w:pPr>
      <w:r>
        <w:rPr>
          <w:rFonts w:ascii="Amiri" w:hAnsi="Amiri" w:eastAsia="Amiri" w:cs="Amiri"/>
          <w:color w:val="111111"/>
          <w:sz w:val="28"/>
          <w:sz w:val="28"/>
          <w:szCs w:val="28"/>
          <w:rtl w:val="true"/>
          <w:lang w:bidi="ar-SA"/>
        </w:rPr>
        <w:t>يعاني هذا الجواب من إشكال واضح، وهو أنّ رفع نقصان القوانين بوسيلة الشرط يدلّل على نقص المقنّن نفسه، فإنّ العادة في التقنين أن يكون القانون عادلاً أوّلاً، وعاماً ثانياً، بمعنى أنّ هذه العدالة التي لوحظت عند تدوين القوانين موجودة حتّى في حقّ أولئك الذين لا يلتفتون إلى القوانين؛لأنّ العدالة قانون عامّ، وإن لم تكن كذلك وكان غير الملتفت للقانون يجري في حقّه القانون كان الحكم حينئذٍ ظالماً؛ لأنّ القانون جرى على شخص وحده وهو غير مطلع على وضعه ولا على رفعه</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الواضح أنّ وضع الشرط في التقنين وحاكمية الإرادة أمر مربوط بذيول القانون وما يلحقه، حيث يتمكّن الأفراد من الاستفادة من الشروط لتحصيل أرباح أكثر في معاملاتهم أو معاوضاتهم دون إلحاق ضرر بالطرف الآخر، ولا يجوز أن تكون هذه الشروط معارضةً أو منافيةً لذات المعاملة والمعاوضة، وعليه فإنّ الشروط لم توضع كي ترفع الظلم الموجود في الأحكام أو تجبر النقص الموجود </w:t>
      </w:r>
      <w:bookmarkStart w:id="959" w:name="pg9375_100100"/>
    </w:p>
    <w:p>
      <w:pPr>
        <w:pStyle w:val="BookText"/>
        <w:rPr/>
      </w:pPr>
      <w:bookmarkEnd w:id="959"/>
      <w:r>
        <w:rPr>
          <w:rFonts w:ascii="Amiri" w:hAnsi="Amiri" w:eastAsia="Amiri" w:cs="Amiri"/>
          <w:color w:val="111111"/>
          <w:sz w:val="28"/>
          <w:sz w:val="28"/>
          <w:szCs w:val="28"/>
          <w:rtl w:val="true"/>
          <w:lang w:bidi="ar-SA"/>
        </w:rPr>
        <w:t>في القوانين</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5417103_2870459653"/>
      <w:bookmarkStart w:id="961" w:name="_Toc344"/>
      <w:bookmarkEnd w:id="960"/>
      <w:r>
        <w:rPr>
          <w:rtl w:val="true"/>
        </w:rPr>
        <w:t>أدلّة القائلين بجواز أخذ الزائد على المهر</w:t>
      </w:r>
      <w:bookmarkEnd w:id="961"/>
    </w:p>
    <w:p>
      <w:pPr>
        <w:pStyle w:val="BookText"/>
        <w:rPr/>
      </w:pPr>
      <w:r>
        <w:rPr>
          <w:rFonts w:ascii="Amiri" w:hAnsi="Amiri" w:eastAsia="Amiri" w:cs="Amiri"/>
          <w:color w:val="111111"/>
          <w:sz w:val="28"/>
          <w:sz w:val="28"/>
          <w:szCs w:val="28"/>
          <w:rtl w:val="true"/>
          <w:lang w:bidi="ar-SA"/>
        </w:rPr>
        <w:t xml:space="preserve">استند القائلون بجواز أخذ المال مطلقاً بلا قيد ولا شرط في طلاق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ادّعاء الإجماع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عموم الآية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وكذلك إلى النصوص التي وصلتنا في هذا المجال، لكن بملاحظة ما أسلفناه من أبحاث يثبت لدينا أنّ هذه الروايات لا يمكن الاعتماد عليها لسببين، ولا يمكن أن تكون حجّةً أو دليلاً 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الاستدلال بالآية الكريمة، فيمكن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الآية المذكورة عموم؛ وإنّما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جواز أخذ الفدية من المرأة، وليست ناظرة إلى مقدار الفدية</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افْتَدَتْ 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2115"/>
      </w:r>
      <w:r>
        <w:rPr>
          <w:rFonts w:ascii="Amiri" w:hAnsi="Amiri" w:eastAsia="Amiri" w:cs="Amiri"/>
          <w:color w:val="111111"/>
          <w:sz w:val="28"/>
          <w:sz w:val="28"/>
          <w:szCs w:val="28"/>
          <w:rtl w:val="true"/>
          <w:lang w:bidi="ar-SA"/>
        </w:rPr>
        <w:t>أي فيما قدّمته المرأة من مال بوصفه فدية، وتحكم بجواز أخذه،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يريده الزوج يمكن أخذه، حتّى لو بلغت إرادة الزوج هنا حدّاً يحيل على المرأة إمكانية طلاق الخلع؛ لأنّ الإطلاق هنا في الآية لو تمّ لكانت الآية نفسها مانعةً عن تحقّق الحكم نفسه، وهو الحكم التي هي نفسها بصدد بيانه وتشريعه، لأنّ الرجل بطلبه مبالغ مالية باهظة من المرأة بنحو يفوق قدرتها وطاقاتها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تحقّق مثل هذا القانون، ومثل هذا التقنين لا يتناسب مع شأن المقنّن الحكيم</w:t>
      </w:r>
      <w:r>
        <w:rPr>
          <w:rFonts w:eastAsia="Amiri" w:cs="Amiri" w:ascii="Amiri" w:hAnsi="Amiri"/>
          <w:color w:val="111111"/>
          <w:sz w:val="28"/>
          <w:szCs w:val="28"/>
          <w:rtl w:val="true"/>
          <w:lang w:bidi="ar-SA"/>
        </w:rPr>
        <w:t>.</w:t>
      </w:r>
      <w:r>
        <w:rPr>
          <w:rStyle w:val="FootnoteAnchor"/>
          <w:rtl w:val="true"/>
        </w:rPr>
        <w:footnoteReference w:id="2116"/>
      </w:r>
      <w:bookmarkStart w:id="962" w:name="pg9375_100101"/>
    </w:p>
    <w:p>
      <w:pPr>
        <w:pStyle w:val="Heading3"/>
        <w:numPr>
          <w:ilvl w:val="2"/>
          <w:numId w:val="1"/>
        </w:numPr>
        <w:rPr/>
      </w:pPr>
      <w:bookmarkStart w:id="963" w:name="__RefHeading___Toc5417105_2870459653"/>
      <w:bookmarkStart w:id="964" w:name="_Toc345"/>
      <w:bookmarkEnd w:id="962"/>
      <w:bookmarkEnd w:id="963"/>
      <w:r>
        <w:rPr>
          <w:rtl w:val="true"/>
        </w:rPr>
        <w:t>الاستنتاج والاستخلاص</w:t>
      </w:r>
      <w:bookmarkEnd w:id="964"/>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إنطلاقاً من مبدأ تشريع طلاق الخلع في القرآن، وعدم وجود دليل معتبر من الكتاب والسنّة على المنع من القول بوجوب طلاق الخلع على الرجل، إلى جانب وجود أدلّة وارتكازات عقلائية في باب العقود، إضافةً إلى معيارية العدالة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كلّه نستنتج أنّه إذا كرهت المرأة الحياة الزوجية مع زوجها وقدّمت له المهر أو المال الذي يتراضى عليه الطرفان، وطالبت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الرجل الطلاق حينئذٍ، فإذا استنكف وامتنع رفع الأمر إلى المحكمة، وكان بإمكانها تطليق زوجة الممتنع من باب ولايتها في هذا المضمار</w:t>
      </w:r>
      <w:r>
        <w:rPr>
          <w:rFonts w:eastAsia="Amiri" w:cs="Amiri" w:ascii="Amiri" w:hAnsi="Amiri"/>
          <w:color w:val="111111"/>
          <w:sz w:val="28"/>
          <w:szCs w:val="28"/>
          <w:rtl w:val="true"/>
          <w:lang w:bidi="ar-SA"/>
        </w:rPr>
        <w:t xml:space="preserve">.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5" w:name="pg9375_100103"/>
      <w:bookmarkStart w:id="966" w:name="pg9375_100103"/>
      <w:bookmarkEnd w:id="966"/>
    </w:p>
    <w:p>
      <w:pPr>
        <w:pStyle w:val="Heading2"/>
        <w:numPr>
          <w:ilvl w:val="1"/>
          <w:numId w:val="1"/>
        </w:numPr>
        <w:rPr/>
      </w:pPr>
      <w:bookmarkStart w:id="967" w:name="pg9375_100103"/>
      <w:bookmarkStart w:id="968" w:name="__RefHeading___Toc5417107_2870459653"/>
      <w:bookmarkStart w:id="969" w:name="_Toc346"/>
      <w:bookmarkEnd w:id="967"/>
      <w:bookmarkEnd w:id="968"/>
      <w:r>
        <w:rPr>
          <w:rtl w:val="true"/>
        </w:rPr>
        <w:t>مصادر التحقيق</w:t>
      </w:r>
      <w:bookmarkEnd w:id="969"/>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المنصور، أحمد بن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مرتضی، مشهد،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بن محمّد الطبري الکیاهراسي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بکر، أحمد الرازي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محمّد بن النعمان العکبري،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لألفیّة الشیخ المفید، الطبعة الأُولی،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الطائفة، أبي جعفر، محمّد بن الحسن المعروف بالشیخ الطوسي</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فارس الحسّون، مؤسّسة النشر الإسلامي، الطبعة الأُولى،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 فيما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الطائفة، أبي جعفر، محمّد بن الحسن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دارالكتب الإسلاميّة، الطبعة الأُولی، 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لعزالدین أبي الحسن، علي بن محمّد بن عبدالکریم بن عبدالواحد الشیباني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إسماعیلیان، طهران،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إدریس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في انفرادات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علی بن الحسین الموسوي البغدادي، المعروف بالسیّد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الأُولی،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الفوائد في شرح إشكالات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المحقّقين محمّد بن الحسن بن يوسف بن المطهّر الأسدي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إسماعیلیان، الطبعة الأُولى،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بن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الثالثة،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المجتهد ونهایة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الولید، محمّد بن أحمد بن رشد القرطبي الأندلسي،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العطّار، دارالفکر،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أبی بکر بن مسعود الکاشانی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الحبیبیة، باکستان،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إجمالي اقتصاد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حكمت،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الحقائق 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لعثمان بن علي بن محجن البارعی، فخرالدین الزیعلي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الکبری الأمیریة، الطبعة الأُولی، قاهرة،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إبراهيم البهادري، مؤسّسة الإمام الصادق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الطبعة الأُولى،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تحريرالوسیلة، ضمن موسوعة الإمام الخمیني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الخمیني</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تنظیم ونشر </w:t>
      </w:r>
    </w:p>
    <w:p>
      <w:pPr>
        <w:pStyle w:val="BookText"/>
        <w:rPr/>
      </w:pPr>
      <w:r>
        <w:rPr>
          <w:rFonts w:ascii="IRNazanin" w:hAnsi="IRNazanin" w:eastAsia="IRNazanin"/>
          <w:color w:val="111111"/>
          <w:sz w:val="28"/>
          <w:sz w:val="28"/>
          <w:szCs w:val="28"/>
          <w:rtl w:val="true"/>
          <w:lang w:bidi="fa-IR"/>
        </w:rPr>
        <w:t>آثار الإمام الخمیني</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الطبعة الثالثة،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علىّ بن الحسين بن شعبة الحرّاني، تصحيح علي أكبر الغفّاري، مؤسّسة النشر الإسلامي التابعة لجماعة المدرّسين، الطبعة الثانية،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التعليقة علی تحريرالوسیلة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الخمیني</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تألیف آیة الله العظمی شیخ یوسف الصانعي</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تنظیم ونشر آثار الإمام الخمیني</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الطبعة الرابعة،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المسعود المعروف بالعیّاشي،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الطبعة الأُولی، طهران،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علىّ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السيّد طيّب الموسوي الجزائري، منشورات دار الکتاب، قم، الطبعة الرابعة،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تكملة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كاظم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الداوري،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التنقيح الرائع لمختصر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المقداد بن عبدالله السيوري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اللطيف الحسني الكوه كمري، منشورات مكتبة آية الله المرعشي النجفي، الطبعة الأُولى،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المرتضويّة،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الإسلاميّة، الطبعة الرابعة،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منصور، محمّد بن أحمد الأزهري،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دار إحیاء التراث العربی، الطبعة الأُولی،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علىّ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حسين الأعلمي، مؤسّسة الأعلمي، </w:t>
      </w:r>
    </w:p>
    <w:p>
      <w:pPr>
        <w:pStyle w:val="BookText"/>
        <w:rPr/>
      </w:pPr>
      <w:r>
        <w:rPr>
          <w:rFonts w:ascii="Amiri" w:hAnsi="Amiri" w:eastAsia="Amiri" w:cs="Amiri"/>
          <w:color w:val="111111"/>
          <w:sz w:val="28"/>
          <w:sz w:val="28"/>
          <w:szCs w:val="28"/>
          <w:rtl w:val="true"/>
          <w:lang w:bidi="ar-SA"/>
        </w:rPr>
        <w:t xml:space="preserve">الطبعة الرابعة،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بن محمّد بن الحسن، المعروف بالمیرزای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کیهان، الطبعة الأُولی، طهران،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المدارك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الخوانساري، مؤسّسة إسماعيليان للطباعة والنشر،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الثاني، علي بن الحسین العاملي الکرکي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الطبعة الثانىة،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أحمد الأنصاري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دار إحیاء التراث العربي،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للحلّي، یحی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سیّد الشهداء العلمیة، الطبعة الأُولی،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الطبعة السابعة،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السّید محمّد حسین الطباطبائی، بنیاد العلمي العلّامة، الطبعة الأُولی،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الحاوي الکبیر في فقه مذهب الإمام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علّي بن محمّد بن حبیب الماردي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للبحراني، آل عصفور، يوسف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الطبعة الأُولى،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مؤسّسة النشر الإسلامي التابعة لجماعة المدرّسين، الطبعة السابعة،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جمال الدين حسن بن يوسف بن المطهّر الأسدي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الشیخ جواد القیومي ، منشورات مطبعة الحیدریة ، الطبعة </w:t>
      </w:r>
    </w:p>
    <w:p>
      <w:pPr>
        <w:pStyle w:val="BookText"/>
        <w:rPr/>
      </w:pPr>
      <w:r>
        <w:rPr>
          <w:rFonts w:ascii="IRNazanin" w:hAnsi="IRNazanin" w:eastAsia="IRNazanin"/>
          <w:color w:val="111111"/>
          <w:sz w:val="28"/>
          <w:sz w:val="28"/>
          <w:szCs w:val="28"/>
          <w:rtl w:val="true"/>
          <w:lang w:bidi="fa-IR"/>
        </w:rPr>
        <w:t xml:space="preserve">الثانیة،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الطبعة الثالثة، قم،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للتمیمي المغربي، القاضي، أبوحنیفة،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آصف بن عليّ أصغر فیفي، مؤسّسة آل البیت، دار المعارف بمصر، الطبعة الثانیة،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لتقيّ الدین، الحسن بن عليّ بن داود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طهران،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علىّ بن أحمد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موسى الشبيري الزنجاني، مؤسّسة النشر الإسلامي، الطبعة الثامنة،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الحسین الموسوي، المعروف بالسیّد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مهدي الرجائي، دار القرآن الکریم،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روح الله الموسوی الخمیني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التنظیم ونشر الآثار الإمام الخمیني، الطبعة الأُولی،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المحقّق الکرکي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الثاني، علی بن الحسین العاملي الکرکي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المرعشي، الطبعة الأُولی،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المیرزا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بن محمّد بن الحسن، المعروف بالمیرزاي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الإسلامي، الطبعة الأُولی،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الرعایة لحال البدایة في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الدین بن عليّ بن أحمد العاملي، المعروف بالشهید الثاني،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مکتب الإعلام الإسلامي، الطبعة الأُولی،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علىّ بن أحمد العاملي المعروف </w:t>
      </w:r>
    </w:p>
    <w:p>
      <w:pPr>
        <w:pStyle w:val="BookText"/>
        <w:rPr/>
      </w:pPr>
      <w:r>
        <w:rPr>
          <w:rFonts w:ascii="Amiri" w:hAnsi="Amiri" w:eastAsia="Amiri" w:cs="Amiri"/>
          <w:color w:val="111111"/>
          <w:sz w:val="28"/>
          <w:sz w:val="28"/>
          <w:szCs w:val="28"/>
          <w:rtl w:val="true"/>
          <w:lang w:bidi="ar-SA"/>
        </w:rPr>
        <w:t xml:space="preserve">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كلانتر، منشورات 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 في تحقيق الأحكام بالدلائل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علىّ بن محمّد علىّ الطباطبائى،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الطبعة الأُولى، قم،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منصور بن أحمد بن إدريس العجلي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التحقيق والطبع مؤسّسة النشر الإسلامي، الطبعة الثالثة،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عبدالله محمّد بن یزید القزویني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دارالفکر، الطبعة الأُولی،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محيي الدين عبدالحميد، دارالفكر،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مجلّدين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عبدالله بن عبد الرحمن الدارمي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بن عليّ البيهق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المعرفة، الطبعة الأُولى،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نجم الدين، جعفر بن 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إسماعیلیان، الطبعة الثانية،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 المحقق الحلي، أبو القاسم نجم الدين جعفر بن الحسن، إخراج وتعليق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محمد علي بقال، نشر دار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نصر إسماعيل بن حمّاد الجوهرىّ الفارابي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العلم للملایین،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الطائفة، أبي جعفر،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رضا الأنصاري القمي، المطبعة ستاره، الطبعة الأُولی،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الداوري، الطبعة الأُولی،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جمهور محمّد بن علىّ بن إبراهيم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قرن العاشر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مجتبى العراقي، مطبعة السيّد الشهداء، الطبعة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الحقائق الناظرة في تتمّة 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حسین البحراني، آل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الطبعة الثانیة،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للصیمري، مفلح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الکوثراني العاملي، دار الهادي، الطبعة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 إلى علمي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المكارم السيّد حمزة بن علىّ بن زهرة الحسيني المعروف بابن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إبراهيم البهادري، مؤسّسة الإمام الصادق</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الطبعة الاُولى،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الأعظم، مرتضی بن محمّد أمین الأنصاري الدزفولي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الطبعة الخامسة،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الدین سعید بن عبدالله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المرعشي النجفي، الطبعة الثانیة،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المنسوب للإمام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الطبعة الأُولی،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الجزيري، دار إحياء التراث العربي،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السابعة،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نشرالفقاهة، الطبعة الأُولى، الإصبهان،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العلمة، الطبعة الأُولی،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تقيّ التستري، مؤسّسة النشر الإسلامي، الطبعة الثالثة، قم،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طاهر مجدالدين محمّد بن يعقوب الفيروز آبادي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الطبعة الأُولی، بيروت،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الحلّى، جمال الدين حسن بن يوسف بن المطهّر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الطبعة الأُولى،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بن محمّد بن الحسن، المعروف بالمیرزاي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العلمیة الإسلامیة، الطبعة الثانیة،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الإسلاميّة، الطبعة الخامسة، طهران،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غوامض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الحسن الإصفهاني،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السبزواري، محمّد باقر بن محمّد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مهدوي، الطبعة الأُولى،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الکافي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الصلاح الحلبي، تقيّ الدین بن نجم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الأُستادي، مکتبة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الإصبهان،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الأعظم، مرتضى بن محمّد أمين الأنصاري الدزفولي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إسماعیلیان، الطبعة الرابعة،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اللثام عن 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بهاء الدین، محمّد بن الحسن الإصفهانی، المعروف بالفاضل الهندي</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الأُولی،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الأعظم، مرتضی بن محمّد أمین الأنصاري الدزفولي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الطبعة الأُولی،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عليّ المتقي بن حسام الدین الهندي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حیّاتي، 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لأبوالفضل، جمال الدین محمّد بن مکرم، ابن 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داراحیاء التراث العربي، الطبعة الثالثة،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محمّد تقي الكشفي، المكتبة المرتضويّة، الطبعة الثانية، طهران،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ومطلع النيّرين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فخر الدين الطريحي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أحمد الحسيني، مکتبة المرتضوي، الطبعة الثالثة، طهران،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علىّ الفضل بن الحسن الطبرسي، تصحيح السيّد هاشم الرسولى المحلّاتي والسيّد فضل الله اليزدي الطباطبايي، دارالمعرفة،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المقدّس الأردبيلي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ذكريّا يحيى بن شرف النَوْوىّ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دارالفكر،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مجموعه قوانين با آخرين اصلاحات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دانايى، مسعود،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سعيد نوين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جلال الدین محدث، دارالکتب الإسلامیة، الطبعة الثانية،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بن یحي بن إسماعیل أبو إبراهیم المزني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المطبوعات الدينيّة، الطبعة السادسة،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جمال الدين حسن بن يوسف بن المطهّر الأسدي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الثابعة لجماعة المدرسین، الطبعة الثانية،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 للعلّامة الحلّي الحسن بن يوسف بن المطهّر، مركز الأبحاث والدراسات الإسلامية، قسم إحياء التراث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بن باقر بن محمّد تقىّ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الآخوندي، دار الكتب الإسلاميّة، الطبعة الأُولى، تهران،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 الدين بن عليّ بن أحمد العاملي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المعارف الإسلاميّة، الطبعة الأُولى،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الطوسیة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محمّد بن النعمان العکبري،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لألفیة الشیخ المفید، الطبعة الأُولی،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عليّ بن الحسین الموسوي البغدادي، المعروف بالسیّد المرتضی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مرکز البحوث والدراسات العلمیّة، قم، مؤسّسة الهدی،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ميرزا حسين النوري الطبرسي، مؤسّسة آل البيت، الطبعة الثالثة،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أحمد بن محمّد بن حنبل الشیباني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w:t>
      </w:r>
    </w:p>
    <w:p>
      <w:pPr>
        <w:pStyle w:val="BookText"/>
        <w:rPr/>
      </w:pPr>
      <w:r>
        <w:rPr>
          <w:rFonts w:ascii="IRNazanin" w:hAnsi="IRNazanin" w:eastAsia="IRNazanin"/>
          <w:color w:val="111111"/>
          <w:sz w:val="28"/>
          <w:sz w:val="28"/>
          <w:szCs w:val="28"/>
          <w:rtl w:val="true"/>
          <w:lang w:bidi="fa-IR"/>
        </w:rPr>
        <w:t xml:space="preserve">الرسالة، الطبعة الأُولی،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 في غريب الشرح الكبير للرافعي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للفیومي، أحمد بن محمّد المقري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دار الهجرة، الطبعة الأُولی،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الحديث وتفصيل طبقات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أبوالقاسم الموسوي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الثقافة الإسلامیة، الطبعة الخامسة، النجف الأشرف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الشربیني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العربي،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المغني والشرح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عبدالله بن أحمد بن محمّد بن قدامة المقدسي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حسن بن شاه مرتضى، المعروف بالفیض الکاشاني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آیة الله النجفي المرعشي، الطبعة الأُولى،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الحسين بن محمّد بن المفضّل المعروف بالراغب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حوالى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الطبعة الأُولی،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الهادي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الطبعة الأُولى،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بن محمّد بن النعمان العکبري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العالمي لألفیة الشیخ المفید، الطبعة الأُولی،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روح الله الموسوي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تنظيم ونشر الآثار الإمام الخميني، الطبعة الأُولى،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للطبرسي حسن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السادس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الشریف الرضي، الطبعة الرابعة،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محمّد بن عليّ بن الحسين بن بابويه القمّي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الطبعة السادسة،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عبدالله، محمّد عليّ بن شهر آشوب المازندرانی، المعروف بابن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أساتذة النجف الأشرف، المکتبة الحیدریّة، الطبعة الأُولی، النجف،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في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إسماعیل الحائري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الطبعة الأُولی،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عبدالعزيز 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الطبعة الأُولى،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الفقهیة الکویتیة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والشؤون الإسلامیة، الکویت،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حسين الطباطبائي،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الحسن، علی بن محمّد بن حبیب البصري البغدادي الشهیر بالماوردي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المرام في شرح مختصر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للعاملي، محمّد بن علي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الطبعة الأُولی،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أثیر، مبارك بن محمود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إسماعیلیان، الطبعة الأُولی،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الطائفة، أبي جعفر، محمّد بن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الطبعة الأُولى، بيروت،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ونكتها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الطوسي والمحقّق الأوّل الحلّي،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جمال الدین حسن بن یوسف بن المطهّر الأسدي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اللبناني، الطبعة الأُولی، بیروت،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الهادي</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حسن بن شاه مرتضى، المعروف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أميرالمؤمنين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الطبعة الأُولى، الإصبهان،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حامد، محمّد بن محمّد بن محمّد الغزالي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دارالأرقم بن أبي الأرقم، الطبعة الأُولی،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الطبعة الثالثة،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الوسیلة إلی نیل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أبو جعفر، محمّد بن علّي الطوسي،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عام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مکتبة آیة الله المرعشي النجفي، الطبعة الأُولی،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المطالب</w:t>
      </w:r>
    </w:p>
    <w:p>
      <w:pPr>
        <w:pStyle w:val="BookText"/>
        <w:rPr/>
      </w:pPr>
      <w:r>
        <w:rPr>
          <w:rFonts w:ascii="Amiri" w:hAnsi="Amiri" w:eastAsia="Amiri" w:cs="Amiri"/>
          <w:color w:val="111111"/>
          <w:sz w:val="28"/>
          <w:sz w:val="28"/>
          <w:szCs w:val="28"/>
          <w:rtl w:val="true"/>
          <w:lang w:bidi="ar-SA"/>
        </w:rPr>
        <w:t xml:space="preserve">مقدّمة الناشر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الأُستاذ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المقرر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ينبغي ذکر أُمور</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من الأُمور التشریعیّة الإمضائیّة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البحث عن الطلاق في قسم الإیقاعات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الطلاق في الأزمان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الطلاق في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القول في شروطه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شروط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البلوغ في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الأخبار الدالّة علی عدم صحّة طلاق الصبيّ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الأخبار الدالّة علی صحّة طلاق الصبيّ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الخبر الدالّة علی صحّة الطلاق إن کان له عشرة سنين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اشتراط العقل في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عدم صحّة طلاق الوليّ والوصيّ والحاکم للصبيّ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حکم الطلاق عن السفیه والمجنون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الأخبار الدالّة علی طلاق الوليّ عن السفیه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کلام صاحب الجواهر في المراد عن المعتوه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کلام صاحب الجواهر في جواز طلاق المعتوه والسفیه مع الإذن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حکم طلاق من طرأ عليه الجنون بعد البلوغ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استدلال المشهور في صحّة طلاق الوليّ عن المجنون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مناقشة المسالك في الاستدلال بالروایات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کلام صاحب الحدائق في الردّ علی مناقشات المسالك والاحتجاج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استدلال الشیخ وابن إدریس في عدم صحّة طلاق الوليّ عن المجنون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في الردّ علی احتجاج الشیخ وابن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عدم الفرق في الجنون بین أن یکون عارضاً في الصغر أو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جواز طلاق الزوجة نفسها من الزوج المجنون في صورة العسر والحرج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جواز طلاق الزوجة نفسها من الزوج السفیه في صورة العسر والحرج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اشتراط القصد والاختیار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حکم الإکراه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حکم الإکراه 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إکراه الطلاق في الروایات العامّة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إکراه الطلاق في الروایات الخاصّة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استثناء الموردین من قاعدة حدیث الرفع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کلام الإمام الخمیني حول موارد استثناء التقیّة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رضا المکرَه بعد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تعریف الإکراه وما حوله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تحقّق الإکراه بالتوعّد وفعل المکرِه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في اعتبار الظنّ والعلم أو کفایة تحقّق الخوف بتوعید المکرِه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حکم الإکراه فیما لم یتوعّد المکرِه فعلاً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حصول الإکراه لمن خاف من التوعّد المکرِه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اشتراط صدق الإکراه بالعجز عن بعض التفصّیات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عدم صدق الإکراه مع إمکان التفصّي بمثل الفرار أو التوریة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عدم اعتبارالعجز عن التوریة في الإکراه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الردّ علی الوجهین في عدم اعتبار العجز عن التوریة في الإکراه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کلام صاحب الجواهر في عدم اعتبار العجز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کلام صاحب المسالك في عدم اعتبار التوریة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الردّ علی صاحب المسالك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الإکراه 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وجوه استدلال الشیخ للإکراه الرافع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الردّ علی وجوه الاستدالال للشیخ في الإکراه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وقوع الإکراه فیمَن أُکره علی طلاق إحدی زوجتیه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وجهان فیمن طلّق زوجتیه مکرهاً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في الإکراه علی أن یطلِّق ثلاث تطلیقات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المسالك في بعض فروع الإکراه علی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الإکراه علی الطلاق بغیر الصیغة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وجهان في إکراه الوکیل علی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حکم الإکراه في توعید المکرَه بفعل المستقبل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حکم بعض موارد الضرر في الإکراه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في العدول عن الطلاق بعد تلفّظه بالطلاق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عدم الفائدة في صحّة الطلاق عن إکراه عند تعقّب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شروط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الشرط الأوّل للمطلَّقة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زوجة دائمة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الشرط الثاني للمطلَّقة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طاهرة من الحيض والنفاس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الشرط الثالث للمطلَّقة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في طهر واقعها فيه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الحيض والنفاس مانعان من صحّة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طلاق المرأة في حال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اختلاف الأصحاب في طلاق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صور في طلاق الغائب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اعتبار مضيّ ثلاثة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تعتبر الطهارة من الحيض والنفاس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تعيين المطلّقة لو کانت أکثر من 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تعیین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القول في الصيغة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الأصل في شرطیّة الصیغة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الشروط في صیغة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صيغة الطلاق وهيئتها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وقوع طلاق أكثر من زوجة واحدة بصيغة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اشتراط العربیّة في الصیغة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وقوع الطلاق بالإشارة والکتابة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الزوج أمر الطلاق إلی المرأة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جواز الوکالة في 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حکم الطلاق ثلاثاً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الإشهاد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اشتراط الإشهاد في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كيفيّة الإشهاد واشتراط المعرفة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عدالة المشترطة في الطلاق شرطاً واقعياً أو ظاهریاً؟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القول في أقسام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تقسیم الطلاق إلی الواجب والمکروه والمستحبّ والحرام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أسباب تحریم الطلاق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الردّ علی أدلّة الطلاق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تقسیم الطلاق إلی البدعيّ والسنّي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معنیً آخر للطلاق السنّي بالنظر إلی النصوص والفتاوی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الطلاق قبل الدخول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الصغیرة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طلاق الیائسة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طلاق الخلع والمباراة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قولان في مسألة استيفاء العدّة، هل هو هادم لتحريم الثلاثة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القائلون بالقول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القائلون بالقول الثاني والاستدلال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الردّ على الاستدلال بالكتاب والإجماع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الشروط في المحلّل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الخصيّ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 قبول قول الزوجة بأنّها تزوّجت بعد الثالث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فروع أحكام التحليل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الشكّ في إيقاع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القول في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تعريف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الدليل على أصل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الفراق طلاقاً كان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عدم العدّة لغير المدخول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عدّة الصغيرة واليائسة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تعارض روايات عدّة الصغيرة واليائسة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المراد من الدخول لثبوت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حكم الخصي والمقطوع في إيجاب العدّة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الفرق بين الكبير والصغير في العدّة على المدخول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العدّة في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فيما لو يئست بين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عدّة الحامل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عدّة المطلّقة الحامل بالزنا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عدّة الحامل بالاثنين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عدّة المطلّقة الموطوءة بالشبهة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ادّعاء الوضع أو 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أصناف الحائل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معنی القرء لفظاً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المراد من استقامة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عدم الفرق بين كون الحيض طبيعيّاً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أقسام العدد في الكتاب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اختصاص الاعتداد بالثلاثة بالحرّة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عدم الفرق في العدّة بين المطلّقة والمفسوخة والموطوءة بالشبهة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عدم الفرق في العدة بين الحيض والنفاس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 وجوب تماميّة مدّة الطهر في كلّ القروء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حكم مستقيمة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حكم من لا تحيض وهي في سنّ من تحيض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حكم من كان الطهر الفاصل بين حيضتين منها ثلاثة أشهر أو 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المراد بالقروء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في كفاية مسمّى الطهر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عدّة المتعة في الحامل والحائل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المتمتّع بها إن كانت في سنّ من تحيض ولا تحيض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المدار في الشهور هو الهلالي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الاختلاف في انقضاء العدّة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القول في عدة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عدّة المتوفّى عنها زوجها إذا كانت حائلاً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عدّة المتوفّى عنها زوجها إذا كانت حاملاً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عدّة المطلّقة الرجعيّة إذا مات زوجها في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عدّة المسترابة بالحمل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وجوب الحداد ومعناه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عدم شرطيّة الحداد في صحّة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عدم الفرق في الحداد بين المسلمة والذميّة والدائمة والمنقطعة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في وجوب الحداد على الصغيرة والمجنونة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حكم خروج المعتدّة بعدّة الوفاة من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حداد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عدّة الوفاة في الوط‌ء بالشبهة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مبدأ عدّة الطلاق والوفاة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عدم اشتراط الحجّة الشرعيّة في الإخبار بالموت للاعتداد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حكم المفقود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روايات المفقود زوجها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حكم العدّة بعد الطلب أربع 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هل التربّص مشروط بالرجوع إلى الحاكم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هل المفقود وأحكامه مختصّة بالفقد في السفر أو أعمّ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الحكم مختصّ بالزوجة أو يشمل سائر أحكام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الحكم مختصّ بالدائمة أو يشمل المنقطعة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عدم اشتراط كيفيّة خاصّة في الفحص والطلب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عدم اشتراط العدالة في المبعوث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عدم اعتبار الفحص من جانب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المقدار اللازم في الفحص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سقوط الفحص أن لا يترتّب عليه أثر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إن تبيّن موته قبل انقضاء المدّة أو بعده أو في أثناءها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لو وجد الزوج بعد الفحص وانقضاء الأجل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القول في عدّة وطء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المراد به وطء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عدم العدّة على المزنيّ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وجوب العدّة على الموطوءة 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جواز التزوّج بالموطوءة شبهة للواطي إن كانت خليّة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حكم الوطى‌ء شبهة في عدّة الطلاق أو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في عدّة الحامل بالتلقيح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في الطلاق بعد الرجوع وقبل الدخول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فساد توهّم نكاح جماعة في يوم واحد امرأة شابّة بالاحتيال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المطلّقة الرجعيّة بحكم الزوجة بخلاف البائن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کراهة طلاق المریض وحرمته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مقامات في أصل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التوارث في الرجعيّة وعدمه في البائن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الزوج في البائن وبعد العدّة الرجعيّة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إرث المطلّقة في حال المرض إلى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طلّق المريض الكتابيّة أو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وقوع الطلاق في حال المرض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إرث أكثر من زوجات أربع من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مات المريض بعلّة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لحوق سائر أسباب الفراق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طلّقها ثمّ لاعنها أو حصل الارتداد أو تجدّد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المرض السابق على حال النزع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حكم سكنى الرجعيّة وإخراجها من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المراد من الخروج والإخراج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القول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المراد بالرجعة وثبوتها بالكتاب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في أسباب الرجوع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هل الرجعة إيقاع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عدم اشتراط الإشهاد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عدم اشتراط اطّلاع الزوجة على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في الاتّفاق على الرجوع وانقضاء العدّة والاختلاف في التقدّم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الرجوع حكم أو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كتاب الخلع والمباراة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الخلع والمباراة لغةً وشرعاً ومشروعيّتهما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صيغة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الخلع نوع من الطلاق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هل يجب اتّباع صيغة الخلع بلفظ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الخلع من الإيقاعات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اشتراط عدم الفصل بين إنشاء البذل والطلاق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جواز التوكيل في الخلع للبذل والطلاق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في كيفيّة إيقاع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في طلب الطلاق أو الخلع بعوض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فرعان في المسألة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بذل الفداء عوضاً عن الطلاق بكلّ متموّل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هل يصحّ تضمين غيرها بالبذل؟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حكم الخلع أو الطلاق على مال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حكم بذل مال الغير أو ما لا يملكه المسلم مع العلم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حكم بذل مال الغير مع الجهل بالحال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شرطيّة شدّة كراهة الزوجة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عدم الفرق في الكراهة بين الذاتيّة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عدم تحقّق الخلع لوكانت الكراهة ناشئة من إيذاء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عدم صحّة الخلع مع عدم الكراهة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طلاق الخلع بائن لا رجوع فيه ما لم ترجع الزوجة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في اشتراط جواز رجوعها بإمكان رجوعه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المختلعة بعد الرجوع في البذل هي رجعيّة في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الخلع لوقالت إنّها تأتي بالأجنبي إلى الفراش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الرجوع في بعض البذل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شروط المباراة والفرق بينها وبين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المباراة ببذل المهر؟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الطلاق بالعوض مع التيام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جواز نكاح المختلعة والمبارئة للزوج بعقد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جواز عضل الزوجة وعدمه إذا أتت بفاحشة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کتاب الظهار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تعريف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صيغة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حكم التشبيه بسائر أعضاء الأُمّ غير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التشبيه بغير الأُمّ من المحارم النسبيّة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شرطيّة وقوع الظهار بسماع عدلين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 xml:space="preserve">شروط المظاهر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 xml:space="preserve">شروط المظاهرة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اعتبار دوام الزوجيّة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التعليق في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التعليق في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أحكام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كفّارة الظهار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رفع أمر المظاهرة إلى الحاكم إن لم تصبر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الإيلاء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Amiri" w:hAnsi="Amiri" w:eastAsia="Amiri" w:cs="Amiri"/>
          <w:color w:val="111111"/>
          <w:sz w:val="28"/>
          <w:sz w:val="28"/>
          <w:szCs w:val="28"/>
          <w:rtl w:val="true"/>
          <w:lang w:bidi="ar-SA"/>
        </w:rPr>
        <w:t xml:space="preserve">تعريف اللعان ومشروعيّته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مشروعيّة اللعان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الزوجة بالزنا ونفي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جواز قذف الزوجة بالزنا عند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 xml:space="preserve">اشتراط اللعان بالقذف بادّعاء 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 xml:space="preserve">اشتراط فقد البيّنة في ثبوت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شرطيّة الزوجيّة والدوام في ثبوت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 xml:space="preserve">شرطيّة الدخول في ثبوت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Amiri" w:hAnsi="Amiri" w:eastAsia="Amiri" w:cs="Amiri"/>
          <w:color w:val="111111"/>
          <w:sz w:val="28"/>
          <w:sz w:val="28"/>
          <w:szCs w:val="28"/>
          <w:rtl w:val="true"/>
          <w:lang w:bidi="ar-SA"/>
        </w:rPr>
        <w:t xml:space="preserve">اشتراط ثبوت اللعان بأن تكون غير مشهورة بالزنا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شرطيّة السلامة عن الصمم والخرس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حرمة نفي الولد مع إمكان اللحوق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وجوب نفي الولد مع العلم بعدم التكوّن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 xml:space="preserve">عدم سماع النفي إن علم بدخوله أو أقرّ بذلك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انتفاء الولد بنفيه في المتمتّع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 xml:space="preserve">عدم الفرق بين الحمل والمنفصل في مشروعيّة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عدم التلازم بين نفي الولد وكونه من الزنا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 xml:space="preserve">لو أقرّ بالولد صريحاً أو كناية لا يسمع إنكاره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عدم وقوع اللعان إلّا عند الحاكم الشرعي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صورة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وجوب كون الصيغة بالعربيّة مع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p>
    <w:p>
      <w:pPr>
        <w:pStyle w:val="BookText"/>
        <w:rPr/>
      </w:pPr>
      <w:r>
        <w:rPr>
          <w:rFonts w:ascii="Amiri" w:hAnsi="Amiri" w:eastAsia="Amiri" w:cs="Amiri"/>
          <w:color w:val="111111"/>
          <w:sz w:val="28"/>
          <w:sz w:val="28"/>
          <w:szCs w:val="28"/>
          <w:rtl w:val="true"/>
          <w:lang w:bidi="ar-SA"/>
        </w:rPr>
        <w:t xml:space="preserve">وجوب القيام عند التلفّظ بالألفاظ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تقديم لعان الرجل على لعان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شرطيّة الموالاة بين الأحلاف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كلام كاشف اللثام في الشروط الواجبة والمندوبة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Amiri" w:hAnsi="Amiri" w:eastAsia="Amiri" w:cs="Amiri"/>
          <w:color w:val="111111"/>
          <w:sz w:val="28"/>
          <w:sz w:val="28"/>
          <w:szCs w:val="28"/>
          <w:rtl w:val="true"/>
          <w:lang w:bidi="ar-SA"/>
        </w:rPr>
        <w:t xml:space="preserve">ترتّب الأحكام الأربعة بعد وقوع اللعان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 xml:space="preserve">تكذیب الرجل نفسه بعد اللعان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زوال تمام الآثار لو كذّب نفسه وعدمه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 xml:space="preserve">وجوب طلاق الخُلع على الرجل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ascii="Amiri" w:hAnsi="Amiri" w:eastAsia="Amiri" w:cs="Amiri"/>
          <w:color w:val="111111"/>
          <w:sz w:val="28"/>
          <w:sz w:val="28"/>
          <w:szCs w:val="28"/>
          <w:rtl w:val="true"/>
          <w:lang w:bidi="ar-SA"/>
        </w:rPr>
        <w:t xml:space="preserve">تقسيمات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الرجعي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الطلاق البائن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أقسام الطلاق البائن </w:t>
      </w:r>
      <w:r>
        <w:rPr>
          <w:rFonts w:eastAsia="IRNazanin" w:cs="IRNazanin"/>
          <w:color w:val="111111"/>
          <w:sz w:val="28"/>
          <w:szCs w:val="28"/>
          <w:rtl w:val="true"/>
          <w:lang w:bidi="fa-IR"/>
        </w:rPr>
        <w:t xml:space="preserve">... </w:t>
      </w:r>
      <w:r>
        <w:rPr>
          <w:rFonts w:eastAsia="IRNazanin" w:cs="IRNazanin"/>
          <w:color w:val="111111"/>
          <w:sz w:val="28"/>
          <w:szCs w:val="28"/>
          <w:lang w:bidi="fa-IR"/>
        </w:rPr>
        <w:t>721</w:t>
      </w:r>
    </w:p>
    <w:p>
      <w:pPr>
        <w:pStyle w:val="BookText"/>
        <w:rPr/>
      </w:pPr>
      <w:r>
        <w:rPr>
          <w:rFonts w:ascii="Amiri" w:hAnsi="Amiri" w:eastAsia="Amiri" w:cs="Amiri"/>
          <w:color w:val="111111"/>
          <w:sz w:val="28"/>
          <w:sz w:val="28"/>
          <w:szCs w:val="28"/>
          <w:rtl w:val="true"/>
          <w:lang w:bidi="ar-SA"/>
        </w:rPr>
        <w:t xml:space="preserve">طلاق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ascii="Amiri" w:hAnsi="Amiri" w:eastAsia="Amiri" w:cs="Amiri"/>
          <w:color w:val="111111"/>
          <w:sz w:val="28"/>
          <w:sz w:val="28"/>
          <w:szCs w:val="28"/>
          <w:rtl w:val="true"/>
          <w:lang w:bidi="ar-SA"/>
        </w:rPr>
        <w:t xml:space="preserve">المعنى اللغوي للخلع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ascii="IRNazanin" w:hAnsi="IRNazanin" w:eastAsia="IRNazanin"/>
          <w:color w:val="111111"/>
          <w:sz w:val="28"/>
          <w:sz w:val="28"/>
          <w:szCs w:val="28"/>
          <w:rtl w:val="true"/>
          <w:lang w:bidi="fa-IR"/>
        </w:rPr>
        <w:t xml:space="preserve">المعنى المصطلح للخلع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p>
    <w:p>
      <w:pPr>
        <w:pStyle w:val="BookText"/>
        <w:rPr/>
      </w:pPr>
      <w:r>
        <w:rPr>
          <w:rFonts w:ascii="Amiri" w:hAnsi="Amiri" w:eastAsia="Amiri" w:cs="Amiri"/>
          <w:color w:val="111111"/>
          <w:sz w:val="28"/>
          <w:sz w:val="28"/>
          <w:szCs w:val="28"/>
          <w:rtl w:val="true"/>
          <w:lang w:bidi="ar-SA"/>
        </w:rPr>
        <w:t xml:space="preserve">بيان كيفيّة كراهة المرأة للزوج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أدلّة إثبات طلاق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كيفيّة الاستدلال بالنص القرآني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p>
    <w:p>
      <w:pPr>
        <w:pStyle w:val="BookText"/>
        <w:rPr/>
      </w:pPr>
      <w:r>
        <w:rPr>
          <w:rFonts w:ascii="Amiri" w:hAnsi="Amiri" w:eastAsia="Amiri" w:cs="Amiri"/>
          <w:color w:val="111111"/>
          <w:sz w:val="28"/>
          <w:sz w:val="28"/>
          <w:szCs w:val="28"/>
          <w:rtl w:val="true"/>
          <w:lang w:bidi="ar-SA"/>
        </w:rPr>
        <w:t xml:space="preserve">موضوع البحث ومركز النزاع والخلاف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ascii="Amiri" w:hAnsi="Amiri" w:eastAsia="Amiri" w:cs="Amiri"/>
          <w:color w:val="111111"/>
          <w:sz w:val="28"/>
          <w:sz w:val="28"/>
          <w:szCs w:val="28"/>
          <w:rtl w:val="true"/>
          <w:lang w:bidi="ar-SA"/>
        </w:rPr>
        <w:t xml:space="preserve">الأحكام الأربعة لطلاق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الخلع المحرّم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الخلعي المباح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الخلعي المستحبّ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الطلاق الخلعي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p>
    <w:p>
      <w:pPr>
        <w:pStyle w:val="BookText"/>
        <w:rPr/>
      </w:pPr>
      <w:r>
        <w:rPr>
          <w:rFonts w:ascii="Amiri" w:hAnsi="Amiri" w:eastAsia="Amiri" w:cs="Amiri"/>
          <w:color w:val="111111"/>
          <w:sz w:val="28"/>
          <w:sz w:val="28"/>
          <w:szCs w:val="28"/>
          <w:rtl w:val="true"/>
          <w:lang w:bidi="ar-SA"/>
        </w:rPr>
        <w:t xml:space="preserve">أدلة القائلين بعدم وجوب طلاق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p>
    <w:p>
      <w:pPr>
        <w:pStyle w:val="BookText"/>
        <w:rPr/>
      </w:pPr>
      <w:r>
        <w:rPr>
          <w:rFonts w:ascii="Amiri" w:hAnsi="Amiri" w:eastAsia="Amiri" w:cs="Amiri"/>
          <w:color w:val="111111"/>
          <w:sz w:val="28"/>
          <w:sz w:val="28"/>
          <w:szCs w:val="28"/>
          <w:rtl w:val="true"/>
          <w:lang w:bidi="ar-SA"/>
        </w:rPr>
        <w:t xml:space="preserve">الإشكال على الاستدلال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الإشكال على الاستدلال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ascii="Amiri" w:hAnsi="Amiri" w:eastAsia="Amiri" w:cs="Amiri"/>
          <w:color w:val="111111"/>
          <w:sz w:val="28"/>
          <w:sz w:val="28"/>
          <w:szCs w:val="28"/>
          <w:rtl w:val="true"/>
          <w:lang w:bidi="ar-SA"/>
        </w:rPr>
        <w:t xml:space="preserve">أدلّة القائلين بوجوب طلاق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الإشكالات الواردة على هذا الاستدلال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الإشكال الأوّل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p>
    <w:p>
      <w:pPr>
        <w:pStyle w:val="BookText"/>
        <w:rPr/>
      </w:pPr>
      <w:r>
        <w:rPr>
          <w:rFonts w:ascii="Amiri" w:hAnsi="Amiri" w:eastAsia="Amiri" w:cs="Amiri"/>
          <w:color w:val="111111"/>
          <w:sz w:val="28"/>
          <w:sz w:val="28"/>
          <w:szCs w:val="28"/>
          <w:rtl w:val="true"/>
          <w:lang w:bidi="ar-SA"/>
        </w:rPr>
        <w:t xml:space="preserve">الإشكال الثاني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 xml:space="preserve">الإشكال الثالث والجواب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الارتكاز والاعتبار العقلائي في 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p>
    <w:p>
      <w:pPr>
        <w:pStyle w:val="BookText"/>
        <w:rPr/>
      </w:pPr>
      <w:r>
        <w:rPr>
          <w:rFonts w:ascii="Amiri" w:hAnsi="Amiri" w:eastAsia="Amiri" w:cs="Amiri"/>
          <w:color w:val="111111"/>
          <w:sz w:val="28"/>
          <w:sz w:val="28"/>
          <w:szCs w:val="28"/>
          <w:rtl w:val="true"/>
          <w:lang w:bidi="ar-SA"/>
        </w:rPr>
        <w:t xml:space="preserve">إشكالات على مبدأ القول بوجوب الخُلع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p>
    <w:p>
      <w:pPr>
        <w:pStyle w:val="BookText"/>
        <w:rPr/>
      </w:pPr>
      <w:r>
        <w:rPr>
          <w:rFonts w:ascii="Amiri" w:hAnsi="Amiri" w:eastAsia="Amiri" w:cs="Amiri"/>
          <w:color w:val="111111"/>
          <w:sz w:val="28"/>
          <w:sz w:val="28"/>
          <w:szCs w:val="28"/>
          <w:rtl w:val="true"/>
          <w:lang w:bidi="ar-SA"/>
        </w:rPr>
        <w:t xml:space="preserve">جواب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p>
    <w:p>
      <w:pPr>
        <w:pStyle w:val="BookText"/>
        <w:rPr/>
      </w:pPr>
      <w:r>
        <w:rPr>
          <w:rFonts w:ascii="Amiri" w:hAnsi="Amiri" w:eastAsia="Amiri" w:cs="Amiri"/>
          <w:color w:val="111111"/>
          <w:sz w:val="28"/>
          <w:sz w:val="28"/>
          <w:szCs w:val="28"/>
          <w:rtl w:val="true"/>
          <w:lang w:bidi="ar-SA"/>
        </w:rPr>
        <w:t xml:space="preserve">دراسة الروايات وتحليلها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p>
    <w:p>
      <w:pPr>
        <w:pStyle w:val="BookText"/>
        <w:rPr/>
      </w:pPr>
      <w:r>
        <w:rPr>
          <w:rFonts w:ascii="Amiri" w:hAnsi="Amiri" w:eastAsia="Amiri" w:cs="Amiri"/>
          <w:color w:val="111111"/>
          <w:sz w:val="28"/>
          <w:sz w:val="28"/>
          <w:szCs w:val="28"/>
          <w:rtl w:val="true"/>
          <w:lang w:bidi="ar-SA"/>
        </w:rPr>
        <w:t xml:space="preserve">أدلّة القائلين بجواز أخذ الزائد على المهر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p>
    <w:p>
      <w:pPr>
        <w:pStyle w:val="BookText"/>
        <w:rPr/>
      </w:pPr>
      <w:r>
        <w:rPr>
          <w:rFonts w:ascii="IRNazanin" w:hAnsi="IRNazanin" w:eastAsia="IRNazanin"/>
          <w:color w:val="111111"/>
          <w:sz w:val="28"/>
          <w:sz w:val="28"/>
          <w:szCs w:val="28"/>
          <w:rtl w:val="true"/>
          <w:lang w:bidi="fa-IR"/>
        </w:rPr>
        <w:t xml:space="preserve">الاستنتاج والاستخلاص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حجيّة الظواهر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شبهة في لزوم اتّباع ظاهر كلام الشارع في تعيين مراده في الجملة؛ لاستقرار طريقة العقلاء على اتّباع الظهورات في تعيين المرادات، مع القطع بعدم الردع عنها؛ لوضوح عدم اختراع طريقة أُخرى في مقام الإفادة لمرامه من كلامه، كما هو واضح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قبل أسطر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بمعنی التطلیق، کالسلام بمعنی التسلیم؛ أي التطلیق الشرعي تطلیقه بعد تطلیقه علی التفریق، دون الجمع والإرسال دفعة واحدة ولم یرد بالمرّتین التثنیة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التخلیة من الوثاق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ومنه استُعیر طلّقت المرأة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خلّیتها فهي طالق؛ أي مخلاةٌ عن حبالة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وطلاق النساء لمعنیین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حلّ عُقدة النکاح، والآخر بمعنی التخلیة والإرسال، ویقال للإنسان إذا عَتَقَ طلیقٌ؛ أي صار حرّاً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لأصالة اللزوم وجوهٌ ستّة، ذكرها الشيخ في المكاسب، فراجعه إن شئت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في کراهیّة الطلاق، الحدیث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موجودٌ في بعض نسخ الکافي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الثامن في آداب النکاح وما یتعلّق به، الفصل الأوّل في الرغبة في التزویج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باب الاستشارة،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التطلیق المراة غیر الموافقة،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التطلیق المراة غیر الموافقة،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التطلیق المراة غیر الموافقة،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التطلیق المراة غیر الموافقة،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جعفر بن بشير الذي روى الخبر عنه فقد أجمعت العصابة على تصحيح ما يصحّ عنه، كما أفاده الأُستاذ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بشیر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تطلیق المرأة غیر الموافقة،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وابن حمزة في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رسالته ولکن 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325/1575</w:t>
      </w:r>
      <w:r>
        <w:rPr>
          <w:rFonts w:ascii="IRNazanin" w:hAnsi="IRNazanin" w:eastAsia="IRNazanin"/>
          <w:b w:val="false"/>
          <w:b w:val="false"/>
          <w:bCs w:val="false"/>
          <w:i w:val="false"/>
          <w:i w:val="false"/>
          <w:iCs w:val="false"/>
          <w:color w:val="333333"/>
          <w:sz w:val="20"/>
          <w:sz w:val="20"/>
          <w:szCs w:val="20"/>
          <w:rtl w:val="true"/>
        </w:rPr>
        <w:t xml:space="preserve">، باب طلاق الغلام،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في قوائد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وولده في إیضاح الفوائد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والشهید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والسیّد السند في نهایة المرام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152:25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طلاق الصبیان،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والشهید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وابن حمزة في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في المجنون سرق أو یصیب حدّاً، الحدیث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رفع القلم عن الثلاثة؛ السنن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من تجب علیه الصلاة؛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باب الطلاق المعتوه والصغیر والنائم، الحدیث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الصفحة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الطائفة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لکونه کالصریح في المنع عن طلاق ذي العشر، بعدم کونه الغایة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فيه قبل أسطرٍ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وابن حمزة في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لأنّ المفید قد حکم فیها بصحّة وصیّة الصبيّ إذا بلغ عشر سنین؛ ولاحظ من الشیخ في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المحكيّ عنه في مختلف الشیعة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ووجهه محكيّ أیضاً في جواهر الکلام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الصدوق في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325/1575</w:t>
      </w:r>
      <w:r>
        <w:rPr>
          <w:rFonts w:ascii="IRNazanin" w:hAnsi="IRNazanin" w:eastAsia="IRNazanin"/>
          <w:b w:val="false"/>
          <w:b w:val="false"/>
          <w:bCs w:val="false"/>
          <w:i w:val="false"/>
          <w:i w:val="false"/>
          <w:iCs w:val="false"/>
          <w:color w:val="333333"/>
          <w:sz w:val="20"/>
          <w:sz w:val="20"/>
          <w:szCs w:val="20"/>
          <w:rtl w:val="true"/>
        </w:rPr>
        <w:t>، باب طلاق الغلام،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ووالده في رسالته علی ما حکاه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والمحدّث البحراني في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الطائفة الثانیة من الأخبار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النصوص في الطائفة الثانية بثلاث الموثّقات في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 الإمامیّة في وسائل الشیعة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أبواب مقدّمات الحدود وأحکامها العامّة،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ومن العامّة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في المجنون سرق أو یصیب حدّاً، الحدیث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رفع القلم عن الثلاثة؛ السنن الکبری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من تجب علیه الصلاة؛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والصغیر والنائم، الحدیث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عقد النكاح وأولياء العقد،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طلاق العبد، الحدیث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کتاب الطلاق، فرع الأوّل في الأحکام، الحدیث </w:t>
      </w:r>
      <w:r>
        <w:rPr>
          <w:rFonts w:eastAsia="IRNazanin" w:cs="IRNazanin"/>
          <w:b w:val="false"/>
          <w:bCs w:val="false"/>
          <w:i w:val="false"/>
          <w:iCs w:val="false"/>
          <w:color w:val="333333"/>
          <w:sz w:val="20"/>
          <w:szCs w:val="20"/>
        </w:rPr>
        <w:t>27770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وطلاق ولیّه عنه،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326/1578</w:t>
      </w:r>
      <w:r>
        <w:rPr>
          <w:rFonts w:ascii="IRNazanin" w:hAnsi="IRNazanin" w:eastAsia="IRNazanin"/>
          <w:b w:val="false"/>
          <w:b w:val="false"/>
          <w:bCs w:val="false"/>
          <w:i w:val="false"/>
          <w:i w:val="false"/>
          <w:iCs w:val="false"/>
          <w:color w:val="333333"/>
          <w:sz w:val="20"/>
          <w:sz w:val="20"/>
          <w:szCs w:val="20"/>
          <w:rtl w:val="true"/>
        </w:rPr>
        <w:t xml:space="preserve">، باب طلاق المعتوه والمجنون وطلاق ولیّه عنه،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75:8/253</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باب طلاق المعتوه،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کالطباطبائي في ریاض المسائل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في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للوليّ أن يطلّق عمّن له عليه ولاية، لا بعوض ولا بغير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الشافعي وأبوحنيفة وأكثر الفقهاء، وقال الحسن البصري وعطاء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بعوض وغير عوض، وقال الزهري ومالك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بعوض ولا يصحّ بغير عوض؛ لأنّ الخلع كالهبة، والطلاق كالهبة، والبيع يصحّ منه دون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وأيضاً، الأصل بقاء العقد وصحّته، وثبوت الطلاق للوليّ يحتاج إلى دليل، وليس عليه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قوله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لمن أخذ بالساق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والزوج هو الذي له ذلك دون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الروایات في الصفحة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أبي خالد القمّاط،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روایة أبي خالد في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خبر شهاب بن عبد ربّه في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الطلاق العبد، الحدیث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قبل أسطر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کشف اللثام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شرح الکبیر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مغنی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کتاب الأیمان،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الأمروالنهي، أبواب الأمر والنهي،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کتاب الأمروالنهي، أبواب الأمر والنهي،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والمکره،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طلاق المضطرّ والمکره،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تخریجها آنفاً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روایتها في 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کتاب الأمروالنهي، أبواب الأمر والنهي،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215:16</w:t>
      </w:r>
      <w:r>
        <w:rPr>
          <w:rFonts w:ascii="IRNazanin" w:hAnsi="IRNazanin" w:eastAsia="IRNazanin"/>
          <w:b w:val="false"/>
          <w:b w:val="false"/>
          <w:bCs w:val="false"/>
          <w:i w:val="false"/>
          <w:i w:val="false"/>
          <w:iCs w:val="false"/>
          <w:color w:val="333333"/>
          <w:sz w:val="20"/>
          <w:sz w:val="20"/>
          <w:szCs w:val="20"/>
          <w:rtl w:val="true"/>
        </w:rPr>
        <w:t xml:space="preserve">، کتاب الأمر والنهي، أبواب ألامر والنهي،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هذا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وجوب التقیّة في کلّ ضرورة بقدرها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ونحن لم نعثر علی غیره من هذا الباب وهو باب التوریة أوغیرها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سیأتي تخریجها بعد أسطرٍ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الأمر والنهي، أبواب الأمر والنهي،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الجنابة،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سیأتي بعد أسطر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 قبل أسطر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الفصل التاسع، في ذکر أحادیث تتضمّن شیئاَ من أبواب الفقه،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للشیخ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كتاب الأيمان،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المتعة،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المتعة،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المتعة،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والاعتماد علی الاتّفاق، وإلّا فتعدّد الأسباب ممکنٌ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177:25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لم یثبت هنا سببیّة الطلاق، فالأصل عدمها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الحدائق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لم يكن دخل بالمرأة وطلّقها وقع الطلاق وإن كانت حائضاً، وكذلك إن كان غائباً شهراً فصاعداً وقع طلاقه إذا طلّقها وإن كانت حائضاً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موضع آخر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إلى السفر وقد كانت طاهراً طهراً لم يقربها فيه بجماع جاز له أن يطلّقها أيّ وقتٍ شاءَ، ومتى كانت طاهراً طهراً قد قربها فيه بجماع فلا يطلّقها حتّى يمضي ما بين شهر إلى ثلاثة أشهر، ثمّ يطلّقها بعد ذلك أيّ وقت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الأوّل يرجع إلى ما ذكره الصدوق في الفقيه، وبه صرّح ابن حمزة أيضاً، فقدّر مدّة التربّص بشهر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ذكره من الكلام الثاني صرّح ابن البرّاج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لمّا خرج كانت طاهراً طهراً لم يقربها فيه بجماع طلّقها أيّ وقت أراد، وإن كانت طاهراً طهراً قد قربها فيه بجماع فلا يطلّقها حتّى یمضي لها ما بين شهر إلى ثلاثة أشهر ويطلّقها بعد ذلك أيّ وقت 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في مختلف الشیعة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طلاق الغائب، ذیل الحدیث </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طلاق الغائب، ذیل الحدیث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طلاق الغائب، ذیل الحدیث </w:t>
      </w:r>
      <w:r>
        <w:rPr>
          <w:rFonts w:eastAsia="IRNazanin" w:cs="IRNazanin"/>
          <w:b w:val="false"/>
          <w:bCs w:val="false"/>
          <w:i w:val="false"/>
          <w:iCs w:val="false"/>
          <w:color w:val="333333"/>
          <w:sz w:val="20"/>
          <w:szCs w:val="20"/>
        </w:rPr>
        <w:t>1043/6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علم من حال امرأته أنّها تحيض في كلّ شهر حیضة يجوز له أن يطلّق بعد انقضاء الشهر، ومن يعلم أنّها لا تحيض إلّا كلّ ثلاثة أشهر أو خمسة أشهر لم يجز له أن يطلّقها إلّا بعد مضيّ هذه المدّة، فکان المراعى في جواز ذلك مضيّ حيضة وانتقالها إلى طهر لم يقربها فيه بجماع، وذلك یختلف علی ما قلناه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تخریجهما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تعالی في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تخریجهما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طلاق الغائب، ذیل الحدیث </w:t>
      </w:r>
      <w:r>
        <w:rPr>
          <w:rFonts w:eastAsia="IRNazanin" w:cs="IRNazanin"/>
          <w:b w:val="false"/>
          <w:bCs w:val="false"/>
          <w:i w:val="false"/>
          <w:iCs w:val="false"/>
          <w:color w:val="333333"/>
          <w:sz w:val="20"/>
          <w:szCs w:val="20"/>
        </w:rPr>
        <w:t>1572/1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الأعلائي هو ما کان کلّ من رواته عدلاً مزکّی بعدلین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تخریجها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تخریجها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تخریجها في الصفحة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333/1614</w:t>
      </w:r>
      <w:r>
        <w:rPr>
          <w:rFonts w:ascii="IRNazanin" w:hAnsi="IRNazanin" w:eastAsia="IRNazanin"/>
          <w:b w:val="false"/>
          <w:b w:val="false"/>
          <w:bCs w:val="false"/>
          <w:i w:val="false"/>
          <w:i w:val="false"/>
          <w:iCs w:val="false"/>
          <w:color w:val="333333"/>
          <w:sz w:val="20"/>
          <w:sz w:val="20"/>
          <w:szCs w:val="20"/>
          <w:rtl w:val="true"/>
        </w:rPr>
        <w:t xml:space="preserve">، باب طلاق السر،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686687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الکرکي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أبواب جهاد العدو وما یناسبه،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في جواهر الکلام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في جواهر الکلام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اليوم وهو اليوم الثالث عشر من شهر آبان قد ألقى شيخنا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مهمّة فقط حوله وهو اليوم الذي قد نفي الإمام الخميني الراحل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إيران إلى مدينة بورسا في تركيا على أيدي كيان الشاه الأمريكي وجلاوزته، وقد صرّح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باشتراك أمريكا في كلّ الجرائم الصادرة في العالم في الأمس واليوم، وقد أكّد على ضرورة الكفاح والجهاد المستمرّ ضدّ الكيان الأمريكي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الشهید الثانی في الروضة البهیّة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باستيفاء العدد،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روایة حسن بن زياد،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أن يقول الرجل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اختاري، فإن اختارت نفسها فقد بانت منه، وإن اختارت زوجها فليس بشيء، أو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طالق، فأيّ ذلك فَعَل فقد حرمت عليه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ابن سماعة التي مرّ آنفاً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مختلف الشیعة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روایة الحلبي مع تخریجها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روایة ابن مسلم مع تخریجها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حسنة الحلبي مع تخریجها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حسنة ابن مسلم مع تخریجها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خبر ابن سماعة مع تخریجه في الصفحة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أحکام الطلاق، ذیل الحدیث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صحیحة محمّد بن مسلم المتقدّمة مع تخریجها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مع تخریجها في الصفحة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أحکام الطلاق، ذیل الحدیث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ما به تقع الفرقة من کنایات الطلاق، ذیل الحدیث </w:t>
      </w:r>
      <w:r>
        <w:rPr>
          <w:rFonts w:eastAsia="IRNazanin" w:cs="IRNazanin"/>
          <w:b w:val="false"/>
          <w:bCs w:val="false"/>
          <w:i w:val="false"/>
          <w:iCs w:val="false"/>
          <w:color w:val="333333"/>
          <w:sz w:val="20"/>
          <w:szCs w:val="20"/>
        </w:rPr>
        <w:t>985/3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حمزه في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323324</w:t>
      </w:r>
      <w:r>
        <w:rPr>
          <w:rFonts w:ascii="IRNazanin" w:hAnsi="IRNazanin" w:eastAsia="IRNazanin"/>
          <w:b w:val="false"/>
          <w:b w:val="false"/>
          <w:bCs w:val="false"/>
          <w:i w:val="false"/>
          <w:i w:val="false"/>
          <w:iCs w:val="false"/>
          <w:color w:val="333333"/>
          <w:sz w:val="20"/>
          <w:sz w:val="20"/>
          <w:szCs w:val="20"/>
          <w:rtl w:val="true"/>
        </w:rPr>
        <w:t xml:space="preserve">؛ والحلی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344345</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205206</w:t>
      </w:r>
      <w:r>
        <w:rPr>
          <w:rFonts w:ascii="IRNazanin" w:hAnsi="IRNazanin" w:eastAsia="IRNazanin"/>
          <w:b w:val="false"/>
          <w:b w:val="false"/>
          <w:bCs w:val="false"/>
          <w:i w:val="false"/>
          <w:i w:val="false"/>
          <w:iCs w:val="false"/>
          <w:color w:val="333333"/>
          <w:sz w:val="20"/>
          <w:sz w:val="20"/>
          <w:szCs w:val="20"/>
          <w:rtl w:val="true"/>
        </w:rPr>
        <w:t xml:space="preserve">؛ ونهایة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بالمصاهرة،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بالمصاهرة،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هو بيان صحّة طلاق كلّ قوم بأيّ لسان وقع إذا كان على وفق دينهم وملّتهم، كما أنّ لكلّ قوم نكاح، على حدّ التعبير الوارد 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العلّامة عنهما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وأبو حمزة هو ثابت بن دينار أبي صفيّة، وهو الراوي للدعاء المعروف بأبي حمزة، عن عليّ بن الحسين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هو من أجلّاء المحدّثين وكُبراؤهم، وفي لقائه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من الأربعة إلى السبعة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فيظهر من بعض الكلمات والأخبار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أوّل من رآه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عليّ</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آخرهم عليّ بن موسى الرضا</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ومن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 هو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ومن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الأوّل عليّ بن الحسين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الكاظم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والأخير هو المرويّ عن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باب صیغة الطلاق واشتراط النیّة فیه، الحدیث </w:t>
      </w:r>
      <w:r>
        <w:rPr>
          <w:rFonts w:eastAsia="IRNazanin" w:cs="IRNazanin"/>
          <w:b w:val="false"/>
          <w:bCs w:val="false"/>
          <w:i w:val="false"/>
          <w:iCs w:val="false"/>
          <w:color w:val="333333"/>
          <w:sz w:val="20"/>
          <w:szCs w:val="20"/>
        </w:rPr>
        <w:t>22682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عنهما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347348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باب التخییر، نقلاً عن رسالة أبیه،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قبل أسطر، و راجع أیضاً في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وشرائطة،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وهو خبر إبراهيم بن محرز</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8890</w:t>
      </w:r>
      <w:r>
        <w:rPr>
          <w:rFonts w:ascii="IRNazanin" w:hAnsi="IRNazanin" w:eastAsia="IRNazanin"/>
          <w:b w:val="false"/>
          <w:b w:val="false"/>
          <w:bCs w:val="false"/>
          <w:i w:val="false"/>
          <w:i w:val="false"/>
          <w:iCs w:val="false"/>
          <w:color w:val="333333"/>
          <w:sz w:val="20"/>
          <w:sz w:val="20"/>
          <w:szCs w:val="20"/>
          <w:rtl w:val="true"/>
        </w:rPr>
        <w:t>، باب أحکام الطلاق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الکلام فیهما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336/1622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الطائفة الأُولی التي تدلّ على الوقوع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أحکام الطلاق، ذیل الحدیث </w:t>
      </w:r>
      <w:r>
        <w:rPr>
          <w:rFonts w:eastAsia="IRNazanin" w:cs="IRNazanin"/>
          <w:b w:val="false"/>
          <w:bCs w:val="false"/>
          <w:i w:val="false"/>
          <w:iCs w:val="false"/>
          <w:color w:val="333333"/>
          <w:sz w:val="20"/>
          <w:szCs w:val="20"/>
        </w:rPr>
        <w:t>302/221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عنهما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باب التخییر، نقلاً عن رسالة أبیه، 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وولده في 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90:8/307</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89/304</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90/308</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87/299</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88/300</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مسالك الأفهام مع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حمزة في الوسیلة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40/120</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المحدّث البحراني في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الشهید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کتاب الطلاق، الفرع الأوّل في الأحکام، الحدیث </w:t>
      </w:r>
      <w:r>
        <w:rPr>
          <w:rFonts w:eastAsia="IRNazanin" w:cs="IRNazanin"/>
          <w:b w:val="false"/>
          <w:bCs w:val="false"/>
          <w:i w:val="false"/>
          <w:iCs w:val="false"/>
          <w:color w:val="333333"/>
          <w:sz w:val="20"/>
          <w:szCs w:val="20"/>
        </w:rPr>
        <w:t>27770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 السابقة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شئت توضيح ذلك فانظر إلى ما صرّح به العلّامة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المحذور الوحيد في باب الأُمور الاعتباريّة هو لزوم اللغو أو ما يؤوّل إليه، وأمّا أمثال الدور والتسلسل واجتماع المثلين أو الضدّين أو النقيضين فمحالات حقيقيّة لا تتعدّي القضايا الحقيقيّة الغير الاعتباريّة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الكفاية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أنّ الحقّ عدم الاحتياج إلى مقدّمات الحكمة في شيء من ألفاظ العموم، بل العامّ ظاهر في العموم بالوضع ولو في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أدوات العموم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ومنشأ الترديد في السند ما في غياث بن كلّوب بن فيهس البجلي، فعن الشيخ في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عملت الطائفة بأخباره واستفادة الوثاقة من الجملة مشكلة؛ حيث إنّ العمل أعمّ من التوثيق، فلعلّه كان من جهة 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دلالتها على الاعتبار ممّا لاينبغي الإشكال فيه، وأمّا حسن بن موسى الخشّاب، فقال النجاشي إنّه من وجوه أصحابنا مشهور بكثرة العلم والحديث، له مصنّفات، والظاهر من هذه الجملات كونه فوق الوثاقة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53/175</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ما یفصل به بین دعوی المحق والمبطل في أمر الإمامة،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محمّد الأشعري القمّي من مشايخ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كافٍ في وثاقته، وعليّ بن محمّد هو شيخ الإجازة وإن لم يوثّق ومحمّد بن عليّ لم يوثّق، 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ضعيف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بالتأمّل إشارة إلى ضعف الاحتمال، ففي الجواهر في مقام ردّ الاستدلال بتلك الأخبار قال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ومعارضة هذا كلّه باحتمال إرادة نفي الثلاث من نفي الشيئيّة أو احتمال إرادته مع فقد بعض الشرائط كما في طلاق ابن عمر ثلاثاً وكانت حائضاً كما ترى، على أنّه لايأتي في المكاتبة الصريحة التي يعلم منها إرادة البطلان في الثلاث المرسلة من الردّ إلى الكتاب والسنّة، لا صحّة الواحدة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ما یفصل به بین دعوی المحقّ والمبطل في أمر الإمامة،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257/1218</w:t>
      </w:r>
      <w:r>
        <w:rPr>
          <w:rFonts w:ascii="IRNazanin" w:hAnsi="IRNazanin" w:eastAsia="IRNazanin"/>
          <w:b w:val="false"/>
          <w:b w:val="false"/>
          <w:bCs w:val="false"/>
          <w:i w:val="false"/>
          <w:i w:val="false"/>
          <w:iCs w:val="false"/>
          <w:color w:val="333333"/>
          <w:sz w:val="20"/>
          <w:sz w:val="20"/>
          <w:szCs w:val="20"/>
          <w:rtl w:val="true"/>
        </w:rPr>
        <w:t xml:space="preserve">، باب ما أحلّ الله عزّوجلّ من النکاح وما حرم منه،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مقدّمات النكاح وآدابه، الباب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الطلاق، أبواب مقدّماته وشرائطه،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والأُستاذ وإن تعرّض هنا لجلّ مباحث القاعدة لكن حذفها هنا رجاءً أن يجعلها بحثاً مستقلاً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باستيفاء العدد،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الإيراد والإشكال علمي وإلّا فعلى التماميّة فالحديث غير حجّة بعد الإعراض بالنسبة إلى أصل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وكن على 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السؤال في الصحيحة وكذا خبر ابن أشيم هو عن عدم تصريح المطلّق للشهود والجماعة بالإشهاد وإجراء الصيغة بلا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عن اشتراط المعرفة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فالخبران من هذه الناحية ساكتان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هذه الشهادة ليست شهادة على الطلاق، بل على الإقرار بالطلاق الواقع صحيحاً والواجد للشرائط؛ قضاءً لظاهر كلام الرجل عند إقراره بطلاقها ومن تلك الشرائط وقوعه عند حضور شاهدين عدلين، وهو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الشهادة،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الشهادة،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الشهادة،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باب فيمن یجب ردّ شهادته ومن یجب قبول شهادته،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کتاب الشهادة،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تفسیر طلاق السنّة وما یوجب الطلاق،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استعمال هذا التعبير لمطلق المخالفين أمر ليس بنادرٍ في الأخبار، فلاحظ إن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کتاب الطلاق، أبواب مقدّماته وشرائطه،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في الصفحة السابقة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موجودٌ في بعض النسخ</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في الصفحة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333:3/1612</w:t>
      </w:r>
      <w:r>
        <w:rPr>
          <w:rFonts w:ascii="IRNazanin" w:hAnsi="IRNazanin" w:eastAsia="IRNazanin"/>
          <w:b w:val="false"/>
          <w:b w:val="false"/>
          <w:bCs w:val="false"/>
          <w:i w:val="false"/>
          <w:i w:val="false"/>
          <w:iCs w:val="false"/>
          <w:color w:val="333333"/>
          <w:sz w:val="20"/>
          <w:sz w:val="20"/>
          <w:szCs w:val="20"/>
          <w:rtl w:val="true"/>
        </w:rPr>
        <w:t xml:space="preserve">، باب الطلاق التي لم تبلغ المحیض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51/198</w:t>
      </w:r>
      <w:r>
        <w:rPr>
          <w:rFonts w:ascii="IRNazanin" w:hAnsi="IRNazanin" w:eastAsia="IRNazanin"/>
          <w:b w:val="false"/>
          <w:b w:val="false"/>
          <w:bCs w:val="false"/>
          <w:i w:val="false"/>
          <w:i w:val="false"/>
          <w:iCs w:val="false"/>
          <w:color w:val="333333"/>
          <w:sz w:val="20"/>
          <w:sz w:val="20"/>
          <w:szCs w:val="20"/>
          <w:rtl w:val="true"/>
        </w:rPr>
        <w:t xml:space="preserve">، باب غسل الحیض والنفاس،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 والوسائل المطبوع في مؤسّسة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في الطبع السابق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المحیض</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الحيض،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الحيض،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الظاهر من هذه الطائفة من الأخبار أنّها ترجع إلى روايتين، بل رواية واحدة، فإنّه مع وجود مثل مرسلة ابن أبي عمير كيف يمكن أن يكون ما أرسله الشيخ أو المفيد إشارة إلى غيرها؟ وكذا الأمر في مرسلة الصدوق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لدنیا الجمل، لابن البرّاج، لکن لاحظ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والإیراد </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51/198</w:t>
      </w:r>
      <w:r>
        <w:rPr>
          <w:rFonts w:ascii="IRNazanin" w:hAnsi="IRNazanin" w:eastAsia="IRNazanin"/>
          <w:b w:val="false"/>
          <w:b w:val="false"/>
          <w:bCs w:val="false"/>
          <w:i w:val="false"/>
          <w:i w:val="false"/>
          <w:iCs w:val="false"/>
          <w:color w:val="333333"/>
          <w:sz w:val="20"/>
          <w:sz w:val="20"/>
          <w:szCs w:val="20"/>
          <w:rtl w:val="true"/>
        </w:rPr>
        <w:t xml:space="preserve">، باب غسل الحیض والنفاس،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الصفحة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کتاب الخلع والمباراة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یأتي في الصفحة الآتیة وما بعدها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النفقات،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الکلام فیهما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باب طلاق السنّة،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وأحکامه،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السؤال الحادي عشر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باب ما یهدم الطلاق وما لایهدم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ما یهدم الطلاق وما لایهدم،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 الحدیث</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رجال الحديث كلّهم إماميّ ثقة، ومعلّى بن خنيس إماميّ ممدوحٌ، كما قال به المحقّق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رجاله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الروايات في مدحه متضافرة، على أنّ جملة منها 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وفيها التصريح بأنّه كان من أهل الجنّة، قتله داود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وشهادة الشيخ بأنّه كان من السفراء الممدوحين، وأنّه مضى على منهاج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ولعلّ منشأء تضعيف النجاشي إيّاه هو ما اشتهر من نسبة الغلوّ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 يهدم،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ما يهدم الطلاق وما لايهدم،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واحکامه،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الطلاق مع الرجوع في العدّة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116:22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320/1556</w:t>
      </w:r>
      <w:r>
        <w:rPr>
          <w:rFonts w:ascii="IRNazanin" w:hAnsi="IRNazanin" w:eastAsia="IRNazanin"/>
          <w:b w:val="false"/>
          <w:b w:val="false"/>
          <w:bCs w:val="false"/>
          <w:i w:val="false"/>
          <w:i w:val="false"/>
          <w:iCs w:val="false"/>
          <w:color w:val="333333"/>
          <w:sz w:val="20"/>
          <w:sz w:val="20"/>
          <w:szCs w:val="20"/>
          <w:rtl w:val="true"/>
        </w:rPr>
        <w:t xml:space="preserve">، باب طلاق السنّة،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تفسیر الطلاق السنّة والعدّة وما یوجب الطلاق،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 صدره في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وذيله في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وأحكامه،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116:22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أحكام الطلاق، ذيل الحديث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xml:space="preserve">، باب أحکام الطلاق،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268/959</w:t>
      </w:r>
      <w:r>
        <w:rPr>
          <w:rFonts w:ascii="IRNazanin" w:hAnsi="IRNazanin" w:eastAsia="IRNazanin"/>
          <w:b w:val="false"/>
          <w:b w:val="false"/>
          <w:bCs w:val="false"/>
          <w:i w:val="false"/>
          <w:i w:val="false"/>
          <w:iCs w:val="false"/>
          <w:color w:val="333333"/>
          <w:sz w:val="20"/>
          <w:sz w:val="20"/>
          <w:szCs w:val="20"/>
          <w:rtl w:val="true"/>
        </w:rPr>
        <w:t xml:space="preserve">، أبواب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تفسیر طلاق السنّة والعدّة وما یوجب الطلاق،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tl w:val="true"/>
        </w:rPr>
        <w:t>، باب أحكام الطلاق،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270/961</w:t>
      </w:r>
      <w:r>
        <w:rPr>
          <w:rFonts w:ascii="IRNazanin" w:hAnsi="IRNazanin" w:eastAsia="IRNazanin"/>
          <w:b w:val="false"/>
          <w:b w:val="false"/>
          <w:bCs w:val="false"/>
          <w:i w:val="false"/>
          <w:i w:val="false"/>
          <w:iCs w:val="false"/>
          <w:color w:val="333333"/>
          <w:sz w:val="20"/>
          <w:sz w:val="20"/>
          <w:szCs w:val="20"/>
          <w:rtl w:val="true"/>
        </w:rPr>
        <w:t xml:space="preserve">، أبواب الطلاق،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176:22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أحكام الطلاق، ذيل الحديث </w:t>
      </w:r>
      <w:r>
        <w:rPr>
          <w:rFonts w:eastAsia="IRNazanin" w:cs="IRNazanin"/>
          <w:b w:val="false"/>
          <w:bCs w:val="false"/>
          <w:i w:val="false"/>
          <w:iCs w:val="false"/>
          <w:color w:val="333333"/>
          <w:sz w:val="20"/>
          <w:szCs w:val="20"/>
        </w:rPr>
        <w:t>217/136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طلاق التي لم يدخل بها، ذيل الحديث </w:t>
      </w:r>
      <w:r>
        <w:rPr>
          <w:rFonts w:eastAsia="IRNazanin" w:cs="IRNazanin"/>
          <w:b w:val="false"/>
          <w:bCs w:val="false"/>
          <w:i w:val="false"/>
          <w:iCs w:val="false"/>
          <w:color w:val="333333"/>
          <w:sz w:val="20"/>
          <w:szCs w:val="20"/>
        </w:rPr>
        <w:t>1053/8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الحقائق شرح 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الطلاق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حکم ما لو طلق زوجته أقلّ من ثلاث فقضت العدّة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کتاب الطلاق، أبواب ما يحرم باستيفاء العدد،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الفروج المحرّمة في الکتاب والسنّة علی أربعة وثلاثین وجهاً،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ونحوها،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الأُستاذ، والظاهر هو مفهوم الحصر، ولعلّ مراده هو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العقود والإیقاعات،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103:22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المختصرالنافع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خاتمة في مسألتین؛ تبیین الحقائق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الرجعة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وأحکامه،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الطلاق بالحساب؛ بدایة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تبیین الحقائق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الرجعة؛ 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ما یهدم الزوج من الطلاق وما لا یهدم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ما یهدم الرجل من الطلاق من کتابین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ما یهدم الطلاق وما لا یهدم،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وأحکامه،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وأحکامه،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أبواب ما یحرم باستیفاء العدد،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أبواب ما یحرم باستیفاء العدد،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الإمام أحمد بن حنبل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ومقتضاها هو طرح رواية رفاعة بالكلّيّة؛ لعدم نهوضها بالمعارضة سنداً وعدداً، إلّا أنّا لو تنزّلنا عن ذلك وقلنا بمعارضتها، فلنا أن نقول أيضاً ما عرفت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كتاب القضاء، أبواب صفات القاضي،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أخبار هذه القاعدة ما رواه الحسين بن المختار، عن بعض أصحابنا،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رأيتك لو حدّثتك بحديث العام، ثمّ جئتني من قابل فحدّثتك بخلافه، بأيّهما كنت 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آخذ بالأخير،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رحمك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عدّة الزوجات؛ المجموع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الرجعة؛ تبیین الحقائق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وأحکامه،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نکاح المطلّقة ثلاثاً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والنکت والعیون، للماوردي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وأحکام القرآن، للکیاهراسي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تحلیل المطلّقة لزوجها وما یهدم الطلاق الأوّل،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المسلك الرابع، في أحادیث رواها الشیخ العلّامة الفهامة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وأحکامه،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المبتوتة لا یرجع إلیها زوجها حتّی تنکح غیره، الحدیث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 نکاح المطلّقة ثلاثاً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في غریب الحدیث والأثر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وأحكامه،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475/1909</w:t>
      </w:r>
      <w:r>
        <w:rPr>
          <w:rFonts w:ascii="IRNazanin" w:hAnsi="IRNazanin" w:eastAsia="IRNazanin"/>
          <w:b w:val="false"/>
          <w:b w:val="false"/>
          <w:bCs w:val="false"/>
          <w:i w:val="false"/>
          <w:i w:val="false"/>
          <w:iCs w:val="false"/>
          <w:color w:val="333333"/>
          <w:sz w:val="20"/>
          <w:sz w:val="20"/>
          <w:szCs w:val="20"/>
          <w:rtl w:val="true"/>
        </w:rPr>
        <w:t xml:space="preserve">، باب من زیادات في فقه النکاح، الحدیث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کتاب القضاء، أبواب كيفيّة الحكم وأحكام الدعوى،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لزوم العسر والحرج إنّما هو في إلزامها بإقامة البيّنة عليه ولا سيّما مع عدم وجوب الإشهاد على عقد النكاح عندنا ولعدم الإعلان والحفلة فى غير الزوج الأوّل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يظهر ما فى الجواب عن الوجه الأوّل؛ لأنّه لو تمّ ذلك فى مثل الطلاق وكذا الزواج الأوّل في مثل الباكرة، ولكنّه فى مثل الثاني والثالث فيمكن المنع منه، فإنّ كثيرة من الثيّبات يتزوّجن عن خفاء ولا أقلّ عن عدم إعلان وإظهار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ولا يخفى ما في عبارة المتن من نحو مسامحة في التعبير، فإنّه على تقدير الدخول لا معنى لادّعائه وتكذيبه أو تصديقه، فالمراد من دخول المحلّل إمّا الدخول والورود عليها أو مقدّماته أو نحو ذلك من المعاني القريبة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أجاد في الشرائع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المحلّل فادّعت الإصابة، فإن صدّقها حلّت للأوّل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حجيّة مطلق الظنّ شرعاً ولو في الموضوعات، بل عند ما لا يمكن إقامة البيّنة عادة، ونرى أنّ الشارع قد أذن فى العمل بالظنّ في الأحكام الشرعيّة وكذا بكثير من الظنون في الموضوعات، فلا بأس بأخذ الظنّ الحاصل من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مرّ آنفاً في صحيحة حمّاد من الأخذ بقولها إذا كانت ثقة، مع أنّها في خصوص ادّعاء التزوّج لا الدخول وإقامة البيّنة على ذلك أيسر منها على هذا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وأحکامه،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عنهما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على قول ابن بكير وكذا الصدوق كما مرّ لا معنى للكلام فى اشتراطه وعدمه؛ لأنّ الزوج لا يرجع إلى غير البالغة إلّا بعقدٍ جديدٍ وهو هادم للطلاق السابق وإن وقع مأة مرّة، على ما مرّ من التفصيل، فلا يأتي حكم التحليل فيها أصلاً حتّى يقع الكلام في شرائطه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ما ذهب إليه المشهور من عدم الفرق بين الرجوع في العدّة والعقد بعدها من الزوج فيمكن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المحلّلة إذا كانت غير بالغة وإن حرمت على الزوج الأوّل بالتطليقة الثالثة ولكن لا يجوز للثاني وهو المحلّل، الدخول بها؛ لانجراره إلى إفضائها أحياناً، وهذا يختلف عن مثل الدخول في حال الإحرام أو في الصوم الواجب أو في الحيض، فإنّ غير البالغة غير مستعدّة للدخول بها موضوعاً أيضاً لا حكماً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فعدم تعرّض الأصحاب لاشتراط البلوغ فى المحلّلة إنّما هو لانتفاء الموضوع فى غير البالغة ظاهراً لا عدمه حكماً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بالمضمون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طلاق السنّة والعدّة والحامل؛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والتي قد یئست من المحیض،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طلاق التي لم تبلغ والتي قد یئست من المحیض، ذیل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المرأة إذا حاضت فیما دون الثلاثة أشهرکانت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1157/10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في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تلك الأخبار في الصفحات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 السؤال عن ذلك فى رواياتنا لعلّها ترجع إلى فتوى العامّة الرائجة بحرمته، وكذا لبعض رواياتنا الظاهرة في الحرمة التي صدرت عن تقيّة أو لبيان الكراهة، فالإطلاقات تامّة مأخوذة بها وغير منصرفة عن ظاهرها لوقوع كثرة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کتاب النکاح، أبواب مقدّمات النكاح، الباب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ما في هذا الاحتمال من البعد والغربة، فإنّ إتيان المرأة في القبل أو وجوب الغسل بإتيانها في القبل مطلقاً من أيّ طريق لم يكن محلاً للإبهام حتّى يحتاج إلى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أورده الأُستاذ في إطلاق الفرج عليه، ففيه أنّ استعمال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المعنيين لا يكاد أن يخفى فإليك بعض ما جاء في الكتاب من استعماله فى كليهما مطلقاً أو أحدها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أَزْوَاجِهِمْ أَوْ مَا مَلَكَتْ أَيْمَانُهُمْ فَإِنَّهُمْ غَيْرُ مَلُومِينَ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الْمُسْلِمِينَ وَالْمُسْلِمَاتِ وَالْمُؤْمِنِينَ وَالْمُؤْمِنَاتِ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وَالْحَافِظِينَ فُرُوجَهُمْ وَالْحَافِظَاتِ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لِّلْمُؤْمِنِينَ يَغُضُّوا مِنْ أَبْصَارِهِمْ وَيَحْفَظُوا فُرُوجَهُمْ ذَلِكَ أَزْكَى لَهُمْ إِنَّ اللَّهَ خَبِيرٌ بِمَا يَصْنَعُونَ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 لِّلْمُؤْمِنَاتِ يَغْضُضْنَ مِنْ أَبْصَارِهِنَّ وَيَحْفَظْنَ فُرُوجَهُنَّ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ومن ذلك يظهر أنّ المعنى المقصود من هذه الكناية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العورة في معناها الخاصّ لا ما يشمل جميع بدن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يشمل الدبر أيضاً ويناسبه، خلافاً لما أفاده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عدم استعماله فى الرواية له وجه وإن كان فيه أيضاً مجال للتأمّل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تعالی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النکاح، أبواب العيوب والتدليس،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کتاب النکاح، أبواب العيوب والتدليس،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باب عدّة المطلّقة الخصيّ، ذیل الحدیث </w:t>
      </w:r>
      <w:r>
        <w:rPr>
          <w:rFonts w:eastAsia="IRNazanin" w:cs="IRNazanin"/>
          <w:b w:val="false"/>
          <w:bCs w:val="false"/>
          <w:i w:val="false"/>
          <w:iCs w:val="false"/>
          <w:color w:val="333333"/>
          <w:sz w:val="20"/>
          <w:szCs w:val="20"/>
        </w:rPr>
        <w:t>23001/2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أبواب المهور ،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أنّ هناك فرقاً واضحاً بين الموردين، ولا مورد للأولويّة المذكورة فى كلام الأُستاذ، فإنّه لا منافاة بين عدم العدّة لأن يتزوّج بها الزوج ثانياً وبين لزومها إن أراد الزاني أن ينكحها، فإنّ الولد في الأوّل لا فرق فيه بين أن يكون من النكاح الأوّل أو الثاني، وهذا بخلاف المورد الثاني، فإنّ انعقاد النطفة يختلف حكمه في الزنا والنكاح، فإيجاب الاعتداد في الثاني لا يوجب مزيّة الفرع على الأصل، وهذا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لحال البدایة في علم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الطلاق الحامل، ذیل الحدیث </w:t>
      </w:r>
      <w:r>
        <w:rPr>
          <w:rFonts w:eastAsia="IRNazanin" w:cs="IRNazanin"/>
          <w:b w:val="false"/>
          <w:bCs w:val="false"/>
          <w:i w:val="false"/>
          <w:iCs w:val="false"/>
          <w:color w:val="333333"/>
          <w:sz w:val="20"/>
          <w:szCs w:val="20"/>
        </w:rPr>
        <w:t>1593/1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الطلاق الحامل،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128/441</w:t>
      </w:r>
      <w:r>
        <w:rPr>
          <w:rFonts w:ascii="IRNazanin" w:hAnsi="IRNazanin" w:eastAsia="IRNazanin"/>
          <w:b w:val="false"/>
          <w:b w:val="false"/>
          <w:bCs w:val="false"/>
          <w:i w:val="false"/>
          <w:i w:val="false"/>
          <w:iCs w:val="false"/>
          <w:color w:val="333333"/>
          <w:sz w:val="20"/>
          <w:sz w:val="20"/>
          <w:szCs w:val="20"/>
          <w:rtl w:val="true"/>
        </w:rPr>
        <w:t xml:space="preserve">، باب العدد، الحدیث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193:22</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 آنفاً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طلاق الحامل، ذیل الحدیث </w:t>
      </w:r>
      <w:r>
        <w:rPr>
          <w:rFonts w:eastAsia="IRNazanin" w:cs="IRNazanin"/>
          <w:b w:val="false"/>
          <w:bCs w:val="false"/>
          <w:i w:val="false"/>
          <w:iCs w:val="false"/>
          <w:color w:val="333333"/>
          <w:sz w:val="20"/>
          <w:szCs w:val="20"/>
        </w:rPr>
        <w:t>1593/1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 علیهم السلام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طلاق الحامل، ذیل الحدیث </w:t>
      </w:r>
      <w:r>
        <w:rPr>
          <w:rFonts w:eastAsia="IRNazanin" w:cs="IRNazanin"/>
          <w:b w:val="false"/>
          <w:bCs w:val="false"/>
          <w:i w:val="false"/>
          <w:iCs w:val="false"/>
          <w:color w:val="333333"/>
          <w:sz w:val="20"/>
          <w:szCs w:val="20"/>
        </w:rPr>
        <w:t>1593/1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إطلاق الحامل، ذیل الحدیث </w:t>
      </w:r>
      <w:r>
        <w:rPr>
          <w:rFonts w:eastAsia="IRNazanin" w:cs="IRNazanin"/>
          <w:b w:val="false"/>
          <w:bCs w:val="false"/>
          <w:i w:val="false"/>
          <w:iCs w:val="false"/>
          <w:color w:val="333333"/>
          <w:sz w:val="20"/>
          <w:szCs w:val="20"/>
        </w:rPr>
        <w:t>1593/1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العلّامة عنهما في مختلف الشیعة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اجتماع العدّتین؛ 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انقطاع العدّة بوطء الشبهة؛ السنن الکبری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باب اجتماع العدّتین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275:19</w:t>
      </w:r>
      <w:r>
        <w:rPr>
          <w:rFonts w:ascii="IRNazanin" w:hAnsi="IRNazanin" w:eastAsia="IRNazanin"/>
          <w:b w:val="false"/>
          <w:b w:val="false"/>
          <w:bCs w:val="false"/>
          <w:i w:val="false"/>
          <w:i w:val="false"/>
          <w:iCs w:val="false"/>
          <w:color w:val="333333"/>
          <w:sz w:val="20"/>
          <w:sz w:val="20"/>
          <w:szCs w:val="20"/>
          <w:rtl w:val="true"/>
        </w:rPr>
        <w:t xml:space="preserve">، باب اجتماع العدّتین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انقطاع العدّة بوط ء الشبهة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المسمّاة بالطبریات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 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بالمصاهرة،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يحرم بالمصاهرة،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صحیح زرارة و رواية مجمع البیان وغيرهما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 الاختیار للزوج أن لایطلّق إلّا واحدة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عمومها منصرفة إلى ما هو الطبيعي والمعتاد، كما في غيره من الحدود والموازين العرفيّة والطبيعيّة في العبادات والمعاملات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غيرها ولو مثل إخراج الرحم الذي يخرج منه دم الحيض والاستحاضة، فضلاً عن منعها بالأدوية و علاجات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عدد النساء، ذیل الحدیث </w:t>
      </w:r>
      <w:r>
        <w:rPr>
          <w:rFonts w:eastAsia="IRNazanin" w:cs="IRNazanin"/>
          <w:b w:val="false"/>
          <w:bCs w:val="false"/>
          <w:i w:val="false"/>
          <w:iCs w:val="false"/>
          <w:color w:val="333333"/>
          <w:sz w:val="20"/>
          <w:szCs w:val="20"/>
        </w:rPr>
        <w:t>414/13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ما في هذا الإشكال والطرح، فإنّ الظاهر أنّ المراد من هذه الطائفة هو الاعتداد بمقدار كانت تعتدّ في زمان استقامتها لا ثلاثة قروء عند عروض تلك الحالة أيضاً وإلّا لا يكون هناك وجه للتنظير والتمثيل فكان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تعتدّ ثلاثة قروء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ما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تزوّج إن شاءت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الظاهر منه دفع شبهة الزواج بعد هذه المدّة لا بعد ما يقرب عشر سنين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الطائفة هي مؤيّدة للروايات الدالّة على العدّة في مضطربة الحيض هي ثلاثة أشهر ومفيدة لما أفادته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ذیل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العیّاشي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وأنت ترى ما فيه من المنع الواضح؛ فإنّه لا فرق في ذلك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الفرق هو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إنّ الثاني مختصّ بالنساء، فالتأييد بما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ما فيه في الصفحة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رأت الدم من الحيضة الثالثة قد انقضت عدّتها،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تنقضي حتّى يمضي أقل أيّام الحيض، والذي أقوله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لها عادة مستقيمة فإذا رأت الدم من الحيضة الثالثة فقد انقضت عدّتها، وإن كان قد تقدّم رؤية دمها على ما جرت به العادة لم ينقض حتّى يمضي أقلّ أيّام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القولين، هل تكون الزيادة من العدّة أم لا؟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وجهان، أحدهما أنّها من العدّة؛ لأنّ بها تكمل العدّة، والثاني لا تكون من جملتها؛ لأنّ الله تعالى أوجب ثلاثة أقراء، فلو قلنا أنّ الزيادة منها لزدنا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وفائدة الوجهين أنّه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من جملة العدّة فإنّه إذا أراد رجعتها صحّت الرجعة، ومن قال ليس منها لم يصحّ، والأوّل أقوى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تعالی في سورة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القول في النكاح المنقطع،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الکافي في الفقه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لکن في الأخیرتین أنّهما جعلا عوض الحیضتین قرءین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مختلف الشیعة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296/1408</w:t>
      </w:r>
      <w:r>
        <w:rPr>
          <w:rFonts w:ascii="IRNazanin" w:hAnsi="IRNazanin" w:eastAsia="IRNazanin"/>
          <w:b w:val="false"/>
          <w:b w:val="false"/>
          <w:bCs w:val="false"/>
          <w:i w:val="false"/>
          <w:i w:val="false"/>
          <w:iCs w:val="false"/>
          <w:color w:val="333333"/>
          <w:sz w:val="20"/>
          <w:sz w:val="20"/>
          <w:szCs w:val="20"/>
          <w:rtl w:val="true"/>
        </w:rPr>
        <w:t xml:space="preserve">، باب المتعة،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عدّة المتعة،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165/573</w:t>
      </w:r>
      <w:r>
        <w:rPr>
          <w:rFonts w:ascii="IRNazanin" w:hAnsi="IRNazanin" w:eastAsia="IRNazanin"/>
          <w:b w:val="false"/>
          <w:b w:val="false"/>
          <w:bCs w:val="false"/>
          <w:i w:val="false"/>
          <w:i w:val="false"/>
          <w:iCs w:val="false"/>
          <w:color w:val="333333"/>
          <w:sz w:val="20"/>
          <w:sz w:val="20"/>
          <w:szCs w:val="20"/>
          <w:rtl w:val="true"/>
        </w:rPr>
        <w:t xml:space="preserve">، باب عدد النساء، الحدیث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المتعة؛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ذکر طرف ممّا خرج أیضاً عن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الفقهیّة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ذکر طرف ممّا خرج أیضاً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الفقهیّة و </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باستيفاء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مهذّب الأحکام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نقلهما في الصفحة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کتاب الطهارة، أبواب الحيض،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الحلبي،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الحامل المتوفّى عنها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تنقضي عدّتها آخر الأجلين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رجال الکشّي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في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عدد النساء، ذیل الحدیث </w:t>
      </w:r>
      <w:r>
        <w:rPr>
          <w:rFonts w:eastAsia="IRNazanin" w:cs="IRNazanin"/>
          <w:b w:val="false"/>
          <w:bCs w:val="false"/>
          <w:i w:val="false"/>
          <w:iCs w:val="false"/>
          <w:color w:val="333333"/>
          <w:sz w:val="20"/>
          <w:szCs w:val="20"/>
        </w:rPr>
        <w:t>556/155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المتوفّی عنها زوجها هل یجوز لها أن تبیت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1262/6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ذکر طرف ممّا خرج أیضاً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المسائل الفقهیّة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في ذکر أبي القاسم الحسین بن روح النوبختي؛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المتوفّی عنها زوجها المدخول بها أین تعتدّ وما یجب علیها،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 المتوفّی عنها زوجها المدخول بها أین تعتدّ وما یجب علیها،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المتوفّی عنها زوجها المدخول بها أین تعتدّ وما یجب علیها،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باب المتوفّی عنها زوجها المدخول بها أین تعتدّ وما یجب علیها، 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عدد النساء، ذیل الحدیث </w:t>
      </w:r>
      <w:r>
        <w:rPr>
          <w:rFonts w:eastAsia="IRNazanin" w:cs="IRNazanin"/>
          <w:b w:val="false"/>
          <w:bCs w:val="false"/>
          <w:i w:val="false"/>
          <w:iCs w:val="false"/>
          <w:color w:val="333333"/>
          <w:sz w:val="20"/>
          <w:szCs w:val="20"/>
        </w:rPr>
        <w:t>571/170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كتاب الطلاق، أبواب العدد، الباب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عدد النساء، ذیل الحدیث</w:t>
      </w:r>
      <w:r>
        <w:rPr>
          <w:rFonts w:eastAsia="IRNazanin" w:cs="IRNazanin"/>
          <w:b w:val="false"/>
          <w:bCs w:val="false"/>
          <w:i w:val="false"/>
          <w:iCs w:val="false"/>
          <w:color w:val="333333"/>
          <w:sz w:val="20"/>
          <w:szCs w:val="20"/>
        </w:rPr>
        <w:t>571/170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أفاده الأُستاذ، وقد استفهمنا من محضره في مجلس الدرس أيضاً ولم نقتنع بما أفاده جواباً عن ذلك؛ فإنّ من الواضح أنّ الحكم في مثل صحيحتي ابني أبي نصر وزياد اللتين ورد فيهما التعبير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 تريد أن تحد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يعلّق على إرادتها البتة، بل المراد أنّ الزوجة لمّا يجب عليها الحداد وهي تريد الإتيان بهذا الواجب، وهو لا يمكن إلّا ببلوغ الخبر فالاعتداد ومنه الحداد، يكون من يوم بلوغه، وذلك مثل أن يقال 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عليك العلم بدخول الوقت لأنّك تريد أن تصلّي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وواضح أنّه لم يقصد تعليق حكم الصلاة على إرادتك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کتاب النکاح، أبواب النفقات،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کتاب النکاح، أبواب النفقات،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کتاب النکاح، أبواب النفقات،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کتاب التجارة، أبواب الدين والقرض،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أنّ جماعة من المتقدّمين والمتأخّرين ذهبوا إلى أنّ الحاكم بعد البحث عنه أربع سنين، يطلّقها إن لم يكن له وليّ، وإلّا أمره بالطلاق،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لدلالة الأخبار الكثيرة عليه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ولأنّ‌الموت لم يثبت والاصل بقاء الزوجيّة إلّا بمزيل شرعي من موت أو طلاق والموت لم يثبت بذلك اذا لم يشهد به أحد فيبقى الطلاق وجاز دفعاً للضرر والحرج مضافاً إلى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من قال امرأه المفقود امرأته حتّی یأتیها یقین وفاته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فصل في ذکر قضایاه في عهد عمر؛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أقسام الطلاق،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باب عدّة المفقود، الحدیث </w:t>
      </w:r>
      <w:r>
        <w:rPr>
          <w:rFonts w:eastAsia="IRNazanin" w:cs="IRNazanin"/>
          <w:b w:val="false"/>
          <w:bCs w:val="false"/>
          <w:i w:val="false"/>
          <w:iCs w:val="false"/>
          <w:color w:val="333333"/>
          <w:sz w:val="20"/>
          <w:szCs w:val="20"/>
        </w:rPr>
        <w:t>28030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المفقود،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354/1696</w:t>
      </w:r>
      <w:r>
        <w:rPr>
          <w:rFonts w:ascii="IRNazanin" w:hAnsi="IRNazanin" w:eastAsia="IRNazanin"/>
          <w:b w:val="false"/>
          <w:b w:val="false"/>
          <w:bCs w:val="false"/>
          <w:i w:val="false"/>
          <w:i w:val="false"/>
          <w:iCs w:val="false"/>
          <w:color w:val="333333"/>
          <w:sz w:val="20"/>
          <w:sz w:val="20"/>
          <w:szCs w:val="20"/>
          <w:rtl w:val="true"/>
        </w:rPr>
        <w:t>، باب طلاق المفقود، الحدیث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749/1922</w:t>
      </w:r>
      <w:r>
        <w:rPr>
          <w:rFonts w:ascii="IRNazanin" w:hAnsi="IRNazanin" w:eastAsia="IRNazanin"/>
          <w:b w:val="false"/>
          <w:b w:val="false"/>
          <w:bCs w:val="false"/>
          <w:i w:val="false"/>
          <w:i w:val="false"/>
          <w:iCs w:val="false"/>
          <w:color w:val="333333"/>
          <w:sz w:val="20"/>
          <w:sz w:val="20"/>
          <w:szCs w:val="20"/>
          <w:rtl w:val="true"/>
        </w:rPr>
        <w:t xml:space="preserve">، باب من زیاداة النکاح، الحدیث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355/1697</w:t>
      </w:r>
      <w:r>
        <w:rPr>
          <w:rFonts w:ascii="IRNazanin" w:hAnsi="IRNazanin" w:eastAsia="IRNazanin"/>
          <w:b w:val="false"/>
          <w:b w:val="false"/>
          <w:bCs w:val="false"/>
          <w:i w:val="false"/>
          <w:i w:val="false"/>
          <w:iCs w:val="false"/>
          <w:color w:val="333333"/>
          <w:sz w:val="20"/>
          <w:sz w:val="20"/>
          <w:szCs w:val="20"/>
          <w:rtl w:val="true"/>
        </w:rPr>
        <w:t xml:space="preserve">، باب طلاق المفقود،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أقسام الطلاق ،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355/1697</w:t>
      </w:r>
      <w:r>
        <w:rPr>
          <w:rFonts w:ascii="IRNazanin" w:hAnsi="IRNazanin" w:eastAsia="IRNazanin"/>
          <w:b w:val="false"/>
          <w:b w:val="false"/>
          <w:bCs w:val="false"/>
          <w:i w:val="false"/>
          <w:i w:val="false"/>
          <w:iCs w:val="false"/>
          <w:color w:val="333333"/>
          <w:sz w:val="20"/>
          <w:sz w:val="20"/>
          <w:szCs w:val="20"/>
          <w:rtl w:val="true"/>
        </w:rPr>
        <w:t>، باب الطلاق المفقود،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أقسام الطلاق،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الخنثى وما أشبهه،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الخنثى وما أشبهه،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الخنثى وما أشبهه،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الخنثى وما أشبهه،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وقد تمّ ما أفاده الأُستاذ من كتاب الطلاق في هذه السنة، وذلك 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ذي الحجّة من عام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الموافق للثالث من شهر خرداد،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وكان ابتداؤه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ربيع الثاني، 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الموافق للعشرين من شهر شهريور، 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 وذلك كلّه في مدرسة الفيضيّة المباركة، أفاض الله علينا من الفيوض والبركات ما يصرف وجوهنا عن القيل والقال إلى خير المقال والمآل، فإنّ إليه يصعد الكلم الطيّب والعمل الصالح يرفعه وأنّ إلى ربك المنتهى وإليه الرجعی، وآخر دعوانا أن الحمد لله ربّ العالمين وأنا العبد السیّد ضياء المرتضوي</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وأحکامه،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يخفی أنّه لیس للمفقود مع فرض حیاته ورجوعه حقّ علی تلك المرأة؛ لکونها عاملة بوظیفتها، والعمل بالوظیفة الظاهرية، کالعمل بالواقعية منها في الصحّة وترتّب الآثار والإجزاء، علی ما حقّقناه في بحث الإجزاء، من دون فرق بین أن تکون الحجّة المنکشفة خلافها من الظنون أو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المسألة غریبة؛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الرجل یفجر بالمرأة ثمّ یتزوّجها،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327/1346</w:t>
      </w:r>
      <w:r>
        <w:rPr>
          <w:rFonts w:ascii="IRNazanin" w:hAnsi="IRNazanin" w:eastAsia="IRNazanin"/>
          <w:b w:val="false"/>
          <w:b w:val="false"/>
          <w:bCs w:val="false"/>
          <w:i w:val="false"/>
          <w:i w:val="false"/>
          <w:iCs w:val="false"/>
          <w:color w:val="333333"/>
          <w:sz w:val="20"/>
          <w:sz w:val="20"/>
          <w:szCs w:val="20"/>
          <w:rtl w:val="true"/>
        </w:rPr>
        <w:t xml:space="preserve">، باب القول في الرجل یفجر بالمرأة ثمّ یبدوا 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کتاب الطلاق ، أبواب العدد،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 يأتي تفصيله في التعليقة على فرع في المسألة الثامنة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والإماء ،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کانت معذورة في الشبهة؛ بأن کانت قاصرة، وأما في المقصّرة التي تکون آثمة، فالظاهر السقوط مع القول بحرمة الاستمتاعات مطلقاً؛ لأنّها السبب، ولکونها مقصّرة ولیست حالها مع التقصیر حال الإحرام، فإنّها معذورة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معذورة من نفسها وبتقصیرها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من یحرم نکاحهنّ بالأسباب دون الأنساب، ذیل الحدیث </w:t>
      </w:r>
      <w:r>
        <w:rPr>
          <w:rFonts w:eastAsia="IRNazanin" w:cs="IRNazanin"/>
          <w:b w:val="false"/>
          <w:bCs w:val="false"/>
          <w:i w:val="false"/>
          <w:iCs w:val="false"/>
          <w:color w:val="333333"/>
          <w:sz w:val="20"/>
          <w:szCs w:val="20"/>
        </w:rPr>
        <w:t>1280/38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أنّه متی دخل بها الزوج الثاني لزمتها عدّتان، ذیل الحدیث </w:t>
      </w:r>
      <w:r>
        <w:rPr>
          <w:rFonts w:eastAsia="IRNazanin" w:cs="IRNazanin"/>
          <w:b w:val="false"/>
          <w:bCs w:val="false"/>
          <w:i w:val="false"/>
          <w:iCs w:val="false"/>
          <w:color w:val="333333"/>
          <w:sz w:val="20"/>
          <w:szCs w:val="20"/>
        </w:rPr>
        <w:t>683/4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کتاب القضاء، أبواب صفات القاضي،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القضاء، أبواب صفات القاضي،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اجتماع العدّتین؛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اجتماع العدّتین؛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اجتماع العدّتین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اجتماع العدّتین؛ 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اجتماع العدّتین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اجتماع العدّتین؛ السنن الکبری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xml:space="preserve">، باب اجتماع العدّتین؛ 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انقطاع العدّة بوطيء الشبهة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بالمصاهرة،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ما في هذا الاحتمال من البعد بل المنع، فإنّ الرواية نصّ أو كالنصّ فى لزوم العدّتين، وإلّا لا معنى للاعتداد فيما بقي من الأولى والاعتداد بعد ذلك عدّة كاملة، وهذا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المسألة هي أعمّ من الحمل وعدمه، وعلى كلّ حالٍ، فإن حملت فالحقّ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أفاده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الاعتداد عليها بوضع الحمل وإن لم تحمل فبالشهور، بل وبالأقراء؛ وذلك خوفاً من اختلاط المياه وصيانة للأنساب وللإطلاقات، فإنّ الأصل في الاعتداد في غير الوفاة هو الحمل والتحرّز من اختلاط المائين كما قيل، ولذا نرى أنّه انتفي عمّن لا يحتمل الحمل فيها عادة، ففي مرسلة جميل بن درّاج، عن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يطلّق الصبيّة التي لم تبلغ ولا يحمل مثلها وقد كان دخل بها، والمرأة التي قد يئست من المحيض وارتفع حيضها فلا يلد مثلها،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عليهما عدّة وإن دخل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العدد،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النکاح، أبواب المتعة،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ولا بأس أن أسجّل ما أفاده شيخنا المحدّث الحرّ العاملى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فوائده الطوسيّة إتماماً للفائدة وتأكيداً بل وإكمالاً لما أفاضه الأُستاذ،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اشتهر بين جماعة من الطلبة الآن حيلة في إسقاط العدّة وبعضهم ينسبها إلى شيخنا المحقّق الشيخ عليّ، وصورتها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تزوّج رجل امرأة بالعقد الدائم ودخل بها ثمّ طلّقها بعد الدخول وجبت عليها العدّة، فلو عقد عليها بعد الطلاق ثم طلّقها قبل الدخول فلا عدّة عليها، فتدخل تحت النصّ المتضمّن لعدم لزوم العدّة مع الطلاق قبل الدخول والعدّة السابقة سقطت بالعقد الثاني إذ لا عدّة عليها منه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ومثلهما المستأمرة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السیّد العاملي في نهایة المرام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والمحدّث البحراني في الحدائق الناضرة </w:t>
      </w:r>
      <w:r>
        <w:rPr>
          <w:rFonts w:eastAsia="IRNazanin" w:cs="IRNazanin"/>
          <w:b w:val="false"/>
          <w:bCs w:val="false"/>
          <w:i w:val="false"/>
          <w:iCs w:val="false"/>
          <w:color w:val="333333"/>
          <w:sz w:val="20"/>
          <w:szCs w:val="20"/>
        </w:rPr>
        <w:t>314:25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الهندي في کشف اللثام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أحکام الطلاق، ذیل الحدیث </w:t>
      </w:r>
      <w:r>
        <w:rPr>
          <w:rFonts w:eastAsia="IRNazanin" w:cs="IRNazanin"/>
          <w:b w:val="false"/>
          <w:bCs w:val="false"/>
          <w:i w:val="false"/>
          <w:iCs w:val="false"/>
          <w:color w:val="333333"/>
          <w:sz w:val="20"/>
          <w:szCs w:val="20"/>
        </w:rPr>
        <w:t>257/176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الفاضل الهندي في کشف اللثام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طلاق المریض، ذیل الحدیث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303/1077</w:t>
      </w:r>
      <w:r>
        <w:rPr>
          <w:rFonts w:ascii="IRNazanin" w:hAnsi="IRNazanin" w:eastAsia="IRNazanin"/>
          <w:b w:val="false"/>
          <w:b w:val="false"/>
          <w:bCs w:val="false"/>
          <w:i w:val="false"/>
          <w:i w:val="false"/>
          <w:iCs w:val="false"/>
          <w:color w:val="333333"/>
          <w:sz w:val="20"/>
          <w:sz w:val="20"/>
          <w:szCs w:val="20"/>
          <w:rtl w:val="true"/>
        </w:rPr>
        <w:t>، باب طلاق المریض،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طلاق العبد، الحدیث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أحکام الطلاق، ذیل الحدیث </w:t>
      </w:r>
      <w:r>
        <w:rPr>
          <w:rFonts w:eastAsia="IRNazanin" w:cs="IRNazanin"/>
          <w:b w:val="false"/>
          <w:bCs w:val="false"/>
          <w:i w:val="false"/>
          <w:iCs w:val="false"/>
          <w:color w:val="333333"/>
          <w:sz w:val="20"/>
          <w:szCs w:val="20"/>
        </w:rPr>
        <w:t>257/176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طلاق المریض، ذیل الحدیث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225:26</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ذیل الرقم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وأحکامه،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اكّد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في كتاب الوصايا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وطلاق المريض غير جائز، فإن طلّق؛ ورثته المرأة ما بينه وبين سنة، إذا لم يبرأ المريض من مرضه ولا تتزوّج المرأة، فإن برأ المريض، ثمّ مرض بعد ذلك ومات لم ترثه المرأة وكذلك إن تزوّجت المرأة بعد انقضاء عدّتها، لم يكن لها 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تتزوّج ومضى بها سنة ويوم؛ لم يكن لها بعد ذلك ميراث، ويرث هو المرأة ما دامت في العدّة، فإذا خرجت من عدّتها لم يكن له منها 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أن تكون التطليقة الأُولى أو ثانية أو ثالثة وعلى كلّ 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منعٌ واضح، ولا سيّما في الخلع؛ فإنّ طلب الزوجة للطلاق أعمّ من كونه لإضرار الزوج، فإنّه ربما هي طالبة لها لأغراض أُخرى لا ترجع إلى عمل الزوجة وسلوكه معها والإضرار بها، فلعلّ خاطرها تعلّق برجل آخر واشتاقت هي إليه لعلل لا تخفى، فما ذهب إليه الأصحاب في عدم إرثها منه غير معلوم الاستناد إلى رواية محمّد بن القاسم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کتاب المیراث، أبواب ميراث الأزواج،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طلاق المریض ونکاحه،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152:22</w:t>
      </w:r>
      <w:r>
        <w:rPr>
          <w:rFonts w:ascii="IRNazanin" w:hAnsi="IRNazanin" w:eastAsia="IRNazanin"/>
          <w:b w:val="false"/>
          <w:b w:val="false"/>
          <w:bCs w:val="false"/>
          <w:i w:val="false"/>
          <w:i w:val="false"/>
          <w:iCs w:val="false"/>
          <w:color w:val="333333"/>
          <w:sz w:val="20"/>
          <w:sz w:val="20"/>
          <w:szCs w:val="20"/>
          <w:rtl w:val="true"/>
        </w:rPr>
        <w:t xml:space="preserve">، کتاب المیراث، أبواب میراث الأزواج،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322/1565</w:t>
      </w:r>
      <w:r>
        <w:rPr>
          <w:rFonts w:ascii="IRNazanin" w:hAnsi="IRNazanin" w:eastAsia="IRNazanin"/>
          <w:b w:val="false"/>
          <w:b w:val="false"/>
          <w:bCs w:val="false"/>
          <w:i w:val="false"/>
          <w:i w:val="false"/>
          <w:iCs w:val="false"/>
          <w:color w:val="333333"/>
          <w:sz w:val="20"/>
          <w:sz w:val="20"/>
          <w:szCs w:val="20"/>
          <w:rtl w:val="true"/>
        </w:rPr>
        <w:t xml:space="preserve">، باب طلاق السنّة،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458:10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322/1565</w:t>
      </w:r>
      <w:r>
        <w:rPr>
          <w:rFonts w:ascii="IRNazanin" w:hAnsi="IRNazanin" w:eastAsia="IRNazanin"/>
          <w:b w:val="false"/>
          <w:b w:val="false"/>
          <w:bCs w:val="false"/>
          <w:i w:val="false"/>
          <w:i w:val="false"/>
          <w:iCs w:val="false"/>
          <w:color w:val="333333"/>
          <w:sz w:val="20"/>
          <w:sz w:val="20"/>
          <w:szCs w:val="20"/>
          <w:rtl w:val="true"/>
        </w:rPr>
        <w:t xml:space="preserve">، باب طلاق السنّة،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يمكن النقاش في إمكان تحقّق النشوز هنا وإيجابه لجواز الإخراج، فإنّ المراد من نشوز الزوج أو الزوجة هو خروج كلّ منهما عن الطاعة الواجبة عليه للآخر، وما يظهر من بعض أهل اللغة كصاحبي الصحاح والقاموس وكذا المجمع بما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نشوزها هو الاستعصاء والكراهة، فإنّه هو خلاف ما في الشرع من كونه هو الامتناع من خصوص الحقّ الواجب عليه أو عليها، ولذا قيل لم يكن من النشوز البذاء وإن أثمت به واستحقّت التأديب، ولا الامتناع من خدمته وقضاء حوائجه التي لا تعلّق لها بالاستمتاع؛ لعدم وجوب شيء من ذلك عليها ولا غير ذلك ممّا لا ينقص الاستمتاع بها، على حدّ تعبير صاحب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صرّح الشهيد في المسالك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 النشوز ولا من مقدّماته بذائةُ اللسان والشتم، ولكنّها تأثم به وتستحقّ التأديب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يجوز للزوج تأديبها على ذلك ونحوه ممّا لا يتعلّق بحقّ الاستمتاع، أم يرفع أمره إلى الحاكم ؟ قولان، تقدّما في كتاب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والأقوى أنّ الزوج فيما وراء حقّ المساكنة والاستمتاع كالأجنبيّ وإن نغّص ذلك عيشه وكدّر الاستمتاع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بحوائجه التي يكون التبرّم بها أمارة النشوز ما يجب عليها فعلها من الاستمتاع ومقدّماته، كالتنظيف المعتاد وإزالة المنفّر والاستحداد، بأن تمتنع أو تتثاقل إذا طلبها على وجه يحوج زواله إلى تكلّف وتعب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أثر لامتناع الدلال، ولا للامتناع من حوائجه التي لا تتعلّق بالاستمتاع؛ إذ لا يجب عليها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الفتاوى المنسوبة إلى فخرالدين أنّ المراد بها نحو سقي الماء وتمهيد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 جدّاً؛ لأنّ ذلك غير واجب عليها فكيف يعدّ تركه نشوزاً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الطلاق، أبواب العدد، الباب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الحدود، أبواب حدّ الزنا،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كتاب الحدود، أبواب حدّ الزنا، الباب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 ما هو مراد الأُستاذ من واقع الاستنتاج؟ فإن أراد أنّ مثل التقبيل، حيث إنّه ليس من الآثار الشرعيّة بل هو فعل المكلّف فالتمسّك بالزوجيّة لصدور هذا الفعل ليس من الآثار الشرعيّة فكيف يتحقّق الرجوع به،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ينتقض بمثل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حيث إنّه أيضاً من أفعاله فالتمسّك بقوله هذا لتحقّق الزوجيّة وترتّب الرجوع أيضاً يأتي الإشكال فيه؛ لأنّ قوله أيضاً من فعله، وهو كما ترى، وإن أراد غير ذلك فالأحسن أن نكرّر إنّنا لانفهم ذلك كلّه كما استفهمنا ذلك، على ما يخطر بالبال في مجلس الدرس أيضاً ولم نقتنع بما أفاده الأُستاذ، وعلى كلّ حالٍ لا إشكال ولا كلام في أنّ كل فعل من أفعال المكلّف له حكمه، فكما أنّ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شرائطه، حكم خاصّ وهو انفصال الزوجيّة إجمالاً وهو حكم شرعي، فكذلك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لتقبيله زوجته المطلّقة الرجعيّة أيضاً حكم شرعي خاصّ، كما أنّه لا يمكننا أن نتعقّل الملازمة بين إيراد هذه الخدشة في كلام الأُستاذ وبين قادحية قصد عدم الرجوع التي استنتجها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الوطئ أيضاً يعتبر فيه القصد ليكون رجوعاً، ولا إطلاق لصحيحة محمّد بن القاسم؛ وذلك بقرينة اتّحاد السياق فيها بين الغشيان بعد انقضاء العدّة وقبلها، فإنّ الحدّ لا ياتي إذا وقع الغشيان غفلة أو شبهة ولا أقلّ من أنّ الصحيحة لا تشمل الغشيان غفلة وفي قصد العدم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إمكان القول بأنّ إطلاقها ممنوعٌ؛ لأنّها في مقام بيان مورد الجلد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التفصيل بين الثبوت والإثبات، فإنّ التقبيل رجوع في الظاهر إلّا أن يثبت خلافه، فمثل التقبيل يعدّ رجوعاً في الظاهر إلّا أن يكشف خلافه؛ أي عدم قصد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بالنسبة إلى أحكام غير الزوج وأمّا هو، فيرجع إلى قصده الرجوع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الطلاق، باب،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كلّها ما لا يخفى؛ أمّا الأوّل، فإنّ الكلام ظاهراً في مقام الإثبات لا الثبوت، فإنّ ادّعاء الرجعة بعد انقضاء العدّة وبعد مضّي أشهر أو أكثر بعد العدّة على حدّ التعبير في الصحيحة لا سبيل إليه إلّا بالإشهاد عليها قبل ذلك، كما يدلّ عليه خبر الحسن بن الصالح المذكور بعده، بل وخبر عمرو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الثاني، فإنّ الإشهاد على الرجعة يلازم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الثالث، فإنّ الظاهر من الأمر بالاعتداد هو الأخبار عن إيقاع الطلاق قبل ذلك من جانب الزوج لا وقوعه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يعبر عنه في الاصطلاح بالماضي النقلي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كتاب الطلاق، أبواب أقسام الطلاق وأحكامه،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ترى ما في هذا الاحتمال، فإنّ كون المراد هو البيّنة الشرعيّة أوضح من أن يخفى، وخاصّة بقرينة ذكر الإشهاد، وما أفاده الأُستاذ هو احتمال لايعبأ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ترى؛ فإنّ للأسرار في الرجعة بسياق الإشهاد على الطلاق هو عدم الإشهاد ومن لم يشهد فلا سبيل له على الإثبات، وهذا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کتاب الطلاق، أبواب أقسام الطلاق وأحكامه،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وللعلّامة الطباطبائى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لطيف يعجبني أن أذكره ثمّ استنتج منه النقاش فيما أفاده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ولفظ أحقّ اسم تفضيل حقّه أن يتحقّق معناه دائماً مع مفضّل عليه، كأن يكون للزوج الأوّل حقّ في المطلّقة ولسائر الخطّاب حقّ، والزوج الأوّل أحقّ بها لسبق الزوجيّة، غير أنّ المذكور لا يتحقّق معناه إلّا مع الزوج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يظهر أنّ في الآية تقديراً لطيفاً بحسب المعنى،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وبعولتهنّ أحقّ بهنّ من غيرهم، ويحصل ذلك بالردّ والرجوع في أيّام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انتهى ما أفاده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في سادس جمادي الأُولى،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وذلك في </w:t>
      </w:r>
      <w:r>
        <w:rPr>
          <w:rFonts w:eastAsia="IRNazanin" w:cs="IRNazanin"/>
          <w:b w:val="false"/>
          <w:bCs w:val="false"/>
          <w:i w:val="false"/>
          <w:iCs w:val="false"/>
          <w:color w:val="333333"/>
          <w:sz w:val="20"/>
          <w:szCs w:val="20"/>
        </w:rPr>
        <w:t>10/7/1374</w:t>
      </w:r>
      <w:r>
        <w:rPr>
          <w:rFonts w:ascii="IRNazanin" w:hAnsi="IRNazanin" w:eastAsia="IRNazanin"/>
          <w:b w:val="false"/>
          <w:b w:val="false"/>
          <w:bCs w:val="false"/>
          <w:i w:val="false"/>
          <w:i w:val="false"/>
          <w:iCs w:val="false"/>
          <w:color w:val="333333"/>
          <w:sz w:val="20"/>
          <w:sz w:val="20"/>
          <w:szCs w:val="20"/>
          <w:rtl w:val="true"/>
        </w:rPr>
        <w:t>ش؛ والحمد لله إنّه وليّ التوفيق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للقرطبي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کتاب الخلع واللمباراة ،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الخلع،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الخلع،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ذیل الحدیث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الخلع، ذیل الحدیث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شرح المشیخة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97/329</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97/329</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98/330</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98/331</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98/332</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99/328</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95/322</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96/326</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ذلك كلّه، في النفس شيء، بل يمكن منع ذلك؛ فإنّ ما قصد لم يقع وما وقع لم يقصد وخاصّة إذا كان المفروض اجتماع شرائط البائن، فإنّه لا يبقى محلّ لرجوع الزوج وهو مخالف لما كان يريده، ومع الشكّ فالاصل بقاء الزوجيّة، كما أنّ الأصل عدم تحقّق الطلاق؛ رجعيّاً كان أو بائناً، وأمّا بناء العقلاء والعرف 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البناء إن لم يكن على خلافه فلا أقلّ من تفاوته باختلاف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أحرز تعمّده في الإخلال بالفوريّة، أو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يحرز خطأه في ذلك، فالأمر كما ذكر وإلّا فوقوعه رجعيّاً أو بائناً مشكلٌ فلا يترك الاحتياط</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حتّی یکون مساوقاً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بالفتح یکون مساوقاً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مطلّقة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مرّ عدم جوازه في صیغة الطلاق،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ومختلعة بمنزلة طالق لا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أشار بذلك إلی دفع ما یقال من المنافاة بین ذلک وبین ما تقدّم من عدم جواز الطلاق بقول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الدفع إمّا بقراءتها بکسر اللام حتّی تکون بمنزلة أنت طالق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المراد أنّها بهذا المعنی وإن کانت بفتح اللام، کما عساه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اختیار صیغة الماضي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یرجع الجهل إلی الخطر والسفه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یصل إلی الزیادة علی مهر المسمّی فیه أيضاً، وإلّا فلا یجوز؛ علی ما حقّق في رسالة مستقلّة المسمّی بوجوب طلاق الخلع علی الرجل، طبقاً لنظریات المرجع الدیني، سماحة آیة الله العظمی الشیخ یوسف الصانعي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ولده الفاضل الشیخ فخر الدین الصانعي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کتاب الخلع والمباراة،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کتاب القضاء، أبواب صفات القاضي، الباب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تکفي الکراهة الشدیدة وإن لم تصل إلی الخوف، بأن کانت عفيفة وصابرة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کتاب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تکن لإیذائه الزوجة، وإلّا حکمه حکم السبّ والشتم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یملك العوض؛ لصحّة الطلاق بالعوض مع کون الأخلاق ملتئمة، وعدم الخوف من عدم إقامة الحدود، وفاقاً للشهید الثاني، والمحقّق القمي الذي ألّف رسالة في صحّة الطلاق کذلك؛ لأنّه أشبه بالمعاوضة، بل هو معاوضة، فیشمله إطلاقات العقود والتجارة وعموماتها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هبة معوّضة، وإمّا صلح مع العوض، وهما عقدان لازمان، وبذلك یفترق عن الخلع والمباراة لأنّهما لازمان من قبل الزوج، وجائزان من قبل الزوجة، وهو لازم من الطرفین فلا ینفسخ في زمان العدّة إلّا بالإقالة والفسخ من الطرفين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منّا الإشكال فيه، خلافاً لما أفاده الأُستاذ، فراجع إن شئت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سیأتي في الصفحة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یصل إلی الزیادة علی مهر المسمّی فیه أيضاً، وإلّا فلا یجوز؛ علی ما حقّق في رسالة مستقلّة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الخلع والمباراة، ذیل الحدیث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ترى ما في هذا النقاش من الضعف الظاهر؛ فإنّ المفهوم من التحصيل اليوم وفي عرفنا مختلف عمّا كان يريده مثل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يجري على ألسنة الناس في ذلك الزمان وهذا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كتاب الخلع والمباراة،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في الصفحة السابقة</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المیرزا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المیرزا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المهمور،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احتجاج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الغدیر علی الخلق کلّهم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أبواب النصوص الدالّة علی الخصوص علی إمامة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أخبار الغدیر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كتاب الوديعة، أبواب كتاب الوديعة،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المیرزا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المیرزا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انتهى ما أفاده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في التاسع من شهر آبان، عام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 الموافق للسادس من جمادي الثانية،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بحوله وقوّته تعالى، إنّه وليّ التوفيق ونعم الوليّ ونعم النصير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باب حکم الظهار،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کتاب النکاح، أبواب ما يحرم بالرضاع،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البحث الإشهاد في الطلاق في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باب حکم الظهار، الحدیث</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کتاب الظهار،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حکم الظهار،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ابن إدریس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النسبة سهوٌ ظاهرٌ، فإنّ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ذهب إلى صحّة الظهار من مثل الخنثى إن حرّمنا بالظهار ضروب الاستمتاع وإلّا فهو لا يقع من مثله؛ فلا يرتبط بالبحث، فراجع إن شئت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340/1639</w:t>
      </w:r>
      <w:r>
        <w:rPr>
          <w:rFonts w:ascii="IRNazanin" w:hAnsi="IRNazanin" w:eastAsia="IRNazanin"/>
          <w:b w:val="false"/>
          <w:b w:val="false"/>
          <w:bCs w:val="false"/>
          <w:i w:val="false"/>
          <w:i w:val="false"/>
          <w:iCs w:val="false"/>
          <w:color w:val="333333"/>
          <w:sz w:val="20"/>
          <w:sz w:val="20"/>
          <w:szCs w:val="20"/>
          <w:rtl w:val="true"/>
        </w:rPr>
        <w:t xml:space="preserve">، باب الظهار،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کتاب النکاح، أبواب المهور،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أقوال،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زيادة المدّة عن مدّة التربّص على تقدير المرافعة فيقع وإلّا فلا؛ لأنّ الظهار يلزمه التربّص مدّة ثلاثة أشهر من حين الترافع وعدم الطلاق، وهو يدلّ بالاقتضاء على أنّ مدّته تزيد عن ذلك وإلّا لانتفى اللازم الدالّ على انتفاء الملزوم وإلى هذا التفصيل ذهب في المختلف ونفى عنه البأس في المسالك وإن رأى أنّ الجواز مطلقاً لا يخلو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کتاب الظهار،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انتهى البحث في الظهار في الحادي والعشرين من آبان، عام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وكانت بدايته في الثالث عشر من هذا الشهر فللّه الشكر والمنّة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الأُستاذ لم يتعرّض لمسائل كتاب الإيلاء، ولعلّه لمشابهة أحكامه أحكام الظهار، ونحن نكتفي بذكر ما في المتن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كتاب الحدود، أبواب حدّ القذف،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یجمع عقوبات الأعمال؛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كتاب الحدود، أبواب حدّ القذف،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كتاب الحدود، أبواب حدّ القذف،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كتاب الحدود، أبواب حدّ القذف،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كتاب الحدود، أبواب حدّ القذف،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413:22</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کتاب اللعان، الباب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فصل ذکر اللعان، الحدیث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کتاب اللعان، 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فصل ذکر اللعان، الحدیث</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کتاب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فصل ذکر اللعان، الحدیث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کتاب اللعان،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أمیرالمؤمنین وأبي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 ».</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القول بولاية الفقیه وخلافته عن الإمام المعصوم في کلّ ما کان له من الولایات والحکومات في القضاء والسیاسة وغیرهما، کما کان علیه الماتن والشارح</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ولکن بدّل الشارح نظره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نظره الشریف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الاستدلال بمقبولة عمر بن حنظلة؛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المقبولة ظاهرة في الشبهة الحکمية </w:t>
      </w:r>
      <w:r>
        <w:rPr>
          <w:rFonts w:eastAsia="IRNazanin" w:cs="IRNazanin"/>
          <w:b w:val="false"/>
          <w:bCs w:val="false"/>
          <w:i w:val="false"/>
          <w:iCs w:val="false"/>
          <w:color w:val="333333"/>
          <w:sz w:val="20"/>
          <w:szCs w:val="20"/>
          <w:rtl w:val="true"/>
        </w:rPr>
        <w:t>... ».</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الحقائق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جوازه عند من تنصبه الحکومة المشروعة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یکن مجتهداً جامعاً لشرائط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تعلیقاته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النكاح، أبواب المهور،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العلّامة في 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فصل ذکر اللعان، الحدیث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في نسخة المطبوع من كشف اللثام ولكن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 والملاعنة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كتاب اللعان،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فصل ذکر اللعان، الحدیث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فصل ذکر اللعان ، الحدیث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الطلاق،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فصل ذکر اللعان، الحدیث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کتاب القضاء، أبواب صفات القاضي،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اللعان، باب کیف اللعان؛ 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في ألفاظ اللعان وصفته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اللعان، باب کیف اللعان</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اللعان، باب کیف اللعان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من یصحّ لعانه وکیف اللعان و </w:t>
      </w:r>
      <w:r>
        <w:rPr>
          <w:rFonts w:eastAsia="IRNazanin" w:cs="IRNazanin"/>
          <w:b w:val="false"/>
          <w:bCs w:val="false"/>
          <w:i w:val="false"/>
          <w:iCs w:val="false"/>
          <w:color w:val="333333"/>
          <w:sz w:val="20"/>
          <w:szCs w:val="20"/>
          <w:rtl w:val="true"/>
        </w:rPr>
        <w:t>... .</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من یصحّ لعانه وکیف اللعان و </w:t>
      </w:r>
      <w:r>
        <w:rPr>
          <w:rFonts w:eastAsia="IRNazanin" w:cs="IRNazanin"/>
          <w:b w:val="false"/>
          <w:bCs w:val="false"/>
          <w:i w:val="false"/>
          <w:iCs w:val="false"/>
          <w:color w:val="333333"/>
          <w:sz w:val="20"/>
          <w:szCs w:val="20"/>
          <w:rtl w:val="true"/>
        </w:rPr>
        <w:t>... .</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باب اللعان،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الشهید في مسالك الأفهام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فصل ذکر اللعان، الحدیث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کتاب اللعان وباب کیف اللعان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في کیفیّة اللعان وشرائطه وثمرته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اللعان، باب أین یکون اللعان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من یصحّ لعانه وکیف اللعان و </w:t>
      </w:r>
      <w:r>
        <w:rPr>
          <w:rFonts w:eastAsia="IRNazanin" w:cs="IRNazanin"/>
          <w:b w:val="false"/>
          <w:bCs w:val="false"/>
          <w:i w:val="false"/>
          <w:iCs w:val="false"/>
          <w:color w:val="333333"/>
          <w:sz w:val="20"/>
          <w:szCs w:val="20"/>
          <w:rtl w:val="true"/>
        </w:rPr>
        <w:t>... .</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من یصحّ لعانه وکیف اللعان و </w:t>
      </w:r>
      <w:r>
        <w:rPr>
          <w:rFonts w:eastAsia="IRNazanin" w:cs="IRNazanin"/>
          <w:b w:val="false"/>
          <w:bCs w:val="false"/>
          <w:i w:val="false"/>
          <w:iCs w:val="false"/>
          <w:color w:val="333333"/>
          <w:sz w:val="20"/>
          <w:szCs w:val="20"/>
          <w:rtl w:val="true"/>
        </w:rPr>
        <w:t>... .</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کتاب اللعان، باب أین یکون اللعان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کشف اللئام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اللعان،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ما أفاده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وبذلك قد تمّ كتاب الطلاق وما يناسبه من الخلع والمباراة والظهار والإيلاء واللعان، وكان ذلك في الثامن‌عشر من رجب المرجّب، عام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ق، الموافق للعشرين من شهر آذر، سنة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كما أنّ بدايته كانت في التاسع‌عشر من جمادي‌الثانية، الموافق للثاني والعشرين من 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انتهى إخراجه من المسوّدة إلى المبيّضة يوم الأحد،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الموافق للسادس من صفر الخير عام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بقم المقدّسة، وقد أفاد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كلّه في مدرسة الفيضيّة المباركة، صانها الله عن شرّ الأعداء في مرّ الدهور وعن أهواء أصحاب القصور بجاه محمّد رسوله المنتجب وآله الهداة الأطهار صلواته وتحيّاته عليه وعليهم، واللعن الدائم على أعدائهم، والشكر له تعالى والثناء عليه، إنّه وليّ التوفيق، وأنا العبد المفتقر إلى رحمة ربّه الكريم السيّد ضياء المرتضوي اليزدي الأشكذري بن رضا بن علي أكبر بن جعفر بن محمّد بن ميرمرتضى الحسيني الأشكذري، غفر الله لي ولهم جميعاً والحمد لله ربّ العالمين</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المناجاة الشعبانية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 المدني مع الإصلاحات والإضافات، وهذه هي المواد الثلاث</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كَرَّمْنَا بَنِي آدَمَ وَحَمَلْنَاهُمْ فِي الْبَرِّ وَالْبَحْرِ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أَنِّي لَا أُضِيعُ عَمَلَ عَامِل مِنْكُمْ مِنْ ذَكَر أَوْ أُنْثَى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مِنْ ذَكَر أَوْ أُنثَى وَهُوَ مُؤْمِنٌ فَلَنُحْيِيَنَّهُ حَيَاةً طَيِّبَةً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آيَاتِهِ أَنْ خَلَقَ لَكُمْ مِنْ أَنفُسِكُمْ أَزْوَاجاً لِتَسْكُنُوا إِلَيْهَا وَجَعَلَ بَيْنَكُمْ مَوَدَّةً وَرَحْمَةً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 سنّتي فمن رغب عن سنّتي فليس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حديث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تزوّجوا؛ فإنّ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كثيراً ما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يحبّ أن يتبع سنّتي فليتزوّج، فإنّ من سنّتي التزويج، واطلبوا الولد؛ فإنّي أكاثر بكم الأُمم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103:218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محمّد بن الحسين، عن عبدالرحمن بن محمّد، عن أبي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عبدالله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يحبّ البيت الذي فيه العرس ويبغض البيت الذي فيه الطلاق، وما من شيء أبغض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وشرائطه،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موجبات الطلاق في القانون الإيراني والأقلّيات غير المسلمة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والشاهد على هذه المحدودية الآيات المتّصلة بأحكام الطلاق مثل الآيتين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والتي يضع الشارع فيها أحكاماً خاصّة للزوجين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طلّق رجلٌ زوجته ثمّ رجع، وقاربها ثمّ طلّق مع توفّر شروط الطلاق وعاد ورجع إليها ثانية قبل إتمامها العدّة، وقاربها، ثمّ طلّقها ثالثةً، فهنا لا يمكنه العودة إليها مرّة ثالثة إلّا أن تتزوّج هذه المرأة برجل آخر ويطلّقها،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طَلَّقَهَا فَلَا تَحِلُّ لَهُ مِنْ بَعْدُ حَتَّى تَنكِحَ زَوْجاً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إزالة قيد النكاح بفدية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 الخلع من ضروريات فقه الإسلام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وحلّ له ما أخذ منها من مهرها وما زاد؛ وذلك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جُنَاحَ عَلَيْهِمَا فِيمَا افْتَدَتْ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 لما ذكره الشيخ الطوسي نفسه في كتاب المبسوط، فإنّ كتاب النهاية ألّف على أساس متون الروايات، قال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وكنت عملت على قديم الوقت كتاب النهاية، وذكرت جميع ما رواه أصحابنا في مصنّفاتهم وأُصولها من المسائل، وفرّقوه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 الشيخ الطوسي كتب هذا الكتاب تأثّراً بالصدوقين</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الشيخ الصدوق صنّف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والهداية، على هذه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والاطّلاع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الهداية الذي طبعته مؤسسة الإمام الهادي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التحقيقية</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صاحب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بيان أدلّة عدم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هناك رواية واردة في وجوب الخلع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ويعلّق صاحب الجواهر بأنّه وسائر الفقهاء لم يعثروا على مثل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كذلك يذكر الفاضل الإصفهاني بأنّه لم يصادف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 أنّ الأُستاذ المعظم يقول في هذا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 القول بالوجوب ظهر أوّل مرّة في كتاب النهاية للطوسي، وهذا الكتاب قائم على سرد متون الأخبار، بناءً عليه، لعلّ مقصود المحقّق الحلّي أنّ القول بالوجوب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 في هذا الكتاب بهذه الخصوصية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رواية حتماً</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كما أنّ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 تدلّ على حرمة الأخذ الإجباري للأموال المدفوعة للمرأة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أَرَدْتُمْ اسْتِبْدَالَ زَوْج مَكَانَ زَوْج وَآتَيْتُمْ إِحْدَاهُنَّ قِنطَاراً فَلَا تَأْخُذُوا مِنْهُ شَيْئاً </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مثل الحكم باستحباب صلاة الليل التي تصبح واجبةً بالنذر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لأوّل مرّة، جاء هذا الدليل في كلمات العلّامة الحلّي في مختلف الشيعة ثمّ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استعرضه الفقهاء بعده، ثمّ سجلوا عليه إشكالاتهم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وتجدر الإشارة إلى أنّ هذا الدليل لا وجود له في تمام كتب الفقهاء القائلين بوجوب طلاق الخلع</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صاحب المسالك في بحثه عن صحّة توكيل الزوجة بطلاق نفسها، بعد استدلال الشيخ بهذه الرواية لعدم صحّة الوكالة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والخبر مع تسليم سنده لا ينافي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تسليم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أنّه لا يرى هذه الرواية صحيحةً؛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عقبة بن لهيعة، ويكنى أبا عبدالرحمن، وكان ضعيفاً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 منكرة، يحدّث بالأباطيل، وقال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أحاديثه منكرة عامّتها لا يتابع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تجدر الإشارة إلى أنّ هذا الجواب لا يصحّ على مبنى من يقول بأنّ الخلع نوعٌ من الطلاق، ويشترطون الصيغة فيه، فيكون جواباً مبنائياً</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وشروطه،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وأحاديث أُخرى أيضاً</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وقد ذكر هذه الرواية المشايخ الثلاثة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27896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وسوف نستعرض هذه الروايات قريباً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الاعتباري هو حيث إنّه في المباراة توجد كراهة من الطرفين لم يمكن للرجل أخذ ما زاد على المهر، أمّا الخلع فحيث كانت الكراهة من طرف المرأة فقط وهي التي تريد قطع الصلة وتفكيك الحياة الزوجية، كان من المفترض أنّ أيّ مقدار يريده الرجل يكون له، يضاف إليه عند ما تقول المرأة كلمات لا تقال ولا تجوز، يمكن للرجل أن يأخذ المقدار الذي يريد منها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الخلع والمباراة،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بصير، عن أبي عبدالله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في حديث المباراة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يحلّ لزوجها أن يأخذ منها إلّا المهر فما دونه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بررسي إجمالي مباني اقتصادي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بل أنّه يرى أنّ الرواية ينجبر ضعفها بموافقتها للعقل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يضرّ ضعفها؛ لأنّها موافقة للعقل والنقل</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المقدّس الأردبيلي في بحث الاحتكار إلى ما يشبه ما ذكرناه أعلاه، فانظر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ولعلّ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لانتفى فائدة إيجاب البيع بثمن لا يقدر أحد على شرائه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image" Target="media/image2.jpeg"/><Relationship Id="rId796" Type="http://schemas.openxmlformats.org/officeDocument/2006/relationships/image" Target="media/image2.jpeg"/><Relationship Id="rId797" Type="http://schemas.openxmlformats.org/officeDocument/2006/relationships/footer" Target="footer790.xml"/><Relationship Id="rId798" Type="http://schemas.openxmlformats.org/officeDocument/2006/relationships/footnotes" Target="footnotes.xml"/><Relationship Id="rId799" Type="http://schemas.openxmlformats.org/officeDocument/2006/relationships/numbering" Target="numbering.xml"/><Relationship Id="rId800" Type="http://schemas.openxmlformats.org/officeDocument/2006/relationships/fontTable" Target="fontTable.xml"/><Relationship Id="rId801" Type="http://schemas.openxmlformats.org/officeDocument/2006/relationships/settings" Target="settings.xml"/><Relationship Id="rId8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804</Pages>
  <Words>71434</Words>
  <Characters>321735</Characters>
  <CharactersWithSpaces>390842</CharactersWithSpaces>
  <Paragraphs>2596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2026-08-20T13:51:30Z</dcterms:created>
  <dc:creator>ghaemiyeh.com</dc:creator>
  <dc:description/>
  <dc:language>en-US</dc:language>
  <cp:lastModifiedBy/>
  <dcterms:modified xsi:type="dcterms:W3CDTF">2026-08-20T17:21:59Z</dcterms:modified>
  <cp:revision>1</cp:revision>
  <dc:subject/>
  <dc:title>کتاب الطلاق والخلع والمباراة الظهار الایلاء واللعان فی شرح تحریرالوسیلة</dc:title>
</cp:coreProperties>
</file>

<file path=docProps/custom.xml><?xml version="1.0" encoding="utf-8"?>
<Properties xmlns="http://schemas.openxmlformats.org/officeDocument/2006/custom-properties" xmlns:vt="http://schemas.openxmlformats.org/officeDocument/2006/docPropsVTypes"/>
</file>