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دراسات علمیة </w:t>
      </w:r>
      <w:r>
        <w:rPr>
          <w:rtl w:val="true"/>
        </w:rPr>
        <w:t xml:space="preserve">- </w:t>
      </w:r>
      <w:r>
        <w:rPr/>
        <w:t>12</w:t>
      </w:r>
      <w:r>
        <w:rPr>
          <w:rtl w:val="true"/>
        </w:rPr>
        <w:t xml:space="preserve"> </w:t>
      </w:r>
      <w:r>
        <w:rPr>
          <w:rtl w:val="true"/>
        </w:rPr>
        <w:t>مجلة نصف سنویة تعنى بالأبحاث التخصصیة فی الحوزة العلمیة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56420_2870459653">
            <w:r>
              <w:rPr>
                <w:webHidden/>
                <w:rStyle w:val="IndexLink"/>
                <w:rtl w:val="true"/>
              </w:rPr>
              <w:t>هویة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3056422_2870459653">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056424_2870459653">
            <w:r>
              <w:rPr>
                <w:webHidden/>
                <w:rStyle w:val="IndexLink"/>
                <w:rtl w:val="true"/>
              </w:rPr>
              <w:t>الأسس المعتمدة للنشر</w:t>
            </w:r>
            <w:r>
              <w:rPr>
                <w:rStyle w:val="IndexLink"/>
                <w:rtl w:val="true"/>
              </w:rPr>
              <w:tab/>
            </w:r>
            <w:r>
              <w:rPr>
                <w:rStyle w:val="IndexLink"/>
              </w:rPr>
              <w:t>13</w:t>
            </w:r>
          </w:hyperlink>
        </w:p>
        <w:p>
          <w:pPr>
            <w:pStyle w:val="Contents2"/>
            <w:tabs>
              <w:tab w:val="clear" w:pos="8743"/>
              <w:tab w:val="right" w:pos="9026" w:leader="dot"/>
            </w:tabs>
            <w:rPr/>
          </w:pPr>
          <w:hyperlink w:anchor="__RefHeading___Toc3056426_2870459653">
            <w:r>
              <w:rPr>
                <w:webHidden/>
                <w:rStyle w:val="IndexLink"/>
                <w:rtl w:val="true"/>
              </w:rPr>
              <w:t>محتويات العدد</w:t>
            </w:r>
            <w:r>
              <w:rPr>
                <w:rStyle w:val="IndexLink"/>
                <w:rtl w:val="true"/>
              </w:rPr>
              <w:tab/>
            </w:r>
            <w:r>
              <w:rPr>
                <w:rStyle w:val="IndexLink"/>
              </w:rPr>
              <w:t>14</w:t>
            </w:r>
          </w:hyperlink>
        </w:p>
        <w:p>
          <w:pPr>
            <w:pStyle w:val="Contents2"/>
            <w:tabs>
              <w:tab w:val="clear" w:pos="8743"/>
              <w:tab w:val="right" w:pos="9026" w:leader="dot"/>
            </w:tabs>
            <w:rPr/>
          </w:pPr>
          <w:hyperlink w:anchor="__RefHeading___Toc3056428_2870459653">
            <w:r>
              <w:rPr>
                <w:webHidden/>
                <w:rStyle w:val="IndexLink"/>
                <w:rtl w:val="true"/>
              </w:rPr>
              <w:t>الافتتاحيّة</w:t>
            </w:r>
            <w:r>
              <w:rPr>
                <w:rStyle w:val="IndexLink"/>
                <w:rtl w:val="true"/>
              </w:rPr>
              <w:tab/>
            </w:r>
            <w:r>
              <w:rPr>
                <w:rStyle w:val="IndexLink"/>
              </w:rPr>
              <w:t>16</w:t>
            </w:r>
          </w:hyperlink>
        </w:p>
        <w:p>
          <w:pPr>
            <w:pStyle w:val="Contents2"/>
            <w:tabs>
              <w:tab w:val="clear" w:pos="8743"/>
              <w:tab w:val="right" w:pos="9026" w:leader="dot"/>
            </w:tabs>
            <w:rPr/>
          </w:pPr>
          <w:hyperlink w:anchor="__RefHeading___Toc3056430_2870459653">
            <w:r>
              <w:rPr>
                <w:webHidden/>
                <w:rStyle w:val="IndexLink"/>
                <w:rtl w:val="true"/>
              </w:rPr>
              <w:t xml:space="preserve">نکاح ذات البعل </w:t>
            </w:r>
            <w:r>
              <w:rPr>
                <w:rStyle w:val="IndexLink"/>
                <w:rtl w:val="true"/>
              </w:rPr>
              <w:t>(</w:t>
            </w:r>
            <w:r>
              <w:rPr>
                <w:rStyle w:val="IndexLink"/>
                <w:rtl w:val="true"/>
              </w:rPr>
              <w:t>الحلقة الأولى</w:t>
            </w:r>
            <w:r>
              <w:rPr>
                <w:rStyle w:val="IndexLink"/>
                <w:rtl w:val="true"/>
              </w:rPr>
              <w:t xml:space="preserve">) - </w:t>
            </w:r>
            <w:r>
              <w:rPr>
                <w:rStyle w:val="IndexLink"/>
                <w:rtl w:val="true"/>
              </w:rPr>
              <w:t xml:space="preserve">الشيخ علي سالم الناصري </w:t>
            </w:r>
            <w:r>
              <w:rPr>
                <w:rStyle w:val="IndexLink"/>
                <w:rtl w:val="true"/>
              </w:rPr>
              <w:t>(</w:t>
            </w:r>
            <w:r>
              <w:rPr>
                <w:rStyle w:val="IndexLink"/>
                <w:rtl w:val="true"/>
              </w:rPr>
              <w:t>دام عزه</w:t>
            </w:r>
            <w:r>
              <w:rPr>
                <w:rStyle w:val="IndexLink"/>
                <w:rtl w:val="true"/>
              </w:rPr>
              <w:t>)</w:t>
              <w:tab/>
            </w:r>
            <w:r>
              <w:rPr>
                <w:rStyle w:val="IndexLink"/>
              </w:rPr>
              <w:t>20</w:t>
            </w:r>
          </w:hyperlink>
        </w:p>
        <w:p>
          <w:pPr>
            <w:pStyle w:val="Contents3"/>
            <w:tabs>
              <w:tab w:val="clear" w:pos="8459"/>
              <w:tab w:val="right" w:pos="9026" w:leader="dot"/>
            </w:tabs>
            <w:rPr/>
          </w:pPr>
          <w:hyperlink w:anchor="__RefHeading___Toc3056432_2870459653">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3056434_2870459653">
            <w:r>
              <w:rPr>
                <w:webHidden/>
                <w:rStyle w:val="IndexLink"/>
                <w:rtl w:val="true"/>
              </w:rPr>
              <w:t>المقدّمة</w:t>
            </w:r>
            <w:r>
              <w:rPr>
                <w:rStyle w:val="IndexLink"/>
                <w:rtl w:val="true"/>
              </w:rPr>
              <w:tab/>
            </w:r>
            <w:r>
              <w:rPr>
                <w:rStyle w:val="IndexLink"/>
              </w:rPr>
              <w:t>22</w:t>
            </w:r>
          </w:hyperlink>
        </w:p>
        <w:p>
          <w:pPr>
            <w:pStyle w:val="Contents3"/>
            <w:tabs>
              <w:tab w:val="clear" w:pos="8459"/>
              <w:tab w:val="right" w:pos="9026" w:leader="dot"/>
            </w:tabs>
            <w:rPr/>
          </w:pPr>
          <w:hyperlink w:anchor="__RefHeading___Toc3056436_2870459653">
            <w:r>
              <w:rPr>
                <w:webHidden/>
                <w:rStyle w:val="IndexLink"/>
                <w:rtl w:val="true"/>
              </w:rPr>
              <w:t>تمهيد</w:t>
            </w:r>
            <w:r>
              <w:rPr>
                <w:rStyle w:val="IndexLink"/>
                <w:rtl w:val="true"/>
              </w:rPr>
              <w:tab/>
            </w:r>
            <w:r>
              <w:rPr>
                <w:rStyle w:val="IndexLink"/>
              </w:rPr>
              <w:t>23</w:t>
            </w:r>
          </w:hyperlink>
        </w:p>
        <w:p>
          <w:pPr>
            <w:pStyle w:val="Contents4"/>
            <w:tabs>
              <w:tab w:val="clear" w:pos="8176"/>
              <w:tab w:val="right" w:pos="9026" w:leader="dot"/>
            </w:tabs>
            <w:rPr/>
          </w:pPr>
          <w:hyperlink w:anchor="__RefHeading___Toc3056438_2870459653">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3056440_2870459653">
            <w:r>
              <w:rPr>
                <w:webHidden/>
                <w:rStyle w:val="IndexLink"/>
                <w:rtl w:val="true"/>
              </w:rPr>
              <w:t>النّقطة الأولى</w:t>
            </w:r>
            <w:r>
              <w:rPr>
                <w:rStyle w:val="IndexLink"/>
                <w:rtl w:val="true"/>
              </w:rPr>
              <w:t xml:space="preserve">: </w:t>
            </w:r>
            <w:r>
              <w:rPr>
                <w:rStyle w:val="IndexLink"/>
                <w:rtl w:val="true"/>
              </w:rPr>
              <w:t>حرمة التّعريض بخطبة ذات البعل</w:t>
            </w:r>
            <w:r>
              <w:rPr>
                <w:rStyle w:val="IndexLink"/>
                <w:rtl w:val="true"/>
              </w:rPr>
              <w:tab/>
            </w:r>
            <w:r>
              <w:rPr>
                <w:rStyle w:val="IndexLink"/>
              </w:rPr>
              <w:t>25</w:t>
            </w:r>
          </w:hyperlink>
        </w:p>
        <w:p>
          <w:pPr>
            <w:pStyle w:val="Contents4"/>
            <w:tabs>
              <w:tab w:val="clear" w:pos="8176"/>
              <w:tab w:val="right" w:pos="9026" w:leader="dot"/>
            </w:tabs>
            <w:rPr/>
          </w:pPr>
          <w:hyperlink w:anchor="__RefHeading___Toc3056442_2870459653">
            <w:r>
              <w:rPr>
                <w:webHidden/>
                <w:rStyle w:val="IndexLink"/>
                <w:rtl w:val="true"/>
              </w:rPr>
              <w:t>النّقطة الثّانية</w:t>
            </w:r>
            <w:r>
              <w:rPr>
                <w:rStyle w:val="IndexLink"/>
                <w:rtl w:val="true"/>
              </w:rPr>
              <w:t xml:space="preserve">: </w:t>
            </w:r>
            <w:r>
              <w:rPr>
                <w:rStyle w:val="IndexLink"/>
                <w:rtl w:val="true"/>
              </w:rPr>
              <w:t>حرمة إجراء العقد على ذات البعل تكليفاً</w:t>
            </w:r>
            <w:r>
              <w:rPr>
                <w:rStyle w:val="IndexLink"/>
                <w:rtl w:val="true"/>
              </w:rPr>
              <w:tab/>
            </w:r>
            <w:r>
              <w:rPr>
                <w:rStyle w:val="IndexLink"/>
              </w:rPr>
              <w:t>28</w:t>
            </w:r>
          </w:hyperlink>
        </w:p>
        <w:p>
          <w:pPr>
            <w:pStyle w:val="Contents5"/>
            <w:tabs>
              <w:tab w:val="clear" w:pos="7892"/>
              <w:tab w:val="right" w:pos="9026" w:leader="dot"/>
            </w:tabs>
            <w:rPr/>
          </w:pPr>
          <w:hyperlink w:anchor="__RefHeading___Toc3056444_2870459653">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3056446_2870459653">
            <w:r>
              <w:rPr>
                <w:webHidden/>
                <w:rStyle w:val="IndexLink"/>
                <w:rtl w:val="true"/>
              </w:rPr>
              <w:t>الدّليل الأوّل</w:t>
            </w:r>
            <w:r>
              <w:rPr>
                <w:rStyle w:val="IndexLink"/>
                <w:rtl w:val="true"/>
              </w:rPr>
              <w:t xml:space="preserve">: </w:t>
            </w:r>
            <w:r>
              <w:rPr>
                <w:rStyle w:val="IndexLink"/>
                <w:rtl w:val="true"/>
              </w:rPr>
              <w:t>الإجماع</w:t>
            </w:r>
            <w:r>
              <w:rPr>
                <w:rStyle w:val="IndexLink"/>
                <w:rtl w:val="true"/>
              </w:rPr>
              <w:tab/>
            </w:r>
            <w:r>
              <w:rPr>
                <w:rStyle w:val="IndexLink"/>
              </w:rPr>
              <w:t>30</w:t>
            </w:r>
          </w:hyperlink>
        </w:p>
        <w:p>
          <w:pPr>
            <w:pStyle w:val="Contents5"/>
            <w:tabs>
              <w:tab w:val="clear" w:pos="7892"/>
              <w:tab w:val="right" w:pos="9026" w:leader="dot"/>
            </w:tabs>
            <w:rPr/>
          </w:pPr>
          <w:hyperlink w:anchor="__RefHeading___Toc3056448_2870459653">
            <w:r>
              <w:rPr>
                <w:webHidden/>
                <w:rStyle w:val="IndexLink"/>
                <w:rtl w:val="true"/>
              </w:rPr>
              <w:t>الدّليل الثّاني</w:t>
            </w:r>
            <w:r>
              <w:rPr>
                <w:rStyle w:val="IndexLink"/>
                <w:rtl w:val="true"/>
              </w:rPr>
              <w:t xml:space="preserve">: </w:t>
            </w:r>
            <w:r>
              <w:rPr>
                <w:rStyle w:val="IndexLink"/>
                <w:rtl w:val="true"/>
              </w:rPr>
              <w:t>الأولويّة</w:t>
            </w:r>
            <w:r>
              <w:rPr>
                <w:rStyle w:val="IndexLink"/>
                <w:rtl w:val="true"/>
              </w:rPr>
              <w:tab/>
            </w:r>
            <w:r>
              <w:rPr>
                <w:rStyle w:val="IndexLink"/>
              </w:rPr>
              <w:t>30</w:t>
            </w:r>
          </w:hyperlink>
        </w:p>
        <w:p>
          <w:pPr>
            <w:pStyle w:val="Contents6"/>
            <w:tabs>
              <w:tab w:val="clear" w:pos="7609"/>
              <w:tab w:val="right" w:pos="9026" w:leader="dot"/>
            </w:tabs>
            <w:rPr/>
          </w:pPr>
          <w:hyperlink w:anchor="__RefHeading___Toc3056450_2870459653">
            <w:r>
              <w:rPr>
                <w:webHidden/>
                <w:rStyle w:val="IndexLink"/>
                <w:rtl w:val="true"/>
              </w:rPr>
              <w:t>اشارة</w:t>
            </w:r>
            <w:r>
              <w:rPr>
                <w:rStyle w:val="IndexLink"/>
                <w:rtl w:val="true"/>
              </w:rPr>
              <w:tab/>
            </w:r>
            <w:r>
              <w:rPr>
                <w:rStyle w:val="IndexLink"/>
              </w:rPr>
              <w:t>30</w:t>
            </w:r>
          </w:hyperlink>
        </w:p>
        <w:p>
          <w:pPr>
            <w:pStyle w:val="Contents6"/>
            <w:tabs>
              <w:tab w:val="clear" w:pos="7609"/>
              <w:tab w:val="right" w:pos="9026" w:leader="dot"/>
            </w:tabs>
            <w:rPr/>
          </w:pPr>
          <w:hyperlink w:anchor="__RefHeading___Toc3056452_2870459653">
            <w:r>
              <w:rPr>
                <w:webHidden/>
                <w:rStyle w:val="IndexLink"/>
                <w:rtl w:val="true"/>
              </w:rPr>
              <w:t>المحاولة الأولى</w:t>
            </w:r>
            <w:r>
              <w:rPr>
                <w:rStyle w:val="IndexLink"/>
                <w:rtl w:val="true"/>
              </w:rPr>
              <w:t xml:space="preserve">: </w:t>
            </w:r>
            <w:r>
              <w:rPr>
                <w:rStyle w:val="IndexLink"/>
                <w:rtl w:val="true"/>
              </w:rPr>
              <w:t>عن طريق الابتداء بحرمة التّعريض بخطبة المعتدّة الرجعيّة</w:t>
            </w:r>
            <w:r>
              <w:rPr>
                <w:rStyle w:val="IndexLink"/>
                <w:rtl w:val="true"/>
              </w:rPr>
              <w:tab/>
            </w:r>
            <w:r>
              <w:rPr>
                <w:rStyle w:val="IndexLink"/>
              </w:rPr>
              <w:t>31</w:t>
            </w:r>
          </w:hyperlink>
        </w:p>
        <w:p>
          <w:pPr>
            <w:pStyle w:val="Contents6"/>
            <w:tabs>
              <w:tab w:val="clear" w:pos="7609"/>
              <w:tab w:val="right" w:pos="9026" w:leader="dot"/>
            </w:tabs>
            <w:rPr/>
          </w:pPr>
          <w:hyperlink w:anchor="__RefHeading___Toc3056454_2870459653">
            <w:r>
              <w:rPr>
                <w:webHidden/>
                <w:rStyle w:val="IndexLink"/>
                <w:rtl w:val="true"/>
              </w:rPr>
              <w:t>المحاولة الثّانية</w:t>
            </w:r>
            <w:r>
              <w:rPr>
                <w:rStyle w:val="IndexLink"/>
                <w:rtl w:val="true"/>
              </w:rPr>
              <w:t xml:space="preserve">: </w:t>
            </w:r>
            <w:r>
              <w:rPr>
                <w:rStyle w:val="IndexLink"/>
                <w:rtl w:val="true"/>
              </w:rPr>
              <w:t>من خلال الابتداء بإثبات حرمة التّعريض بخطبة ذات البعل</w:t>
            </w:r>
            <w:r>
              <w:rPr>
                <w:rStyle w:val="IndexLink"/>
                <w:rtl w:val="true"/>
              </w:rPr>
              <w:tab/>
            </w:r>
            <w:r>
              <w:rPr>
                <w:rStyle w:val="IndexLink"/>
              </w:rPr>
              <w:t>33</w:t>
            </w:r>
          </w:hyperlink>
        </w:p>
        <w:p>
          <w:pPr>
            <w:pStyle w:val="Contents6"/>
            <w:tabs>
              <w:tab w:val="clear" w:pos="7609"/>
              <w:tab w:val="right" w:pos="9026" w:leader="dot"/>
            </w:tabs>
            <w:rPr/>
          </w:pPr>
          <w:hyperlink w:anchor="__RefHeading___Toc3056456_2870459653">
            <w:r>
              <w:rPr>
                <w:webHidden/>
                <w:rStyle w:val="IndexLink"/>
                <w:rtl w:val="true"/>
              </w:rPr>
              <w:t>المحاولة الثّالثة</w:t>
            </w:r>
            <w:r>
              <w:rPr>
                <w:rStyle w:val="IndexLink"/>
                <w:rtl w:val="true"/>
              </w:rPr>
              <w:t xml:space="preserve">: </w:t>
            </w:r>
            <w:r>
              <w:rPr>
                <w:rStyle w:val="IndexLink"/>
                <w:rtl w:val="true"/>
              </w:rPr>
              <w:t>من خلال إثبات حرمة العقد على المعتدّة</w:t>
            </w:r>
            <w:r>
              <w:rPr>
                <w:rStyle w:val="IndexLink"/>
                <w:rtl w:val="true"/>
              </w:rPr>
              <w:tab/>
            </w:r>
            <w:r>
              <w:rPr>
                <w:rStyle w:val="IndexLink"/>
              </w:rPr>
              <w:t>33</w:t>
            </w:r>
          </w:hyperlink>
        </w:p>
        <w:p>
          <w:pPr>
            <w:pStyle w:val="Contents4"/>
            <w:tabs>
              <w:tab w:val="clear" w:pos="8176"/>
              <w:tab w:val="right" w:pos="9026" w:leader="dot"/>
            </w:tabs>
            <w:rPr/>
          </w:pPr>
          <w:hyperlink w:anchor="__RefHeading___Toc3056458_2870459653">
            <w:r>
              <w:rPr>
                <w:webHidden/>
                <w:rStyle w:val="IndexLink"/>
                <w:rtl w:val="true"/>
              </w:rPr>
              <w:t>النّقطة الثّالثة</w:t>
            </w:r>
            <w:r>
              <w:rPr>
                <w:rStyle w:val="IndexLink"/>
                <w:rtl w:val="true"/>
              </w:rPr>
              <w:t xml:space="preserve">: </w:t>
            </w:r>
            <w:r>
              <w:rPr>
                <w:rStyle w:val="IndexLink"/>
                <w:rtl w:val="true"/>
              </w:rPr>
              <w:t>بطلان العقد على ذات البعل</w:t>
            </w:r>
            <w:r>
              <w:rPr>
                <w:rStyle w:val="IndexLink"/>
                <w:rtl w:val="true"/>
              </w:rPr>
              <w:tab/>
            </w:r>
            <w:r>
              <w:rPr>
                <w:rStyle w:val="IndexLink"/>
              </w:rPr>
              <w:t>36</w:t>
            </w:r>
          </w:hyperlink>
        </w:p>
        <w:p>
          <w:pPr>
            <w:pStyle w:val="Contents3"/>
            <w:tabs>
              <w:tab w:val="clear" w:pos="8459"/>
              <w:tab w:val="right" w:pos="9026" w:leader="dot"/>
            </w:tabs>
            <w:rPr/>
          </w:pPr>
          <w:hyperlink w:anchor="__RefHeading___Toc3056460_2870459653">
            <w:r>
              <w:rPr>
                <w:webHidden/>
                <w:rStyle w:val="IndexLink"/>
                <w:rtl w:val="true"/>
              </w:rPr>
              <w:t>المقصد الأساس</w:t>
            </w:r>
            <w:r>
              <w:rPr>
                <w:rStyle w:val="IndexLink"/>
                <w:rtl w:val="true"/>
              </w:rPr>
              <w:t xml:space="preserve">: </w:t>
            </w:r>
            <w:r>
              <w:rPr>
                <w:rStyle w:val="IndexLink"/>
                <w:rtl w:val="true"/>
              </w:rPr>
              <w:t>الحرمة المؤبّدة في نكاح ذات البعل</w:t>
            </w:r>
            <w:r>
              <w:rPr>
                <w:rStyle w:val="IndexLink"/>
                <w:rtl w:val="true"/>
              </w:rPr>
              <w:tab/>
            </w:r>
            <w:r>
              <w:rPr>
                <w:rStyle w:val="IndexLink"/>
              </w:rPr>
              <w:t>38</w:t>
            </w:r>
          </w:hyperlink>
        </w:p>
        <w:p>
          <w:pPr>
            <w:pStyle w:val="Contents4"/>
            <w:tabs>
              <w:tab w:val="clear" w:pos="8176"/>
              <w:tab w:val="right" w:pos="9026" w:leader="dot"/>
            </w:tabs>
            <w:rPr/>
          </w:pPr>
          <w:hyperlink w:anchor="__RefHeading___Toc3056462_2870459653">
            <w:r>
              <w:rPr>
                <w:webHidden/>
                <w:rStyle w:val="IndexLink"/>
                <w:rtl w:val="true"/>
              </w:rPr>
              <w:t>صُور المسألة</w:t>
            </w:r>
            <w:r>
              <w:rPr>
                <w:rStyle w:val="IndexLink"/>
                <w:rtl w:val="true"/>
              </w:rPr>
              <w:tab/>
            </w:r>
            <w:r>
              <w:rPr>
                <w:rStyle w:val="IndexLink"/>
              </w:rPr>
              <w:t>38</w:t>
            </w:r>
          </w:hyperlink>
        </w:p>
        <w:p>
          <w:pPr>
            <w:pStyle w:val="Contents4"/>
            <w:tabs>
              <w:tab w:val="clear" w:pos="8176"/>
              <w:tab w:val="right" w:pos="9026" w:leader="dot"/>
            </w:tabs>
            <w:rPr/>
          </w:pPr>
          <w:hyperlink w:anchor="__RefHeading___Toc3056464_2870459653">
            <w:r>
              <w:rPr>
                <w:webHidden/>
                <w:rStyle w:val="IndexLink"/>
                <w:rtl w:val="true"/>
              </w:rPr>
              <w:t>كلمات الفقهاء</w:t>
            </w:r>
            <w:r>
              <w:rPr>
                <w:rStyle w:val="IndexLink"/>
                <w:rtl w:val="true"/>
              </w:rPr>
              <w:tab/>
            </w:r>
            <w:r>
              <w:rPr>
                <w:rStyle w:val="IndexLink"/>
              </w:rPr>
              <w:t>39</w:t>
            </w:r>
          </w:hyperlink>
        </w:p>
        <w:p>
          <w:pPr>
            <w:pStyle w:val="Contents4"/>
            <w:tabs>
              <w:tab w:val="clear" w:pos="8176"/>
              <w:tab w:val="right" w:pos="9026" w:leader="dot"/>
            </w:tabs>
            <w:rPr/>
          </w:pPr>
          <w:hyperlink w:anchor="__RefHeading___Toc3056466_2870459653">
            <w:r>
              <w:rPr>
                <w:webHidden/>
                <w:rStyle w:val="IndexLink"/>
                <w:rtl w:val="true"/>
              </w:rPr>
              <w:t>الاستدلال على حكم المسألة</w:t>
            </w:r>
            <w:r>
              <w:rPr>
                <w:rStyle w:val="IndexLink"/>
                <w:rtl w:val="true"/>
              </w:rPr>
              <w:tab/>
            </w:r>
            <w:r>
              <w:rPr>
                <w:rStyle w:val="IndexLink"/>
              </w:rPr>
              <w:t>49</w:t>
            </w:r>
          </w:hyperlink>
        </w:p>
        <w:p>
          <w:pPr>
            <w:pStyle w:val="Contents5"/>
            <w:tabs>
              <w:tab w:val="clear" w:pos="7892"/>
              <w:tab w:val="right" w:pos="9026" w:leader="dot"/>
            </w:tabs>
            <w:rPr/>
          </w:pPr>
          <w:hyperlink w:anchor="__RefHeading___Toc3056468_2870459653">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3056470_2870459653">
            <w:r>
              <w:rPr>
                <w:webHidden/>
                <w:rStyle w:val="IndexLink"/>
                <w:rtl w:val="true"/>
              </w:rPr>
              <w:t>المقام الأوّل</w:t>
            </w:r>
            <w:r>
              <w:rPr>
                <w:rStyle w:val="IndexLink"/>
                <w:rtl w:val="true"/>
              </w:rPr>
              <w:t xml:space="preserve">: </w:t>
            </w:r>
            <w:r>
              <w:rPr>
                <w:rStyle w:val="IndexLink"/>
                <w:rtl w:val="true"/>
              </w:rPr>
              <w:t>في الأولويّة</w:t>
            </w:r>
            <w:r>
              <w:rPr>
                <w:rStyle w:val="IndexLink"/>
                <w:rtl w:val="true"/>
              </w:rPr>
              <w:tab/>
            </w:r>
            <w:r>
              <w:rPr>
                <w:rStyle w:val="IndexLink"/>
              </w:rPr>
              <w:t>49</w:t>
            </w:r>
          </w:hyperlink>
        </w:p>
        <w:p>
          <w:pPr>
            <w:pStyle w:val="Contents6"/>
            <w:tabs>
              <w:tab w:val="clear" w:pos="7609"/>
              <w:tab w:val="right" w:pos="9026" w:leader="dot"/>
            </w:tabs>
            <w:rPr/>
          </w:pPr>
          <w:hyperlink w:anchor="__RefHeading___Toc3056472_2870459653">
            <w:r>
              <w:rPr>
                <w:webHidden/>
                <w:rStyle w:val="IndexLink"/>
                <w:rtl w:val="true"/>
              </w:rPr>
              <w:t>اشارة</w:t>
            </w:r>
            <w:r>
              <w:rPr>
                <w:rStyle w:val="IndexLink"/>
                <w:rtl w:val="true"/>
              </w:rPr>
              <w:tab/>
            </w:r>
            <w:r>
              <w:rPr>
                <w:rStyle w:val="IndexLink"/>
              </w:rPr>
              <w:t>49</w:t>
            </w:r>
          </w:hyperlink>
        </w:p>
        <w:p>
          <w:pPr>
            <w:pStyle w:val="Contents6"/>
            <w:tabs>
              <w:tab w:val="clear" w:pos="7609"/>
              <w:tab w:val="right" w:pos="9026" w:leader="dot"/>
            </w:tabs>
            <w:rPr/>
          </w:pPr>
          <w:hyperlink w:anchor="__RefHeading___Toc3056474_2870459653">
            <w:r>
              <w:rPr>
                <w:webHidden/>
                <w:rStyle w:val="IndexLink"/>
                <w:rtl w:val="true"/>
              </w:rPr>
              <w:t>كلام لصاحب الجواهر</w:t>
            </w:r>
            <w:r>
              <w:rPr>
                <w:rStyle w:val="IndexLink"/>
                <w:rtl w:val="true"/>
              </w:rPr>
              <w:tab/>
            </w:r>
            <w:r>
              <w:rPr>
                <w:rStyle w:val="IndexLink"/>
              </w:rPr>
              <w:t>54</w:t>
            </w:r>
          </w:hyperlink>
        </w:p>
        <w:p>
          <w:pPr>
            <w:pStyle w:val="Contents5"/>
            <w:tabs>
              <w:tab w:val="clear" w:pos="7892"/>
              <w:tab w:val="right" w:pos="9026" w:leader="dot"/>
            </w:tabs>
            <w:rPr/>
          </w:pPr>
          <w:hyperlink w:anchor="__RefHeading___Toc3056476_2870459653">
            <w:r>
              <w:rPr>
                <w:webHidden/>
                <w:rStyle w:val="IndexLink"/>
                <w:rtl w:val="true"/>
              </w:rPr>
              <w:t>المقام الثّاني في الاستدلال بالرّوايات</w:t>
            </w:r>
            <w:r>
              <w:rPr>
                <w:rStyle w:val="IndexLink"/>
                <w:rtl w:val="true"/>
              </w:rPr>
              <w:tab/>
            </w:r>
            <w:r>
              <w:rPr>
                <w:rStyle w:val="IndexLink"/>
              </w:rPr>
              <w:t>56</w:t>
            </w:r>
          </w:hyperlink>
        </w:p>
        <w:p>
          <w:pPr>
            <w:pStyle w:val="Contents6"/>
            <w:tabs>
              <w:tab w:val="clear" w:pos="7609"/>
              <w:tab w:val="right" w:pos="9026" w:leader="dot"/>
            </w:tabs>
            <w:rPr/>
          </w:pPr>
          <w:hyperlink w:anchor="__RefHeading___Toc3056478_2870459653">
            <w:r>
              <w:rPr>
                <w:webHidden/>
                <w:rStyle w:val="IndexLink"/>
                <w:rtl w:val="true"/>
              </w:rPr>
              <w:t>اشارة</w:t>
            </w:r>
            <w:r>
              <w:rPr>
                <w:rStyle w:val="IndexLink"/>
                <w:rtl w:val="true"/>
              </w:rPr>
              <w:tab/>
            </w:r>
            <w:r>
              <w:rPr>
                <w:rStyle w:val="IndexLink"/>
              </w:rPr>
              <w:t>56</w:t>
            </w:r>
          </w:hyperlink>
        </w:p>
        <w:p>
          <w:pPr>
            <w:pStyle w:val="Contents6"/>
            <w:tabs>
              <w:tab w:val="clear" w:pos="7609"/>
              <w:tab w:val="right" w:pos="9026" w:leader="dot"/>
            </w:tabs>
            <w:rPr/>
          </w:pPr>
          <w:hyperlink w:anchor="__RefHeading___Toc3056480_2870459653">
            <w:r>
              <w:rPr>
                <w:webHidden/>
                <w:rStyle w:val="IndexLink"/>
                <w:rtl w:val="true"/>
              </w:rPr>
              <w:t>القسم الأوَّل</w:t>
            </w:r>
            <w:r>
              <w:rPr>
                <w:rStyle w:val="IndexLink"/>
                <w:rtl w:val="true"/>
              </w:rPr>
              <w:t xml:space="preserve">: </w:t>
            </w:r>
            <w:r>
              <w:rPr>
                <w:rStyle w:val="IndexLink"/>
                <w:rtl w:val="true"/>
              </w:rPr>
              <w:t>ما يدلّ على الحرمة المؤبّدة</w:t>
            </w:r>
            <w:r>
              <w:rPr>
                <w:rStyle w:val="IndexLink"/>
                <w:rtl w:val="true"/>
              </w:rPr>
              <w:tab/>
            </w:r>
            <w:r>
              <w:rPr>
                <w:rStyle w:val="IndexLink"/>
              </w:rPr>
              <w:t>56</w:t>
            </w:r>
          </w:hyperlink>
        </w:p>
        <w:p>
          <w:pPr>
            <w:pStyle w:val="Contents6"/>
            <w:tabs>
              <w:tab w:val="clear" w:pos="7609"/>
              <w:tab w:val="right" w:pos="9026" w:leader="dot"/>
            </w:tabs>
            <w:rPr/>
          </w:pPr>
          <w:hyperlink w:anchor="__RefHeading___Toc3056482_2870459653">
            <w:r>
              <w:rPr>
                <w:webHidden/>
                <w:rStyle w:val="IndexLink"/>
                <w:rtl w:val="true"/>
              </w:rPr>
              <w:t>الرّواية الأولى</w:t>
            </w:r>
            <w:r>
              <w:rPr>
                <w:rStyle w:val="IndexLink"/>
                <w:rtl w:val="true"/>
              </w:rPr>
              <w:tab/>
            </w:r>
            <w:r>
              <w:rPr>
                <w:rStyle w:val="IndexLink"/>
              </w:rPr>
              <w:t>56</w:t>
            </w:r>
          </w:hyperlink>
        </w:p>
        <w:p>
          <w:pPr>
            <w:pStyle w:val="Contents6"/>
            <w:tabs>
              <w:tab w:val="clear" w:pos="7609"/>
              <w:tab w:val="right" w:pos="9026" w:leader="dot"/>
            </w:tabs>
            <w:rPr/>
          </w:pPr>
          <w:hyperlink w:anchor="__RefHeading___Toc3056484_2870459653">
            <w:r>
              <w:rPr>
                <w:webHidden/>
                <w:rStyle w:val="IndexLink"/>
                <w:rtl w:val="true"/>
              </w:rPr>
              <w:t>اشارة</w:t>
            </w:r>
            <w:r>
              <w:rPr>
                <w:rStyle w:val="IndexLink"/>
                <w:rtl w:val="true"/>
              </w:rPr>
              <w:tab/>
            </w:r>
            <w:r>
              <w:rPr>
                <w:rStyle w:val="IndexLink"/>
              </w:rPr>
              <w:t>56</w:t>
            </w:r>
          </w:hyperlink>
        </w:p>
        <w:p>
          <w:pPr>
            <w:pStyle w:val="Contents6"/>
            <w:tabs>
              <w:tab w:val="clear" w:pos="7609"/>
              <w:tab w:val="right" w:pos="9026" w:leader="dot"/>
            </w:tabs>
            <w:rPr/>
          </w:pPr>
          <w:hyperlink w:anchor="__RefHeading___Toc3056486_2870459653">
            <w:r>
              <w:rPr>
                <w:webHidden/>
                <w:rStyle w:val="IndexLink"/>
                <w:rtl w:val="true"/>
              </w:rPr>
              <w:t>السّند</w:t>
            </w:r>
            <w:r>
              <w:rPr>
                <w:rStyle w:val="IndexLink"/>
                <w:rtl w:val="true"/>
              </w:rPr>
              <w:tab/>
            </w:r>
            <w:r>
              <w:rPr>
                <w:rStyle w:val="IndexLink"/>
              </w:rPr>
              <w:t>57</w:t>
            </w:r>
          </w:hyperlink>
        </w:p>
        <w:p>
          <w:pPr>
            <w:pStyle w:val="Contents6"/>
            <w:tabs>
              <w:tab w:val="clear" w:pos="7609"/>
              <w:tab w:val="right" w:pos="9026" w:leader="dot"/>
            </w:tabs>
            <w:rPr/>
          </w:pPr>
          <w:hyperlink w:anchor="__RefHeading___Toc3056488_2870459653">
            <w:r>
              <w:rPr>
                <w:webHidden/>
                <w:rStyle w:val="IndexLink"/>
                <w:rtl w:val="true"/>
              </w:rPr>
              <w:t>اشارة</w:t>
            </w:r>
            <w:r>
              <w:rPr>
                <w:rStyle w:val="IndexLink"/>
                <w:rtl w:val="true"/>
              </w:rPr>
              <w:tab/>
            </w:r>
            <w:r>
              <w:rPr>
                <w:rStyle w:val="IndexLink"/>
              </w:rPr>
              <w:t>57</w:t>
            </w:r>
          </w:hyperlink>
        </w:p>
        <w:p>
          <w:pPr>
            <w:pStyle w:val="Contents6"/>
            <w:tabs>
              <w:tab w:val="clear" w:pos="7609"/>
              <w:tab w:val="right" w:pos="9026" w:leader="dot"/>
            </w:tabs>
            <w:rPr/>
          </w:pPr>
          <w:hyperlink w:anchor="__RefHeading___Toc3056490_2870459653">
            <w:r>
              <w:rPr>
                <w:webHidden/>
                <w:rStyle w:val="IndexLink"/>
                <w:rtl w:val="true"/>
              </w:rPr>
              <w:t>الاحتمال الأوّل</w:t>
            </w:r>
            <w:r>
              <w:rPr>
                <w:rStyle w:val="IndexLink"/>
                <w:rtl w:val="true"/>
              </w:rPr>
              <w:tab/>
            </w:r>
            <w:r>
              <w:rPr>
                <w:rStyle w:val="IndexLink"/>
              </w:rPr>
              <w:t>57</w:t>
            </w:r>
          </w:hyperlink>
        </w:p>
        <w:p>
          <w:pPr>
            <w:pStyle w:val="Contents6"/>
            <w:tabs>
              <w:tab w:val="clear" w:pos="7609"/>
              <w:tab w:val="right" w:pos="9026" w:leader="dot"/>
            </w:tabs>
            <w:rPr/>
          </w:pPr>
          <w:hyperlink w:anchor="__RefHeading___Toc3056492_2870459653">
            <w:r>
              <w:rPr>
                <w:webHidden/>
                <w:rStyle w:val="IndexLink"/>
                <w:rtl w:val="true"/>
              </w:rPr>
              <w:t>اشارة</w:t>
            </w:r>
            <w:r>
              <w:rPr>
                <w:rStyle w:val="IndexLink"/>
                <w:rtl w:val="true"/>
              </w:rPr>
              <w:tab/>
            </w:r>
            <w:r>
              <w:rPr>
                <w:rStyle w:val="IndexLink"/>
              </w:rPr>
              <w:t>57</w:t>
            </w:r>
          </w:hyperlink>
        </w:p>
        <w:p>
          <w:pPr>
            <w:pStyle w:val="Contents6"/>
            <w:tabs>
              <w:tab w:val="clear" w:pos="7609"/>
              <w:tab w:val="right" w:pos="9026" w:leader="dot"/>
            </w:tabs>
            <w:rPr/>
          </w:pPr>
          <w:hyperlink w:anchor="__RefHeading___Toc3056494_2870459653">
            <w:r>
              <w:rPr>
                <w:webHidden/>
                <w:rStyle w:val="IndexLink"/>
                <w:rtl w:val="true"/>
              </w:rPr>
              <w:t>الطّريق الأوّل</w:t>
            </w:r>
            <w:r>
              <w:rPr>
                <w:rStyle w:val="IndexLink"/>
                <w:rtl w:val="true"/>
              </w:rPr>
              <w:tab/>
            </w:r>
            <w:r>
              <w:rPr>
                <w:rStyle w:val="IndexLink"/>
              </w:rPr>
              <w:t>57</w:t>
            </w:r>
          </w:hyperlink>
        </w:p>
        <w:p>
          <w:pPr>
            <w:pStyle w:val="Contents6"/>
            <w:tabs>
              <w:tab w:val="clear" w:pos="7609"/>
              <w:tab w:val="right" w:pos="9026" w:leader="dot"/>
            </w:tabs>
            <w:rPr/>
          </w:pPr>
          <w:hyperlink w:anchor="__RefHeading___Toc3056496_2870459653">
            <w:r>
              <w:rPr>
                <w:webHidden/>
                <w:rStyle w:val="IndexLink"/>
                <w:rtl w:val="true"/>
              </w:rPr>
              <w:t>الطّريق الآخر</w:t>
            </w:r>
            <w:r>
              <w:rPr>
                <w:rStyle w:val="IndexLink"/>
                <w:rtl w:val="true"/>
              </w:rPr>
              <w:tab/>
            </w:r>
            <w:r>
              <w:rPr>
                <w:rStyle w:val="IndexLink"/>
              </w:rPr>
              <w:t>58</w:t>
            </w:r>
          </w:hyperlink>
        </w:p>
        <w:p>
          <w:pPr>
            <w:pStyle w:val="Contents6"/>
            <w:tabs>
              <w:tab w:val="clear" w:pos="7609"/>
              <w:tab w:val="right" w:pos="9026" w:leader="dot"/>
            </w:tabs>
            <w:rPr/>
          </w:pPr>
          <w:hyperlink w:anchor="__RefHeading___Toc3056498_2870459653">
            <w:r>
              <w:rPr>
                <w:webHidden/>
                <w:rStyle w:val="IndexLink"/>
                <w:rtl w:val="true"/>
              </w:rPr>
              <w:t>الاحتمال الثّاني</w:t>
            </w:r>
            <w:r>
              <w:rPr>
                <w:rStyle w:val="IndexLink"/>
                <w:rtl w:val="true"/>
              </w:rPr>
              <w:t xml:space="preserve">: </w:t>
            </w:r>
            <w:r>
              <w:rPr>
                <w:rStyle w:val="IndexLink"/>
                <w:rtl w:val="true"/>
              </w:rPr>
              <w:t>تصحيف كلمة الخزاعي</w:t>
            </w:r>
            <w:r>
              <w:rPr>
                <w:rStyle w:val="IndexLink"/>
                <w:rtl w:val="true"/>
              </w:rPr>
              <w:tab/>
            </w:r>
            <w:r>
              <w:rPr>
                <w:rStyle w:val="IndexLink"/>
              </w:rPr>
              <w:t>61</w:t>
            </w:r>
          </w:hyperlink>
        </w:p>
        <w:p>
          <w:pPr>
            <w:pStyle w:val="Contents6"/>
            <w:tabs>
              <w:tab w:val="clear" w:pos="7609"/>
              <w:tab w:val="right" w:pos="9026" w:leader="dot"/>
            </w:tabs>
            <w:rPr/>
          </w:pPr>
          <w:hyperlink w:anchor="__RefHeading___Toc3056500_2870459653">
            <w:r>
              <w:rPr>
                <w:webHidden/>
                <w:rStyle w:val="IndexLink"/>
                <w:rtl w:val="true"/>
              </w:rPr>
              <w:t>الاحتمال الثّالث</w:t>
            </w:r>
            <w:r>
              <w:rPr>
                <w:rStyle w:val="IndexLink"/>
                <w:rtl w:val="true"/>
              </w:rPr>
              <w:t xml:space="preserve">: </w:t>
            </w:r>
            <w:r>
              <w:rPr>
                <w:rStyle w:val="IndexLink"/>
                <w:rtl w:val="true"/>
              </w:rPr>
              <w:t>تغايرهما</w:t>
            </w:r>
            <w:r>
              <w:rPr>
                <w:rStyle w:val="IndexLink"/>
                <w:rtl w:val="true"/>
              </w:rPr>
              <w:tab/>
            </w:r>
            <w:r>
              <w:rPr>
                <w:rStyle w:val="IndexLink"/>
              </w:rPr>
              <w:t>61</w:t>
            </w:r>
          </w:hyperlink>
        </w:p>
        <w:p>
          <w:pPr>
            <w:pStyle w:val="Contents6"/>
            <w:tabs>
              <w:tab w:val="clear" w:pos="7609"/>
              <w:tab w:val="right" w:pos="9026" w:leader="dot"/>
            </w:tabs>
            <w:rPr/>
          </w:pPr>
          <w:hyperlink w:anchor="__RefHeading___Toc3056502_2870459653">
            <w:r>
              <w:rPr>
                <w:webHidden/>
                <w:rStyle w:val="IndexLink"/>
                <w:rtl w:val="true"/>
              </w:rPr>
              <w:t>الدلالة</w:t>
            </w:r>
            <w:r>
              <w:rPr>
                <w:rStyle w:val="IndexLink"/>
                <w:rtl w:val="true"/>
              </w:rPr>
              <w:tab/>
            </w:r>
            <w:r>
              <w:rPr>
                <w:rStyle w:val="IndexLink"/>
              </w:rPr>
              <w:t>63</w:t>
            </w:r>
          </w:hyperlink>
        </w:p>
        <w:p>
          <w:pPr>
            <w:pStyle w:val="Contents6"/>
            <w:tabs>
              <w:tab w:val="clear" w:pos="7609"/>
              <w:tab w:val="right" w:pos="9026" w:leader="dot"/>
            </w:tabs>
            <w:rPr/>
          </w:pPr>
          <w:hyperlink w:anchor="__RefHeading___Toc3056504_2870459653">
            <w:r>
              <w:rPr>
                <w:webHidden/>
                <w:rStyle w:val="IndexLink"/>
                <w:rtl w:val="true"/>
              </w:rPr>
              <w:t>الرّواية الثّانية</w:t>
            </w:r>
            <w:r>
              <w:rPr>
                <w:rStyle w:val="IndexLink"/>
                <w:rtl w:val="true"/>
              </w:rPr>
              <w:tab/>
            </w:r>
            <w:r>
              <w:rPr>
                <w:rStyle w:val="IndexLink"/>
              </w:rPr>
              <w:t>68</w:t>
            </w:r>
          </w:hyperlink>
        </w:p>
        <w:p>
          <w:pPr>
            <w:pStyle w:val="Contents6"/>
            <w:tabs>
              <w:tab w:val="clear" w:pos="7609"/>
              <w:tab w:val="right" w:pos="9026" w:leader="dot"/>
            </w:tabs>
            <w:rPr/>
          </w:pPr>
          <w:hyperlink w:anchor="__RefHeading___Toc3056506_2870459653">
            <w:r>
              <w:rPr>
                <w:webHidden/>
                <w:rStyle w:val="IndexLink"/>
                <w:rtl w:val="true"/>
              </w:rPr>
              <w:t>الرّواية الثّالثة</w:t>
            </w:r>
            <w:r>
              <w:rPr>
                <w:rStyle w:val="IndexLink"/>
                <w:rtl w:val="true"/>
              </w:rPr>
              <w:tab/>
            </w:r>
            <w:r>
              <w:rPr>
                <w:rStyle w:val="IndexLink"/>
              </w:rPr>
              <w:t>71</w:t>
            </w:r>
          </w:hyperlink>
        </w:p>
        <w:p>
          <w:pPr>
            <w:pStyle w:val="Contents6"/>
            <w:tabs>
              <w:tab w:val="clear" w:pos="7609"/>
              <w:tab w:val="right" w:pos="9026" w:leader="dot"/>
            </w:tabs>
            <w:rPr/>
          </w:pPr>
          <w:hyperlink w:anchor="__RefHeading___Toc3056508_2870459653">
            <w:r>
              <w:rPr>
                <w:webHidden/>
                <w:rStyle w:val="IndexLink"/>
                <w:rtl w:val="true"/>
              </w:rPr>
              <w:t>اشارة</w:t>
            </w:r>
            <w:r>
              <w:rPr>
                <w:rStyle w:val="IndexLink"/>
                <w:rtl w:val="true"/>
              </w:rPr>
              <w:tab/>
            </w:r>
            <w:r>
              <w:rPr>
                <w:rStyle w:val="IndexLink"/>
              </w:rPr>
              <w:t>71</w:t>
            </w:r>
          </w:hyperlink>
        </w:p>
        <w:p>
          <w:pPr>
            <w:pStyle w:val="Contents6"/>
            <w:tabs>
              <w:tab w:val="clear" w:pos="7609"/>
              <w:tab w:val="right" w:pos="9026" w:leader="dot"/>
            </w:tabs>
            <w:rPr/>
          </w:pPr>
          <w:hyperlink w:anchor="__RefHeading___Toc3056510_2870459653">
            <w:r>
              <w:rPr>
                <w:webHidden/>
                <w:rStyle w:val="IndexLink"/>
                <w:rtl w:val="true"/>
              </w:rPr>
              <w:t>السّند</w:t>
            </w:r>
            <w:r>
              <w:rPr>
                <w:rStyle w:val="IndexLink"/>
                <w:rtl w:val="true"/>
              </w:rPr>
              <w:tab/>
            </w:r>
            <w:r>
              <w:rPr>
                <w:rStyle w:val="IndexLink"/>
              </w:rPr>
              <w:t>75</w:t>
            </w:r>
          </w:hyperlink>
        </w:p>
        <w:p>
          <w:pPr>
            <w:pStyle w:val="Contents6"/>
            <w:tabs>
              <w:tab w:val="clear" w:pos="7609"/>
              <w:tab w:val="right" w:pos="9026" w:leader="dot"/>
            </w:tabs>
            <w:rPr/>
          </w:pPr>
          <w:hyperlink w:anchor="__RefHeading___Toc3056512_2870459653">
            <w:r>
              <w:rPr>
                <w:webHidden/>
                <w:rStyle w:val="IndexLink"/>
                <w:rtl w:val="true"/>
              </w:rPr>
              <w:t>موردها</w:t>
            </w:r>
            <w:r>
              <w:rPr>
                <w:rStyle w:val="IndexLink"/>
                <w:rtl w:val="true"/>
              </w:rPr>
              <w:tab/>
            </w:r>
            <w:r>
              <w:rPr>
                <w:rStyle w:val="IndexLink"/>
              </w:rPr>
              <w:t>76</w:t>
            </w:r>
          </w:hyperlink>
        </w:p>
        <w:p>
          <w:pPr>
            <w:pStyle w:val="Contents6"/>
            <w:tabs>
              <w:tab w:val="clear" w:pos="7609"/>
              <w:tab w:val="right" w:pos="9026" w:leader="dot"/>
            </w:tabs>
            <w:rPr/>
          </w:pPr>
          <w:hyperlink w:anchor="__RefHeading___Toc3056514_2870459653">
            <w:r>
              <w:rPr>
                <w:webHidden/>
                <w:rStyle w:val="IndexLink"/>
                <w:rtl w:val="true"/>
              </w:rPr>
              <w:t>الرّواية الرّابعة</w:t>
            </w:r>
            <w:r>
              <w:rPr>
                <w:rStyle w:val="IndexLink"/>
                <w:rtl w:val="true"/>
              </w:rPr>
              <w:tab/>
            </w:r>
            <w:r>
              <w:rPr>
                <w:rStyle w:val="IndexLink"/>
              </w:rPr>
              <w:t>78</w:t>
            </w:r>
          </w:hyperlink>
        </w:p>
        <w:p>
          <w:pPr>
            <w:pStyle w:val="Contents6"/>
            <w:tabs>
              <w:tab w:val="clear" w:pos="7609"/>
              <w:tab w:val="right" w:pos="9026" w:leader="dot"/>
            </w:tabs>
            <w:rPr/>
          </w:pPr>
          <w:hyperlink w:anchor="__RefHeading___Toc3056516_2870459653">
            <w:r>
              <w:rPr>
                <w:webHidden/>
                <w:rStyle w:val="IndexLink"/>
                <w:rtl w:val="true"/>
              </w:rPr>
              <w:t>الرّواية الخامسة</w:t>
            </w:r>
            <w:r>
              <w:rPr>
                <w:rStyle w:val="IndexLink"/>
                <w:rtl w:val="true"/>
              </w:rPr>
              <w:tab/>
            </w:r>
            <w:r>
              <w:rPr>
                <w:rStyle w:val="IndexLink"/>
              </w:rPr>
              <w:t>79</w:t>
            </w:r>
          </w:hyperlink>
        </w:p>
        <w:p>
          <w:pPr>
            <w:pStyle w:val="Contents2"/>
            <w:tabs>
              <w:tab w:val="clear" w:pos="8743"/>
              <w:tab w:val="right" w:pos="9026" w:leader="dot"/>
            </w:tabs>
            <w:rPr/>
          </w:pPr>
          <w:hyperlink w:anchor="__RefHeading___Toc3056518_2870459653">
            <w:r>
              <w:rPr>
                <w:webHidden/>
                <w:rStyle w:val="IndexLink"/>
                <w:rtl w:val="true"/>
              </w:rPr>
              <w:t xml:space="preserve">رباعيّة المسافر في المواضع الأربعة </w:t>
            </w:r>
            <w:r>
              <w:rPr>
                <w:rStyle w:val="IndexLink"/>
                <w:rtl w:val="true"/>
              </w:rPr>
              <w:t>(</w:t>
            </w:r>
            <w:r>
              <w:rPr>
                <w:rStyle w:val="IndexLink"/>
                <w:rtl w:val="true"/>
              </w:rPr>
              <w:t>الحلقة الثانية</w:t>
            </w:r>
            <w:r>
              <w:rPr>
                <w:rStyle w:val="IndexLink"/>
                <w:rtl w:val="true"/>
              </w:rPr>
              <w:t xml:space="preserve">) - </w:t>
            </w:r>
            <w:r>
              <w:rPr>
                <w:rStyle w:val="IndexLink"/>
                <w:rtl w:val="true"/>
              </w:rPr>
              <w:t xml:space="preserve">الشيخ جاسم الفهدي </w:t>
            </w:r>
            <w:r>
              <w:rPr>
                <w:rStyle w:val="IndexLink"/>
                <w:rtl w:val="true"/>
              </w:rPr>
              <w:t>(</w:t>
            </w:r>
            <w:r>
              <w:rPr>
                <w:rStyle w:val="IndexLink"/>
                <w:rtl w:val="true"/>
              </w:rPr>
              <w:t>دام عزه</w:t>
            </w:r>
            <w:r>
              <w:rPr>
                <w:rStyle w:val="IndexLink"/>
                <w:rtl w:val="true"/>
              </w:rPr>
              <w:t>)</w:t>
              <w:tab/>
            </w:r>
            <w:r>
              <w:rPr>
                <w:rStyle w:val="IndexLink"/>
              </w:rPr>
              <w:t>84</w:t>
            </w:r>
          </w:hyperlink>
        </w:p>
        <w:p>
          <w:pPr>
            <w:pStyle w:val="Contents3"/>
            <w:tabs>
              <w:tab w:val="clear" w:pos="8459"/>
              <w:tab w:val="right" w:pos="9026" w:leader="dot"/>
            </w:tabs>
            <w:rPr/>
          </w:pPr>
          <w:hyperlink w:anchor="__RefHeading___Toc3056520_2870459653">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3056522_2870459653">
            <w:r>
              <w:rPr>
                <w:webHidden/>
                <w:rStyle w:val="IndexLink"/>
                <w:rtl w:val="true"/>
              </w:rPr>
              <w:t>المقام الثَّاني</w:t>
            </w:r>
            <w:r>
              <w:rPr>
                <w:rStyle w:val="IndexLink"/>
                <w:rtl w:val="true"/>
              </w:rPr>
              <w:t xml:space="preserve">: </w:t>
            </w:r>
            <w:r>
              <w:rPr>
                <w:rStyle w:val="IndexLink"/>
                <w:rtl w:val="true"/>
              </w:rPr>
              <w:t>في بيان حدود الأماكن الأربعة</w:t>
            </w:r>
            <w:r>
              <w:rPr>
                <w:rStyle w:val="IndexLink"/>
                <w:rtl w:val="true"/>
              </w:rPr>
              <w:tab/>
            </w:r>
            <w:r>
              <w:rPr>
                <w:rStyle w:val="IndexLink"/>
              </w:rPr>
              <w:t>87</w:t>
            </w:r>
          </w:hyperlink>
        </w:p>
        <w:p>
          <w:pPr>
            <w:pStyle w:val="Contents4"/>
            <w:tabs>
              <w:tab w:val="clear" w:pos="8176"/>
              <w:tab w:val="right" w:pos="9026" w:leader="dot"/>
            </w:tabs>
            <w:rPr/>
          </w:pPr>
          <w:hyperlink w:anchor="__RefHeading___Toc3056524_2870459653">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3056526_2870459653">
            <w:r>
              <w:rPr>
                <w:webHidden/>
                <w:rStyle w:val="IndexLink"/>
                <w:rtl w:val="true"/>
              </w:rPr>
              <w:t>الموضع الأوَّل</w:t>
            </w:r>
            <w:r>
              <w:rPr>
                <w:rStyle w:val="IndexLink"/>
                <w:rtl w:val="true"/>
              </w:rPr>
              <w:t xml:space="preserve">: </w:t>
            </w:r>
            <w:r>
              <w:rPr>
                <w:rStyle w:val="IndexLink"/>
                <w:rtl w:val="true"/>
              </w:rPr>
              <w:t>في الحرمين</w:t>
            </w:r>
            <w:r>
              <w:rPr>
                <w:rStyle w:val="IndexLink"/>
                <w:rtl w:val="true"/>
              </w:rPr>
              <w:t xml:space="preserve">: </w:t>
            </w:r>
            <w:r>
              <w:rPr>
                <w:rStyle w:val="IndexLink"/>
                <w:rtl w:val="true"/>
              </w:rPr>
              <w:t>مكّة المكرمة والمدينة المنوّرة</w:t>
            </w:r>
            <w:r>
              <w:rPr>
                <w:rStyle w:val="IndexLink"/>
                <w:rtl w:val="true"/>
              </w:rPr>
              <w:tab/>
            </w:r>
            <w:r>
              <w:rPr>
                <w:rStyle w:val="IndexLink"/>
              </w:rPr>
              <w:t>88</w:t>
            </w:r>
          </w:hyperlink>
        </w:p>
        <w:p>
          <w:pPr>
            <w:pStyle w:val="Contents5"/>
            <w:tabs>
              <w:tab w:val="clear" w:pos="7892"/>
              <w:tab w:val="right" w:pos="9026" w:leader="dot"/>
            </w:tabs>
            <w:rPr/>
          </w:pPr>
          <w:hyperlink w:anchor="__RefHeading___Toc3056528_2870459653">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3056530_2870459653">
            <w:r>
              <w:rPr>
                <w:webHidden/>
                <w:rStyle w:val="IndexLink"/>
              </w:rPr>
              <w:t>1</w:t>
            </w:r>
            <w:r>
              <w:rPr>
                <w:rStyle w:val="IndexLink"/>
                <w:rtl w:val="true"/>
              </w:rPr>
              <w:t xml:space="preserve">. </w:t>
            </w:r>
            <w:r>
              <w:rPr>
                <w:rStyle w:val="IndexLink"/>
                <w:rtl w:val="true"/>
              </w:rPr>
              <w:t>شمول الحكم لمكّة والمدينة، وعدم الاختصاص بالمسجدين</w:t>
            </w:r>
            <w:r>
              <w:rPr>
                <w:rStyle w:val="IndexLink"/>
                <w:rtl w:val="true"/>
              </w:rPr>
              <w:tab/>
            </w:r>
            <w:r>
              <w:rPr>
                <w:rStyle w:val="IndexLink"/>
              </w:rPr>
              <w:t>88</w:t>
            </w:r>
          </w:hyperlink>
        </w:p>
        <w:p>
          <w:pPr>
            <w:pStyle w:val="Contents5"/>
            <w:tabs>
              <w:tab w:val="clear" w:pos="7892"/>
              <w:tab w:val="right" w:pos="9026" w:leader="dot"/>
            </w:tabs>
            <w:rPr/>
          </w:pPr>
          <w:hyperlink w:anchor="__RefHeading___Toc3056532_2870459653">
            <w:r>
              <w:rPr>
                <w:webHidden/>
                <w:rStyle w:val="IndexLink"/>
              </w:rPr>
              <w:t>2</w:t>
            </w:r>
            <w:r>
              <w:rPr>
                <w:rStyle w:val="IndexLink"/>
                <w:rtl w:val="true"/>
              </w:rPr>
              <w:t xml:space="preserve">. </w:t>
            </w:r>
            <w:r>
              <w:rPr>
                <w:rStyle w:val="IndexLink"/>
                <w:rtl w:val="true"/>
              </w:rPr>
              <w:t>اختصاص الحكم بالمسجدين</w:t>
            </w:r>
            <w:r>
              <w:rPr>
                <w:rStyle w:val="IndexLink"/>
                <w:rtl w:val="true"/>
              </w:rPr>
              <w:tab/>
            </w:r>
            <w:r>
              <w:rPr>
                <w:rStyle w:val="IndexLink"/>
              </w:rPr>
              <w:t>88</w:t>
            </w:r>
          </w:hyperlink>
        </w:p>
        <w:p>
          <w:pPr>
            <w:pStyle w:val="Contents5"/>
            <w:tabs>
              <w:tab w:val="clear" w:pos="7892"/>
              <w:tab w:val="right" w:pos="9026" w:leader="dot"/>
            </w:tabs>
            <w:rPr/>
          </w:pPr>
          <w:hyperlink w:anchor="__RefHeading___Toc3056534_2870459653">
            <w:r>
              <w:rPr>
                <w:webHidden/>
                <w:rStyle w:val="IndexLink"/>
              </w:rPr>
              <w:t>3</w:t>
            </w:r>
            <w:r>
              <w:rPr>
                <w:rStyle w:val="IndexLink"/>
                <w:rtl w:val="true"/>
              </w:rPr>
              <w:t xml:space="preserve">. </w:t>
            </w:r>
            <w:r>
              <w:rPr>
                <w:rStyle w:val="IndexLink"/>
                <w:rtl w:val="true"/>
              </w:rPr>
              <w:t>اختصاص الحكم بالحرمين</w:t>
            </w:r>
            <w:r>
              <w:rPr>
                <w:rStyle w:val="IndexLink"/>
                <w:rtl w:val="true"/>
              </w:rPr>
              <w:tab/>
            </w:r>
            <w:r>
              <w:rPr>
                <w:rStyle w:val="IndexLink"/>
              </w:rPr>
              <w:t>88</w:t>
            </w:r>
          </w:hyperlink>
        </w:p>
        <w:p>
          <w:pPr>
            <w:pStyle w:val="Contents5"/>
            <w:tabs>
              <w:tab w:val="clear" w:pos="7892"/>
              <w:tab w:val="right" w:pos="9026" w:leader="dot"/>
            </w:tabs>
            <w:rPr/>
          </w:pPr>
          <w:hyperlink w:anchor="__RefHeading___Toc3056536_2870459653">
            <w:r>
              <w:rPr>
                <w:webHidden/>
                <w:rStyle w:val="IndexLink"/>
              </w:rPr>
              <w:t>4</w:t>
            </w:r>
            <w:r>
              <w:rPr>
                <w:rStyle w:val="IndexLink"/>
                <w:rtl w:val="true"/>
              </w:rPr>
              <w:t xml:space="preserve">. </w:t>
            </w:r>
            <w:r>
              <w:rPr>
                <w:rStyle w:val="IndexLink"/>
                <w:rtl w:val="true"/>
              </w:rPr>
              <w:t>شمول الحكم لجميع مكّة واختصاصه بالمسجد النبوي في المدينة</w:t>
            </w:r>
            <w:r>
              <w:rPr>
                <w:rStyle w:val="IndexLink"/>
                <w:rtl w:val="true"/>
              </w:rPr>
              <w:tab/>
            </w:r>
            <w:r>
              <w:rPr>
                <w:rStyle w:val="IndexLink"/>
              </w:rPr>
              <w:t>89</w:t>
            </w:r>
          </w:hyperlink>
        </w:p>
        <w:p>
          <w:pPr>
            <w:pStyle w:val="Contents6"/>
            <w:tabs>
              <w:tab w:val="clear" w:pos="7609"/>
              <w:tab w:val="right" w:pos="9026" w:leader="dot"/>
            </w:tabs>
            <w:rPr/>
          </w:pPr>
          <w:hyperlink w:anchor="__RefHeading___Toc3056538_2870459653">
            <w:r>
              <w:rPr>
                <w:webHidden/>
                <w:rStyle w:val="IndexLink"/>
                <w:rtl w:val="true"/>
              </w:rPr>
              <w:t>اشارة</w:t>
            </w:r>
            <w:r>
              <w:rPr>
                <w:rStyle w:val="IndexLink"/>
                <w:rtl w:val="true"/>
              </w:rPr>
              <w:tab/>
            </w:r>
            <w:r>
              <w:rPr>
                <w:rStyle w:val="IndexLink"/>
              </w:rPr>
              <w:t>89</w:t>
            </w:r>
          </w:hyperlink>
        </w:p>
        <w:p>
          <w:pPr>
            <w:pStyle w:val="Contents6"/>
            <w:tabs>
              <w:tab w:val="clear" w:pos="7609"/>
              <w:tab w:val="right" w:pos="9026" w:leader="dot"/>
            </w:tabs>
            <w:rPr/>
          </w:pPr>
          <w:hyperlink w:anchor="__RefHeading___Toc3056540_2870459653">
            <w:r>
              <w:rPr>
                <w:webHidden/>
                <w:rStyle w:val="IndexLink"/>
                <w:rtl w:val="true"/>
              </w:rPr>
              <w:t>الطّائفة الأولى</w:t>
            </w:r>
            <w:r>
              <w:rPr>
                <w:rStyle w:val="IndexLink"/>
                <w:rtl w:val="true"/>
              </w:rPr>
              <w:t xml:space="preserve">: </w:t>
            </w:r>
            <w:r>
              <w:rPr>
                <w:rStyle w:val="IndexLink"/>
                <w:rtl w:val="true"/>
              </w:rPr>
              <w:t>ما دلّ على شمول الحكم لتمام البلدتين</w:t>
            </w:r>
            <w:r>
              <w:rPr>
                <w:rStyle w:val="IndexLink"/>
                <w:rtl w:val="true"/>
              </w:rPr>
              <w:tab/>
            </w:r>
            <w:r>
              <w:rPr>
                <w:rStyle w:val="IndexLink"/>
              </w:rPr>
              <w:t>90</w:t>
            </w:r>
          </w:hyperlink>
        </w:p>
        <w:p>
          <w:pPr>
            <w:pStyle w:val="Contents6"/>
            <w:tabs>
              <w:tab w:val="clear" w:pos="7609"/>
              <w:tab w:val="right" w:pos="9026" w:leader="dot"/>
            </w:tabs>
            <w:rPr/>
          </w:pPr>
          <w:hyperlink w:anchor="__RefHeading___Toc3056542_2870459653">
            <w:r>
              <w:rPr>
                <w:webHidden/>
                <w:rStyle w:val="IndexLink"/>
                <w:rtl w:val="true"/>
              </w:rPr>
              <w:t>الطّائفة الثَّانية</w:t>
            </w:r>
            <w:r>
              <w:rPr>
                <w:rStyle w:val="IndexLink"/>
                <w:rtl w:val="true"/>
              </w:rPr>
              <w:t xml:space="preserve">: </w:t>
            </w:r>
            <w:r>
              <w:rPr>
                <w:rStyle w:val="IndexLink"/>
                <w:rtl w:val="true"/>
              </w:rPr>
              <w:t>ما دلّ على كون مورد الحكم هو الحرم</w:t>
            </w:r>
            <w:r>
              <w:rPr>
                <w:rStyle w:val="IndexLink"/>
                <w:rtl w:val="true"/>
              </w:rPr>
              <w:tab/>
            </w:r>
            <w:r>
              <w:rPr>
                <w:rStyle w:val="IndexLink"/>
              </w:rPr>
              <w:t>90</w:t>
            </w:r>
          </w:hyperlink>
        </w:p>
        <w:p>
          <w:pPr>
            <w:pStyle w:val="Contents6"/>
            <w:tabs>
              <w:tab w:val="clear" w:pos="7609"/>
              <w:tab w:val="right" w:pos="9026" w:leader="dot"/>
            </w:tabs>
            <w:rPr/>
          </w:pPr>
          <w:hyperlink w:anchor="__RefHeading___Toc3056544_2870459653">
            <w:r>
              <w:rPr>
                <w:webHidden/>
                <w:rStyle w:val="IndexLink"/>
                <w:rtl w:val="true"/>
              </w:rPr>
              <w:t>الطائفة الثَّالثة</w:t>
            </w:r>
            <w:r>
              <w:rPr>
                <w:rStyle w:val="IndexLink"/>
                <w:rtl w:val="true"/>
              </w:rPr>
              <w:t xml:space="preserve">: </w:t>
            </w:r>
            <w:r>
              <w:rPr>
                <w:rStyle w:val="IndexLink"/>
                <w:rtl w:val="true"/>
              </w:rPr>
              <w:t>ما دلّ على كون مورد الحكم هو المسجد</w:t>
            </w:r>
            <w:r>
              <w:rPr>
                <w:rStyle w:val="IndexLink"/>
                <w:rtl w:val="true"/>
              </w:rPr>
              <w:tab/>
            </w:r>
            <w:r>
              <w:rPr>
                <w:rStyle w:val="IndexLink"/>
              </w:rPr>
              <w:t>91</w:t>
            </w:r>
          </w:hyperlink>
        </w:p>
        <w:p>
          <w:pPr>
            <w:pStyle w:val="Contents4"/>
            <w:tabs>
              <w:tab w:val="clear" w:pos="8176"/>
              <w:tab w:val="right" w:pos="9026" w:leader="dot"/>
            </w:tabs>
            <w:rPr/>
          </w:pPr>
          <w:hyperlink w:anchor="__RefHeading___Toc3056546_2870459653">
            <w:r>
              <w:rPr>
                <w:webHidden/>
                <w:rStyle w:val="IndexLink"/>
                <w:rtl w:val="true"/>
              </w:rPr>
              <w:t>الموضع الثَّاني</w:t>
            </w:r>
            <w:r>
              <w:rPr>
                <w:rStyle w:val="IndexLink"/>
                <w:rtl w:val="true"/>
              </w:rPr>
              <w:t xml:space="preserve">: </w:t>
            </w:r>
            <w:r>
              <w:rPr>
                <w:rStyle w:val="IndexLink"/>
                <w:rtl w:val="true"/>
              </w:rPr>
              <w:t>الكوفة</w:t>
            </w:r>
            <w:r>
              <w:rPr>
                <w:rStyle w:val="IndexLink"/>
                <w:rtl w:val="true"/>
              </w:rPr>
              <w:tab/>
            </w:r>
            <w:r>
              <w:rPr>
                <w:rStyle w:val="IndexLink"/>
              </w:rPr>
              <w:t>100</w:t>
            </w:r>
          </w:hyperlink>
        </w:p>
        <w:p>
          <w:pPr>
            <w:pStyle w:val="Contents5"/>
            <w:tabs>
              <w:tab w:val="clear" w:pos="7892"/>
              <w:tab w:val="right" w:pos="9026" w:leader="dot"/>
            </w:tabs>
            <w:rPr/>
          </w:pPr>
          <w:hyperlink w:anchor="__RefHeading___Toc3056548_2870459653">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3056550_2870459653">
            <w:r>
              <w:rPr>
                <w:webHidden/>
                <w:rStyle w:val="IndexLink"/>
                <w:rtl w:val="true"/>
              </w:rPr>
              <w:t>القول الأوَّل</w:t>
            </w:r>
            <w:r>
              <w:rPr>
                <w:rStyle w:val="IndexLink"/>
                <w:rtl w:val="true"/>
              </w:rPr>
              <w:t xml:space="preserve">: </w:t>
            </w:r>
            <w:r>
              <w:rPr>
                <w:rStyle w:val="IndexLink"/>
                <w:rtl w:val="true"/>
              </w:rPr>
              <w:t>هو الشمول لتمام البلدة</w:t>
            </w:r>
            <w:r>
              <w:rPr>
                <w:rStyle w:val="IndexLink"/>
                <w:rtl w:val="true"/>
              </w:rPr>
              <w:tab/>
            </w:r>
            <w:r>
              <w:rPr>
                <w:rStyle w:val="IndexLink"/>
              </w:rPr>
              <w:t>100</w:t>
            </w:r>
          </w:hyperlink>
        </w:p>
        <w:p>
          <w:pPr>
            <w:pStyle w:val="Contents5"/>
            <w:tabs>
              <w:tab w:val="clear" w:pos="7892"/>
              <w:tab w:val="right" w:pos="9026" w:leader="dot"/>
            </w:tabs>
            <w:rPr/>
          </w:pPr>
          <w:hyperlink w:anchor="__RefHeading___Toc3056552_2870459653">
            <w:r>
              <w:rPr>
                <w:webHidden/>
                <w:rStyle w:val="IndexLink"/>
                <w:rtl w:val="true"/>
              </w:rPr>
              <w:t>القول الثَّاني</w:t>
            </w:r>
            <w:r>
              <w:rPr>
                <w:rStyle w:val="IndexLink"/>
                <w:rtl w:val="true"/>
              </w:rPr>
              <w:t xml:space="preserve">: </w:t>
            </w:r>
            <w:r>
              <w:rPr>
                <w:rStyle w:val="IndexLink"/>
                <w:rtl w:val="true"/>
              </w:rPr>
              <w:t>الاختصاص بالمسجد</w:t>
            </w:r>
            <w:r>
              <w:rPr>
                <w:rStyle w:val="IndexLink"/>
                <w:rtl w:val="true"/>
              </w:rPr>
              <w:tab/>
            </w:r>
            <w:r>
              <w:rPr>
                <w:rStyle w:val="IndexLink"/>
              </w:rPr>
              <w:t>100</w:t>
            </w:r>
          </w:hyperlink>
        </w:p>
        <w:p>
          <w:pPr>
            <w:pStyle w:val="Contents5"/>
            <w:tabs>
              <w:tab w:val="clear" w:pos="7892"/>
              <w:tab w:val="right" w:pos="9026" w:leader="dot"/>
            </w:tabs>
            <w:rPr/>
          </w:pPr>
          <w:hyperlink w:anchor="__RefHeading___Toc3056554_2870459653">
            <w:r>
              <w:rPr>
                <w:webHidden/>
                <w:rStyle w:val="IndexLink"/>
                <w:rtl w:val="true"/>
              </w:rPr>
              <w:t>القول الثَّالث</w:t>
            </w:r>
            <w:r>
              <w:rPr>
                <w:rStyle w:val="IndexLink"/>
                <w:rtl w:val="true"/>
              </w:rPr>
              <w:t xml:space="preserve">: </w:t>
            </w:r>
            <w:r>
              <w:rPr>
                <w:rStyle w:val="IndexLink"/>
                <w:rtl w:val="true"/>
              </w:rPr>
              <w:t>تعدية حكم التمام من الكوفة إلى النجف</w:t>
            </w:r>
            <w:r>
              <w:rPr>
                <w:rStyle w:val="IndexLink"/>
                <w:rtl w:val="true"/>
              </w:rPr>
              <w:tab/>
            </w:r>
            <w:r>
              <w:rPr>
                <w:rStyle w:val="IndexLink"/>
              </w:rPr>
              <w:t>101</w:t>
            </w:r>
          </w:hyperlink>
        </w:p>
        <w:p>
          <w:pPr>
            <w:pStyle w:val="Contents4"/>
            <w:tabs>
              <w:tab w:val="clear" w:pos="8176"/>
              <w:tab w:val="right" w:pos="9026" w:leader="dot"/>
            </w:tabs>
            <w:rPr/>
          </w:pPr>
          <w:hyperlink w:anchor="__RefHeading___Toc3056556_2870459653">
            <w:r>
              <w:rPr>
                <w:webHidden/>
                <w:rStyle w:val="IndexLink"/>
                <w:rtl w:val="true"/>
              </w:rPr>
              <w:t>الموضع الثَّالث</w:t>
            </w:r>
            <w:r>
              <w:rPr>
                <w:rStyle w:val="IndexLink"/>
                <w:rtl w:val="true"/>
              </w:rPr>
              <w:t xml:space="preserve">: </w:t>
            </w:r>
            <w:r>
              <w:rPr>
                <w:rStyle w:val="IndexLink"/>
                <w:rtl w:val="true"/>
              </w:rPr>
              <w:t xml:space="preserve">حرم الحسين </w:t>
            </w:r>
            <w:r>
              <w:rPr>
                <w:rStyle w:val="IndexLink"/>
                <w:rtl w:val="true"/>
              </w:rPr>
              <w:t>(</w:t>
            </w:r>
            <w:r>
              <w:rPr>
                <w:rStyle w:val="IndexLink"/>
                <w:rtl w:val="true"/>
              </w:rPr>
              <w:t>علیه السلام</w:t>
            </w:r>
            <w:r>
              <w:rPr>
                <w:rStyle w:val="IndexLink"/>
                <w:rtl w:val="true"/>
              </w:rPr>
              <w:t>)</w:t>
              <w:tab/>
            </w:r>
            <w:r>
              <w:rPr>
                <w:rStyle w:val="IndexLink"/>
              </w:rPr>
              <w:t>116</w:t>
            </w:r>
          </w:hyperlink>
        </w:p>
        <w:p>
          <w:pPr>
            <w:pStyle w:val="Contents5"/>
            <w:tabs>
              <w:tab w:val="clear" w:pos="7892"/>
              <w:tab w:val="right" w:pos="9026" w:leader="dot"/>
            </w:tabs>
            <w:rPr/>
          </w:pPr>
          <w:hyperlink w:anchor="__RefHeading___Toc3056558_2870459653">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3056560_2870459653">
            <w:r>
              <w:rPr>
                <w:webHidden/>
                <w:rStyle w:val="IndexLink"/>
                <w:rtl w:val="true"/>
              </w:rPr>
              <w:t>القول الأوَّل</w:t>
            </w:r>
            <w:r>
              <w:rPr>
                <w:rStyle w:val="IndexLink"/>
                <w:rtl w:val="true"/>
              </w:rPr>
              <w:tab/>
            </w:r>
            <w:r>
              <w:rPr>
                <w:rStyle w:val="IndexLink"/>
              </w:rPr>
              <w:t>117</w:t>
            </w:r>
          </w:hyperlink>
        </w:p>
        <w:p>
          <w:pPr>
            <w:pStyle w:val="Contents5"/>
            <w:tabs>
              <w:tab w:val="clear" w:pos="7892"/>
              <w:tab w:val="right" w:pos="9026" w:leader="dot"/>
            </w:tabs>
            <w:rPr/>
          </w:pPr>
          <w:hyperlink w:anchor="__RefHeading___Toc3056562_2870459653">
            <w:r>
              <w:rPr>
                <w:webHidden/>
                <w:rStyle w:val="IndexLink"/>
                <w:rtl w:val="true"/>
              </w:rPr>
              <w:t>القول الثَّاني</w:t>
            </w:r>
            <w:r>
              <w:rPr>
                <w:rStyle w:val="IndexLink"/>
                <w:rtl w:val="true"/>
              </w:rPr>
              <w:tab/>
            </w:r>
            <w:r>
              <w:rPr>
                <w:rStyle w:val="IndexLink"/>
              </w:rPr>
              <w:t>117</w:t>
            </w:r>
          </w:hyperlink>
        </w:p>
        <w:p>
          <w:pPr>
            <w:pStyle w:val="Contents5"/>
            <w:tabs>
              <w:tab w:val="clear" w:pos="7892"/>
              <w:tab w:val="right" w:pos="9026" w:leader="dot"/>
            </w:tabs>
            <w:rPr/>
          </w:pPr>
          <w:hyperlink w:anchor="__RefHeading___Toc3056564_2870459653">
            <w:r>
              <w:rPr>
                <w:webHidden/>
                <w:rStyle w:val="IndexLink"/>
                <w:rtl w:val="true"/>
              </w:rPr>
              <w:t>القول الثَّالث</w:t>
            </w:r>
            <w:r>
              <w:rPr>
                <w:rStyle w:val="IndexLink"/>
                <w:rtl w:val="true"/>
              </w:rPr>
              <w:tab/>
            </w:r>
            <w:r>
              <w:rPr>
                <w:rStyle w:val="IndexLink"/>
              </w:rPr>
              <w:t>117</w:t>
            </w:r>
          </w:hyperlink>
        </w:p>
        <w:p>
          <w:pPr>
            <w:pStyle w:val="Contents5"/>
            <w:tabs>
              <w:tab w:val="clear" w:pos="7892"/>
              <w:tab w:val="right" w:pos="9026" w:leader="dot"/>
            </w:tabs>
            <w:rPr/>
          </w:pPr>
          <w:hyperlink w:anchor="__RefHeading___Toc3056566_2870459653">
            <w:r>
              <w:rPr>
                <w:webHidden/>
                <w:rStyle w:val="IndexLink"/>
                <w:rtl w:val="true"/>
              </w:rPr>
              <w:t>القول الرَّابع</w:t>
            </w:r>
            <w:r>
              <w:rPr>
                <w:rStyle w:val="IndexLink"/>
                <w:rtl w:val="true"/>
              </w:rPr>
              <w:tab/>
            </w:r>
            <w:r>
              <w:rPr>
                <w:rStyle w:val="IndexLink"/>
              </w:rPr>
              <w:t>118</w:t>
            </w:r>
          </w:hyperlink>
        </w:p>
        <w:p>
          <w:pPr>
            <w:pStyle w:val="Contents4"/>
            <w:tabs>
              <w:tab w:val="clear" w:pos="8176"/>
              <w:tab w:val="right" w:pos="9026" w:leader="dot"/>
            </w:tabs>
            <w:rPr/>
          </w:pPr>
          <w:hyperlink w:anchor="__RefHeading___Toc3056568_2870459653">
            <w:r>
              <w:rPr>
                <w:webHidden/>
                <w:rStyle w:val="IndexLink"/>
                <w:rtl w:val="true"/>
              </w:rPr>
              <w:t>الموضع الرَّابع</w:t>
            </w:r>
            <w:r>
              <w:rPr>
                <w:rStyle w:val="IndexLink"/>
                <w:rtl w:val="true"/>
              </w:rPr>
              <w:t xml:space="preserve">: </w:t>
            </w:r>
            <w:r>
              <w:rPr>
                <w:rStyle w:val="IndexLink"/>
                <w:rtl w:val="true"/>
              </w:rPr>
              <w:t xml:space="preserve">صلاة المسافر في مشاهد المعصومين </w:t>
            </w:r>
            <w:r>
              <w:rPr>
                <w:rStyle w:val="IndexLink"/>
                <w:rtl w:val="true"/>
              </w:rPr>
              <w:t>(</w:t>
            </w:r>
            <w:r>
              <w:rPr>
                <w:rStyle w:val="IndexLink"/>
                <w:rtl w:val="true"/>
              </w:rPr>
              <w:t>علیهم السلام</w:t>
            </w:r>
            <w:r>
              <w:rPr>
                <w:rStyle w:val="IndexLink"/>
                <w:rtl w:val="true"/>
              </w:rPr>
              <w:t>)</w:t>
              <w:tab/>
            </w:r>
            <w:r>
              <w:rPr>
                <w:rStyle w:val="IndexLink"/>
              </w:rPr>
              <w:t>126</w:t>
            </w:r>
          </w:hyperlink>
        </w:p>
        <w:p>
          <w:pPr>
            <w:pStyle w:val="Contents5"/>
            <w:tabs>
              <w:tab w:val="clear" w:pos="7892"/>
              <w:tab w:val="right" w:pos="9026" w:leader="dot"/>
            </w:tabs>
            <w:rPr/>
          </w:pPr>
          <w:hyperlink w:anchor="__RefHeading___Toc3056570_2870459653">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3056572_2870459653">
            <w:r>
              <w:rPr>
                <w:webHidden/>
                <w:rStyle w:val="IndexLink"/>
                <w:rtl w:val="true"/>
              </w:rPr>
              <w:t>الدّليل الأوَّل</w:t>
            </w:r>
            <w:r>
              <w:rPr>
                <w:rStyle w:val="IndexLink"/>
                <w:rtl w:val="true"/>
              </w:rPr>
              <w:tab/>
            </w:r>
            <w:r>
              <w:rPr>
                <w:rStyle w:val="IndexLink"/>
              </w:rPr>
              <w:t>130</w:t>
            </w:r>
          </w:hyperlink>
        </w:p>
        <w:p>
          <w:pPr>
            <w:pStyle w:val="Contents5"/>
            <w:tabs>
              <w:tab w:val="clear" w:pos="7892"/>
              <w:tab w:val="right" w:pos="9026" w:leader="dot"/>
            </w:tabs>
            <w:rPr/>
          </w:pPr>
          <w:hyperlink w:anchor="__RefHeading___Toc3056574_2870459653">
            <w:r>
              <w:rPr>
                <w:webHidden/>
                <w:rStyle w:val="IndexLink"/>
                <w:rtl w:val="true"/>
              </w:rPr>
              <w:t>الدّليل الثَّاني</w:t>
            </w:r>
            <w:r>
              <w:rPr>
                <w:rStyle w:val="IndexLink"/>
                <w:rtl w:val="true"/>
              </w:rPr>
              <w:tab/>
            </w:r>
            <w:r>
              <w:rPr>
                <w:rStyle w:val="IndexLink"/>
              </w:rPr>
              <w:t>130</w:t>
            </w:r>
          </w:hyperlink>
        </w:p>
        <w:p>
          <w:pPr>
            <w:pStyle w:val="Contents5"/>
            <w:tabs>
              <w:tab w:val="clear" w:pos="7892"/>
              <w:tab w:val="right" w:pos="9026" w:leader="dot"/>
            </w:tabs>
            <w:rPr/>
          </w:pPr>
          <w:hyperlink w:anchor="__RefHeading___Toc3056576_2870459653">
            <w:r>
              <w:rPr>
                <w:webHidden/>
                <w:rStyle w:val="IndexLink"/>
                <w:rtl w:val="true"/>
              </w:rPr>
              <w:t>الدّليل الثَّالث</w:t>
            </w:r>
            <w:r>
              <w:rPr>
                <w:rStyle w:val="IndexLink"/>
                <w:rtl w:val="true"/>
              </w:rPr>
              <w:tab/>
            </w:r>
            <w:r>
              <w:rPr>
                <w:rStyle w:val="IndexLink"/>
              </w:rPr>
              <w:t>131</w:t>
            </w:r>
          </w:hyperlink>
        </w:p>
        <w:p>
          <w:pPr>
            <w:pStyle w:val="Contents3"/>
            <w:tabs>
              <w:tab w:val="clear" w:pos="8459"/>
              <w:tab w:val="right" w:pos="9026" w:leader="dot"/>
            </w:tabs>
            <w:rPr/>
          </w:pPr>
          <w:hyperlink w:anchor="__RefHeading___Toc3056578_2870459653">
            <w:r>
              <w:rPr>
                <w:webHidden/>
                <w:rStyle w:val="IndexLink"/>
                <w:rtl w:val="true"/>
              </w:rPr>
              <w:t>المصادر</w:t>
            </w:r>
            <w:r>
              <w:rPr>
                <w:rStyle w:val="IndexLink"/>
                <w:rtl w:val="true"/>
              </w:rPr>
              <w:tab/>
            </w:r>
            <w:r>
              <w:rPr>
                <w:rStyle w:val="IndexLink"/>
              </w:rPr>
              <w:t>145</w:t>
            </w:r>
          </w:hyperlink>
        </w:p>
        <w:p>
          <w:pPr>
            <w:pStyle w:val="Contents2"/>
            <w:tabs>
              <w:tab w:val="clear" w:pos="8743"/>
              <w:tab w:val="right" w:pos="9026" w:leader="dot"/>
            </w:tabs>
            <w:rPr/>
          </w:pPr>
          <w:hyperlink w:anchor="__RefHeading___Toc3056580_2870459653">
            <w:r>
              <w:rPr>
                <w:webHidden/>
                <w:rStyle w:val="IndexLink"/>
                <w:rtl w:val="true"/>
              </w:rPr>
              <w:t>دراسات فقهيّة مقارنة بين قانون الأحوال الشّخصيّة العراقيّ ومشروع قانون الأحوال الشّخصيّة الجعفريّ</w:t>
            </w:r>
            <w:r>
              <w:rPr>
                <w:rStyle w:val="IndexLink"/>
                <w:rtl w:val="true"/>
              </w:rPr>
              <w:t>: (</w:t>
            </w:r>
            <w:r>
              <w:rPr>
                <w:rStyle w:val="IndexLink"/>
                <w:rtl w:val="true"/>
              </w:rPr>
              <w:t>الأحكام العامّة والزّواج أنموذجا</w:t>
            </w:r>
            <w:r>
              <w:rPr>
                <w:rStyle w:val="IndexLink"/>
                <w:rtl w:val="true"/>
              </w:rPr>
              <w:t>) (</w:t>
            </w:r>
            <w:r>
              <w:rPr>
                <w:rStyle w:val="IndexLink"/>
                <w:rtl w:val="true"/>
              </w:rPr>
              <w:t>الحلقة الثانية</w:t>
            </w:r>
            <w:r>
              <w:rPr>
                <w:rStyle w:val="IndexLink"/>
                <w:rtl w:val="true"/>
              </w:rPr>
              <w:t xml:space="preserve">) - </w:t>
            </w:r>
            <w:r>
              <w:rPr>
                <w:rStyle w:val="IndexLink"/>
                <w:rtl w:val="true"/>
              </w:rPr>
              <w:t xml:space="preserve">الشيخ يحيى السعداوي </w:t>
            </w:r>
            <w:r>
              <w:rPr>
                <w:rStyle w:val="IndexLink"/>
                <w:rtl w:val="true"/>
              </w:rPr>
              <w:t>(</w:t>
            </w:r>
            <w:r>
              <w:rPr>
                <w:rStyle w:val="IndexLink"/>
                <w:rtl w:val="true"/>
              </w:rPr>
              <w:t>دام عزه</w:t>
            </w:r>
            <w:r>
              <w:rPr>
                <w:rStyle w:val="IndexLink"/>
                <w:rtl w:val="true"/>
              </w:rPr>
              <w:t>)</w:t>
              <w:tab/>
            </w:r>
            <w:r>
              <w:rPr>
                <w:rStyle w:val="IndexLink"/>
              </w:rPr>
              <w:t>152</w:t>
            </w:r>
          </w:hyperlink>
        </w:p>
        <w:p>
          <w:pPr>
            <w:pStyle w:val="Contents3"/>
            <w:tabs>
              <w:tab w:val="clear" w:pos="8459"/>
              <w:tab w:val="right" w:pos="9026" w:leader="dot"/>
            </w:tabs>
            <w:rPr/>
          </w:pPr>
          <w:hyperlink w:anchor="__RefHeading___Toc3056582_2870459653">
            <w:r>
              <w:rPr>
                <w:webHidden/>
                <w:rStyle w:val="IndexLink"/>
                <w:rtl w:val="true"/>
              </w:rPr>
              <w:t>اشارة</w:t>
            </w:r>
            <w:r>
              <w:rPr>
                <w:rStyle w:val="IndexLink"/>
                <w:rtl w:val="true"/>
              </w:rPr>
              <w:tab/>
            </w:r>
            <w:r>
              <w:rPr>
                <w:rStyle w:val="IndexLink"/>
              </w:rPr>
              <w:t>152</w:t>
            </w:r>
          </w:hyperlink>
        </w:p>
        <w:p>
          <w:pPr>
            <w:pStyle w:val="Contents3"/>
            <w:tabs>
              <w:tab w:val="clear" w:pos="8459"/>
              <w:tab w:val="right" w:pos="9026" w:leader="dot"/>
            </w:tabs>
            <w:rPr/>
          </w:pPr>
          <w:hyperlink w:anchor="__RefHeading___Toc3056584_2870459653">
            <w:r>
              <w:rPr>
                <w:webHidden/>
                <w:rStyle w:val="IndexLink"/>
                <w:rtl w:val="true"/>
              </w:rPr>
              <w:t>المطلب الأوّل</w:t>
            </w:r>
            <w:r>
              <w:rPr>
                <w:rStyle w:val="IndexLink"/>
                <w:rtl w:val="true"/>
              </w:rPr>
              <w:tab/>
            </w:r>
            <w:r>
              <w:rPr>
                <w:rStyle w:val="IndexLink"/>
              </w:rPr>
              <w:t>155</w:t>
            </w:r>
          </w:hyperlink>
        </w:p>
        <w:p>
          <w:pPr>
            <w:pStyle w:val="Contents4"/>
            <w:tabs>
              <w:tab w:val="clear" w:pos="8176"/>
              <w:tab w:val="right" w:pos="9026" w:leader="dot"/>
            </w:tabs>
            <w:rPr/>
          </w:pPr>
          <w:hyperlink w:anchor="__RefHeading___Toc3056586_2870459653">
            <w:r>
              <w:rPr>
                <w:webHidden/>
                <w:rStyle w:val="IndexLink"/>
                <w:rtl w:val="true"/>
              </w:rPr>
              <w:t>المقصد الأوّل</w:t>
            </w:r>
            <w:r>
              <w:rPr>
                <w:rStyle w:val="IndexLink"/>
                <w:rtl w:val="true"/>
              </w:rPr>
              <w:t xml:space="preserve">: </w:t>
            </w:r>
            <w:r>
              <w:rPr>
                <w:rStyle w:val="IndexLink"/>
                <w:rtl w:val="true"/>
              </w:rPr>
              <w:t>دراسة فقهيّة لعنوانيّ البابين من القانونين، وترجيح الأصحّ والأصدق والأدقّ والأولى منهما</w:t>
            </w:r>
            <w:r>
              <w:rPr>
                <w:rStyle w:val="IndexLink"/>
                <w:rtl w:val="true"/>
              </w:rPr>
              <w:tab/>
            </w:r>
            <w:r>
              <w:rPr>
                <w:rStyle w:val="IndexLink"/>
              </w:rPr>
              <w:t>155</w:t>
            </w:r>
          </w:hyperlink>
        </w:p>
        <w:p>
          <w:pPr>
            <w:pStyle w:val="Contents5"/>
            <w:tabs>
              <w:tab w:val="clear" w:pos="7892"/>
              <w:tab w:val="right" w:pos="9026" w:leader="dot"/>
            </w:tabs>
            <w:rPr/>
          </w:pPr>
          <w:hyperlink w:anchor="__RefHeading___Toc3056588_2870459653">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3056590_2870459653">
            <w:r>
              <w:rPr>
                <w:webHidden/>
                <w:rStyle w:val="IndexLink"/>
                <w:rtl w:val="true"/>
              </w:rPr>
              <w:t>أوّلاً</w:t>
            </w:r>
            <w:r>
              <w:rPr>
                <w:rStyle w:val="IndexLink"/>
                <w:rtl w:val="true"/>
              </w:rPr>
              <w:t xml:space="preserve">: </w:t>
            </w:r>
            <w:r>
              <w:rPr>
                <w:rStyle w:val="IndexLink"/>
                <w:rtl w:val="true"/>
              </w:rPr>
              <w:t>الزّواج والنّكاح لغةً</w:t>
            </w:r>
            <w:r>
              <w:rPr>
                <w:rStyle w:val="IndexLink"/>
                <w:rtl w:val="true"/>
              </w:rPr>
              <w:tab/>
            </w:r>
            <w:r>
              <w:rPr>
                <w:rStyle w:val="IndexLink"/>
              </w:rPr>
              <w:t>155</w:t>
            </w:r>
          </w:hyperlink>
        </w:p>
        <w:p>
          <w:pPr>
            <w:pStyle w:val="Contents6"/>
            <w:tabs>
              <w:tab w:val="clear" w:pos="7609"/>
              <w:tab w:val="right" w:pos="9026" w:leader="dot"/>
            </w:tabs>
            <w:rPr/>
          </w:pPr>
          <w:hyperlink w:anchor="__RefHeading___Toc3056592_2870459653">
            <w:r>
              <w:rPr>
                <w:webHidden/>
                <w:rStyle w:val="IndexLink"/>
              </w:rPr>
              <w:t>1</w:t>
            </w:r>
            <w:r>
              <w:rPr>
                <w:rStyle w:val="IndexLink"/>
                <w:rtl w:val="true"/>
              </w:rPr>
              <w:t xml:space="preserve">. </w:t>
            </w:r>
            <w:r>
              <w:rPr>
                <w:rStyle w:val="IndexLink"/>
                <w:rtl w:val="true"/>
              </w:rPr>
              <w:t>الزّواج لغةً</w:t>
            </w:r>
            <w:r>
              <w:rPr>
                <w:rStyle w:val="IndexLink"/>
                <w:rtl w:val="true"/>
              </w:rPr>
              <w:tab/>
            </w:r>
            <w:r>
              <w:rPr>
                <w:rStyle w:val="IndexLink"/>
              </w:rPr>
              <w:t>155</w:t>
            </w:r>
          </w:hyperlink>
        </w:p>
        <w:p>
          <w:pPr>
            <w:pStyle w:val="Contents6"/>
            <w:tabs>
              <w:tab w:val="clear" w:pos="7609"/>
              <w:tab w:val="right" w:pos="9026" w:leader="dot"/>
            </w:tabs>
            <w:rPr/>
          </w:pPr>
          <w:hyperlink w:anchor="__RefHeading___Toc3056594_2870459653">
            <w:r>
              <w:rPr>
                <w:webHidden/>
                <w:rStyle w:val="IndexLink"/>
              </w:rPr>
              <w:t>2</w:t>
            </w:r>
            <w:r>
              <w:rPr>
                <w:rStyle w:val="IndexLink"/>
                <w:rtl w:val="true"/>
              </w:rPr>
              <w:t xml:space="preserve">. </w:t>
            </w:r>
            <w:r>
              <w:rPr>
                <w:rStyle w:val="IndexLink"/>
                <w:rtl w:val="true"/>
              </w:rPr>
              <w:t>النِّكَاح لغةً</w:t>
            </w:r>
            <w:r>
              <w:rPr>
                <w:rStyle w:val="IndexLink"/>
                <w:rtl w:val="true"/>
              </w:rPr>
              <w:tab/>
            </w:r>
            <w:r>
              <w:rPr>
                <w:rStyle w:val="IndexLink"/>
              </w:rPr>
              <w:t>156</w:t>
            </w:r>
          </w:hyperlink>
        </w:p>
        <w:p>
          <w:pPr>
            <w:pStyle w:val="Contents6"/>
            <w:tabs>
              <w:tab w:val="clear" w:pos="7609"/>
              <w:tab w:val="right" w:pos="9026" w:leader="dot"/>
            </w:tabs>
            <w:rPr/>
          </w:pPr>
          <w:hyperlink w:anchor="__RefHeading___Toc3056596_2870459653">
            <w:r>
              <w:rPr>
                <w:webHidden/>
                <w:rStyle w:val="IndexLink"/>
                <w:rtl w:val="true"/>
              </w:rPr>
              <w:t>اشارة</w:t>
            </w:r>
            <w:r>
              <w:rPr>
                <w:rStyle w:val="IndexLink"/>
                <w:rtl w:val="true"/>
              </w:rPr>
              <w:tab/>
            </w:r>
            <w:r>
              <w:rPr>
                <w:rStyle w:val="IndexLink"/>
              </w:rPr>
              <w:t>156</w:t>
            </w:r>
          </w:hyperlink>
        </w:p>
        <w:p>
          <w:pPr>
            <w:pStyle w:val="Contents6"/>
            <w:tabs>
              <w:tab w:val="clear" w:pos="7609"/>
              <w:tab w:val="right" w:pos="9026" w:leader="dot"/>
            </w:tabs>
            <w:rPr/>
          </w:pPr>
          <w:hyperlink w:anchor="__RefHeading___Toc3056598_2870459653">
            <w:r>
              <w:rPr>
                <w:webHidden/>
                <w:rStyle w:val="IndexLink"/>
                <w:rtl w:val="true"/>
              </w:rPr>
              <w:t>القول الأوَّل</w:t>
            </w:r>
            <w:r>
              <w:rPr>
                <w:rStyle w:val="IndexLink"/>
                <w:rtl w:val="true"/>
              </w:rPr>
              <w:tab/>
            </w:r>
            <w:r>
              <w:rPr>
                <w:rStyle w:val="IndexLink"/>
              </w:rPr>
              <w:t>157</w:t>
            </w:r>
          </w:hyperlink>
        </w:p>
        <w:p>
          <w:pPr>
            <w:pStyle w:val="Contents6"/>
            <w:tabs>
              <w:tab w:val="clear" w:pos="7609"/>
              <w:tab w:val="right" w:pos="9026" w:leader="dot"/>
            </w:tabs>
            <w:rPr/>
          </w:pPr>
          <w:hyperlink w:anchor="__RefHeading___Toc3056600_2870459653">
            <w:r>
              <w:rPr>
                <w:webHidden/>
                <w:rStyle w:val="IndexLink"/>
                <w:rtl w:val="true"/>
              </w:rPr>
              <w:t>القول الثَّاني</w:t>
            </w:r>
            <w:r>
              <w:rPr>
                <w:rStyle w:val="IndexLink"/>
                <w:rtl w:val="true"/>
              </w:rPr>
              <w:tab/>
            </w:r>
            <w:r>
              <w:rPr>
                <w:rStyle w:val="IndexLink"/>
              </w:rPr>
              <w:t>157</w:t>
            </w:r>
          </w:hyperlink>
        </w:p>
        <w:p>
          <w:pPr>
            <w:pStyle w:val="Contents6"/>
            <w:tabs>
              <w:tab w:val="clear" w:pos="7609"/>
              <w:tab w:val="right" w:pos="9026" w:leader="dot"/>
            </w:tabs>
            <w:rPr/>
          </w:pPr>
          <w:hyperlink w:anchor="__RefHeading___Toc3056602_2870459653">
            <w:r>
              <w:rPr>
                <w:webHidden/>
                <w:rStyle w:val="IndexLink"/>
                <w:rtl w:val="true"/>
              </w:rPr>
              <w:t>القول الثَّالث</w:t>
            </w:r>
            <w:r>
              <w:rPr>
                <w:rStyle w:val="IndexLink"/>
                <w:rtl w:val="true"/>
              </w:rPr>
              <w:tab/>
            </w:r>
            <w:r>
              <w:rPr>
                <w:rStyle w:val="IndexLink"/>
              </w:rPr>
              <w:t>158</w:t>
            </w:r>
          </w:hyperlink>
        </w:p>
        <w:p>
          <w:pPr>
            <w:pStyle w:val="Contents6"/>
            <w:tabs>
              <w:tab w:val="clear" w:pos="7609"/>
              <w:tab w:val="right" w:pos="9026" w:leader="dot"/>
            </w:tabs>
            <w:rPr/>
          </w:pPr>
          <w:hyperlink w:anchor="__RefHeading___Toc3056604_2870459653">
            <w:r>
              <w:rPr>
                <w:webHidden/>
                <w:rStyle w:val="IndexLink"/>
                <w:rtl w:val="true"/>
              </w:rPr>
              <w:t>القول الرَّابع</w:t>
            </w:r>
            <w:r>
              <w:rPr>
                <w:rStyle w:val="IndexLink"/>
                <w:rtl w:val="true"/>
              </w:rPr>
              <w:tab/>
            </w:r>
            <w:r>
              <w:rPr>
                <w:rStyle w:val="IndexLink"/>
              </w:rPr>
              <w:t>158</w:t>
            </w:r>
          </w:hyperlink>
        </w:p>
        <w:p>
          <w:pPr>
            <w:pStyle w:val="Contents5"/>
            <w:tabs>
              <w:tab w:val="clear" w:pos="7892"/>
              <w:tab w:val="right" w:pos="9026" w:leader="dot"/>
            </w:tabs>
            <w:rPr/>
          </w:pPr>
          <w:hyperlink w:anchor="__RefHeading___Toc3056606_2870459653">
            <w:r>
              <w:rPr>
                <w:webHidden/>
                <w:rStyle w:val="IndexLink"/>
                <w:rtl w:val="true"/>
              </w:rPr>
              <w:t>ثانياً</w:t>
            </w:r>
            <w:r>
              <w:rPr>
                <w:rStyle w:val="IndexLink"/>
                <w:rtl w:val="true"/>
              </w:rPr>
              <w:t xml:space="preserve">: </w:t>
            </w:r>
            <w:r>
              <w:rPr>
                <w:rStyle w:val="IndexLink"/>
                <w:rtl w:val="true"/>
              </w:rPr>
              <w:t>الزّواج والنّكاح اصطلاحاً</w:t>
            </w:r>
            <w:r>
              <w:rPr>
                <w:rStyle w:val="IndexLink"/>
                <w:rtl w:val="true"/>
              </w:rPr>
              <w:tab/>
            </w:r>
            <w:r>
              <w:rPr>
                <w:rStyle w:val="IndexLink"/>
              </w:rPr>
              <w:t>160</w:t>
            </w:r>
          </w:hyperlink>
        </w:p>
        <w:p>
          <w:pPr>
            <w:pStyle w:val="Contents6"/>
            <w:tabs>
              <w:tab w:val="clear" w:pos="7609"/>
              <w:tab w:val="right" w:pos="9026" w:leader="dot"/>
            </w:tabs>
            <w:rPr/>
          </w:pPr>
          <w:hyperlink w:anchor="__RefHeading___Toc3056608_2870459653">
            <w:r>
              <w:rPr>
                <w:webHidden/>
                <w:rStyle w:val="IndexLink"/>
              </w:rPr>
              <w:t>1</w:t>
            </w:r>
            <w:r>
              <w:rPr>
                <w:rStyle w:val="IndexLink"/>
                <w:rtl w:val="true"/>
              </w:rPr>
              <w:t xml:space="preserve">- </w:t>
            </w:r>
            <w:r>
              <w:rPr>
                <w:rStyle w:val="IndexLink"/>
                <w:rtl w:val="true"/>
              </w:rPr>
              <w:t>الزّواج اصطلاحاً</w:t>
            </w:r>
            <w:r>
              <w:rPr>
                <w:rStyle w:val="IndexLink"/>
                <w:rtl w:val="true"/>
              </w:rPr>
              <w:tab/>
            </w:r>
            <w:r>
              <w:rPr>
                <w:rStyle w:val="IndexLink"/>
              </w:rPr>
              <w:t>160</w:t>
            </w:r>
          </w:hyperlink>
        </w:p>
        <w:p>
          <w:pPr>
            <w:pStyle w:val="Contents6"/>
            <w:tabs>
              <w:tab w:val="clear" w:pos="7609"/>
              <w:tab w:val="right" w:pos="9026" w:leader="dot"/>
            </w:tabs>
            <w:rPr/>
          </w:pPr>
          <w:hyperlink w:anchor="__RefHeading___Toc3056610_2870459653">
            <w:r>
              <w:rPr>
                <w:webHidden/>
                <w:rStyle w:val="IndexLink"/>
              </w:rPr>
              <w:t>2</w:t>
            </w:r>
            <w:r>
              <w:rPr>
                <w:rStyle w:val="IndexLink"/>
                <w:rtl w:val="true"/>
              </w:rPr>
              <w:t xml:space="preserve">. </w:t>
            </w:r>
            <w:r>
              <w:rPr>
                <w:rStyle w:val="IndexLink"/>
                <w:rtl w:val="true"/>
              </w:rPr>
              <w:t>النّكاح اصطلاحاً</w:t>
            </w:r>
            <w:r>
              <w:rPr>
                <w:rStyle w:val="IndexLink"/>
                <w:rtl w:val="true"/>
              </w:rPr>
              <w:tab/>
            </w:r>
            <w:r>
              <w:rPr>
                <w:rStyle w:val="IndexLink"/>
              </w:rPr>
              <w:t>162</w:t>
            </w:r>
          </w:hyperlink>
        </w:p>
        <w:p>
          <w:pPr>
            <w:pStyle w:val="Contents6"/>
            <w:tabs>
              <w:tab w:val="clear" w:pos="7609"/>
              <w:tab w:val="right" w:pos="9026" w:leader="dot"/>
            </w:tabs>
            <w:rPr/>
          </w:pPr>
          <w:hyperlink w:anchor="__RefHeading___Toc3056612_2870459653">
            <w:r>
              <w:rPr>
                <w:webHidden/>
                <w:rStyle w:val="IndexLink"/>
                <w:rtl w:val="true"/>
              </w:rPr>
              <w:t>أ</w:t>
            </w:r>
            <w:r>
              <w:rPr>
                <w:rStyle w:val="IndexLink"/>
                <w:rtl w:val="true"/>
              </w:rPr>
              <w:t xml:space="preserve">. </w:t>
            </w:r>
            <w:r>
              <w:rPr>
                <w:rStyle w:val="IndexLink"/>
                <w:rtl w:val="true"/>
              </w:rPr>
              <w:t>في القرآن والروايات</w:t>
            </w:r>
            <w:r>
              <w:rPr>
                <w:rStyle w:val="IndexLink"/>
                <w:rtl w:val="true"/>
              </w:rPr>
              <w:tab/>
            </w:r>
            <w:r>
              <w:rPr>
                <w:rStyle w:val="IndexLink"/>
              </w:rPr>
              <w:t>162</w:t>
            </w:r>
          </w:hyperlink>
        </w:p>
        <w:p>
          <w:pPr>
            <w:pStyle w:val="Contents6"/>
            <w:tabs>
              <w:tab w:val="clear" w:pos="7609"/>
              <w:tab w:val="right" w:pos="9026" w:leader="dot"/>
            </w:tabs>
            <w:rPr/>
          </w:pPr>
          <w:hyperlink w:anchor="__RefHeading___Toc3056614_2870459653">
            <w:r>
              <w:rPr>
                <w:webHidden/>
                <w:rStyle w:val="IndexLink"/>
                <w:rtl w:val="true"/>
              </w:rPr>
              <w:t>ب</w:t>
            </w:r>
            <w:r>
              <w:rPr>
                <w:rStyle w:val="IndexLink"/>
                <w:rtl w:val="true"/>
              </w:rPr>
              <w:t xml:space="preserve">. </w:t>
            </w:r>
            <w:r>
              <w:rPr>
                <w:rStyle w:val="IndexLink"/>
                <w:rtl w:val="true"/>
              </w:rPr>
              <w:t>في الفقه</w:t>
            </w:r>
            <w:r>
              <w:rPr>
                <w:rStyle w:val="IndexLink"/>
                <w:rtl w:val="true"/>
              </w:rPr>
              <w:tab/>
            </w:r>
            <w:r>
              <w:rPr>
                <w:rStyle w:val="IndexLink"/>
              </w:rPr>
              <w:t>163</w:t>
            </w:r>
          </w:hyperlink>
        </w:p>
        <w:p>
          <w:pPr>
            <w:pStyle w:val="Contents4"/>
            <w:tabs>
              <w:tab w:val="clear" w:pos="8176"/>
              <w:tab w:val="right" w:pos="9026" w:leader="dot"/>
            </w:tabs>
            <w:rPr/>
          </w:pPr>
          <w:hyperlink w:anchor="__RefHeading___Toc3056616_2870459653">
            <w:r>
              <w:rPr>
                <w:webHidden/>
                <w:rStyle w:val="IndexLink"/>
                <w:rtl w:val="true"/>
              </w:rPr>
              <w:t>المقصد الثَّاني</w:t>
            </w:r>
            <w:r>
              <w:rPr>
                <w:rStyle w:val="IndexLink"/>
                <w:rtl w:val="true"/>
              </w:rPr>
              <w:t xml:space="preserve">: </w:t>
            </w:r>
            <w:r>
              <w:rPr>
                <w:rStyle w:val="IndexLink"/>
                <w:rtl w:val="true"/>
              </w:rPr>
              <w:t>دراسة فقهيّة مقارنة لتعريف الزّواج والنّكاح في القانونين العراقي والجعفري</w:t>
            </w:r>
            <w:r>
              <w:rPr>
                <w:rStyle w:val="IndexLink"/>
                <w:rtl w:val="true"/>
              </w:rPr>
              <w:tab/>
            </w:r>
            <w:r>
              <w:rPr>
                <w:rStyle w:val="IndexLink"/>
              </w:rPr>
              <w:t>170</w:t>
            </w:r>
          </w:hyperlink>
        </w:p>
        <w:p>
          <w:pPr>
            <w:pStyle w:val="Contents5"/>
            <w:tabs>
              <w:tab w:val="clear" w:pos="7892"/>
              <w:tab w:val="right" w:pos="9026" w:leader="dot"/>
            </w:tabs>
            <w:rPr/>
          </w:pPr>
          <w:hyperlink w:anchor="__RefHeading___Toc3056618_2870459653">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3056620_2870459653">
            <w:r>
              <w:rPr>
                <w:webHidden/>
                <w:rStyle w:val="IndexLink"/>
                <w:rtl w:val="true"/>
              </w:rPr>
              <w:t>الأمر الأوَّل</w:t>
            </w:r>
            <w:r>
              <w:rPr>
                <w:rStyle w:val="IndexLink"/>
                <w:rtl w:val="true"/>
              </w:rPr>
              <w:tab/>
            </w:r>
            <w:r>
              <w:rPr>
                <w:rStyle w:val="IndexLink"/>
              </w:rPr>
              <w:t>170</w:t>
            </w:r>
          </w:hyperlink>
        </w:p>
        <w:p>
          <w:pPr>
            <w:pStyle w:val="Contents6"/>
            <w:tabs>
              <w:tab w:val="clear" w:pos="7609"/>
              <w:tab w:val="right" w:pos="9026" w:leader="dot"/>
            </w:tabs>
            <w:rPr/>
          </w:pPr>
          <w:hyperlink w:anchor="__RefHeading___Toc3056622_2870459653">
            <w:r>
              <w:rPr>
                <w:webHidden/>
                <w:rStyle w:val="IndexLink"/>
                <w:rtl w:val="true"/>
              </w:rPr>
              <w:t>اشارة</w:t>
            </w:r>
            <w:r>
              <w:rPr>
                <w:rStyle w:val="IndexLink"/>
                <w:rtl w:val="true"/>
              </w:rPr>
              <w:tab/>
            </w:r>
            <w:r>
              <w:rPr>
                <w:rStyle w:val="IndexLink"/>
              </w:rPr>
              <w:t>170</w:t>
            </w:r>
          </w:hyperlink>
        </w:p>
        <w:p>
          <w:pPr>
            <w:pStyle w:val="Contents6"/>
            <w:tabs>
              <w:tab w:val="clear" w:pos="7609"/>
              <w:tab w:val="right" w:pos="9026" w:leader="dot"/>
            </w:tabs>
            <w:rPr/>
          </w:pPr>
          <w:hyperlink w:anchor="__RefHeading___Toc3056624_2870459653">
            <w:r>
              <w:rPr>
                <w:webHidden/>
                <w:rStyle w:val="IndexLink"/>
                <w:rtl w:val="true"/>
              </w:rPr>
              <w:t>دراسة تحليليّة للتعريفين</w:t>
            </w:r>
            <w:r>
              <w:rPr>
                <w:rStyle w:val="IndexLink"/>
                <w:rtl w:val="true"/>
              </w:rPr>
              <w:tab/>
            </w:r>
            <w:r>
              <w:rPr>
                <w:rStyle w:val="IndexLink"/>
              </w:rPr>
              <w:t>171</w:t>
            </w:r>
          </w:hyperlink>
        </w:p>
        <w:p>
          <w:pPr>
            <w:pStyle w:val="Contents6"/>
            <w:tabs>
              <w:tab w:val="clear" w:pos="7609"/>
              <w:tab w:val="right" w:pos="9026" w:leader="dot"/>
            </w:tabs>
            <w:rPr/>
          </w:pPr>
          <w:hyperlink w:anchor="__RefHeading___Toc3056626_2870459653">
            <w:r>
              <w:rPr>
                <w:webHidden/>
                <w:rStyle w:val="IndexLink"/>
                <w:rtl w:val="true"/>
              </w:rPr>
              <w:t>توضيح مفردات التعريف</w:t>
            </w:r>
            <w:r>
              <w:rPr>
                <w:rStyle w:val="IndexLink"/>
                <w:rtl w:val="true"/>
              </w:rPr>
              <w:tab/>
            </w:r>
            <w:r>
              <w:rPr>
                <w:rStyle w:val="IndexLink"/>
              </w:rPr>
              <w:t>172</w:t>
            </w:r>
          </w:hyperlink>
        </w:p>
        <w:p>
          <w:pPr>
            <w:pStyle w:val="Contents6"/>
            <w:tabs>
              <w:tab w:val="clear" w:pos="7609"/>
              <w:tab w:val="right" w:pos="9026" w:leader="dot"/>
            </w:tabs>
            <w:rPr/>
          </w:pPr>
          <w:hyperlink w:anchor="__RefHeading___Toc3056628_2870459653">
            <w:r>
              <w:rPr>
                <w:webHidden/>
                <w:rStyle w:val="IndexLink"/>
                <w:rtl w:val="true"/>
              </w:rPr>
              <w:t>العقد والرابطة بالمعنى اللغوي</w:t>
            </w:r>
            <w:r>
              <w:rPr>
                <w:rStyle w:val="IndexLink"/>
                <w:rtl w:val="true"/>
              </w:rPr>
              <w:tab/>
            </w:r>
            <w:r>
              <w:rPr>
                <w:rStyle w:val="IndexLink"/>
              </w:rPr>
              <w:t>173</w:t>
            </w:r>
          </w:hyperlink>
        </w:p>
        <w:p>
          <w:pPr>
            <w:pStyle w:val="Contents6"/>
            <w:tabs>
              <w:tab w:val="clear" w:pos="7609"/>
              <w:tab w:val="right" w:pos="9026" w:leader="dot"/>
            </w:tabs>
            <w:rPr/>
          </w:pPr>
          <w:hyperlink w:anchor="__RefHeading___Toc3056630_2870459653">
            <w:r>
              <w:rPr>
                <w:webHidden/>
                <w:rStyle w:val="IndexLink"/>
                <w:rtl w:val="true"/>
              </w:rPr>
              <w:t>النتيجة</w:t>
            </w:r>
            <w:r>
              <w:rPr>
                <w:rStyle w:val="IndexLink"/>
                <w:rtl w:val="true"/>
              </w:rPr>
              <w:tab/>
            </w:r>
            <w:r>
              <w:rPr>
                <w:rStyle w:val="IndexLink"/>
              </w:rPr>
              <w:t>175</w:t>
            </w:r>
          </w:hyperlink>
        </w:p>
        <w:p>
          <w:pPr>
            <w:pStyle w:val="Contents5"/>
            <w:tabs>
              <w:tab w:val="clear" w:pos="7892"/>
              <w:tab w:val="right" w:pos="9026" w:leader="dot"/>
            </w:tabs>
            <w:rPr/>
          </w:pPr>
          <w:hyperlink w:anchor="__RefHeading___Toc3056632_2870459653">
            <w:r>
              <w:rPr>
                <w:webHidden/>
                <w:rStyle w:val="IndexLink"/>
                <w:rtl w:val="true"/>
              </w:rPr>
              <w:t>الأمر الثَّاني</w:t>
            </w:r>
            <w:r>
              <w:rPr>
                <w:rStyle w:val="IndexLink"/>
                <w:rtl w:val="true"/>
              </w:rPr>
              <w:tab/>
            </w:r>
            <w:r>
              <w:rPr>
                <w:rStyle w:val="IndexLink"/>
              </w:rPr>
              <w:t>178</w:t>
            </w:r>
          </w:hyperlink>
        </w:p>
        <w:p>
          <w:pPr>
            <w:pStyle w:val="Contents6"/>
            <w:tabs>
              <w:tab w:val="clear" w:pos="7609"/>
              <w:tab w:val="right" w:pos="9026" w:leader="dot"/>
            </w:tabs>
            <w:rPr/>
          </w:pPr>
          <w:hyperlink w:anchor="__RefHeading___Toc3056634_2870459653">
            <w:r>
              <w:rPr>
                <w:webHidden/>
                <w:rStyle w:val="IndexLink"/>
                <w:rtl w:val="true"/>
              </w:rPr>
              <w:t>اشارة</w:t>
            </w:r>
            <w:r>
              <w:rPr>
                <w:rStyle w:val="IndexLink"/>
                <w:rtl w:val="true"/>
              </w:rPr>
              <w:tab/>
            </w:r>
            <w:r>
              <w:rPr>
                <w:rStyle w:val="IndexLink"/>
              </w:rPr>
              <w:t>178</w:t>
            </w:r>
          </w:hyperlink>
        </w:p>
        <w:p>
          <w:pPr>
            <w:pStyle w:val="Contents6"/>
            <w:tabs>
              <w:tab w:val="clear" w:pos="7609"/>
              <w:tab w:val="right" w:pos="9026" w:leader="dot"/>
            </w:tabs>
            <w:rPr/>
          </w:pPr>
          <w:hyperlink w:anchor="__RefHeading___Toc3056636_2870459653">
            <w:r>
              <w:rPr>
                <w:webHidden/>
                <w:rStyle w:val="IndexLink"/>
                <w:rtl w:val="true"/>
              </w:rPr>
              <w:t>أوَّلاً</w:t>
            </w:r>
            <w:r>
              <w:rPr>
                <w:rStyle w:val="IndexLink"/>
                <w:rtl w:val="true"/>
              </w:rPr>
              <w:t xml:space="preserve">: </w:t>
            </w:r>
            <w:r>
              <w:rPr>
                <w:rStyle w:val="IndexLink"/>
                <w:rtl w:val="true"/>
              </w:rPr>
              <w:t>إيجاباً</w:t>
            </w:r>
            <w:r>
              <w:rPr>
                <w:rStyle w:val="IndexLink"/>
                <w:rtl w:val="true"/>
              </w:rPr>
              <w:tab/>
            </w:r>
            <w:r>
              <w:rPr>
                <w:rStyle w:val="IndexLink"/>
              </w:rPr>
              <w:t>179</w:t>
            </w:r>
          </w:hyperlink>
        </w:p>
        <w:p>
          <w:pPr>
            <w:pStyle w:val="Contents6"/>
            <w:tabs>
              <w:tab w:val="clear" w:pos="7609"/>
              <w:tab w:val="right" w:pos="9026" w:leader="dot"/>
            </w:tabs>
            <w:rPr/>
          </w:pPr>
          <w:hyperlink w:anchor="__RefHeading___Toc3056638_2870459653">
            <w:r>
              <w:rPr>
                <w:webHidden/>
                <w:rStyle w:val="IndexLink"/>
                <w:rtl w:val="true"/>
              </w:rPr>
              <w:t>ثانياً</w:t>
            </w:r>
            <w:r>
              <w:rPr>
                <w:rStyle w:val="IndexLink"/>
                <w:rtl w:val="true"/>
              </w:rPr>
              <w:t xml:space="preserve">: </w:t>
            </w:r>
            <w:r>
              <w:rPr>
                <w:rStyle w:val="IndexLink"/>
                <w:rtl w:val="true"/>
              </w:rPr>
              <w:t>سلباً</w:t>
            </w:r>
            <w:r>
              <w:rPr>
                <w:rStyle w:val="IndexLink"/>
                <w:rtl w:val="true"/>
              </w:rPr>
              <w:tab/>
            </w:r>
            <w:r>
              <w:rPr>
                <w:rStyle w:val="IndexLink"/>
              </w:rPr>
              <w:t>180</w:t>
            </w:r>
          </w:hyperlink>
        </w:p>
        <w:p>
          <w:pPr>
            <w:pStyle w:val="Contents3"/>
            <w:tabs>
              <w:tab w:val="clear" w:pos="8459"/>
              <w:tab w:val="right" w:pos="9026" w:leader="dot"/>
            </w:tabs>
            <w:rPr/>
          </w:pPr>
          <w:hyperlink w:anchor="__RefHeading___Toc3056640_2870459653">
            <w:r>
              <w:rPr>
                <w:webHidden/>
                <w:rStyle w:val="IndexLink"/>
                <w:rtl w:val="true"/>
              </w:rPr>
              <w:t>المطلب الثَّاني</w:t>
            </w:r>
            <w:r>
              <w:rPr>
                <w:rStyle w:val="IndexLink"/>
                <w:rtl w:val="true"/>
              </w:rPr>
              <w:tab/>
            </w:r>
            <w:r>
              <w:rPr>
                <w:rStyle w:val="IndexLink"/>
              </w:rPr>
              <w:t>183</w:t>
            </w:r>
          </w:hyperlink>
        </w:p>
        <w:p>
          <w:pPr>
            <w:pStyle w:val="Contents4"/>
            <w:tabs>
              <w:tab w:val="clear" w:pos="8176"/>
              <w:tab w:val="right" w:pos="9026" w:leader="dot"/>
            </w:tabs>
            <w:rPr/>
          </w:pPr>
          <w:hyperlink w:anchor="__RefHeading___Toc3056642_2870459653">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3056644_2870459653">
            <w:r>
              <w:rPr>
                <w:webHidden/>
                <w:rStyle w:val="IndexLink"/>
                <w:rtl w:val="true"/>
              </w:rPr>
              <w:t>المقصد الأوَّل</w:t>
            </w:r>
            <w:r>
              <w:rPr>
                <w:rStyle w:val="IndexLink"/>
                <w:rtl w:val="true"/>
              </w:rPr>
              <w:t xml:space="preserve">: </w:t>
            </w:r>
            <w:r>
              <w:rPr>
                <w:rStyle w:val="IndexLink"/>
                <w:rtl w:val="true"/>
              </w:rPr>
              <w:t xml:space="preserve">دراسة فقهيّة للمادّة الثالثة </w:t>
            </w:r>
            <w:r>
              <w:rPr>
                <w:rStyle w:val="IndexLink"/>
                <w:rtl w:val="true"/>
              </w:rPr>
              <w:t>(</w:t>
            </w:r>
            <w:r>
              <w:rPr>
                <w:rStyle w:val="IndexLink"/>
                <w:rtl w:val="true"/>
              </w:rPr>
              <w:t>ف</w:t>
            </w:r>
            <w:r>
              <w:rPr>
                <w:rStyle w:val="IndexLink"/>
              </w:rPr>
              <w:t>4</w:t>
            </w:r>
            <w:r>
              <w:rPr>
                <w:rStyle w:val="IndexLink"/>
                <w:rtl w:val="true"/>
              </w:rPr>
              <w:t>)</w:t>
              <w:tab/>
            </w:r>
            <w:r>
              <w:rPr>
                <w:rStyle w:val="IndexLink"/>
              </w:rPr>
              <w:t>183</w:t>
            </w:r>
          </w:hyperlink>
        </w:p>
        <w:p>
          <w:pPr>
            <w:pStyle w:val="Contents5"/>
            <w:tabs>
              <w:tab w:val="clear" w:pos="7892"/>
              <w:tab w:val="right" w:pos="9026" w:leader="dot"/>
            </w:tabs>
            <w:rPr/>
          </w:pPr>
          <w:hyperlink w:anchor="__RefHeading___Toc3056646_2870459653">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3056648_2870459653">
            <w:r>
              <w:rPr>
                <w:webHidden/>
                <w:rStyle w:val="IndexLink"/>
                <w:rtl w:val="true"/>
              </w:rPr>
              <w:t>دراسة المادّتين</w:t>
            </w:r>
            <w:r>
              <w:rPr>
                <w:rStyle w:val="IndexLink"/>
                <w:rtl w:val="true"/>
              </w:rPr>
              <w:tab/>
            </w:r>
            <w:r>
              <w:rPr>
                <w:rStyle w:val="IndexLink"/>
              </w:rPr>
              <w:t>183</w:t>
            </w:r>
          </w:hyperlink>
        </w:p>
        <w:p>
          <w:pPr>
            <w:pStyle w:val="Contents6"/>
            <w:tabs>
              <w:tab w:val="clear" w:pos="7609"/>
              <w:tab w:val="right" w:pos="9026" w:leader="dot"/>
            </w:tabs>
            <w:rPr/>
          </w:pPr>
          <w:hyperlink w:anchor="__RefHeading___Toc3056650_2870459653">
            <w:r>
              <w:rPr>
                <w:webHidden/>
                <w:rStyle w:val="IndexLink"/>
                <w:rtl w:val="true"/>
              </w:rPr>
              <w:t>اشارة</w:t>
            </w:r>
            <w:r>
              <w:rPr>
                <w:rStyle w:val="IndexLink"/>
                <w:rtl w:val="true"/>
              </w:rPr>
              <w:tab/>
            </w:r>
            <w:r>
              <w:rPr>
                <w:rStyle w:val="IndexLink"/>
              </w:rPr>
              <w:t>183</w:t>
            </w:r>
          </w:hyperlink>
        </w:p>
        <w:p>
          <w:pPr>
            <w:pStyle w:val="Contents6"/>
            <w:tabs>
              <w:tab w:val="clear" w:pos="7609"/>
              <w:tab w:val="right" w:pos="9026" w:leader="dot"/>
            </w:tabs>
            <w:rPr/>
          </w:pPr>
          <w:hyperlink w:anchor="__RefHeading___Toc3056652_2870459653">
            <w:r>
              <w:rPr>
                <w:webHidden/>
                <w:rStyle w:val="IndexLink"/>
                <w:rtl w:val="true"/>
              </w:rPr>
              <w:t>النّكتة الأولى</w:t>
            </w:r>
            <w:r>
              <w:rPr>
                <w:rStyle w:val="IndexLink"/>
                <w:rtl w:val="true"/>
              </w:rPr>
              <w:tab/>
            </w:r>
            <w:r>
              <w:rPr>
                <w:rStyle w:val="IndexLink"/>
              </w:rPr>
              <w:t>185</w:t>
            </w:r>
          </w:hyperlink>
        </w:p>
        <w:p>
          <w:pPr>
            <w:pStyle w:val="Contents6"/>
            <w:tabs>
              <w:tab w:val="clear" w:pos="7609"/>
              <w:tab w:val="right" w:pos="9026" w:leader="dot"/>
            </w:tabs>
            <w:rPr/>
          </w:pPr>
          <w:hyperlink w:anchor="__RefHeading___Toc3056654_2870459653">
            <w:r>
              <w:rPr>
                <w:webHidden/>
                <w:rStyle w:val="IndexLink"/>
                <w:rtl w:val="true"/>
              </w:rPr>
              <w:t>النّكتة الثّانية</w:t>
            </w:r>
            <w:r>
              <w:rPr>
                <w:rStyle w:val="IndexLink"/>
                <w:rtl w:val="true"/>
              </w:rPr>
              <w:tab/>
            </w:r>
            <w:r>
              <w:rPr>
                <w:rStyle w:val="IndexLink"/>
              </w:rPr>
              <w:t>185</w:t>
            </w:r>
          </w:hyperlink>
        </w:p>
        <w:p>
          <w:pPr>
            <w:pStyle w:val="Contents6"/>
            <w:tabs>
              <w:tab w:val="clear" w:pos="7609"/>
              <w:tab w:val="right" w:pos="9026" w:leader="dot"/>
            </w:tabs>
            <w:rPr/>
          </w:pPr>
          <w:hyperlink w:anchor="__RefHeading___Toc3056656_2870459653">
            <w:r>
              <w:rPr>
                <w:webHidden/>
                <w:rStyle w:val="IndexLink"/>
                <w:rtl w:val="true"/>
              </w:rPr>
              <w:t>اشارة</w:t>
            </w:r>
            <w:r>
              <w:rPr>
                <w:rStyle w:val="IndexLink"/>
                <w:rtl w:val="true"/>
              </w:rPr>
              <w:tab/>
            </w:r>
            <w:r>
              <w:rPr>
                <w:rStyle w:val="IndexLink"/>
              </w:rPr>
              <w:t>185</w:t>
            </w:r>
          </w:hyperlink>
        </w:p>
        <w:p>
          <w:pPr>
            <w:pStyle w:val="Contents6"/>
            <w:tabs>
              <w:tab w:val="clear" w:pos="7609"/>
              <w:tab w:val="right" w:pos="9026" w:leader="dot"/>
            </w:tabs>
            <w:rPr/>
          </w:pPr>
          <w:hyperlink w:anchor="__RefHeading___Toc3056658_2870459653">
            <w:r>
              <w:rPr>
                <w:webHidden/>
                <w:rStyle w:val="IndexLink"/>
                <w:rtl w:val="true"/>
              </w:rPr>
              <w:t>الأمر الأوَّل</w:t>
            </w:r>
            <w:r>
              <w:rPr>
                <w:rStyle w:val="IndexLink"/>
                <w:rtl w:val="true"/>
              </w:rPr>
              <w:tab/>
            </w:r>
            <w:r>
              <w:rPr>
                <w:rStyle w:val="IndexLink"/>
              </w:rPr>
              <w:t>185</w:t>
            </w:r>
          </w:hyperlink>
        </w:p>
        <w:p>
          <w:pPr>
            <w:pStyle w:val="Contents6"/>
            <w:tabs>
              <w:tab w:val="clear" w:pos="7609"/>
              <w:tab w:val="right" w:pos="9026" w:leader="dot"/>
            </w:tabs>
            <w:rPr/>
          </w:pPr>
          <w:hyperlink w:anchor="__RefHeading___Toc3056660_2870459653">
            <w:r>
              <w:rPr>
                <w:webHidden/>
                <w:rStyle w:val="IndexLink"/>
                <w:rtl w:val="true"/>
              </w:rPr>
              <w:t>الأمر الثَّاني</w:t>
            </w:r>
            <w:r>
              <w:rPr>
                <w:rStyle w:val="IndexLink"/>
                <w:rtl w:val="true"/>
              </w:rPr>
              <w:tab/>
            </w:r>
            <w:r>
              <w:rPr>
                <w:rStyle w:val="IndexLink"/>
              </w:rPr>
              <w:t>186</w:t>
            </w:r>
          </w:hyperlink>
        </w:p>
        <w:p>
          <w:pPr>
            <w:pStyle w:val="Contents4"/>
            <w:tabs>
              <w:tab w:val="clear" w:pos="8176"/>
              <w:tab w:val="right" w:pos="9026" w:leader="dot"/>
            </w:tabs>
            <w:rPr/>
          </w:pPr>
          <w:hyperlink w:anchor="__RefHeading___Toc3056662_2870459653">
            <w:r>
              <w:rPr>
                <w:webHidden/>
                <w:rStyle w:val="IndexLink"/>
                <w:rtl w:val="true"/>
              </w:rPr>
              <w:t>المقصد الثَّاني</w:t>
            </w:r>
            <w:r>
              <w:rPr>
                <w:rStyle w:val="IndexLink"/>
                <w:rtl w:val="true"/>
              </w:rPr>
              <w:t xml:space="preserve">: </w:t>
            </w:r>
            <w:r>
              <w:rPr>
                <w:rStyle w:val="IndexLink"/>
                <w:rtl w:val="true"/>
              </w:rPr>
              <w:t>النّقد</w:t>
            </w:r>
            <w:r>
              <w:rPr>
                <w:rStyle w:val="IndexLink"/>
                <w:rtl w:val="true"/>
              </w:rPr>
              <w:tab/>
            </w:r>
            <w:r>
              <w:rPr>
                <w:rStyle w:val="IndexLink"/>
              </w:rPr>
              <w:t>187</w:t>
            </w:r>
          </w:hyperlink>
        </w:p>
        <w:p>
          <w:pPr>
            <w:pStyle w:val="Contents3"/>
            <w:tabs>
              <w:tab w:val="clear" w:pos="8459"/>
              <w:tab w:val="right" w:pos="9026" w:leader="dot"/>
            </w:tabs>
            <w:rPr/>
          </w:pPr>
          <w:hyperlink w:anchor="__RefHeading___Toc3056664_2870459653">
            <w:r>
              <w:rPr>
                <w:webHidden/>
                <w:rStyle w:val="IndexLink"/>
                <w:rtl w:val="true"/>
              </w:rPr>
              <w:t>الخاتمة</w:t>
            </w:r>
            <w:r>
              <w:rPr>
                <w:rStyle w:val="IndexLink"/>
                <w:rtl w:val="true"/>
              </w:rPr>
              <w:t xml:space="preserve">: </w:t>
            </w:r>
            <w:r>
              <w:rPr>
                <w:rStyle w:val="IndexLink"/>
                <w:rtl w:val="true"/>
              </w:rPr>
              <w:t>في النّتائج والمقترحات</w:t>
            </w:r>
            <w:r>
              <w:rPr>
                <w:rStyle w:val="IndexLink"/>
                <w:rtl w:val="true"/>
              </w:rPr>
              <w:tab/>
            </w:r>
            <w:r>
              <w:rPr>
                <w:rStyle w:val="IndexLink"/>
              </w:rPr>
              <w:t>189</w:t>
            </w:r>
          </w:hyperlink>
        </w:p>
        <w:p>
          <w:pPr>
            <w:pStyle w:val="Contents4"/>
            <w:tabs>
              <w:tab w:val="clear" w:pos="8176"/>
              <w:tab w:val="right" w:pos="9026" w:leader="dot"/>
            </w:tabs>
            <w:rPr/>
          </w:pPr>
          <w:hyperlink w:anchor="__RefHeading___Toc3056666_2870459653">
            <w:r>
              <w:rPr>
                <w:webHidden/>
                <w:rStyle w:val="IndexLink"/>
                <w:rtl w:val="true"/>
              </w:rPr>
              <w:t>أوَّلاً</w:t>
            </w:r>
            <w:r>
              <w:rPr>
                <w:rStyle w:val="IndexLink"/>
                <w:rtl w:val="true"/>
              </w:rPr>
              <w:t xml:space="preserve">: </w:t>
            </w:r>
            <w:r>
              <w:rPr>
                <w:rStyle w:val="IndexLink"/>
                <w:rtl w:val="true"/>
              </w:rPr>
              <w:t>النّتائج</w:t>
            </w:r>
            <w:r>
              <w:rPr>
                <w:rStyle w:val="IndexLink"/>
                <w:rtl w:val="true"/>
              </w:rPr>
              <w:tab/>
            </w:r>
            <w:r>
              <w:rPr>
                <w:rStyle w:val="IndexLink"/>
              </w:rPr>
              <w:t>189</w:t>
            </w:r>
          </w:hyperlink>
        </w:p>
        <w:p>
          <w:pPr>
            <w:pStyle w:val="Contents5"/>
            <w:tabs>
              <w:tab w:val="clear" w:pos="7892"/>
              <w:tab w:val="right" w:pos="9026" w:leader="dot"/>
            </w:tabs>
            <w:rPr/>
          </w:pPr>
          <w:hyperlink w:anchor="__RefHeading___Toc3056668_2870459653">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3056670_2870459653">
            <w:r>
              <w:rPr>
                <w:webHidden/>
                <w:rStyle w:val="IndexLink"/>
                <w:rtl w:val="true"/>
              </w:rPr>
              <w:t>النّتيجة النّهائيّة للبحث</w:t>
            </w:r>
            <w:r>
              <w:rPr>
                <w:rStyle w:val="IndexLink"/>
                <w:rtl w:val="true"/>
              </w:rPr>
              <w:tab/>
            </w:r>
            <w:r>
              <w:rPr>
                <w:rStyle w:val="IndexLink"/>
              </w:rPr>
              <w:t>197</w:t>
            </w:r>
          </w:hyperlink>
        </w:p>
        <w:p>
          <w:pPr>
            <w:pStyle w:val="Contents4"/>
            <w:tabs>
              <w:tab w:val="clear" w:pos="8176"/>
              <w:tab w:val="right" w:pos="9026" w:leader="dot"/>
            </w:tabs>
            <w:rPr/>
          </w:pPr>
          <w:hyperlink w:anchor="__RefHeading___Toc3056672_2870459653">
            <w:r>
              <w:rPr>
                <w:webHidden/>
                <w:rStyle w:val="IndexLink"/>
                <w:rtl w:val="true"/>
              </w:rPr>
              <w:t>ثانياً</w:t>
            </w:r>
            <w:r>
              <w:rPr>
                <w:rStyle w:val="IndexLink"/>
                <w:rtl w:val="true"/>
              </w:rPr>
              <w:t xml:space="preserve">: </w:t>
            </w:r>
            <w:r>
              <w:rPr>
                <w:rStyle w:val="IndexLink"/>
                <w:rtl w:val="true"/>
              </w:rPr>
              <w:t>المقترحات</w:t>
            </w:r>
            <w:r>
              <w:rPr>
                <w:rStyle w:val="IndexLink"/>
                <w:rtl w:val="true"/>
              </w:rPr>
              <w:tab/>
            </w:r>
            <w:r>
              <w:rPr>
                <w:rStyle w:val="IndexLink"/>
              </w:rPr>
              <w:t>198</w:t>
            </w:r>
          </w:hyperlink>
        </w:p>
        <w:p>
          <w:pPr>
            <w:pStyle w:val="Contents5"/>
            <w:tabs>
              <w:tab w:val="clear" w:pos="7892"/>
              <w:tab w:val="right" w:pos="9026" w:leader="dot"/>
            </w:tabs>
            <w:rPr/>
          </w:pPr>
          <w:hyperlink w:anchor="__RefHeading___Toc3056674_2870459653">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3056676_2870459653">
            <w:r>
              <w:rPr>
                <w:webHidden/>
                <w:rStyle w:val="IndexLink"/>
                <w:rtl w:val="true"/>
              </w:rPr>
              <w:t>المقترح النّهائي للبحث</w:t>
            </w:r>
            <w:r>
              <w:rPr>
                <w:rStyle w:val="IndexLink"/>
                <w:rtl w:val="true"/>
              </w:rPr>
              <w:tab/>
            </w:r>
            <w:r>
              <w:rPr>
                <w:rStyle w:val="IndexLink"/>
              </w:rPr>
              <w:t>202</w:t>
            </w:r>
          </w:hyperlink>
        </w:p>
        <w:p>
          <w:pPr>
            <w:pStyle w:val="Contents3"/>
            <w:tabs>
              <w:tab w:val="clear" w:pos="8459"/>
              <w:tab w:val="right" w:pos="9026" w:leader="dot"/>
            </w:tabs>
            <w:rPr/>
          </w:pPr>
          <w:hyperlink w:anchor="__RefHeading___Toc3056678_2870459653">
            <w:r>
              <w:rPr>
                <w:webHidden/>
                <w:rStyle w:val="IndexLink"/>
                <w:rtl w:val="true"/>
              </w:rPr>
              <w:t>المصادر والمراجع</w:t>
            </w:r>
            <w:r>
              <w:rPr>
                <w:rStyle w:val="IndexLink"/>
                <w:rtl w:val="true"/>
              </w:rPr>
              <w:tab/>
            </w:r>
            <w:r>
              <w:rPr>
                <w:rStyle w:val="IndexLink"/>
              </w:rPr>
              <w:t>203</w:t>
            </w:r>
          </w:hyperlink>
        </w:p>
        <w:p>
          <w:pPr>
            <w:pStyle w:val="Contents2"/>
            <w:tabs>
              <w:tab w:val="clear" w:pos="8743"/>
              <w:tab w:val="right" w:pos="9026" w:leader="dot"/>
            </w:tabs>
            <w:rPr/>
          </w:pPr>
          <w:hyperlink w:anchor="__RefHeading___Toc3056680_2870459653">
            <w:r>
              <w:rPr>
                <w:webHidden/>
                <w:rStyle w:val="IndexLink"/>
                <w:rtl w:val="true"/>
              </w:rPr>
              <w:t xml:space="preserve">الشّهرة حجّة ومرجحاً وجابراً </w:t>
            </w:r>
            <w:r>
              <w:rPr>
                <w:rStyle w:val="IndexLink"/>
                <w:rtl w:val="true"/>
              </w:rPr>
              <w:t xml:space="preserve">- </w:t>
            </w:r>
            <w:r>
              <w:rPr>
                <w:rStyle w:val="IndexLink"/>
                <w:rtl w:val="true"/>
              </w:rPr>
              <w:t xml:space="preserve">الشيخ حَميد رُمح الحِلي </w:t>
            </w:r>
            <w:r>
              <w:rPr>
                <w:rStyle w:val="IndexLink"/>
                <w:rtl w:val="true"/>
              </w:rPr>
              <w:t>(</w:t>
            </w:r>
            <w:r>
              <w:rPr>
                <w:rStyle w:val="IndexLink"/>
                <w:rtl w:val="true"/>
              </w:rPr>
              <w:t>دام عزه</w:t>
            </w:r>
            <w:r>
              <w:rPr>
                <w:rStyle w:val="IndexLink"/>
                <w:rtl w:val="true"/>
              </w:rPr>
              <w:t>)</w:t>
              <w:tab/>
            </w:r>
            <w:r>
              <w:rPr>
                <w:rStyle w:val="IndexLink"/>
              </w:rPr>
              <w:t>222</w:t>
            </w:r>
          </w:hyperlink>
        </w:p>
        <w:p>
          <w:pPr>
            <w:pStyle w:val="Contents3"/>
            <w:tabs>
              <w:tab w:val="clear" w:pos="8459"/>
              <w:tab w:val="right" w:pos="9026" w:leader="dot"/>
            </w:tabs>
            <w:rPr/>
          </w:pPr>
          <w:hyperlink w:anchor="__RefHeading___Toc3056682_2870459653">
            <w:r>
              <w:rPr>
                <w:webHidden/>
                <w:rStyle w:val="IndexLink"/>
                <w:rtl w:val="true"/>
              </w:rPr>
              <w:t>اشارة</w:t>
            </w:r>
            <w:r>
              <w:rPr>
                <w:rStyle w:val="IndexLink"/>
                <w:rtl w:val="true"/>
              </w:rPr>
              <w:tab/>
            </w:r>
            <w:r>
              <w:rPr>
                <w:rStyle w:val="IndexLink"/>
              </w:rPr>
              <w:t>222</w:t>
            </w:r>
          </w:hyperlink>
        </w:p>
        <w:p>
          <w:pPr>
            <w:pStyle w:val="Contents3"/>
            <w:tabs>
              <w:tab w:val="clear" w:pos="8459"/>
              <w:tab w:val="right" w:pos="9026" w:leader="dot"/>
            </w:tabs>
            <w:rPr/>
          </w:pPr>
          <w:hyperlink w:anchor="__RefHeading___Toc3056684_2870459653">
            <w:r>
              <w:rPr>
                <w:webHidden/>
                <w:rStyle w:val="IndexLink"/>
                <w:rtl w:val="true"/>
              </w:rPr>
              <w:t>المقدّمة</w:t>
            </w:r>
            <w:r>
              <w:rPr>
                <w:rStyle w:val="IndexLink"/>
                <w:rtl w:val="true"/>
              </w:rPr>
              <w:tab/>
            </w:r>
            <w:r>
              <w:rPr>
                <w:rStyle w:val="IndexLink"/>
              </w:rPr>
              <w:t>224</w:t>
            </w:r>
          </w:hyperlink>
        </w:p>
        <w:p>
          <w:pPr>
            <w:pStyle w:val="Contents3"/>
            <w:tabs>
              <w:tab w:val="clear" w:pos="8459"/>
              <w:tab w:val="right" w:pos="9026" w:leader="dot"/>
            </w:tabs>
            <w:rPr/>
          </w:pPr>
          <w:hyperlink w:anchor="__RefHeading___Toc3056686_2870459653">
            <w:r>
              <w:rPr>
                <w:webHidden/>
                <w:rStyle w:val="IndexLink"/>
                <w:rtl w:val="true"/>
              </w:rPr>
              <w:t>المستوى الأوَّل</w:t>
            </w:r>
            <w:r>
              <w:rPr>
                <w:rStyle w:val="IndexLink"/>
                <w:rtl w:val="true"/>
              </w:rPr>
              <w:t xml:space="preserve">: </w:t>
            </w:r>
            <w:r>
              <w:rPr>
                <w:rStyle w:val="IndexLink"/>
                <w:rtl w:val="true"/>
              </w:rPr>
              <w:t>صلاحيّتها لأنْ تكون حجّةً على الحكم الشَّرعيّ</w:t>
            </w:r>
            <w:r>
              <w:rPr>
                <w:rStyle w:val="IndexLink"/>
                <w:rtl w:val="true"/>
              </w:rPr>
              <w:tab/>
            </w:r>
            <w:r>
              <w:rPr>
                <w:rStyle w:val="IndexLink"/>
              </w:rPr>
              <w:t>226</w:t>
            </w:r>
          </w:hyperlink>
        </w:p>
        <w:p>
          <w:pPr>
            <w:pStyle w:val="Contents4"/>
            <w:tabs>
              <w:tab w:val="clear" w:pos="8176"/>
              <w:tab w:val="right" w:pos="9026" w:leader="dot"/>
            </w:tabs>
            <w:rPr/>
          </w:pPr>
          <w:hyperlink w:anchor="__RefHeading___Toc3056688_2870459653">
            <w:r>
              <w:rPr>
                <w:webHidden/>
                <w:rStyle w:val="IndexLink"/>
                <w:rtl w:val="true"/>
              </w:rPr>
              <w:t>اشارة</w:t>
            </w:r>
            <w:r>
              <w:rPr>
                <w:rStyle w:val="IndexLink"/>
                <w:rtl w:val="true"/>
              </w:rPr>
              <w:tab/>
            </w:r>
            <w:r>
              <w:rPr>
                <w:rStyle w:val="IndexLink"/>
              </w:rPr>
              <w:t>226</w:t>
            </w:r>
          </w:hyperlink>
        </w:p>
        <w:p>
          <w:pPr>
            <w:pStyle w:val="Contents4"/>
            <w:tabs>
              <w:tab w:val="clear" w:pos="8176"/>
              <w:tab w:val="right" w:pos="9026" w:leader="dot"/>
            </w:tabs>
            <w:rPr/>
          </w:pPr>
          <w:hyperlink w:anchor="__RefHeading___Toc3056690_2870459653">
            <w:r>
              <w:rPr>
                <w:webHidden/>
                <w:rStyle w:val="IndexLink"/>
                <w:rtl w:val="true"/>
              </w:rPr>
              <w:t>النّوع الأوَّل</w:t>
            </w:r>
            <w:r>
              <w:rPr>
                <w:rStyle w:val="IndexLink"/>
                <w:rtl w:val="true"/>
              </w:rPr>
              <w:tab/>
            </w:r>
            <w:r>
              <w:rPr>
                <w:rStyle w:val="IndexLink"/>
              </w:rPr>
              <w:t>226</w:t>
            </w:r>
          </w:hyperlink>
        </w:p>
        <w:p>
          <w:pPr>
            <w:pStyle w:val="Contents4"/>
            <w:tabs>
              <w:tab w:val="clear" w:pos="8176"/>
              <w:tab w:val="right" w:pos="9026" w:leader="dot"/>
            </w:tabs>
            <w:rPr/>
          </w:pPr>
          <w:hyperlink w:anchor="__RefHeading___Toc3056692_2870459653">
            <w:r>
              <w:rPr>
                <w:webHidden/>
                <w:rStyle w:val="IndexLink"/>
                <w:rtl w:val="true"/>
              </w:rPr>
              <w:t>النّوع الثّاني</w:t>
            </w:r>
            <w:r>
              <w:rPr>
                <w:rStyle w:val="IndexLink"/>
                <w:rtl w:val="true"/>
              </w:rPr>
              <w:tab/>
            </w:r>
            <w:r>
              <w:rPr>
                <w:rStyle w:val="IndexLink"/>
              </w:rPr>
              <w:t>226</w:t>
            </w:r>
          </w:hyperlink>
        </w:p>
        <w:p>
          <w:pPr>
            <w:pStyle w:val="Contents5"/>
            <w:tabs>
              <w:tab w:val="clear" w:pos="7892"/>
              <w:tab w:val="right" w:pos="9026" w:leader="dot"/>
            </w:tabs>
            <w:rPr/>
          </w:pPr>
          <w:hyperlink w:anchor="__RefHeading___Toc3056694_2870459653">
            <w:r>
              <w:rPr>
                <w:webHidden/>
                <w:rStyle w:val="IndexLink"/>
                <w:rtl w:val="true"/>
              </w:rPr>
              <w:t>اشارة</w:t>
            </w:r>
            <w:r>
              <w:rPr>
                <w:rStyle w:val="IndexLink"/>
                <w:rtl w:val="true"/>
              </w:rPr>
              <w:tab/>
            </w:r>
            <w:r>
              <w:rPr>
                <w:rStyle w:val="IndexLink"/>
              </w:rPr>
              <w:t>226</w:t>
            </w:r>
          </w:hyperlink>
        </w:p>
        <w:p>
          <w:pPr>
            <w:pStyle w:val="Contents5"/>
            <w:tabs>
              <w:tab w:val="clear" w:pos="7892"/>
              <w:tab w:val="right" w:pos="9026" w:leader="dot"/>
            </w:tabs>
            <w:rPr/>
          </w:pPr>
          <w:hyperlink w:anchor="__RefHeading___Toc3056696_2870459653">
            <w:r>
              <w:rPr>
                <w:webHidden/>
                <w:rStyle w:val="IndexLink"/>
                <w:rtl w:val="true"/>
              </w:rPr>
              <w:t>الأمر الأوّل</w:t>
            </w:r>
            <w:r>
              <w:rPr>
                <w:rStyle w:val="IndexLink"/>
                <w:rtl w:val="true"/>
              </w:rPr>
              <w:tab/>
            </w:r>
            <w:r>
              <w:rPr>
                <w:rStyle w:val="IndexLink"/>
              </w:rPr>
              <w:t>231</w:t>
            </w:r>
          </w:hyperlink>
        </w:p>
        <w:p>
          <w:pPr>
            <w:pStyle w:val="Contents5"/>
            <w:tabs>
              <w:tab w:val="clear" w:pos="7892"/>
              <w:tab w:val="right" w:pos="9026" w:leader="dot"/>
            </w:tabs>
            <w:rPr/>
          </w:pPr>
          <w:hyperlink w:anchor="__RefHeading___Toc3056698_2870459653">
            <w:r>
              <w:rPr>
                <w:webHidden/>
                <w:rStyle w:val="IndexLink"/>
                <w:rtl w:val="true"/>
              </w:rPr>
              <w:t>الأمر الثّاني</w:t>
            </w:r>
            <w:r>
              <w:rPr>
                <w:rStyle w:val="IndexLink"/>
                <w:rtl w:val="true"/>
              </w:rPr>
              <w:tab/>
            </w:r>
            <w:r>
              <w:rPr>
                <w:rStyle w:val="IndexLink"/>
              </w:rPr>
              <w:t>234</w:t>
            </w:r>
          </w:hyperlink>
        </w:p>
        <w:p>
          <w:pPr>
            <w:pStyle w:val="Contents5"/>
            <w:tabs>
              <w:tab w:val="clear" w:pos="7892"/>
              <w:tab w:val="right" w:pos="9026" w:leader="dot"/>
            </w:tabs>
            <w:rPr/>
          </w:pPr>
          <w:hyperlink w:anchor="__RefHeading___Toc3056700_2870459653">
            <w:r>
              <w:rPr>
                <w:webHidden/>
                <w:rStyle w:val="IndexLink"/>
                <w:rtl w:val="true"/>
              </w:rPr>
              <w:t>الأمر الثّالث</w:t>
            </w:r>
            <w:r>
              <w:rPr>
                <w:rStyle w:val="IndexLink"/>
                <w:rtl w:val="true"/>
              </w:rPr>
              <w:tab/>
            </w:r>
            <w:r>
              <w:rPr>
                <w:rStyle w:val="IndexLink"/>
              </w:rPr>
              <w:t>236</w:t>
            </w:r>
          </w:hyperlink>
        </w:p>
        <w:p>
          <w:pPr>
            <w:pStyle w:val="Contents6"/>
            <w:tabs>
              <w:tab w:val="clear" w:pos="7609"/>
              <w:tab w:val="right" w:pos="9026" w:leader="dot"/>
            </w:tabs>
            <w:rPr/>
          </w:pPr>
          <w:hyperlink w:anchor="__RefHeading___Toc3056702_2870459653">
            <w:r>
              <w:rPr>
                <w:webHidden/>
                <w:rStyle w:val="IndexLink"/>
                <w:rtl w:val="true"/>
              </w:rPr>
              <w:t>اشارة</w:t>
            </w:r>
            <w:r>
              <w:rPr>
                <w:rStyle w:val="IndexLink"/>
                <w:rtl w:val="true"/>
              </w:rPr>
              <w:tab/>
            </w:r>
            <w:r>
              <w:rPr>
                <w:rStyle w:val="IndexLink"/>
              </w:rPr>
              <w:t>236</w:t>
            </w:r>
          </w:hyperlink>
        </w:p>
        <w:p>
          <w:pPr>
            <w:pStyle w:val="Contents6"/>
            <w:tabs>
              <w:tab w:val="clear" w:pos="7609"/>
              <w:tab w:val="right" w:pos="9026" w:leader="dot"/>
            </w:tabs>
            <w:rPr/>
          </w:pPr>
          <w:hyperlink w:anchor="__RefHeading___Toc3056704_2870459653">
            <w:r>
              <w:rPr>
                <w:webHidden/>
                <w:rStyle w:val="IndexLink"/>
                <w:rtl w:val="true"/>
              </w:rPr>
              <w:t>الرواية الأولى</w:t>
            </w:r>
            <w:r>
              <w:rPr>
                <w:rStyle w:val="IndexLink"/>
                <w:rtl w:val="true"/>
              </w:rPr>
              <w:tab/>
            </w:r>
            <w:r>
              <w:rPr>
                <w:rStyle w:val="IndexLink"/>
              </w:rPr>
              <w:t>236</w:t>
            </w:r>
          </w:hyperlink>
        </w:p>
        <w:p>
          <w:pPr>
            <w:pStyle w:val="Contents6"/>
            <w:tabs>
              <w:tab w:val="clear" w:pos="7609"/>
              <w:tab w:val="right" w:pos="9026" w:leader="dot"/>
            </w:tabs>
            <w:rPr/>
          </w:pPr>
          <w:hyperlink w:anchor="__RefHeading___Toc3056706_2870459653">
            <w:r>
              <w:rPr>
                <w:webHidden/>
                <w:rStyle w:val="IndexLink"/>
                <w:rtl w:val="true"/>
              </w:rPr>
              <w:t>الرّواية الثّانية</w:t>
            </w:r>
            <w:r>
              <w:rPr>
                <w:rStyle w:val="IndexLink"/>
                <w:rtl w:val="true"/>
              </w:rPr>
              <w:tab/>
            </w:r>
            <w:r>
              <w:rPr>
                <w:rStyle w:val="IndexLink"/>
              </w:rPr>
              <w:t>240</w:t>
            </w:r>
          </w:hyperlink>
        </w:p>
        <w:p>
          <w:pPr>
            <w:pStyle w:val="Contents3"/>
            <w:tabs>
              <w:tab w:val="clear" w:pos="8459"/>
              <w:tab w:val="right" w:pos="9026" w:leader="dot"/>
            </w:tabs>
            <w:rPr/>
          </w:pPr>
          <w:hyperlink w:anchor="__RefHeading___Toc3056708_2870459653">
            <w:r>
              <w:rPr>
                <w:webHidden/>
                <w:rStyle w:val="IndexLink"/>
                <w:rtl w:val="true"/>
              </w:rPr>
              <w:t>المستوى الثّاني</w:t>
            </w:r>
            <w:r>
              <w:rPr>
                <w:rStyle w:val="IndexLink"/>
                <w:rtl w:val="true"/>
              </w:rPr>
              <w:t xml:space="preserve">: </w:t>
            </w:r>
            <w:r>
              <w:rPr>
                <w:rStyle w:val="IndexLink"/>
                <w:rtl w:val="true"/>
              </w:rPr>
              <w:t>في كون الشّهرة مرجّحاً لأحد الخبرين المتعارضين</w:t>
            </w:r>
            <w:r>
              <w:rPr>
                <w:rStyle w:val="IndexLink"/>
                <w:rtl w:val="true"/>
              </w:rPr>
              <w:tab/>
            </w:r>
            <w:r>
              <w:rPr>
                <w:rStyle w:val="IndexLink"/>
              </w:rPr>
              <w:t>244</w:t>
            </w:r>
          </w:hyperlink>
        </w:p>
        <w:p>
          <w:pPr>
            <w:pStyle w:val="Contents4"/>
            <w:tabs>
              <w:tab w:val="clear" w:pos="8176"/>
              <w:tab w:val="right" w:pos="9026" w:leader="dot"/>
            </w:tabs>
            <w:rPr/>
          </w:pPr>
          <w:hyperlink w:anchor="__RefHeading___Toc3056710_2870459653">
            <w:r>
              <w:rPr>
                <w:webHidden/>
                <w:rStyle w:val="IndexLink"/>
                <w:rtl w:val="true"/>
              </w:rPr>
              <w:t>اشارة</w:t>
            </w:r>
            <w:r>
              <w:rPr>
                <w:rStyle w:val="IndexLink"/>
                <w:rtl w:val="true"/>
              </w:rPr>
              <w:tab/>
            </w:r>
            <w:r>
              <w:rPr>
                <w:rStyle w:val="IndexLink"/>
              </w:rPr>
              <w:t>244</w:t>
            </w:r>
          </w:hyperlink>
        </w:p>
        <w:p>
          <w:pPr>
            <w:pStyle w:val="Contents4"/>
            <w:tabs>
              <w:tab w:val="clear" w:pos="8176"/>
              <w:tab w:val="right" w:pos="9026" w:leader="dot"/>
            </w:tabs>
            <w:rPr/>
          </w:pPr>
          <w:hyperlink w:anchor="__RefHeading___Toc3056712_2870459653">
            <w:r>
              <w:rPr>
                <w:webHidden/>
                <w:rStyle w:val="IndexLink"/>
                <w:rtl w:val="true"/>
              </w:rPr>
              <w:t>الرّواية الأولى</w:t>
            </w:r>
            <w:r>
              <w:rPr>
                <w:rStyle w:val="IndexLink"/>
                <w:rtl w:val="true"/>
              </w:rPr>
              <w:tab/>
            </w:r>
            <w:r>
              <w:rPr>
                <w:rStyle w:val="IndexLink"/>
              </w:rPr>
              <w:t>253</w:t>
            </w:r>
          </w:hyperlink>
        </w:p>
        <w:p>
          <w:pPr>
            <w:pStyle w:val="Contents5"/>
            <w:tabs>
              <w:tab w:val="clear" w:pos="7892"/>
              <w:tab w:val="right" w:pos="9026" w:leader="dot"/>
            </w:tabs>
            <w:rPr/>
          </w:pPr>
          <w:hyperlink w:anchor="__RefHeading___Toc3056714_2870459653">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3056716_2870459653">
            <w:r>
              <w:rPr>
                <w:webHidden/>
                <w:rStyle w:val="IndexLink"/>
                <w:rtl w:val="true"/>
              </w:rPr>
              <w:t>الجهة الأولى</w:t>
            </w:r>
            <w:r>
              <w:rPr>
                <w:rStyle w:val="IndexLink"/>
                <w:rtl w:val="true"/>
              </w:rPr>
              <w:t xml:space="preserve">: </w:t>
            </w:r>
            <w:r>
              <w:rPr>
                <w:rStyle w:val="IndexLink"/>
                <w:rtl w:val="true"/>
              </w:rPr>
              <w:t>في سندها</w:t>
            </w:r>
            <w:r>
              <w:rPr>
                <w:rStyle w:val="IndexLink"/>
                <w:rtl w:val="true"/>
              </w:rPr>
              <w:tab/>
            </w:r>
            <w:r>
              <w:rPr>
                <w:rStyle w:val="IndexLink"/>
              </w:rPr>
              <w:t>253</w:t>
            </w:r>
          </w:hyperlink>
        </w:p>
        <w:p>
          <w:pPr>
            <w:pStyle w:val="Contents5"/>
            <w:tabs>
              <w:tab w:val="clear" w:pos="7892"/>
              <w:tab w:val="right" w:pos="9026" w:leader="dot"/>
            </w:tabs>
            <w:rPr/>
          </w:pPr>
          <w:hyperlink w:anchor="__RefHeading___Toc3056718_2870459653">
            <w:r>
              <w:rPr>
                <w:webHidden/>
                <w:rStyle w:val="IndexLink"/>
                <w:rtl w:val="true"/>
              </w:rPr>
              <w:t>الجهة الثّانية</w:t>
            </w:r>
            <w:r>
              <w:rPr>
                <w:rStyle w:val="IndexLink"/>
                <w:rtl w:val="true"/>
              </w:rPr>
              <w:t xml:space="preserve">: </w:t>
            </w:r>
            <w:r>
              <w:rPr>
                <w:rStyle w:val="IndexLink"/>
                <w:rtl w:val="true"/>
              </w:rPr>
              <w:t>في تحديد مفادها</w:t>
            </w:r>
            <w:r>
              <w:rPr>
                <w:rStyle w:val="IndexLink"/>
                <w:rtl w:val="true"/>
              </w:rPr>
              <w:tab/>
            </w:r>
            <w:r>
              <w:rPr>
                <w:rStyle w:val="IndexLink"/>
              </w:rPr>
              <w:t>256</w:t>
            </w:r>
          </w:hyperlink>
        </w:p>
        <w:p>
          <w:pPr>
            <w:pStyle w:val="Contents4"/>
            <w:tabs>
              <w:tab w:val="clear" w:pos="8176"/>
              <w:tab w:val="right" w:pos="9026" w:leader="dot"/>
            </w:tabs>
            <w:rPr/>
          </w:pPr>
          <w:hyperlink w:anchor="__RefHeading___Toc3056720_2870459653">
            <w:r>
              <w:rPr>
                <w:webHidden/>
                <w:rStyle w:val="IndexLink"/>
                <w:rtl w:val="true"/>
              </w:rPr>
              <w:t>الرّواية الثّانية</w:t>
            </w:r>
            <w:r>
              <w:rPr>
                <w:rStyle w:val="IndexLink"/>
                <w:rtl w:val="true"/>
              </w:rPr>
              <w:tab/>
            </w:r>
            <w:r>
              <w:rPr>
                <w:rStyle w:val="IndexLink"/>
              </w:rPr>
              <w:t>258</w:t>
            </w:r>
          </w:hyperlink>
        </w:p>
        <w:p>
          <w:pPr>
            <w:pStyle w:val="Contents5"/>
            <w:tabs>
              <w:tab w:val="clear" w:pos="7892"/>
              <w:tab w:val="right" w:pos="9026" w:leader="dot"/>
            </w:tabs>
            <w:rPr/>
          </w:pPr>
          <w:hyperlink w:anchor="__RefHeading___Toc3056722_2870459653">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3056724_2870459653">
            <w:r>
              <w:rPr>
                <w:webHidden/>
                <w:rStyle w:val="IndexLink"/>
                <w:rtl w:val="true"/>
              </w:rPr>
              <w:t>الجهة الأولى</w:t>
            </w:r>
            <w:r>
              <w:rPr>
                <w:rStyle w:val="IndexLink"/>
                <w:rtl w:val="true"/>
              </w:rPr>
              <w:t xml:space="preserve">: </w:t>
            </w:r>
            <w:r>
              <w:rPr>
                <w:rStyle w:val="IndexLink"/>
                <w:rtl w:val="true"/>
              </w:rPr>
              <w:t>في سندها</w:t>
            </w:r>
            <w:r>
              <w:rPr>
                <w:rStyle w:val="IndexLink"/>
                <w:rtl w:val="true"/>
              </w:rPr>
              <w:tab/>
            </w:r>
            <w:r>
              <w:rPr>
                <w:rStyle w:val="IndexLink"/>
              </w:rPr>
              <w:t>259</w:t>
            </w:r>
          </w:hyperlink>
        </w:p>
        <w:p>
          <w:pPr>
            <w:pStyle w:val="Contents5"/>
            <w:tabs>
              <w:tab w:val="clear" w:pos="7892"/>
              <w:tab w:val="right" w:pos="9026" w:leader="dot"/>
            </w:tabs>
            <w:rPr/>
          </w:pPr>
          <w:hyperlink w:anchor="__RefHeading___Toc3056726_2870459653">
            <w:r>
              <w:rPr>
                <w:webHidden/>
                <w:rStyle w:val="IndexLink"/>
                <w:rtl w:val="true"/>
              </w:rPr>
              <w:t>الجهة الثّانية</w:t>
            </w:r>
            <w:r>
              <w:rPr>
                <w:rStyle w:val="IndexLink"/>
                <w:rtl w:val="true"/>
              </w:rPr>
              <w:t xml:space="preserve">: </w:t>
            </w:r>
            <w:r>
              <w:rPr>
                <w:rStyle w:val="IndexLink"/>
                <w:rtl w:val="true"/>
              </w:rPr>
              <w:t>في دلالتها</w:t>
            </w:r>
            <w:r>
              <w:rPr>
                <w:rStyle w:val="IndexLink"/>
                <w:rtl w:val="true"/>
              </w:rPr>
              <w:tab/>
            </w:r>
            <w:r>
              <w:rPr>
                <w:rStyle w:val="IndexLink"/>
              </w:rPr>
              <w:t>260</w:t>
            </w:r>
          </w:hyperlink>
        </w:p>
        <w:p>
          <w:pPr>
            <w:pStyle w:val="Contents4"/>
            <w:tabs>
              <w:tab w:val="clear" w:pos="8176"/>
              <w:tab w:val="right" w:pos="9026" w:leader="dot"/>
            </w:tabs>
            <w:rPr/>
          </w:pPr>
          <w:hyperlink w:anchor="__RefHeading___Toc3056728_2870459653">
            <w:r>
              <w:rPr>
                <w:webHidden/>
                <w:rStyle w:val="IndexLink"/>
                <w:rtl w:val="true"/>
              </w:rPr>
              <w:t>الرّواية الثّالثة</w:t>
            </w:r>
            <w:r>
              <w:rPr>
                <w:rStyle w:val="IndexLink"/>
                <w:rtl w:val="true"/>
              </w:rPr>
              <w:tab/>
            </w:r>
            <w:r>
              <w:rPr>
                <w:rStyle w:val="IndexLink"/>
              </w:rPr>
              <w:t>267</w:t>
            </w:r>
          </w:hyperlink>
        </w:p>
        <w:p>
          <w:pPr>
            <w:pStyle w:val="Contents5"/>
            <w:tabs>
              <w:tab w:val="clear" w:pos="7892"/>
              <w:tab w:val="right" w:pos="9026" w:leader="dot"/>
            </w:tabs>
            <w:rPr/>
          </w:pPr>
          <w:hyperlink w:anchor="__RefHeading___Toc3056730_2870459653">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3056732_2870459653">
            <w:r>
              <w:rPr>
                <w:webHidden/>
                <w:rStyle w:val="IndexLink"/>
                <w:rtl w:val="true"/>
              </w:rPr>
              <w:t>المقدّمة الأولى</w:t>
            </w:r>
            <w:r>
              <w:rPr>
                <w:rStyle w:val="IndexLink"/>
                <w:rtl w:val="true"/>
              </w:rPr>
              <w:tab/>
            </w:r>
            <w:r>
              <w:rPr>
                <w:rStyle w:val="IndexLink"/>
              </w:rPr>
              <w:t>268</w:t>
            </w:r>
          </w:hyperlink>
        </w:p>
        <w:p>
          <w:pPr>
            <w:pStyle w:val="Contents5"/>
            <w:tabs>
              <w:tab w:val="clear" w:pos="7892"/>
              <w:tab w:val="right" w:pos="9026" w:leader="dot"/>
            </w:tabs>
            <w:rPr/>
          </w:pPr>
          <w:hyperlink w:anchor="__RefHeading___Toc3056734_2870459653">
            <w:r>
              <w:rPr>
                <w:webHidden/>
                <w:rStyle w:val="IndexLink"/>
                <w:rtl w:val="true"/>
              </w:rPr>
              <w:t>المقدّمة الثّانية</w:t>
            </w:r>
            <w:r>
              <w:rPr>
                <w:rStyle w:val="IndexLink"/>
                <w:rtl w:val="true"/>
              </w:rPr>
              <w:tab/>
            </w:r>
            <w:r>
              <w:rPr>
                <w:rStyle w:val="IndexLink"/>
              </w:rPr>
              <w:t>272</w:t>
            </w:r>
          </w:hyperlink>
        </w:p>
        <w:p>
          <w:pPr>
            <w:pStyle w:val="Contents3"/>
            <w:tabs>
              <w:tab w:val="clear" w:pos="8459"/>
              <w:tab w:val="right" w:pos="9026" w:leader="dot"/>
            </w:tabs>
            <w:rPr/>
          </w:pPr>
          <w:hyperlink w:anchor="__RefHeading___Toc3056736_2870459653">
            <w:r>
              <w:rPr>
                <w:webHidden/>
                <w:rStyle w:val="IndexLink"/>
                <w:rtl w:val="true"/>
              </w:rPr>
              <w:t>المستوى الثّالث</w:t>
            </w:r>
            <w:r>
              <w:rPr>
                <w:rStyle w:val="IndexLink"/>
                <w:rtl w:val="true"/>
              </w:rPr>
              <w:t xml:space="preserve">: </w:t>
            </w:r>
            <w:r>
              <w:rPr>
                <w:rStyle w:val="IndexLink"/>
                <w:rtl w:val="true"/>
              </w:rPr>
              <w:t>في كون الشّهرة جابرةً للضعف السّندي أم لا</w:t>
            </w:r>
            <w:r>
              <w:rPr>
                <w:rStyle w:val="IndexLink"/>
                <w:rtl w:val="true"/>
              </w:rPr>
              <w:tab/>
            </w:r>
            <w:r>
              <w:rPr>
                <w:rStyle w:val="IndexLink"/>
              </w:rPr>
              <w:t>280</w:t>
            </w:r>
          </w:hyperlink>
        </w:p>
        <w:p>
          <w:pPr>
            <w:pStyle w:val="Contents3"/>
            <w:tabs>
              <w:tab w:val="clear" w:pos="8459"/>
              <w:tab w:val="right" w:pos="9026" w:leader="dot"/>
            </w:tabs>
            <w:rPr/>
          </w:pPr>
          <w:hyperlink w:anchor="__RefHeading___Toc3056738_2870459653">
            <w:r>
              <w:rPr>
                <w:webHidden/>
                <w:rStyle w:val="IndexLink"/>
                <w:rtl w:val="true"/>
              </w:rPr>
              <w:t>تنبيهان</w:t>
            </w:r>
            <w:r>
              <w:rPr>
                <w:rStyle w:val="IndexLink"/>
                <w:rtl w:val="true"/>
              </w:rPr>
              <w:tab/>
            </w:r>
            <w:r>
              <w:rPr>
                <w:rStyle w:val="IndexLink"/>
              </w:rPr>
              <w:t>287</w:t>
            </w:r>
          </w:hyperlink>
        </w:p>
        <w:p>
          <w:pPr>
            <w:pStyle w:val="Contents4"/>
            <w:tabs>
              <w:tab w:val="clear" w:pos="8176"/>
              <w:tab w:val="right" w:pos="9026" w:leader="dot"/>
            </w:tabs>
            <w:rPr/>
          </w:pPr>
          <w:hyperlink w:anchor="__RefHeading___Toc3056740_2870459653">
            <w:r>
              <w:rPr>
                <w:webHidden/>
                <w:rStyle w:val="IndexLink"/>
                <w:rtl w:val="true"/>
              </w:rPr>
              <w:t>التنبيه الأوّل</w:t>
            </w:r>
            <w:r>
              <w:rPr>
                <w:rStyle w:val="IndexLink"/>
                <w:rtl w:val="true"/>
              </w:rPr>
              <w:tab/>
            </w:r>
            <w:r>
              <w:rPr>
                <w:rStyle w:val="IndexLink"/>
              </w:rPr>
              <w:t>287</w:t>
            </w:r>
          </w:hyperlink>
        </w:p>
        <w:p>
          <w:pPr>
            <w:pStyle w:val="Contents4"/>
            <w:tabs>
              <w:tab w:val="clear" w:pos="8176"/>
              <w:tab w:val="right" w:pos="9026" w:leader="dot"/>
            </w:tabs>
            <w:rPr/>
          </w:pPr>
          <w:hyperlink w:anchor="__RefHeading___Toc3056742_2870459653">
            <w:r>
              <w:rPr>
                <w:webHidden/>
                <w:rStyle w:val="IndexLink"/>
                <w:rtl w:val="true"/>
              </w:rPr>
              <w:t>التنبيه الثّاني</w:t>
            </w:r>
            <w:r>
              <w:rPr>
                <w:rStyle w:val="IndexLink"/>
                <w:rtl w:val="true"/>
              </w:rPr>
              <w:tab/>
            </w:r>
            <w:r>
              <w:rPr>
                <w:rStyle w:val="IndexLink"/>
              </w:rPr>
              <w:t>288</w:t>
            </w:r>
          </w:hyperlink>
        </w:p>
        <w:p>
          <w:pPr>
            <w:pStyle w:val="Contents3"/>
            <w:tabs>
              <w:tab w:val="clear" w:pos="8459"/>
              <w:tab w:val="right" w:pos="9026" w:leader="dot"/>
            </w:tabs>
            <w:rPr/>
          </w:pPr>
          <w:hyperlink w:anchor="__RefHeading___Toc3056744_2870459653">
            <w:r>
              <w:rPr>
                <w:webHidden/>
                <w:rStyle w:val="IndexLink"/>
                <w:rtl w:val="true"/>
              </w:rPr>
              <w:t>مصادر البحث</w:t>
            </w:r>
            <w:r>
              <w:rPr>
                <w:rStyle w:val="IndexLink"/>
                <w:rtl w:val="true"/>
              </w:rPr>
              <w:tab/>
            </w:r>
            <w:r>
              <w:rPr>
                <w:rStyle w:val="IndexLink"/>
              </w:rPr>
              <w:t>289</w:t>
            </w:r>
          </w:hyperlink>
        </w:p>
        <w:p>
          <w:pPr>
            <w:pStyle w:val="Contents2"/>
            <w:tabs>
              <w:tab w:val="clear" w:pos="8743"/>
              <w:tab w:val="right" w:pos="9026" w:leader="dot"/>
            </w:tabs>
            <w:rPr/>
          </w:pPr>
          <w:hyperlink w:anchor="__RefHeading___Toc3056746_2870459653">
            <w:r>
              <w:rPr>
                <w:webHidden/>
                <w:rStyle w:val="IndexLink"/>
                <w:rtl w:val="true"/>
              </w:rPr>
              <w:t xml:space="preserve">تصحيح الأسانيد بنظرية التّعويض </w:t>
            </w:r>
            <w:r>
              <w:rPr>
                <w:rStyle w:val="IndexLink"/>
                <w:rtl w:val="true"/>
              </w:rPr>
              <w:t xml:space="preserve">- </w:t>
            </w:r>
            <w:r>
              <w:rPr>
                <w:rStyle w:val="IndexLink"/>
                <w:rtl w:val="true"/>
              </w:rPr>
              <w:t xml:space="preserve">الشيخ محمّد راتب </w:t>
            </w:r>
            <w:r>
              <w:rPr>
                <w:rStyle w:val="IndexLink"/>
                <w:rtl w:val="true"/>
              </w:rPr>
              <w:t>(</w:t>
            </w:r>
            <w:r>
              <w:rPr>
                <w:rStyle w:val="IndexLink"/>
                <w:rtl w:val="true"/>
              </w:rPr>
              <w:t>دام عزه</w:t>
            </w:r>
            <w:r>
              <w:rPr>
                <w:rStyle w:val="IndexLink"/>
                <w:rtl w:val="true"/>
              </w:rPr>
              <w:t>)</w:t>
              <w:tab/>
            </w:r>
            <w:r>
              <w:rPr>
                <w:rStyle w:val="IndexLink"/>
              </w:rPr>
              <w:t>293</w:t>
            </w:r>
          </w:hyperlink>
        </w:p>
        <w:p>
          <w:pPr>
            <w:pStyle w:val="Contents3"/>
            <w:tabs>
              <w:tab w:val="clear" w:pos="8459"/>
              <w:tab w:val="right" w:pos="9026" w:leader="dot"/>
            </w:tabs>
            <w:rPr/>
          </w:pPr>
          <w:hyperlink w:anchor="__RefHeading___Toc3056748_2870459653">
            <w:r>
              <w:rPr>
                <w:webHidden/>
                <w:rStyle w:val="IndexLink"/>
                <w:rtl w:val="true"/>
              </w:rPr>
              <w:t>اشارة</w:t>
            </w:r>
            <w:r>
              <w:rPr>
                <w:rStyle w:val="IndexLink"/>
                <w:rtl w:val="true"/>
              </w:rPr>
              <w:tab/>
            </w:r>
            <w:r>
              <w:rPr>
                <w:rStyle w:val="IndexLink"/>
              </w:rPr>
              <w:t>293</w:t>
            </w:r>
          </w:hyperlink>
        </w:p>
        <w:p>
          <w:pPr>
            <w:pStyle w:val="Contents3"/>
            <w:tabs>
              <w:tab w:val="clear" w:pos="8459"/>
              <w:tab w:val="right" w:pos="9026" w:leader="dot"/>
            </w:tabs>
            <w:rPr/>
          </w:pPr>
          <w:hyperlink w:anchor="__RefHeading___Toc3056750_2870459653">
            <w:r>
              <w:rPr>
                <w:webHidden/>
                <w:rStyle w:val="IndexLink"/>
                <w:rtl w:val="true"/>
              </w:rPr>
              <w:t>تمهيد</w:t>
            </w:r>
            <w:r>
              <w:rPr>
                <w:rStyle w:val="IndexLink"/>
                <w:rtl w:val="true"/>
              </w:rPr>
              <w:tab/>
            </w:r>
            <w:r>
              <w:rPr>
                <w:rStyle w:val="IndexLink"/>
              </w:rPr>
              <w:t>295</w:t>
            </w:r>
          </w:hyperlink>
        </w:p>
        <w:p>
          <w:pPr>
            <w:pStyle w:val="Contents3"/>
            <w:tabs>
              <w:tab w:val="clear" w:pos="8459"/>
              <w:tab w:val="right" w:pos="9026" w:leader="dot"/>
            </w:tabs>
            <w:rPr/>
          </w:pPr>
          <w:hyperlink w:anchor="__RefHeading___Toc3056752_2870459653">
            <w:r>
              <w:rPr>
                <w:webHidden/>
                <w:rStyle w:val="IndexLink"/>
                <w:rtl w:val="true"/>
              </w:rPr>
              <w:t>تعريف مفردات البحث لغةً واصطلاحاً</w:t>
            </w:r>
            <w:r>
              <w:rPr>
                <w:rStyle w:val="IndexLink"/>
                <w:rtl w:val="true"/>
              </w:rPr>
              <w:tab/>
            </w:r>
            <w:r>
              <w:rPr>
                <w:rStyle w:val="IndexLink"/>
              </w:rPr>
              <w:t>296</w:t>
            </w:r>
          </w:hyperlink>
        </w:p>
        <w:p>
          <w:pPr>
            <w:pStyle w:val="Contents4"/>
            <w:tabs>
              <w:tab w:val="clear" w:pos="8176"/>
              <w:tab w:val="right" w:pos="9026" w:leader="dot"/>
            </w:tabs>
            <w:rPr/>
          </w:pPr>
          <w:hyperlink w:anchor="__RefHeading___Toc3056754_2870459653">
            <w:r>
              <w:rPr>
                <w:webHidden/>
                <w:rStyle w:val="IndexLink"/>
                <w:rtl w:val="true"/>
              </w:rPr>
              <w:t>أ</w:t>
            </w:r>
            <w:r>
              <w:rPr>
                <w:rStyle w:val="IndexLink"/>
                <w:rtl w:val="true"/>
              </w:rPr>
              <w:t xml:space="preserve">. </w:t>
            </w:r>
            <w:r>
              <w:rPr>
                <w:rStyle w:val="IndexLink"/>
                <w:rtl w:val="true"/>
              </w:rPr>
              <w:t>لغة</w:t>
            </w:r>
            <w:r>
              <w:rPr>
                <w:rStyle w:val="IndexLink"/>
                <w:rtl w:val="true"/>
              </w:rPr>
              <w:tab/>
            </w:r>
            <w:r>
              <w:rPr>
                <w:rStyle w:val="IndexLink"/>
              </w:rPr>
              <w:t>296</w:t>
            </w:r>
          </w:hyperlink>
        </w:p>
        <w:p>
          <w:pPr>
            <w:pStyle w:val="Contents4"/>
            <w:tabs>
              <w:tab w:val="clear" w:pos="8176"/>
              <w:tab w:val="right" w:pos="9026" w:leader="dot"/>
            </w:tabs>
            <w:rPr/>
          </w:pPr>
          <w:hyperlink w:anchor="__RefHeading___Toc3056756_2870459653">
            <w:r>
              <w:rPr>
                <w:webHidden/>
                <w:rStyle w:val="IndexLink"/>
                <w:rtl w:val="true"/>
              </w:rPr>
              <w:t>ب</w:t>
            </w:r>
            <w:r>
              <w:rPr>
                <w:rStyle w:val="IndexLink"/>
                <w:rtl w:val="true"/>
              </w:rPr>
              <w:t xml:space="preserve">. </w:t>
            </w:r>
            <w:r>
              <w:rPr>
                <w:rStyle w:val="IndexLink"/>
                <w:rtl w:val="true"/>
              </w:rPr>
              <w:t>اصطلاحاً</w:t>
            </w:r>
            <w:r>
              <w:rPr>
                <w:rStyle w:val="IndexLink"/>
                <w:rtl w:val="true"/>
              </w:rPr>
              <w:tab/>
            </w:r>
            <w:r>
              <w:rPr>
                <w:rStyle w:val="IndexLink"/>
              </w:rPr>
              <w:t>297</w:t>
            </w:r>
          </w:hyperlink>
        </w:p>
        <w:p>
          <w:pPr>
            <w:pStyle w:val="Contents3"/>
            <w:tabs>
              <w:tab w:val="clear" w:pos="8459"/>
              <w:tab w:val="right" w:pos="9026" w:leader="dot"/>
            </w:tabs>
            <w:rPr/>
          </w:pPr>
          <w:hyperlink w:anchor="__RefHeading___Toc3056758_2870459653">
            <w:r>
              <w:rPr>
                <w:webHidden/>
                <w:rStyle w:val="IndexLink"/>
                <w:rtl w:val="true"/>
              </w:rPr>
              <w:t>لمحة تأريخيّة عن النظريّة</w:t>
            </w:r>
            <w:r>
              <w:rPr>
                <w:rStyle w:val="IndexLink"/>
                <w:rtl w:val="true"/>
              </w:rPr>
              <w:tab/>
            </w:r>
            <w:r>
              <w:rPr>
                <w:rStyle w:val="IndexLink"/>
              </w:rPr>
              <w:t>298</w:t>
            </w:r>
          </w:hyperlink>
        </w:p>
        <w:p>
          <w:pPr>
            <w:pStyle w:val="Contents4"/>
            <w:tabs>
              <w:tab w:val="clear" w:pos="8176"/>
              <w:tab w:val="right" w:pos="9026" w:leader="dot"/>
            </w:tabs>
            <w:rPr/>
          </w:pPr>
          <w:hyperlink w:anchor="__RefHeading___Toc3056760_2870459653">
            <w:r>
              <w:rPr>
                <w:webHidden/>
                <w:rStyle w:val="IndexLink"/>
                <w:rtl w:val="true"/>
              </w:rPr>
              <w:t>أوّلاً</w:t>
            </w:r>
            <w:r>
              <w:rPr>
                <w:rStyle w:val="IndexLink"/>
                <w:rtl w:val="true"/>
              </w:rPr>
              <w:tab/>
            </w:r>
            <w:r>
              <w:rPr>
                <w:rStyle w:val="IndexLink"/>
              </w:rPr>
              <w:t>298</w:t>
            </w:r>
          </w:hyperlink>
        </w:p>
        <w:p>
          <w:pPr>
            <w:pStyle w:val="Contents4"/>
            <w:tabs>
              <w:tab w:val="clear" w:pos="8176"/>
              <w:tab w:val="right" w:pos="9026" w:leader="dot"/>
            </w:tabs>
            <w:rPr/>
          </w:pPr>
          <w:hyperlink w:anchor="__RefHeading___Toc3056762_2870459653">
            <w:r>
              <w:rPr>
                <w:webHidden/>
                <w:rStyle w:val="IndexLink"/>
                <w:rtl w:val="true"/>
              </w:rPr>
              <w:t>ثانياً</w:t>
            </w:r>
            <w:r>
              <w:rPr>
                <w:rStyle w:val="IndexLink"/>
                <w:rtl w:val="true"/>
              </w:rPr>
              <w:tab/>
            </w:r>
            <w:r>
              <w:rPr>
                <w:rStyle w:val="IndexLink"/>
              </w:rPr>
              <w:t>299</w:t>
            </w:r>
          </w:hyperlink>
        </w:p>
        <w:p>
          <w:pPr>
            <w:pStyle w:val="Contents4"/>
            <w:tabs>
              <w:tab w:val="clear" w:pos="8176"/>
              <w:tab w:val="right" w:pos="9026" w:leader="dot"/>
            </w:tabs>
            <w:rPr/>
          </w:pPr>
          <w:hyperlink w:anchor="__RefHeading___Toc3056764_2870459653">
            <w:r>
              <w:rPr>
                <w:webHidden/>
                <w:rStyle w:val="IndexLink"/>
                <w:rtl w:val="true"/>
              </w:rPr>
              <w:t>ثالثاً</w:t>
            </w:r>
            <w:r>
              <w:rPr>
                <w:rStyle w:val="IndexLink"/>
                <w:rtl w:val="true"/>
              </w:rPr>
              <w:tab/>
            </w:r>
            <w:r>
              <w:rPr>
                <w:rStyle w:val="IndexLink"/>
              </w:rPr>
              <w:t>299</w:t>
            </w:r>
          </w:hyperlink>
        </w:p>
        <w:p>
          <w:pPr>
            <w:pStyle w:val="Contents4"/>
            <w:tabs>
              <w:tab w:val="clear" w:pos="8176"/>
              <w:tab w:val="right" w:pos="9026" w:leader="dot"/>
            </w:tabs>
            <w:rPr/>
          </w:pPr>
          <w:hyperlink w:anchor="__RefHeading___Toc3056766_2870459653">
            <w:r>
              <w:rPr>
                <w:webHidden/>
                <w:rStyle w:val="IndexLink"/>
                <w:rtl w:val="true"/>
              </w:rPr>
              <w:t>رابعاً</w:t>
            </w:r>
            <w:r>
              <w:rPr>
                <w:rStyle w:val="IndexLink"/>
                <w:rtl w:val="true"/>
              </w:rPr>
              <w:tab/>
            </w:r>
            <w:r>
              <w:rPr>
                <w:rStyle w:val="IndexLink"/>
              </w:rPr>
              <w:t>300</w:t>
            </w:r>
          </w:hyperlink>
        </w:p>
        <w:p>
          <w:pPr>
            <w:pStyle w:val="Contents4"/>
            <w:tabs>
              <w:tab w:val="clear" w:pos="8176"/>
              <w:tab w:val="right" w:pos="9026" w:leader="dot"/>
            </w:tabs>
            <w:rPr/>
          </w:pPr>
          <w:hyperlink w:anchor="__RefHeading___Toc3056768_2870459653">
            <w:r>
              <w:rPr>
                <w:webHidden/>
                <w:rStyle w:val="IndexLink"/>
                <w:rtl w:val="true"/>
              </w:rPr>
              <w:t>خامساً</w:t>
            </w:r>
            <w:r>
              <w:rPr>
                <w:rStyle w:val="IndexLink"/>
                <w:rtl w:val="true"/>
              </w:rPr>
              <w:tab/>
            </w:r>
            <w:r>
              <w:rPr>
                <w:rStyle w:val="IndexLink"/>
              </w:rPr>
              <w:t>300</w:t>
            </w:r>
          </w:hyperlink>
        </w:p>
        <w:p>
          <w:pPr>
            <w:pStyle w:val="Contents4"/>
            <w:tabs>
              <w:tab w:val="clear" w:pos="8176"/>
              <w:tab w:val="right" w:pos="9026" w:leader="dot"/>
            </w:tabs>
            <w:rPr/>
          </w:pPr>
          <w:hyperlink w:anchor="__RefHeading___Toc3056770_2870459653">
            <w:r>
              <w:rPr>
                <w:webHidden/>
                <w:rStyle w:val="IndexLink"/>
                <w:rtl w:val="true"/>
              </w:rPr>
              <w:t>سادساً</w:t>
            </w:r>
            <w:r>
              <w:rPr>
                <w:rStyle w:val="IndexLink"/>
                <w:rtl w:val="true"/>
              </w:rPr>
              <w:tab/>
            </w:r>
            <w:r>
              <w:rPr>
                <w:rStyle w:val="IndexLink"/>
              </w:rPr>
              <w:t>301</w:t>
            </w:r>
          </w:hyperlink>
        </w:p>
        <w:p>
          <w:pPr>
            <w:pStyle w:val="Contents4"/>
            <w:tabs>
              <w:tab w:val="clear" w:pos="8176"/>
              <w:tab w:val="right" w:pos="9026" w:leader="dot"/>
            </w:tabs>
            <w:rPr/>
          </w:pPr>
          <w:hyperlink w:anchor="__RefHeading___Toc3056772_2870459653">
            <w:r>
              <w:rPr>
                <w:webHidden/>
                <w:rStyle w:val="IndexLink"/>
                <w:rtl w:val="true"/>
              </w:rPr>
              <w:t>سابعاً</w:t>
            </w:r>
            <w:r>
              <w:rPr>
                <w:rStyle w:val="IndexLink"/>
                <w:rtl w:val="true"/>
              </w:rPr>
              <w:tab/>
            </w:r>
            <w:r>
              <w:rPr>
                <w:rStyle w:val="IndexLink"/>
              </w:rPr>
              <w:t>302</w:t>
            </w:r>
          </w:hyperlink>
        </w:p>
        <w:p>
          <w:pPr>
            <w:pStyle w:val="Contents4"/>
            <w:tabs>
              <w:tab w:val="clear" w:pos="8176"/>
              <w:tab w:val="right" w:pos="9026" w:leader="dot"/>
            </w:tabs>
            <w:rPr/>
          </w:pPr>
          <w:hyperlink w:anchor="__RefHeading___Toc3056774_2870459653">
            <w:r>
              <w:rPr>
                <w:webHidden/>
                <w:rStyle w:val="IndexLink"/>
                <w:rtl w:val="true"/>
              </w:rPr>
              <w:t>ثامناً</w:t>
            </w:r>
            <w:r>
              <w:rPr>
                <w:rStyle w:val="IndexLink"/>
                <w:rtl w:val="true"/>
              </w:rPr>
              <w:tab/>
            </w:r>
            <w:r>
              <w:rPr>
                <w:rStyle w:val="IndexLink"/>
              </w:rPr>
              <w:t>302</w:t>
            </w:r>
          </w:hyperlink>
        </w:p>
        <w:p>
          <w:pPr>
            <w:pStyle w:val="Contents4"/>
            <w:tabs>
              <w:tab w:val="clear" w:pos="8176"/>
              <w:tab w:val="right" w:pos="9026" w:leader="dot"/>
            </w:tabs>
            <w:rPr/>
          </w:pPr>
          <w:hyperlink w:anchor="__RefHeading___Toc3056776_2870459653">
            <w:r>
              <w:rPr>
                <w:webHidden/>
                <w:rStyle w:val="IndexLink"/>
                <w:rtl w:val="true"/>
              </w:rPr>
              <w:t>تاسعاً</w:t>
            </w:r>
            <w:r>
              <w:rPr>
                <w:rStyle w:val="IndexLink"/>
                <w:rtl w:val="true"/>
              </w:rPr>
              <w:tab/>
            </w:r>
            <w:r>
              <w:rPr>
                <w:rStyle w:val="IndexLink"/>
              </w:rPr>
              <w:t>303</w:t>
            </w:r>
          </w:hyperlink>
        </w:p>
        <w:p>
          <w:pPr>
            <w:pStyle w:val="Contents4"/>
            <w:tabs>
              <w:tab w:val="clear" w:pos="8176"/>
              <w:tab w:val="right" w:pos="9026" w:leader="dot"/>
            </w:tabs>
            <w:rPr/>
          </w:pPr>
          <w:hyperlink w:anchor="__RefHeading___Toc3056778_2870459653">
            <w:r>
              <w:rPr>
                <w:webHidden/>
                <w:rStyle w:val="IndexLink"/>
                <w:rtl w:val="true"/>
              </w:rPr>
              <w:t>عاشراً</w:t>
            </w:r>
            <w:r>
              <w:rPr>
                <w:rStyle w:val="IndexLink"/>
                <w:rtl w:val="true"/>
              </w:rPr>
              <w:tab/>
            </w:r>
            <w:r>
              <w:rPr>
                <w:rStyle w:val="IndexLink"/>
              </w:rPr>
              <w:t>303</w:t>
            </w:r>
          </w:hyperlink>
        </w:p>
        <w:p>
          <w:pPr>
            <w:pStyle w:val="Contents4"/>
            <w:tabs>
              <w:tab w:val="clear" w:pos="8176"/>
              <w:tab w:val="right" w:pos="9026" w:leader="dot"/>
            </w:tabs>
            <w:rPr/>
          </w:pPr>
          <w:hyperlink w:anchor="__RefHeading___Toc3056780_2870459653">
            <w:r>
              <w:rPr>
                <w:webHidden/>
                <w:rStyle w:val="IndexLink"/>
                <w:rtl w:val="true"/>
              </w:rPr>
              <w:t>حادي عشر</w:t>
            </w:r>
            <w:r>
              <w:rPr>
                <w:rStyle w:val="IndexLink"/>
                <w:rtl w:val="true"/>
              </w:rPr>
              <w:tab/>
            </w:r>
            <w:r>
              <w:rPr>
                <w:rStyle w:val="IndexLink"/>
              </w:rPr>
              <w:t>303</w:t>
            </w:r>
          </w:hyperlink>
        </w:p>
        <w:p>
          <w:pPr>
            <w:pStyle w:val="Contents3"/>
            <w:tabs>
              <w:tab w:val="clear" w:pos="8459"/>
              <w:tab w:val="right" w:pos="9026" w:leader="dot"/>
            </w:tabs>
            <w:rPr/>
          </w:pPr>
          <w:hyperlink w:anchor="__RefHeading___Toc3056782_2870459653">
            <w:r>
              <w:rPr>
                <w:webHidden/>
                <w:rStyle w:val="IndexLink"/>
                <w:rtl w:val="true"/>
              </w:rPr>
              <w:t>بيان الطّرائق المقترحة لهذه النّظريّة إجمالاً</w:t>
            </w:r>
            <w:r>
              <w:rPr>
                <w:rStyle w:val="IndexLink"/>
                <w:rtl w:val="true"/>
              </w:rPr>
              <w:tab/>
            </w:r>
            <w:r>
              <w:rPr>
                <w:rStyle w:val="IndexLink"/>
              </w:rPr>
              <w:t>304</w:t>
            </w:r>
          </w:hyperlink>
        </w:p>
        <w:p>
          <w:pPr>
            <w:pStyle w:val="Contents3"/>
            <w:tabs>
              <w:tab w:val="clear" w:pos="8459"/>
              <w:tab w:val="right" w:pos="9026" w:leader="dot"/>
            </w:tabs>
            <w:rPr/>
          </w:pPr>
          <w:hyperlink w:anchor="__RefHeading___Toc3056784_2870459653">
            <w:r>
              <w:rPr>
                <w:webHidden/>
                <w:rStyle w:val="IndexLink"/>
                <w:rtl w:val="true"/>
              </w:rPr>
              <w:t>تفصيل الطّرائق المقترحة</w:t>
            </w:r>
            <w:r>
              <w:rPr>
                <w:rStyle w:val="IndexLink"/>
                <w:rtl w:val="true"/>
              </w:rPr>
              <w:tab/>
            </w:r>
            <w:r>
              <w:rPr>
                <w:rStyle w:val="IndexLink"/>
              </w:rPr>
              <w:t>307</w:t>
            </w:r>
          </w:hyperlink>
        </w:p>
        <w:p>
          <w:pPr>
            <w:pStyle w:val="Contents4"/>
            <w:tabs>
              <w:tab w:val="clear" w:pos="8176"/>
              <w:tab w:val="right" w:pos="9026" w:leader="dot"/>
            </w:tabs>
            <w:rPr/>
          </w:pPr>
          <w:hyperlink w:anchor="__RefHeading___Toc3056786_2870459653">
            <w:r>
              <w:rPr>
                <w:webHidden/>
                <w:rStyle w:val="IndexLink"/>
                <w:rtl w:val="true"/>
              </w:rPr>
              <w:t>الطّريقة الأولى</w:t>
            </w:r>
            <w:r>
              <w:rPr>
                <w:rStyle w:val="IndexLink"/>
                <w:rtl w:val="true"/>
              </w:rPr>
              <w:tab/>
            </w:r>
            <w:r>
              <w:rPr>
                <w:rStyle w:val="IndexLink"/>
              </w:rPr>
              <w:t>307</w:t>
            </w:r>
          </w:hyperlink>
        </w:p>
        <w:p>
          <w:pPr>
            <w:pStyle w:val="Contents5"/>
            <w:tabs>
              <w:tab w:val="clear" w:pos="7892"/>
              <w:tab w:val="right" w:pos="9026" w:leader="dot"/>
            </w:tabs>
            <w:rPr/>
          </w:pPr>
          <w:hyperlink w:anchor="__RefHeading___Toc3056788_2870459653">
            <w:r>
              <w:rPr>
                <w:webHidden/>
                <w:rStyle w:val="IndexLink"/>
                <w:rtl w:val="true"/>
              </w:rPr>
              <w:t>اشارة</w:t>
            </w:r>
            <w:r>
              <w:rPr>
                <w:rStyle w:val="IndexLink"/>
                <w:rtl w:val="true"/>
              </w:rPr>
              <w:tab/>
            </w:r>
            <w:r>
              <w:rPr>
                <w:rStyle w:val="IndexLink"/>
              </w:rPr>
              <w:t>307</w:t>
            </w:r>
          </w:hyperlink>
        </w:p>
        <w:p>
          <w:pPr>
            <w:pStyle w:val="Contents5"/>
            <w:tabs>
              <w:tab w:val="clear" w:pos="7892"/>
              <w:tab w:val="right" w:pos="9026" w:leader="dot"/>
            </w:tabs>
            <w:rPr/>
          </w:pPr>
          <w:hyperlink w:anchor="__RefHeading___Toc3056790_2870459653">
            <w:r>
              <w:rPr>
                <w:webHidden/>
                <w:rStyle w:val="IndexLink"/>
                <w:rtl w:val="true"/>
              </w:rPr>
              <w:t>توضيح هذه الطّريقة</w:t>
            </w:r>
            <w:r>
              <w:rPr>
                <w:rStyle w:val="IndexLink"/>
                <w:rtl w:val="true"/>
              </w:rPr>
              <w:tab/>
            </w:r>
            <w:r>
              <w:rPr>
                <w:rStyle w:val="IndexLink"/>
              </w:rPr>
              <w:t>308</w:t>
            </w:r>
          </w:hyperlink>
        </w:p>
        <w:p>
          <w:pPr>
            <w:pStyle w:val="Contents6"/>
            <w:tabs>
              <w:tab w:val="clear" w:pos="7609"/>
              <w:tab w:val="right" w:pos="9026" w:leader="dot"/>
            </w:tabs>
            <w:rPr/>
          </w:pPr>
          <w:hyperlink w:anchor="__RefHeading___Toc3056792_2870459653">
            <w:r>
              <w:rPr>
                <w:webHidden/>
                <w:rStyle w:val="IndexLink"/>
                <w:rtl w:val="true"/>
              </w:rPr>
              <w:t>اشارة</w:t>
            </w:r>
            <w:r>
              <w:rPr>
                <w:rStyle w:val="IndexLink"/>
                <w:rtl w:val="true"/>
              </w:rPr>
              <w:tab/>
            </w:r>
            <w:r>
              <w:rPr>
                <w:rStyle w:val="IndexLink"/>
              </w:rPr>
              <w:t>308</w:t>
            </w:r>
          </w:hyperlink>
        </w:p>
        <w:p>
          <w:pPr>
            <w:pStyle w:val="Contents6"/>
            <w:tabs>
              <w:tab w:val="clear" w:pos="7609"/>
              <w:tab w:val="right" w:pos="9026" w:leader="dot"/>
            </w:tabs>
            <w:rPr/>
          </w:pPr>
          <w:hyperlink w:anchor="__RefHeading___Toc3056794_2870459653">
            <w:r>
              <w:rPr>
                <w:webHidden/>
                <w:rStyle w:val="IndexLink"/>
                <w:rtl w:val="true"/>
              </w:rPr>
              <w:t>بعض موارد تطبيق هذه الطّريقة</w:t>
            </w:r>
            <w:r>
              <w:rPr>
                <w:rStyle w:val="IndexLink"/>
                <w:rtl w:val="true"/>
              </w:rPr>
              <w:tab/>
            </w:r>
            <w:r>
              <w:rPr>
                <w:rStyle w:val="IndexLink"/>
              </w:rPr>
              <w:t>309</w:t>
            </w:r>
          </w:hyperlink>
        </w:p>
        <w:p>
          <w:pPr>
            <w:pStyle w:val="Contents6"/>
            <w:tabs>
              <w:tab w:val="clear" w:pos="7609"/>
              <w:tab w:val="right" w:pos="9026" w:leader="dot"/>
            </w:tabs>
            <w:rPr/>
          </w:pPr>
          <w:hyperlink w:anchor="__RefHeading___Toc3056796_2870459653">
            <w:r>
              <w:rPr>
                <w:webHidden/>
                <w:rStyle w:val="IndexLink"/>
              </w:rPr>
              <w:t>1</w:t>
            </w:r>
            <w:r>
              <w:rPr>
                <w:rStyle w:val="IndexLink"/>
                <w:rtl w:val="true"/>
              </w:rPr>
              <w:t xml:space="preserve">. </w:t>
            </w:r>
            <w:r>
              <w:rPr>
                <w:rStyle w:val="IndexLink"/>
                <w:rtl w:val="true"/>
              </w:rPr>
              <w:t xml:space="preserve">ما طبّقه السّيّد الخوئي </w:t>
            </w:r>
            <w:r>
              <w:rPr>
                <w:rStyle w:val="IndexLink"/>
                <w:rtl w:val="true"/>
              </w:rPr>
              <w:t>(</w:t>
            </w:r>
            <w:r>
              <w:rPr>
                <w:rStyle w:val="IndexLink"/>
                <w:rtl w:val="true"/>
              </w:rPr>
              <w:t>رضوان الله علیه</w:t>
            </w:r>
            <w:r>
              <w:rPr>
                <w:rStyle w:val="IndexLink"/>
                <w:rtl w:val="true"/>
              </w:rPr>
              <w:t xml:space="preserve">) </w:t>
            </w:r>
            <w:r>
              <w:rPr>
                <w:rStyle w:val="IndexLink"/>
                <w:rtl w:val="true"/>
              </w:rPr>
              <w:t>عند مناقشة سند رواية هشام في المصباح</w:t>
            </w:r>
            <w:r>
              <w:rPr>
                <w:rStyle w:val="IndexLink"/>
                <w:rtl w:val="true"/>
              </w:rPr>
              <w:tab/>
            </w:r>
            <w:r>
              <w:rPr>
                <w:rStyle w:val="IndexLink"/>
              </w:rPr>
              <w:t>309</w:t>
            </w:r>
          </w:hyperlink>
        </w:p>
        <w:p>
          <w:pPr>
            <w:pStyle w:val="Contents6"/>
            <w:tabs>
              <w:tab w:val="clear" w:pos="7609"/>
              <w:tab w:val="right" w:pos="9026" w:leader="dot"/>
            </w:tabs>
            <w:rPr/>
          </w:pPr>
          <w:hyperlink w:anchor="__RefHeading___Toc3056798_2870459653">
            <w:r>
              <w:rPr>
                <w:webHidden/>
                <w:rStyle w:val="IndexLink"/>
              </w:rPr>
              <w:t>2</w:t>
            </w:r>
            <w:r>
              <w:rPr>
                <w:rStyle w:val="IndexLink"/>
                <w:rtl w:val="true"/>
              </w:rPr>
              <w:t xml:space="preserve">. </w:t>
            </w:r>
            <w:r>
              <w:rPr>
                <w:rStyle w:val="IndexLink"/>
                <w:rtl w:val="true"/>
              </w:rPr>
              <w:t xml:space="preserve">ما طبّقه السيّد الخوئي </w:t>
            </w:r>
            <w:r>
              <w:rPr>
                <w:rStyle w:val="IndexLink"/>
                <w:rtl w:val="true"/>
              </w:rPr>
              <w:t>(</w:t>
            </w:r>
            <w:r>
              <w:rPr>
                <w:rStyle w:val="IndexLink"/>
                <w:rtl w:val="true"/>
              </w:rPr>
              <w:t>رضوان الله علیه</w:t>
            </w:r>
            <w:r>
              <w:rPr>
                <w:rStyle w:val="IndexLink"/>
                <w:rtl w:val="true"/>
              </w:rPr>
              <w:t xml:space="preserve">) </w:t>
            </w:r>
            <w:r>
              <w:rPr>
                <w:rStyle w:val="IndexLink"/>
                <w:rtl w:val="true"/>
              </w:rPr>
              <w:t>أيضاً في مناقشته لسند رواية التهذيب</w:t>
            </w:r>
            <w:r>
              <w:rPr>
                <w:rStyle w:val="IndexLink"/>
                <w:rtl w:val="true"/>
              </w:rPr>
              <w:tab/>
            </w:r>
            <w:r>
              <w:rPr>
                <w:rStyle w:val="IndexLink"/>
              </w:rPr>
              <w:t>309</w:t>
            </w:r>
          </w:hyperlink>
        </w:p>
        <w:p>
          <w:pPr>
            <w:pStyle w:val="Contents6"/>
            <w:tabs>
              <w:tab w:val="clear" w:pos="7609"/>
              <w:tab w:val="right" w:pos="9026" w:leader="dot"/>
            </w:tabs>
            <w:rPr/>
          </w:pPr>
          <w:hyperlink w:anchor="__RefHeading___Toc3056800_2870459653">
            <w:r>
              <w:rPr>
                <w:webHidden/>
                <w:rStyle w:val="IndexLink"/>
                <w:rtl w:val="true"/>
              </w:rPr>
              <w:t>اشارة</w:t>
            </w:r>
            <w:r>
              <w:rPr>
                <w:rStyle w:val="IndexLink"/>
                <w:rtl w:val="true"/>
              </w:rPr>
              <w:tab/>
            </w:r>
            <w:r>
              <w:rPr>
                <w:rStyle w:val="IndexLink"/>
              </w:rPr>
              <w:t>309</w:t>
            </w:r>
          </w:hyperlink>
        </w:p>
        <w:p>
          <w:pPr>
            <w:pStyle w:val="Contents6"/>
            <w:tabs>
              <w:tab w:val="clear" w:pos="7609"/>
              <w:tab w:val="right" w:pos="9026" w:leader="dot"/>
            </w:tabs>
            <w:rPr/>
          </w:pPr>
          <w:hyperlink w:anchor="__RefHeading___Toc3056802_2870459653">
            <w:r>
              <w:rPr>
                <w:webHidden/>
                <w:rStyle w:val="IndexLink"/>
                <w:rtl w:val="true"/>
              </w:rPr>
              <w:t xml:space="preserve">اختلاف تعابير الشّيخ </w:t>
            </w:r>
            <w:r>
              <w:rPr>
                <w:rStyle w:val="IndexLink"/>
                <w:rtl w:val="true"/>
              </w:rPr>
              <w:t>(</w:t>
            </w:r>
            <w:r>
              <w:rPr>
                <w:rStyle w:val="IndexLink"/>
                <w:rtl w:val="true"/>
              </w:rPr>
              <w:t>رضوان الله علیه</w:t>
            </w:r>
            <w:r>
              <w:rPr>
                <w:rStyle w:val="IndexLink"/>
                <w:rtl w:val="true"/>
              </w:rPr>
              <w:t xml:space="preserve">) </w:t>
            </w:r>
            <w:r>
              <w:rPr>
                <w:rStyle w:val="IndexLink"/>
                <w:rtl w:val="true"/>
              </w:rPr>
              <w:t>في الإخبار</w:t>
            </w:r>
            <w:r>
              <w:rPr>
                <w:rStyle w:val="IndexLink"/>
                <w:rtl w:val="true"/>
              </w:rPr>
              <w:tab/>
            </w:r>
            <w:r>
              <w:rPr>
                <w:rStyle w:val="IndexLink"/>
              </w:rPr>
              <w:t>310</w:t>
            </w:r>
          </w:hyperlink>
        </w:p>
        <w:p>
          <w:pPr>
            <w:pStyle w:val="Contents6"/>
            <w:tabs>
              <w:tab w:val="clear" w:pos="7609"/>
              <w:tab w:val="right" w:pos="9026" w:leader="dot"/>
            </w:tabs>
            <w:rPr/>
          </w:pPr>
          <w:hyperlink w:anchor="__RefHeading___Toc3056804_2870459653">
            <w:r>
              <w:rPr>
                <w:webHidden/>
                <w:rStyle w:val="IndexLink"/>
                <w:rtl w:val="true"/>
              </w:rPr>
              <w:t>الفرق بين العطف ب</w:t>
            </w:r>
            <w:r>
              <w:rPr>
                <w:rStyle w:val="IndexLink"/>
                <w:rtl w:val="true"/>
              </w:rPr>
              <w:t>-(</w:t>
            </w:r>
            <w:r>
              <w:rPr>
                <w:rStyle w:val="IndexLink"/>
                <w:rtl w:val="true"/>
              </w:rPr>
              <w:t>رواياته</w:t>
            </w:r>
            <w:r>
              <w:rPr>
                <w:rStyle w:val="IndexLink"/>
                <w:rtl w:val="true"/>
              </w:rPr>
              <w:t xml:space="preserve">) </w:t>
            </w:r>
            <w:r>
              <w:rPr>
                <w:rStyle w:val="IndexLink"/>
                <w:rtl w:val="true"/>
              </w:rPr>
              <w:t>و</w:t>
            </w:r>
            <w:r>
              <w:rPr>
                <w:rStyle w:val="IndexLink"/>
                <w:rtl w:val="true"/>
              </w:rPr>
              <w:t>(</w:t>
            </w:r>
            <w:r>
              <w:rPr>
                <w:rStyle w:val="IndexLink"/>
                <w:rtl w:val="true"/>
              </w:rPr>
              <w:t>برواياته</w:t>
            </w:r>
            <w:r>
              <w:rPr>
                <w:rStyle w:val="IndexLink"/>
                <w:rtl w:val="true"/>
              </w:rPr>
              <w:t>)..</w:t>
              <w:tab/>
            </w:r>
            <w:r>
              <w:rPr>
                <w:rStyle w:val="IndexLink"/>
              </w:rPr>
              <w:t>312</w:t>
            </w:r>
          </w:hyperlink>
        </w:p>
        <w:p>
          <w:pPr>
            <w:pStyle w:val="Contents6"/>
            <w:tabs>
              <w:tab w:val="clear" w:pos="7609"/>
              <w:tab w:val="right" w:pos="9026" w:leader="dot"/>
            </w:tabs>
            <w:rPr/>
          </w:pPr>
          <w:hyperlink w:anchor="__RefHeading___Toc3056806_2870459653">
            <w:r>
              <w:rPr>
                <w:webHidden/>
                <w:rStyle w:val="IndexLink"/>
              </w:rPr>
              <w:t>3</w:t>
            </w:r>
            <w:r>
              <w:rPr>
                <w:rStyle w:val="IndexLink"/>
                <w:rtl w:val="true"/>
              </w:rPr>
              <w:t xml:space="preserve">. </w:t>
            </w:r>
            <w:r>
              <w:rPr>
                <w:rStyle w:val="IndexLink"/>
                <w:rtl w:val="true"/>
              </w:rPr>
              <w:t xml:space="preserve">تصحيح السّيّد الخوئي </w:t>
            </w:r>
            <w:r>
              <w:rPr>
                <w:rStyle w:val="IndexLink"/>
                <w:rtl w:val="true"/>
              </w:rPr>
              <w:t>(</w:t>
            </w:r>
            <w:r>
              <w:rPr>
                <w:rStyle w:val="IndexLink"/>
                <w:rtl w:val="true"/>
              </w:rPr>
              <w:t>رضوان الله علیه</w:t>
            </w:r>
            <w:r>
              <w:rPr>
                <w:rStyle w:val="IndexLink"/>
                <w:rtl w:val="true"/>
              </w:rPr>
              <w:t xml:space="preserve">) </w:t>
            </w:r>
            <w:r>
              <w:rPr>
                <w:rStyle w:val="IndexLink"/>
                <w:rtl w:val="true"/>
              </w:rPr>
              <w:t xml:space="preserve">لطريق الشيخ </w:t>
            </w:r>
            <w:r>
              <w:rPr>
                <w:rStyle w:val="IndexLink"/>
                <w:rtl w:val="true"/>
              </w:rPr>
              <w:t>(</w:t>
            </w:r>
            <w:r>
              <w:rPr>
                <w:rStyle w:val="IndexLink"/>
                <w:rtl w:val="true"/>
              </w:rPr>
              <w:t>قدس سره</w:t>
            </w:r>
            <w:r>
              <w:rPr>
                <w:rStyle w:val="IndexLink"/>
                <w:rtl w:val="true"/>
              </w:rPr>
              <w:t xml:space="preserve">) </w:t>
            </w:r>
            <w:r>
              <w:rPr>
                <w:rStyle w:val="IndexLink"/>
                <w:rtl w:val="true"/>
              </w:rPr>
              <w:t>إلى حريز في كتابه المصباح</w:t>
            </w:r>
            <w:r>
              <w:rPr>
                <w:rStyle w:val="IndexLink"/>
                <w:rtl w:val="true"/>
              </w:rPr>
              <w:tab/>
            </w:r>
            <w:r>
              <w:rPr>
                <w:rStyle w:val="IndexLink"/>
              </w:rPr>
              <w:t>312</w:t>
            </w:r>
          </w:hyperlink>
        </w:p>
        <w:p>
          <w:pPr>
            <w:pStyle w:val="Contents6"/>
            <w:tabs>
              <w:tab w:val="clear" w:pos="7609"/>
              <w:tab w:val="right" w:pos="9026" w:leader="dot"/>
            </w:tabs>
            <w:rPr/>
          </w:pPr>
          <w:hyperlink w:anchor="__RefHeading___Toc3056808_2870459653">
            <w:r>
              <w:rPr>
                <w:webHidden/>
                <w:rStyle w:val="IndexLink"/>
              </w:rPr>
              <w:t>4</w:t>
            </w:r>
            <w:r>
              <w:rPr>
                <w:rStyle w:val="IndexLink"/>
                <w:rtl w:val="true"/>
              </w:rPr>
              <w:t xml:space="preserve">. </w:t>
            </w:r>
            <w:r>
              <w:rPr>
                <w:rStyle w:val="IndexLink"/>
                <w:rtl w:val="true"/>
              </w:rPr>
              <w:t xml:space="preserve">ما ذكره سيدنا الأستاذ </w:t>
            </w:r>
            <w:r>
              <w:rPr>
                <w:rStyle w:val="IndexLink"/>
                <w:rtl w:val="true"/>
              </w:rPr>
              <w:t>(</w:t>
            </w:r>
            <w:r>
              <w:rPr>
                <w:rStyle w:val="IndexLink"/>
                <w:rtl w:val="true"/>
              </w:rPr>
              <w:t>دامت افاداته</w:t>
            </w:r>
            <w:r>
              <w:rPr>
                <w:rStyle w:val="IndexLink"/>
                <w:rtl w:val="true"/>
              </w:rPr>
              <w:t xml:space="preserve">) </w:t>
            </w:r>
            <w:r>
              <w:rPr>
                <w:rStyle w:val="IndexLink"/>
                <w:rtl w:val="true"/>
              </w:rPr>
              <w:t xml:space="preserve">في مقام مناقشة تصحيح طريق الشيخ </w:t>
            </w:r>
            <w:r>
              <w:rPr>
                <w:rStyle w:val="IndexLink"/>
                <w:rtl w:val="true"/>
              </w:rPr>
              <w:t>(</w:t>
            </w:r>
            <w:r>
              <w:rPr>
                <w:rStyle w:val="IndexLink"/>
                <w:rtl w:val="true"/>
              </w:rPr>
              <w:t>قدس سره</w:t>
            </w:r>
            <w:r>
              <w:rPr>
                <w:rStyle w:val="IndexLink"/>
                <w:rtl w:val="true"/>
              </w:rPr>
              <w:t xml:space="preserve">) </w:t>
            </w:r>
            <w:r>
              <w:rPr>
                <w:rStyle w:val="IndexLink"/>
                <w:rtl w:val="true"/>
              </w:rPr>
              <w:t>إلى الروايات التي ابتدأ بها باسم أحمد بن محمّد بن أبي نصر</w:t>
            </w:r>
            <w:r>
              <w:rPr>
                <w:rStyle w:val="IndexLink"/>
                <w:rtl w:val="true"/>
              </w:rPr>
              <w:tab/>
            </w:r>
            <w:r>
              <w:rPr>
                <w:rStyle w:val="IndexLink"/>
              </w:rPr>
              <w:t>313</w:t>
            </w:r>
          </w:hyperlink>
        </w:p>
        <w:p>
          <w:pPr>
            <w:pStyle w:val="Contents6"/>
            <w:tabs>
              <w:tab w:val="clear" w:pos="7609"/>
              <w:tab w:val="right" w:pos="9026" w:leader="dot"/>
            </w:tabs>
            <w:rPr/>
          </w:pPr>
          <w:hyperlink w:anchor="__RefHeading___Toc3056810_2870459653">
            <w:r>
              <w:rPr>
                <w:webHidden/>
                <w:rStyle w:val="IndexLink"/>
                <w:rtl w:val="true"/>
              </w:rPr>
              <w:t>اشارة</w:t>
            </w:r>
            <w:r>
              <w:rPr>
                <w:rStyle w:val="IndexLink"/>
                <w:rtl w:val="true"/>
              </w:rPr>
              <w:tab/>
            </w:r>
            <w:r>
              <w:rPr>
                <w:rStyle w:val="IndexLink"/>
              </w:rPr>
              <w:t>313</w:t>
            </w:r>
          </w:hyperlink>
        </w:p>
        <w:p>
          <w:pPr>
            <w:pStyle w:val="Contents6"/>
            <w:tabs>
              <w:tab w:val="clear" w:pos="7609"/>
              <w:tab w:val="right" w:pos="9026" w:leader="dot"/>
            </w:tabs>
            <w:rPr/>
          </w:pPr>
          <w:hyperlink w:anchor="__RefHeading___Toc3056812_2870459653">
            <w:r>
              <w:rPr>
                <w:webHidden/>
                <w:rStyle w:val="IndexLink"/>
                <w:rtl w:val="true"/>
              </w:rPr>
              <w:t>جريان هذه الطّريقة في أسانيد الاستبصار</w:t>
            </w:r>
            <w:r>
              <w:rPr>
                <w:rStyle w:val="IndexLink"/>
                <w:rtl w:val="true"/>
              </w:rPr>
              <w:tab/>
            </w:r>
            <w:r>
              <w:rPr>
                <w:rStyle w:val="IndexLink"/>
              </w:rPr>
              <w:t>314</w:t>
            </w:r>
          </w:hyperlink>
        </w:p>
        <w:p>
          <w:pPr>
            <w:pStyle w:val="Contents4"/>
            <w:tabs>
              <w:tab w:val="clear" w:pos="8176"/>
              <w:tab w:val="right" w:pos="9026" w:leader="dot"/>
            </w:tabs>
            <w:rPr/>
          </w:pPr>
          <w:hyperlink w:anchor="__RefHeading___Toc3056814_2870459653">
            <w:r>
              <w:rPr>
                <w:webHidden/>
                <w:rStyle w:val="IndexLink"/>
                <w:rtl w:val="true"/>
              </w:rPr>
              <w:t>الطّريقة الثّانية</w:t>
            </w:r>
            <w:r>
              <w:rPr>
                <w:rStyle w:val="IndexLink"/>
                <w:rtl w:val="true"/>
              </w:rPr>
              <w:tab/>
            </w:r>
            <w:r>
              <w:rPr>
                <w:rStyle w:val="IndexLink"/>
              </w:rPr>
              <w:t>316</w:t>
            </w:r>
          </w:hyperlink>
        </w:p>
        <w:p>
          <w:pPr>
            <w:pStyle w:val="Contents5"/>
            <w:tabs>
              <w:tab w:val="clear" w:pos="7892"/>
              <w:tab w:val="right" w:pos="9026" w:leader="dot"/>
            </w:tabs>
            <w:rPr/>
          </w:pPr>
          <w:hyperlink w:anchor="__RefHeading___Toc3056816_2870459653">
            <w:r>
              <w:rPr>
                <w:webHidden/>
                <w:rStyle w:val="IndexLink"/>
                <w:rtl w:val="true"/>
              </w:rPr>
              <w:t>اشارة</w:t>
            </w:r>
            <w:r>
              <w:rPr>
                <w:rStyle w:val="IndexLink"/>
                <w:rtl w:val="true"/>
              </w:rPr>
              <w:tab/>
            </w:r>
            <w:r>
              <w:rPr>
                <w:rStyle w:val="IndexLink"/>
              </w:rPr>
              <w:t>316</w:t>
            </w:r>
          </w:hyperlink>
        </w:p>
        <w:p>
          <w:pPr>
            <w:pStyle w:val="Contents5"/>
            <w:tabs>
              <w:tab w:val="clear" w:pos="7892"/>
              <w:tab w:val="right" w:pos="9026" w:leader="dot"/>
            </w:tabs>
            <w:rPr/>
          </w:pPr>
          <w:hyperlink w:anchor="__RefHeading___Toc3056818_2870459653">
            <w:r>
              <w:rPr>
                <w:webHidden/>
                <w:rStyle w:val="IndexLink"/>
                <w:rtl w:val="true"/>
              </w:rPr>
              <w:t>و من موارد تطبيق هذه الطّريقة</w:t>
            </w:r>
            <w:r>
              <w:rPr>
                <w:rStyle w:val="IndexLink"/>
                <w:rtl w:val="true"/>
              </w:rPr>
              <w:tab/>
            </w:r>
            <w:r>
              <w:rPr>
                <w:rStyle w:val="IndexLink"/>
              </w:rPr>
              <w:t>316</w:t>
            </w:r>
          </w:hyperlink>
        </w:p>
        <w:p>
          <w:pPr>
            <w:pStyle w:val="Contents6"/>
            <w:tabs>
              <w:tab w:val="clear" w:pos="7609"/>
              <w:tab w:val="right" w:pos="9026" w:leader="dot"/>
            </w:tabs>
            <w:rPr/>
          </w:pPr>
          <w:hyperlink w:anchor="__RefHeading___Toc3056820_2870459653">
            <w:r>
              <w:rPr>
                <w:webHidden/>
                <w:rStyle w:val="IndexLink"/>
              </w:rPr>
              <w:t>1</w:t>
            </w:r>
            <w:r>
              <w:rPr>
                <w:rStyle w:val="IndexLink"/>
                <w:rtl w:val="true"/>
              </w:rPr>
              <w:t xml:space="preserve">. </w:t>
            </w:r>
            <w:r>
              <w:rPr>
                <w:rStyle w:val="IndexLink"/>
                <w:rtl w:val="true"/>
              </w:rPr>
              <w:t xml:space="preserve">تصحيح طريق الشّيخ </w:t>
            </w:r>
            <w:r>
              <w:rPr>
                <w:rStyle w:val="IndexLink"/>
                <w:rtl w:val="true"/>
              </w:rPr>
              <w:t>(</w:t>
            </w:r>
            <w:r>
              <w:rPr>
                <w:rStyle w:val="IndexLink"/>
                <w:rtl w:val="true"/>
              </w:rPr>
              <w:t>قدس سره</w:t>
            </w:r>
            <w:r>
              <w:rPr>
                <w:rStyle w:val="IndexLink"/>
                <w:rtl w:val="true"/>
              </w:rPr>
              <w:t xml:space="preserve">) </w:t>
            </w:r>
            <w:r>
              <w:rPr>
                <w:rStyle w:val="IndexLink"/>
                <w:rtl w:val="true"/>
              </w:rPr>
              <w:t>إلى أحمد بن محمّد بن عيسى</w:t>
            </w:r>
            <w:r>
              <w:rPr>
                <w:rStyle w:val="IndexLink"/>
                <w:rtl w:val="true"/>
              </w:rPr>
              <w:tab/>
            </w:r>
            <w:r>
              <w:rPr>
                <w:rStyle w:val="IndexLink"/>
              </w:rPr>
              <w:t>316</w:t>
            </w:r>
          </w:hyperlink>
        </w:p>
        <w:p>
          <w:pPr>
            <w:pStyle w:val="Contents6"/>
            <w:tabs>
              <w:tab w:val="clear" w:pos="7609"/>
              <w:tab w:val="right" w:pos="9026" w:leader="dot"/>
            </w:tabs>
            <w:rPr/>
          </w:pPr>
          <w:hyperlink w:anchor="__RefHeading___Toc3056822_2870459653">
            <w:r>
              <w:rPr>
                <w:webHidden/>
                <w:rStyle w:val="IndexLink"/>
              </w:rPr>
              <w:t>2</w:t>
            </w:r>
            <w:r>
              <w:rPr>
                <w:rStyle w:val="IndexLink"/>
                <w:rtl w:val="true"/>
              </w:rPr>
              <w:t xml:space="preserve">. </w:t>
            </w:r>
            <w:r>
              <w:rPr>
                <w:rStyle w:val="IndexLink"/>
                <w:rtl w:val="true"/>
              </w:rPr>
              <w:t xml:space="preserve">تصحيح طريق الشّيخ الصّدوق </w:t>
            </w:r>
            <w:r>
              <w:rPr>
                <w:rStyle w:val="IndexLink"/>
                <w:rtl w:val="true"/>
              </w:rPr>
              <w:t>(</w:t>
            </w:r>
            <w:r>
              <w:rPr>
                <w:rStyle w:val="IndexLink"/>
                <w:rtl w:val="true"/>
              </w:rPr>
              <w:t>قدس سره</w:t>
            </w:r>
            <w:r>
              <w:rPr>
                <w:rStyle w:val="IndexLink"/>
                <w:rtl w:val="true"/>
              </w:rPr>
              <w:t xml:space="preserve">) </w:t>
            </w:r>
            <w:r>
              <w:rPr>
                <w:rStyle w:val="IndexLink"/>
                <w:rtl w:val="true"/>
              </w:rPr>
              <w:t>إلى محمّد بن مسلم بالاستعانة بالفهرست</w:t>
            </w:r>
            <w:r>
              <w:rPr>
                <w:rStyle w:val="IndexLink"/>
                <w:rtl w:val="true"/>
              </w:rPr>
              <w:tab/>
            </w:r>
            <w:r>
              <w:rPr>
                <w:rStyle w:val="IndexLink"/>
              </w:rPr>
              <w:t>317</w:t>
            </w:r>
          </w:hyperlink>
        </w:p>
        <w:p>
          <w:pPr>
            <w:pStyle w:val="Contents6"/>
            <w:tabs>
              <w:tab w:val="clear" w:pos="7609"/>
              <w:tab w:val="right" w:pos="9026" w:leader="dot"/>
            </w:tabs>
            <w:rPr/>
          </w:pPr>
          <w:hyperlink w:anchor="__RefHeading___Toc3056824_2870459653">
            <w:r>
              <w:rPr>
                <w:webHidden/>
                <w:rStyle w:val="IndexLink"/>
                <w:rtl w:val="true"/>
              </w:rPr>
              <w:t>اشارة</w:t>
            </w:r>
            <w:r>
              <w:rPr>
                <w:rStyle w:val="IndexLink"/>
                <w:rtl w:val="true"/>
              </w:rPr>
              <w:tab/>
            </w:r>
            <w:r>
              <w:rPr>
                <w:rStyle w:val="IndexLink"/>
              </w:rPr>
              <w:t>317</w:t>
            </w:r>
          </w:hyperlink>
        </w:p>
        <w:p>
          <w:pPr>
            <w:pStyle w:val="Contents6"/>
            <w:tabs>
              <w:tab w:val="clear" w:pos="7609"/>
              <w:tab w:val="right" w:pos="9026" w:leader="dot"/>
            </w:tabs>
            <w:rPr/>
          </w:pPr>
          <w:hyperlink w:anchor="__RefHeading___Toc3056826_2870459653">
            <w:r>
              <w:rPr>
                <w:webHidden/>
                <w:rStyle w:val="IndexLink"/>
                <w:rtl w:val="true"/>
              </w:rPr>
              <w:t xml:space="preserve">معنى قول الشّيخ الطّوسي </w:t>
            </w:r>
            <w:r>
              <w:rPr>
                <w:rStyle w:val="IndexLink"/>
                <w:rtl w:val="true"/>
              </w:rPr>
              <w:t>(</w:t>
            </w:r>
            <w:r>
              <w:rPr>
                <w:rStyle w:val="IndexLink"/>
                <w:rtl w:val="true"/>
              </w:rPr>
              <w:t>رضوان الله علیه</w:t>
            </w:r>
            <w:r>
              <w:rPr>
                <w:rStyle w:val="IndexLink"/>
                <w:rtl w:val="true"/>
              </w:rPr>
              <w:t>) (</w:t>
            </w:r>
            <w:r>
              <w:rPr>
                <w:rStyle w:val="IndexLink"/>
                <w:rtl w:val="true"/>
              </w:rPr>
              <w:t>أخبرنا بجميع كتبه ورواياته</w:t>
            </w:r>
            <w:r>
              <w:rPr>
                <w:rStyle w:val="IndexLink"/>
                <w:rtl w:val="true"/>
              </w:rPr>
              <w:t>)</w:t>
              <w:tab/>
            </w:r>
            <w:r>
              <w:rPr>
                <w:rStyle w:val="IndexLink"/>
              </w:rPr>
              <w:t>317</w:t>
            </w:r>
          </w:hyperlink>
        </w:p>
        <w:p>
          <w:pPr>
            <w:pStyle w:val="Contents6"/>
            <w:tabs>
              <w:tab w:val="clear" w:pos="7609"/>
              <w:tab w:val="right" w:pos="9026" w:leader="dot"/>
            </w:tabs>
            <w:rPr/>
          </w:pPr>
          <w:hyperlink w:anchor="__RefHeading___Toc3056828_2870459653">
            <w:r>
              <w:rPr>
                <w:webHidden/>
                <w:rStyle w:val="IndexLink"/>
                <w:rtl w:val="true"/>
              </w:rPr>
              <w:t>اشارة</w:t>
            </w:r>
            <w:r>
              <w:rPr>
                <w:rStyle w:val="IndexLink"/>
                <w:rtl w:val="true"/>
              </w:rPr>
              <w:tab/>
            </w:r>
            <w:r>
              <w:rPr>
                <w:rStyle w:val="IndexLink"/>
              </w:rPr>
              <w:t>317</w:t>
            </w:r>
          </w:hyperlink>
        </w:p>
        <w:p>
          <w:pPr>
            <w:pStyle w:val="Contents6"/>
            <w:tabs>
              <w:tab w:val="clear" w:pos="7609"/>
              <w:tab w:val="right" w:pos="9026" w:leader="dot"/>
            </w:tabs>
            <w:rPr/>
          </w:pPr>
          <w:hyperlink w:anchor="__RefHeading___Toc3056830_2870459653">
            <w:r>
              <w:rPr>
                <w:webHidden/>
                <w:rStyle w:val="IndexLink"/>
                <w:rtl w:val="true"/>
              </w:rPr>
              <w:t>الاحتمال الأوَّل</w:t>
            </w:r>
            <w:r>
              <w:rPr>
                <w:rStyle w:val="IndexLink"/>
                <w:rtl w:val="true"/>
              </w:rPr>
              <w:tab/>
            </w:r>
            <w:r>
              <w:rPr>
                <w:rStyle w:val="IndexLink"/>
              </w:rPr>
              <w:t>318</w:t>
            </w:r>
          </w:hyperlink>
        </w:p>
        <w:p>
          <w:pPr>
            <w:pStyle w:val="Contents6"/>
            <w:tabs>
              <w:tab w:val="clear" w:pos="7609"/>
              <w:tab w:val="right" w:pos="9026" w:leader="dot"/>
            </w:tabs>
            <w:rPr/>
          </w:pPr>
          <w:hyperlink w:anchor="__RefHeading___Toc3056832_2870459653">
            <w:r>
              <w:rPr>
                <w:webHidden/>
                <w:rStyle w:val="IndexLink"/>
                <w:rtl w:val="true"/>
              </w:rPr>
              <w:t>الاحتمال الثّاني</w:t>
            </w:r>
            <w:r>
              <w:rPr>
                <w:rStyle w:val="IndexLink"/>
                <w:rtl w:val="true"/>
              </w:rPr>
              <w:tab/>
            </w:r>
            <w:r>
              <w:rPr>
                <w:rStyle w:val="IndexLink"/>
              </w:rPr>
              <w:t>321</w:t>
            </w:r>
          </w:hyperlink>
        </w:p>
        <w:p>
          <w:pPr>
            <w:pStyle w:val="Contents6"/>
            <w:tabs>
              <w:tab w:val="clear" w:pos="7609"/>
              <w:tab w:val="right" w:pos="9026" w:leader="dot"/>
            </w:tabs>
            <w:rPr/>
          </w:pPr>
          <w:hyperlink w:anchor="__RefHeading___Toc3056834_2870459653">
            <w:r>
              <w:rPr>
                <w:webHidden/>
                <w:rStyle w:val="IndexLink"/>
                <w:rtl w:val="true"/>
              </w:rPr>
              <w:t>الاحتمال الثّالث</w:t>
            </w:r>
            <w:r>
              <w:rPr>
                <w:rStyle w:val="IndexLink"/>
                <w:rtl w:val="true"/>
              </w:rPr>
              <w:tab/>
            </w:r>
            <w:r>
              <w:rPr>
                <w:rStyle w:val="IndexLink"/>
              </w:rPr>
              <w:t>322</w:t>
            </w:r>
          </w:hyperlink>
        </w:p>
        <w:p>
          <w:pPr>
            <w:pStyle w:val="Contents6"/>
            <w:tabs>
              <w:tab w:val="clear" w:pos="7609"/>
              <w:tab w:val="right" w:pos="9026" w:leader="dot"/>
            </w:tabs>
            <w:rPr/>
          </w:pPr>
          <w:hyperlink w:anchor="__RefHeading___Toc3056836_2870459653">
            <w:r>
              <w:rPr>
                <w:webHidden/>
                <w:rStyle w:val="IndexLink"/>
                <w:rtl w:val="true"/>
              </w:rPr>
              <w:t>الاحتمال الرّابع</w:t>
            </w:r>
            <w:r>
              <w:rPr>
                <w:rStyle w:val="IndexLink"/>
                <w:rtl w:val="true"/>
              </w:rPr>
              <w:tab/>
            </w:r>
            <w:r>
              <w:rPr>
                <w:rStyle w:val="IndexLink"/>
              </w:rPr>
              <w:t>322</w:t>
            </w:r>
          </w:hyperlink>
        </w:p>
        <w:p>
          <w:pPr>
            <w:pStyle w:val="Contents6"/>
            <w:tabs>
              <w:tab w:val="clear" w:pos="7609"/>
              <w:tab w:val="right" w:pos="9026" w:leader="dot"/>
            </w:tabs>
            <w:rPr/>
          </w:pPr>
          <w:hyperlink w:anchor="__RefHeading___Toc3056838_2870459653">
            <w:r>
              <w:rPr>
                <w:webHidden/>
                <w:rStyle w:val="IndexLink"/>
                <w:rtl w:val="true"/>
              </w:rPr>
              <w:t>الاحتمال الخامس</w:t>
            </w:r>
            <w:r>
              <w:rPr>
                <w:rStyle w:val="IndexLink"/>
                <w:rtl w:val="true"/>
              </w:rPr>
              <w:tab/>
            </w:r>
            <w:r>
              <w:rPr>
                <w:rStyle w:val="IndexLink"/>
              </w:rPr>
              <w:t>323</w:t>
            </w:r>
          </w:hyperlink>
        </w:p>
        <w:p>
          <w:pPr>
            <w:pStyle w:val="Contents6"/>
            <w:tabs>
              <w:tab w:val="clear" w:pos="7609"/>
              <w:tab w:val="right" w:pos="9026" w:leader="dot"/>
            </w:tabs>
            <w:rPr/>
          </w:pPr>
          <w:hyperlink w:anchor="__RefHeading___Toc3056840_2870459653">
            <w:r>
              <w:rPr>
                <w:webHidden/>
                <w:rStyle w:val="IndexLink"/>
              </w:rPr>
              <w:t>3</w:t>
            </w:r>
            <w:r>
              <w:rPr>
                <w:rStyle w:val="IndexLink"/>
                <w:rtl w:val="true"/>
              </w:rPr>
              <w:t xml:space="preserve">. </w:t>
            </w:r>
            <w:r>
              <w:rPr>
                <w:rStyle w:val="IndexLink"/>
                <w:rtl w:val="true"/>
              </w:rPr>
              <w:t xml:space="preserve">تصحيح سند الصّدوق </w:t>
            </w:r>
            <w:r>
              <w:rPr>
                <w:rStyle w:val="IndexLink"/>
                <w:rtl w:val="true"/>
              </w:rPr>
              <w:t>(</w:t>
            </w:r>
            <w:r>
              <w:rPr>
                <w:rStyle w:val="IndexLink"/>
                <w:rtl w:val="true"/>
              </w:rPr>
              <w:t>قدس سره</w:t>
            </w:r>
            <w:r>
              <w:rPr>
                <w:rStyle w:val="IndexLink"/>
                <w:rtl w:val="true"/>
              </w:rPr>
              <w:t xml:space="preserve">) </w:t>
            </w:r>
            <w:r>
              <w:rPr>
                <w:rStyle w:val="IndexLink"/>
                <w:rtl w:val="true"/>
              </w:rPr>
              <w:t>إلى محمّد بن مسلم بالرجوع لمشيخة الفقيه</w:t>
            </w:r>
            <w:r>
              <w:rPr>
                <w:rStyle w:val="IndexLink"/>
                <w:rtl w:val="true"/>
              </w:rPr>
              <w:tab/>
            </w:r>
            <w:r>
              <w:rPr>
                <w:rStyle w:val="IndexLink"/>
              </w:rPr>
              <w:t>325</w:t>
            </w:r>
          </w:hyperlink>
        </w:p>
        <w:p>
          <w:pPr>
            <w:pStyle w:val="Contents4"/>
            <w:tabs>
              <w:tab w:val="clear" w:pos="8176"/>
              <w:tab w:val="right" w:pos="9026" w:leader="dot"/>
            </w:tabs>
            <w:rPr/>
          </w:pPr>
          <w:hyperlink w:anchor="__RefHeading___Toc3056842_2870459653">
            <w:r>
              <w:rPr>
                <w:webHidden/>
                <w:rStyle w:val="IndexLink"/>
                <w:rtl w:val="true"/>
              </w:rPr>
              <w:t>الطّريقة الثّالثة</w:t>
            </w:r>
            <w:r>
              <w:rPr>
                <w:rStyle w:val="IndexLink"/>
                <w:rtl w:val="true"/>
              </w:rPr>
              <w:tab/>
            </w:r>
            <w:r>
              <w:rPr>
                <w:rStyle w:val="IndexLink"/>
              </w:rPr>
              <w:t>325</w:t>
            </w:r>
          </w:hyperlink>
        </w:p>
        <w:p>
          <w:pPr>
            <w:pStyle w:val="Contents5"/>
            <w:tabs>
              <w:tab w:val="clear" w:pos="7892"/>
              <w:tab w:val="right" w:pos="9026" w:leader="dot"/>
            </w:tabs>
            <w:rPr/>
          </w:pPr>
          <w:hyperlink w:anchor="__RefHeading___Toc3056844_2870459653">
            <w:r>
              <w:rPr>
                <w:webHidden/>
                <w:rStyle w:val="IndexLink"/>
                <w:rtl w:val="true"/>
              </w:rPr>
              <w:t>اشارة</w:t>
            </w:r>
            <w:r>
              <w:rPr>
                <w:rStyle w:val="IndexLink"/>
                <w:rtl w:val="true"/>
              </w:rPr>
              <w:tab/>
            </w:r>
            <w:r>
              <w:rPr>
                <w:rStyle w:val="IndexLink"/>
              </w:rPr>
              <w:t>325</w:t>
            </w:r>
          </w:hyperlink>
        </w:p>
        <w:p>
          <w:pPr>
            <w:pStyle w:val="Contents5"/>
            <w:tabs>
              <w:tab w:val="clear" w:pos="7892"/>
              <w:tab w:val="right" w:pos="9026" w:leader="dot"/>
            </w:tabs>
            <w:rPr/>
          </w:pPr>
          <w:hyperlink w:anchor="__RefHeading___Toc3056846_2870459653">
            <w:r>
              <w:rPr>
                <w:webHidden/>
                <w:rStyle w:val="IndexLink"/>
                <w:rtl w:val="true"/>
              </w:rPr>
              <w:t>بعض موارد تطبيقات هذه الطّريقة</w:t>
            </w:r>
            <w:r>
              <w:rPr>
                <w:rStyle w:val="IndexLink"/>
                <w:rtl w:val="true"/>
              </w:rPr>
              <w:tab/>
            </w:r>
            <w:r>
              <w:rPr>
                <w:rStyle w:val="IndexLink"/>
              </w:rPr>
              <w:t>326</w:t>
            </w:r>
          </w:hyperlink>
        </w:p>
        <w:p>
          <w:pPr>
            <w:pStyle w:val="Contents6"/>
            <w:tabs>
              <w:tab w:val="clear" w:pos="7609"/>
              <w:tab w:val="right" w:pos="9026" w:leader="dot"/>
            </w:tabs>
            <w:rPr/>
          </w:pPr>
          <w:hyperlink w:anchor="__RefHeading___Toc3056848_2870459653">
            <w:r>
              <w:rPr>
                <w:webHidden/>
                <w:rStyle w:val="IndexLink"/>
              </w:rPr>
              <w:t>1</w:t>
            </w:r>
            <w:r>
              <w:rPr>
                <w:rStyle w:val="IndexLink"/>
                <w:rtl w:val="true"/>
              </w:rPr>
              <w:t xml:space="preserve">. </w:t>
            </w:r>
            <w:r>
              <w:rPr>
                <w:rStyle w:val="IndexLink"/>
                <w:rtl w:val="true"/>
              </w:rPr>
              <w:t xml:space="preserve">تصحيح طريق الشّيخ </w:t>
            </w:r>
            <w:r>
              <w:rPr>
                <w:rStyle w:val="IndexLink"/>
                <w:rtl w:val="true"/>
              </w:rPr>
              <w:t>(</w:t>
            </w:r>
            <w:r>
              <w:rPr>
                <w:rStyle w:val="IndexLink"/>
                <w:rtl w:val="true"/>
              </w:rPr>
              <w:t>قدس سره</w:t>
            </w:r>
            <w:r>
              <w:rPr>
                <w:rStyle w:val="IndexLink"/>
                <w:rtl w:val="true"/>
              </w:rPr>
              <w:t xml:space="preserve">) </w:t>
            </w:r>
            <w:r>
              <w:rPr>
                <w:rStyle w:val="IndexLink"/>
                <w:rtl w:val="true"/>
              </w:rPr>
              <w:t>إلى علي بن الحسن الطّاطري في التّهذيب</w:t>
            </w:r>
            <w:r>
              <w:rPr>
                <w:rStyle w:val="IndexLink"/>
                <w:rtl w:val="true"/>
              </w:rPr>
              <w:tab/>
            </w:r>
            <w:r>
              <w:rPr>
                <w:rStyle w:val="IndexLink"/>
              </w:rPr>
              <w:t>326</w:t>
            </w:r>
          </w:hyperlink>
        </w:p>
        <w:p>
          <w:pPr>
            <w:pStyle w:val="Contents6"/>
            <w:tabs>
              <w:tab w:val="clear" w:pos="7609"/>
              <w:tab w:val="right" w:pos="9026" w:leader="dot"/>
            </w:tabs>
            <w:rPr/>
          </w:pPr>
          <w:hyperlink w:anchor="__RefHeading___Toc3056850_2870459653">
            <w:r>
              <w:rPr>
                <w:webHidden/>
                <w:rStyle w:val="IndexLink"/>
              </w:rPr>
              <w:t>2</w:t>
            </w:r>
            <w:r>
              <w:rPr>
                <w:rStyle w:val="IndexLink"/>
                <w:rtl w:val="true"/>
              </w:rPr>
              <w:t xml:space="preserve">. </w:t>
            </w:r>
            <w:r>
              <w:rPr>
                <w:rStyle w:val="IndexLink"/>
                <w:rtl w:val="true"/>
              </w:rPr>
              <w:t xml:space="preserve">ما ذكره المحدِّث النوري </w:t>
            </w:r>
            <w:r>
              <w:rPr>
                <w:rStyle w:val="IndexLink"/>
                <w:rtl w:val="true"/>
              </w:rPr>
              <w:t>(</w:t>
            </w:r>
            <w:r>
              <w:rPr>
                <w:rStyle w:val="IndexLink"/>
                <w:rtl w:val="true"/>
              </w:rPr>
              <w:t>قدس سره</w:t>
            </w:r>
            <w:r>
              <w:rPr>
                <w:rStyle w:val="IndexLink"/>
                <w:rtl w:val="true"/>
              </w:rPr>
              <w:t xml:space="preserve">) </w:t>
            </w:r>
            <w:r>
              <w:rPr>
                <w:rStyle w:val="IndexLink"/>
                <w:rtl w:val="true"/>
              </w:rPr>
              <w:t>في تصحيح طريق الشّيخ الصّدوق إلى محمّد بن مسلم</w:t>
            </w:r>
            <w:r>
              <w:rPr>
                <w:rStyle w:val="IndexLink"/>
                <w:rtl w:val="true"/>
              </w:rPr>
              <w:tab/>
            </w:r>
            <w:r>
              <w:rPr>
                <w:rStyle w:val="IndexLink"/>
              </w:rPr>
              <w:t>330</w:t>
            </w:r>
          </w:hyperlink>
        </w:p>
        <w:p>
          <w:pPr>
            <w:pStyle w:val="Contents4"/>
            <w:tabs>
              <w:tab w:val="clear" w:pos="8176"/>
              <w:tab w:val="right" w:pos="9026" w:leader="dot"/>
            </w:tabs>
            <w:rPr/>
          </w:pPr>
          <w:hyperlink w:anchor="__RefHeading___Toc3056852_2870459653">
            <w:r>
              <w:rPr>
                <w:webHidden/>
                <w:rStyle w:val="IndexLink"/>
                <w:rtl w:val="true"/>
              </w:rPr>
              <w:t>الطّريقة الرّابعة</w:t>
            </w:r>
            <w:r>
              <w:rPr>
                <w:rStyle w:val="IndexLink"/>
                <w:rtl w:val="true"/>
              </w:rPr>
              <w:tab/>
            </w:r>
            <w:r>
              <w:rPr>
                <w:rStyle w:val="IndexLink"/>
              </w:rPr>
              <w:t>332</w:t>
            </w:r>
          </w:hyperlink>
        </w:p>
        <w:p>
          <w:pPr>
            <w:pStyle w:val="Contents5"/>
            <w:tabs>
              <w:tab w:val="clear" w:pos="7892"/>
              <w:tab w:val="right" w:pos="9026" w:leader="dot"/>
            </w:tabs>
            <w:rPr/>
          </w:pPr>
          <w:hyperlink w:anchor="__RefHeading___Toc3056854_2870459653">
            <w:r>
              <w:rPr>
                <w:webHidden/>
                <w:rStyle w:val="IndexLink"/>
                <w:rtl w:val="true"/>
              </w:rPr>
              <w:t>اشارة</w:t>
            </w:r>
            <w:r>
              <w:rPr>
                <w:rStyle w:val="IndexLink"/>
                <w:rtl w:val="true"/>
              </w:rPr>
              <w:tab/>
            </w:r>
            <w:r>
              <w:rPr>
                <w:rStyle w:val="IndexLink"/>
              </w:rPr>
              <w:t>332</w:t>
            </w:r>
          </w:hyperlink>
        </w:p>
        <w:p>
          <w:pPr>
            <w:pStyle w:val="Contents5"/>
            <w:tabs>
              <w:tab w:val="clear" w:pos="7892"/>
              <w:tab w:val="right" w:pos="9026" w:leader="dot"/>
            </w:tabs>
            <w:rPr/>
          </w:pPr>
          <w:hyperlink w:anchor="__RefHeading___Toc3056856_2870459653">
            <w:r>
              <w:rPr>
                <w:webHidden/>
                <w:rStyle w:val="IndexLink"/>
                <w:rtl w:val="true"/>
              </w:rPr>
              <w:t>ولكن يناقش في هذه الطّريقة</w:t>
            </w:r>
            <w:r>
              <w:rPr>
                <w:rStyle w:val="IndexLink"/>
                <w:rtl w:val="true"/>
              </w:rPr>
              <w:tab/>
            </w:r>
            <w:r>
              <w:rPr>
                <w:rStyle w:val="IndexLink"/>
              </w:rPr>
              <w:t>333</w:t>
            </w:r>
          </w:hyperlink>
        </w:p>
        <w:p>
          <w:pPr>
            <w:pStyle w:val="Contents4"/>
            <w:tabs>
              <w:tab w:val="clear" w:pos="8176"/>
              <w:tab w:val="right" w:pos="9026" w:leader="dot"/>
            </w:tabs>
            <w:rPr/>
          </w:pPr>
          <w:hyperlink w:anchor="__RefHeading___Toc3056858_2870459653">
            <w:r>
              <w:rPr>
                <w:webHidden/>
                <w:rStyle w:val="IndexLink"/>
                <w:rtl w:val="true"/>
              </w:rPr>
              <w:t>الطّريقة الخامسة</w:t>
            </w:r>
            <w:r>
              <w:rPr>
                <w:rStyle w:val="IndexLink"/>
                <w:rtl w:val="true"/>
              </w:rPr>
              <w:tab/>
            </w:r>
            <w:r>
              <w:rPr>
                <w:rStyle w:val="IndexLink"/>
              </w:rPr>
              <w:t>336</w:t>
            </w:r>
          </w:hyperlink>
        </w:p>
        <w:p>
          <w:pPr>
            <w:pStyle w:val="Contents4"/>
            <w:tabs>
              <w:tab w:val="clear" w:pos="8176"/>
              <w:tab w:val="right" w:pos="9026" w:leader="dot"/>
            </w:tabs>
            <w:rPr/>
          </w:pPr>
          <w:hyperlink w:anchor="__RefHeading___Toc3056860_2870459653">
            <w:r>
              <w:rPr>
                <w:webHidden/>
                <w:rStyle w:val="IndexLink"/>
                <w:rtl w:val="true"/>
              </w:rPr>
              <w:t>الطّريقة السّادسة</w:t>
            </w:r>
            <w:r>
              <w:rPr>
                <w:rStyle w:val="IndexLink"/>
                <w:rtl w:val="true"/>
              </w:rPr>
              <w:tab/>
            </w:r>
            <w:r>
              <w:rPr>
                <w:rStyle w:val="IndexLink"/>
              </w:rPr>
              <w:t>339</w:t>
            </w:r>
          </w:hyperlink>
        </w:p>
        <w:p>
          <w:pPr>
            <w:pStyle w:val="Contents5"/>
            <w:tabs>
              <w:tab w:val="clear" w:pos="7892"/>
              <w:tab w:val="right" w:pos="9026" w:leader="dot"/>
            </w:tabs>
            <w:rPr/>
          </w:pPr>
          <w:hyperlink w:anchor="__RefHeading___Toc3056862_2870459653">
            <w:r>
              <w:rPr>
                <w:webHidden/>
                <w:rStyle w:val="IndexLink"/>
                <w:rtl w:val="true"/>
              </w:rPr>
              <w:t>اشارة</w:t>
            </w:r>
            <w:r>
              <w:rPr>
                <w:rStyle w:val="IndexLink"/>
                <w:rtl w:val="true"/>
              </w:rPr>
              <w:tab/>
            </w:r>
            <w:r>
              <w:rPr>
                <w:rStyle w:val="IndexLink"/>
              </w:rPr>
              <w:t>339</w:t>
            </w:r>
          </w:hyperlink>
        </w:p>
        <w:p>
          <w:pPr>
            <w:pStyle w:val="Contents5"/>
            <w:tabs>
              <w:tab w:val="clear" w:pos="7892"/>
              <w:tab w:val="right" w:pos="9026" w:leader="dot"/>
            </w:tabs>
            <w:rPr/>
          </w:pPr>
          <w:hyperlink w:anchor="__RefHeading___Toc3056864_2870459653">
            <w:r>
              <w:rPr>
                <w:webHidden/>
                <w:rStyle w:val="IndexLink"/>
                <w:rtl w:val="true"/>
              </w:rPr>
              <w:t>من موارد تطبيق هذه الطّريقة</w:t>
            </w:r>
            <w:r>
              <w:rPr>
                <w:rStyle w:val="IndexLink"/>
                <w:rtl w:val="true"/>
              </w:rPr>
              <w:tab/>
            </w:r>
            <w:r>
              <w:rPr>
                <w:rStyle w:val="IndexLink"/>
              </w:rPr>
              <w:t>340</w:t>
            </w:r>
          </w:hyperlink>
        </w:p>
        <w:p>
          <w:pPr>
            <w:pStyle w:val="Contents6"/>
            <w:tabs>
              <w:tab w:val="clear" w:pos="7609"/>
              <w:tab w:val="right" w:pos="9026" w:leader="dot"/>
            </w:tabs>
            <w:rPr/>
          </w:pPr>
          <w:hyperlink w:anchor="__RefHeading___Toc3056866_2870459653">
            <w:r>
              <w:rPr>
                <w:webHidden/>
                <w:rStyle w:val="IndexLink"/>
              </w:rPr>
              <w:t>1</w:t>
            </w:r>
            <w:r>
              <w:rPr>
                <w:rStyle w:val="IndexLink"/>
                <w:rtl w:val="true"/>
              </w:rPr>
              <w:t xml:space="preserve">. </w:t>
            </w:r>
            <w:r>
              <w:rPr>
                <w:rStyle w:val="IndexLink"/>
                <w:rtl w:val="true"/>
              </w:rPr>
              <w:t xml:space="preserve">تصحيح سند الصّدوق </w:t>
            </w:r>
            <w:r>
              <w:rPr>
                <w:rStyle w:val="IndexLink"/>
                <w:rtl w:val="true"/>
              </w:rPr>
              <w:t>(</w:t>
            </w:r>
            <w:r>
              <w:rPr>
                <w:rStyle w:val="IndexLink"/>
                <w:rtl w:val="true"/>
              </w:rPr>
              <w:t>رحمة الله</w:t>
            </w:r>
            <w:r>
              <w:rPr>
                <w:rStyle w:val="IndexLink"/>
                <w:rtl w:val="true"/>
              </w:rPr>
              <w:t xml:space="preserve">) </w:t>
            </w:r>
            <w:r>
              <w:rPr>
                <w:rStyle w:val="IndexLink"/>
                <w:rtl w:val="true"/>
              </w:rPr>
              <w:t>في الخصال بالاستعانة بفهرست الشّيخ</w:t>
            </w:r>
            <w:r>
              <w:rPr>
                <w:rStyle w:val="IndexLink"/>
                <w:rtl w:val="true"/>
              </w:rPr>
              <w:tab/>
            </w:r>
            <w:r>
              <w:rPr>
                <w:rStyle w:val="IndexLink"/>
              </w:rPr>
              <w:t>340</w:t>
            </w:r>
          </w:hyperlink>
        </w:p>
        <w:p>
          <w:pPr>
            <w:pStyle w:val="Contents6"/>
            <w:tabs>
              <w:tab w:val="clear" w:pos="7609"/>
              <w:tab w:val="right" w:pos="9026" w:leader="dot"/>
            </w:tabs>
            <w:rPr/>
          </w:pPr>
          <w:hyperlink w:anchor="__RefHeading___Toc3056868_2870459653">
            <w:r>
              <w:rPr>
                <w:webHidden/>
                <w:rStyle w:val="IndexLink"/>
              </w:rPr>
              <w:t>2</w:t>
            </w:r>
            <w:r>
              <w:rPr>
                <w:rStyle w:val="IndexLink"/>
                <w:rtl w:val="true"/>
              </w:rPr>
              <w:t xml:space="preserve">. </w:t>
            </w:r>
            <w:r>
              <w:rPr>
                <w:rStyle w:val="IndexLink"/>
                <w:rtl w:val="true"/>
              </w:rPr>
              <w:t>تصحيح سند حديث رفع التّسعة ولكن بالاستعانة بمشيخة الفقيه</w:t>
            </w:r>
            <w:r>
              <w:rPr>
                <w:rStyle w:val="IndexLink"/>
                <w:rtl w:val="true"/>
              </w:rPr>
              <w:tab/>
            </w:r>
            <w:r>
              <w:rPr>
                <w:rStyle w:val="IndexLink"/>
              </w:rPr>
              <w:t>342</w:t>
            </w:r>
          </w:hyperlink>
        </w:p>
        <w:p>
          <w:pPr>
            <w:pStyle w:val="Contents6"/>
            <w:tabs>
              <w:tab w:val="clear" w:pos="7609"/>
              <w:tab w:val="right" w:pos="9026" w:leader="dot"/>
            </w:tabs>
            <w:rPr/>
          </w:pPr>
          <w:hyperlink w:anchor="__RefHeading___Toc3056870_2870459653">
            <w:r>
              <w:rPr>
                <w:webHidden/>
                <w:rStyle w:val="IndexLink"/>
              </w:rPr>
              <w:t>3</w:t>
            </w:r>
            <w:r>
              <w:rPr>
                <w:rStyle w:val="IndexLink"/>
                <w:rtl w:val="true"/>
              </w:rPr>
              <w:t xml:space="preserve">. </w:t>
            </w:r>
            <w:r>
              <w:rPr>
                <w:rStyle w:val="IndexLink"/>
                <w:rtl w:val="true"/>
              </w:rPr>
              <w:t xml:space="preserve">رواية الشّيخ </w:t>
            </w:r>
            <w:r>
              <w:rPr>
                <w:rStyle w:val="IndexLink"/>
                <w:rtl w:val="true"/>
              </w:rPr>
              <w:t>(</w:t>
            </w:r>
            <w:r>
              <w:rPr>
                <w:rStyle w:val="IndexLink"/>
                <w:rtl w:val="true"/>
              </w:rPr>
              <w:t>قدس سره</w:t>
            </w:r>
            <w:r>
              <w:rPr>
                <w:rStyle w:val="IndexLink"/>
                <w:rtl w:val="true"/>
              </w:rPr>
              <w:t xml:space="preserve">) </w:t>
            </w:r>
            <w:r>
              <w:rPr>
                <w:rStyle w:val="IndexLink"/>
                <w:rtl w:val="true"/>
              </w:rPr>
              <w:t>إلى علي بن جعفر</w:t>
            </w:r>
            <w:r>
              <w:rPr>
                <w:rStyle w:val="IndexLink"/>
                <w:rtl w:val="true"/>
              </w:rPr>
              <w:tab/>
            </w:r>
            <w:r>
              <w:rPr>
                <w:rStyle w:val="IndexLink"/>
              </w:rPr>
              <w:t>344</w:t>
            </w:r>
          </w:hyperlink>
        </w:p>
        <w:p>
          <w:pPr>
            <w:pStyle w:val="Contents6"/>
            <w:tabs>
              <w:tab w:val="clear" w:pos="7609"/>
              <w:tab w:val="right" w:pos="9026" w:leader="dot"/>
            </w:tabs>
            <w:rPr/>
          </w:pPr>
          <w:hyperlink w:anchor="__RefHeading___Toc3056872_2870459653">
            <w:r>
              <w:rPr>
                <w:webHidden/>
                <w:rStyle w:val="IndexLink"/>
              </w:rPr>
              <w:t>4</w:t>
            </w:r>
            <w:r>
              <w:rPr>
                <w:rStyle w:val="IndexLink"/>
                <w:rtl w:val="true"/>
              </w:rPr>
              <w:t xml:space="preserve">. </w:t>
            </w:r>
            <w:r>
              <w:rPr>
                <w:rStyle w:val="IndexLink"/>
                <w:rtl w:val="true"/>
              </w:rPr>
              <w:t xml:space="preserve">رواية الشّيخ </w:t>
            </w:r>
            <w:r>
              <w:rPr>
                <w:rStyle w:val="IndexLink"/>
                <w:rtl w:val="true"/>
              </w:rPr>
              <w:t>(</w:t>
            </w:r>
            <w:r>
              <w:rPr>
                <w:rStyle w:val="IndexLink"/>
                <w:rtl w:val="true"/>
              </w:rPr>
              <w:t>قدس سره</w:t>
            </w:r>
            <w:r>
              <w:rPr>
                <w:rStyle w:val="IndexLink"/>
                <w:rtl w:val="true"/>
              </w:rPr>
              <w:t xml:space="preserve">) </w:t>
            </w:r>
            <w:r>
              <w:rPr>
                <w:rStyle w:val="IndexLink"/>
                <w:rtl w:val="true"/>
              </w:rPr>
              <w:t>إلى حفص</w:t>
            </w:r>
            <w:r>
              <w:rPr>
                <w:rStyle w:val="IndexLink"/>
                <w:rtl w:val="true"/>
              </w:rPr>
              <w:tab/>
            </w:r>
            <w:r>
              <w:rPr>
                <w:rStyle w:val="IndexLink"/>
              </w:rPr>
              <w:t>345</w:t>
            </w:r>
          </w:hyperlink>
        </w:p>
        <w:p>
          <w:pPr>
            <w:pStyle w:val="Contents4"/>
            <w:tabs>
              <w:tab w:val="clear" w:pos="8176"/>
              <w:tab w:val="right" w:pos="9026" w:leader="dot"/>
            </w:tabs>
            <w:rPr/>
          </w:pPr>
          <w:hyperlink w:anchor="__RefHeading___Toc3056874_2870459653">
            <w:r>
              <w:rPr>
                <w:webHidden/>
                <w:rStyle w:val="IndexLink"/>
                <w:rtl w:val="true"/>
              </w:rPr>
              <w:t>الطّريقة السّابعة</w:t>
            </w:r>
            <w:r>
              <w:rPr>
                <w:rStyle w:val="IndexLink"/>
                <w:rtl w:val="true"/>
              </w:rPr>
              <w:tab/>
            </w:r>
            <w:r>
              <w:rPr>
                <w:rStyle w:val="IndexLink"/>
              </w:rPr>
              <w:t>348</w:t>
            </w:r>
          </w:hyperlink>
        </w:p>
        <w:p>
          <w:pPr>
            <w:pStyle w:val="Contents4"/>
            <w:tabs>
              <w:tab w:val="clear" w:pos="8176"/>
              <w:tab w:val="right" w:pos="9026" w:leader="dot"/>
            </w:tabs>
            <w:rPr/>
          </w:pPr>
          <w:hyperlink w:anchor="__RefHeading___Toc3056876_2870459653">
            <w:r>
              <w:rPr>
                <w:webHidden/>
                <w:rStyle w:val="IndexLink"/>
                <w:rtl w:val="true"/>
              </w:rPr>
              <w:t>الطّريقة الثّامنة</w:t>
            </w:r>
            <w:r>
              <w:rPr>
                <w:rStyle w:val="IndexLink"/>
                <w:rtl w:val="true"/>
              </w:rPr>
              <w:tab/>
            </w:r>
            <w:r>
              <w:rPr>
                <w:rStyle w:val="IndexLink"/>
              </w:rPr>
              <w:t>349</w:t>
            </w:r>
          </w:hyperlink>
        </w:p>
        <w:p>
          <w:pPr>
            <w:pStyle w:val="Contents5"/>
            <w:tabs>
              <w:tab w:val="clear" w:pos="7892"/>
              <w:tab w:val="right" w:pos="9026" w:leader="dot"/>
            </w:tabs>
            <w:rPr/>
          </w:pPr>
          <w:hyperlink w:anchor="__RefHeading___Toc3056878_2870459653">
            <w:r>
              <w:rPr>
                <w:webHidden/>
                <w:rStyle w:val="IndexLink"/>
                <w:rtl w:val="true"/>
              </w:rPr>
              <w:t>اشارة</w:t>
            </w:r>
            <w:r>
              <w:rPr>
                <w:rStyle w:val="IndexLink"/>
                <w:rtl w:val="true"/>
              </w:rPr>
              <w:tab/>
            </w:r>
            <w:r>
              <w:rPr>
                <w:rStyle w:val="IndexLink"/>
              </w:rPr>
              <w:t>349</w:t>
            </w:r>
          </w:hyperlink>
        </w:p>
        <w:p>
          <w:pPr>
            <w:pStyle w:val="Contents5"/>
            <w:tabs>
              <w:tab w:val="clear" w:pos="7892"/>
              <w:tab w:val="right" w:pos="9026" w:leader="dot"/>
            </w:tabs>
            <w:rPr/>
          </w:pPr>
          <w:hyperlink w:anchor="__RefHeading___Toc3056880_2870459653">
            <w:r>
              <w:rPr>
                <w:webHidden/>
                <w:rStyle w:val="IndexLink"/>
                <w:rtl w:val="true"/>
              </w:rPr>
              <w:t>بعض موارد تطبيق هذه الطّريقة</w:t>
            </w:r>
            <w:r>
              <w:rPr>
                <w:rStyle w:val="IndexLink"/>
                <w:rtl w:val="true"/>
              </w:rPr>
              <w:tab/>
            </w:r>
            <w:r>
              <w:rPr>
                <w:rStyle w:val="IndexLink"/>
              </w:rPr>
              <w:t>349</w:t>
            </w:r>
          </w:hyperlink>
        </w:p>
        <w:p>
          <w:pPr>
            <w:pStyle w:val="Contents6"/>
            <w:tabs>
              <w:tab w:val="clear" w:pos="7609"/>
              <w:tab w:val="right" w:pos="9026" w:leader="dot"/>
            </w:tabs>
            <w:rPr/>
          </w:pPr>
          <w:hyperlink w:anchor="__RefHeading___Toc3056882_2870459653">
            <w:r>
              <w:rPr>
                <w:webHidden/>
                <w:rStyle w:val="IndexLink"/>
              </w:rPr>
              <w:t>1</w:t>
            </w:r>
            <w:r>
              <w:rPr>
                <w:rStyle w:val="IndexLink"/>
                <w:rtl w:val="true"/>
              </w:rPr>
              <w:t xml:space="preserve">. </w:t>
            </w:r>
            <w:r>
              <w:rPr>
                <w:rStyle w:val="IndexLink"/>
                <w:rtl w:val="true"/>
              </w:rPr>
              <w:t xml:space="preserve">ذكر الصدوق </w:t>
            </w:r>
            <w:r>
              <w:rPr>
                <w:rStyle w:val="IndexLink"/>
                <w:rtl w:val="true"/>
              </w:rPr>
              <w:t>(</w:t>
            </w:r>
            <w:r>
              <w:rPr>
                <w:rStyle w:val="IndexLink"/>
                <w:rtl w:val="true"/>
              </w:rPr>
              <w:t>قدس سره</w:t>
            </w:r>
            <w:r>
              <w:rPr>
                <w:rStyle w:val="IndexLink"/>
                <w:rtl w:val="true"/>
              </w:rPr>
              <w:t xml:space="preserve">) </w:t>
            </w:r>
            <w:r>
              <w:rPr>
                <w:rStyle w:val="IndexLink"/>
                <w:rtl w:val="true"/>
              </w:rPr>
              <w:t>في مشيخة الفقيه طريقه إلى عبيد بن زرارة</w:t>
            </w:r>
            <w:r>
              <w:rPr>
                <w:rStyle w:val="IndexLink"/>
                <w:rtl w:val="true"/>
              </w:rPr>
              <w:tab/>
            </w:r>
            <w:r>
              <w:rPr>
                <w:rStyle w:val="IndexLink"/>
              </w:rPr>
              <w:t>349</w:t>
            </w:r>
          </w:hyperlink>
        </w:p>
        <w:p>
          <w:pPr>
            <w:pStyle w:val="Contents6"/>
            <w:tabs>
              <w:tab w:val="clear" w:pos="7609"/>
              <w:tab w:val="right" w:pos="9026" w:leader="dot"/>
            </w:tabs>
            <w:rPr/>
          </w:pPr>
          <w:hyperlink w:anchor="__RefHeading___Toc3056884_2870459653">
            <w:r>
              <w:rPr>
                <w:webHidden/>
                <w:rStyle w:val="IndexLink"/>
              </w:rPr>
              <w:t>2</w:t>
            </w:r>
            <w:r>
              <w:rPr>
                <w:rStyle w:val="IndexLink"/>
                <w:rtl w:val="true"/>
              </w:rPr>
              <w:t xml:space="preserve">. </w:t>
            </w:r>
            <w:r>
              <w:rPr>
                <w:rStyle w:val="IndexLink"/>
                <w:rtl w:val="true"/>
              </w:rPr>
              <w:t xml:space="preserve">ما طبّقه السّيّد الخوئي </w:t>
            </w:r>
            <w:r>
              <w:rPr>
                <w:rStyle w:val="IndexLink"/>
                <w:rtl w:val="true"/>
              </w:rPr>
              <w:t>(</w:t>
            </w:r>
            <w:r>
              <w:rPr>
                <w:rStyle w:val="IndexLink"/>
                <w:rtl w:val="true"/>
              </w:rPr>
              <w:t>قدس سره</w:t>
            </w:r>
            <w:r>
              <w:rPr>
                <w:rStyle w:val="IndexLink"/>
                <w:rtl w:val="true"/>
              </w:rPr>
              <w:t xml:space="preserve">) </w:t>
            </w:r>
            <w:r>
              <w:rPr>
                <w:rStyle w:val="IndexLink"/>
                <w:rtl w:val="true"/>
              </w:rPr>
              <w:t>في تصحيح طريق الصّدوق إلى جميل بن صالح</w:t>
            </w:r>
            <w:r>
              <w:rPr>
                <w:rStyle w:val="IndexLink"/>
                <w:rtl w:val="true"/>
              </w:rPr>
              <w:tab/>
            </w:r>
            <w:r>
              <w:rPr>
                <w:rStyle w:val="IndexLink"/>
              </w:rPr>
              <w:t>351</w:t>
            </w:r>
          </w:hyperlink>
        </w:p>
        <w:p>
          <w:pPr>
            <w:pStyle w:val="Contents4"/>
            <w:tabs>
              <w:tab w:val="clear" w:pos="8176"/>
              <w:tab w:val="right" w:pos="9026" w:leader="dot"/>
            </w:tabs>
            <w:rPr/>
          </w:pPr>
          <w:hyperlink w:anchor="__RefHeading___Toc3056886_2870459653">
            <w:r>
              <w:rPr>
                <w:webHidden/>
                <w:rStyle w:val="IndexLink"/>
                <w:rtl w:val="true"/>
              </w:rPr>
              <w:t>الطّريقة التّاسعة</w:t>
            </w:r>
            <w:r>
              <w:rPr>
                <w:rStyle w:val="IndexLink"/>
                <w:rtl w:val="true"/>
              </w:rPr>
              <w:tab/>
            </w:r>
            <w:r>
              <w:rPr>
                <w:rStyle w:val="IndexLink"/>
              </w:rPr>
              <w:t>354</w:t>
            </w:r>
          </w:hyperlink>
        </w:p>
        <w:p>
          <w:pPr>
            <w:pStyle w:val="Contents3"/>
            <w:tabs>
              <w:tab w:val="clear" w:pos="8459"/>
              <w:tab w:val="right" w:pos="9026" w:leader="dot"/>
            </w:tabs>
            <w:rPr/>
          </w:pPr>
          <w:hyperlink w:anchor="__RefHeading___Toc3056888_2870459653">
            <w:r>
              <w:rPr>
                <w:webHidden/>
                <w:rStyle w:val="IndexLink"/>
                <w:rtl w:val="true"/>
              </w:rPr>
              <w:t>ثمرة البحث</w:t>
            </w:r>
            <w:r>
              <w:rPr>
                <w:rStyle w:val="IndexLink"/>
                <w:rtl w:val="true"/>
              </w:rPr>
              <w:tab/>
            </w:r>
            <w:r>
              <w:rPr>
                <w:rStyle w:val="IndexLink"/>
              </w:rPr>
              <w:t>357</w:t>
            </w:r>
          </w:hyperlink>
        </w:p>
        <w:p>
          <w:pPr>
            <w:pStyle w:val="Contents3"/>
            <w:tabs>
              <w:tab w:val="clear" w:pos="8459"/>
              <w:tab w:val="right" w:pos="9026" w:leader="dot"/>
            </w:tabs>
            <w:rPr/>
          </w:pPr>
          <w:hyperlink w:anchor="__RefHeading___Toc3056890_2870459653">
            <w:r>
              <w:rPr>
                <w:webHidden/>
                <w:rStyle w:val="IndexLink"/>
                <w:rtl w:val="true"/>
              </w:rPr>
              <w:t>نتائج البحث</w:t>
            </w:r>
            <w:r>
              <w:rPr>
                <w:rStyle w:val="IndexLink"/>
                <w:rtl w:val="true"/>
              </w:rPr>
              <w:tab/>
            </w:r>
            <w:r>
              <w:rPr>
                <w:rStyle w:val="IndexLink"/>
              </w:rPr>
              <w:t>359</w:t>
            </w:r>
          </w:hyperlink>
        </w:p>
        <w:p>
          <w:pPr>
            <w:pStyle w:val="Contents3"/>
            <w:tabs>
              <w:tab w:val="clear" w:pos="8459"/>
              <w:tab w:val="right" w:pos="9026" w:leader="dot"/>
            </w:tabs>
            <w:rPr/>
          </w:pPr>
          <w:hyperlink w:anchor="__RefHeading___Toc3056892_2870459653">
            <w:r>
              <w:rPr>
                <w:webHidden/>
                <w:rStyle w:val="IndexLink"/>
                <w:rtl w:val="true"/>
              </w:rPr>
              <w:t>المراجع والمصادر</w:t>
            </w:r>
            <w:r>
              <w:rPr>
                <w:rStyle w:val="IndexLink"/>
                <w:rtl w:val="true"/>
              </w:rPr>
              <w:tab/>
            </w:r>
            <w:r>
              <w:rPr>
                <w:rStyle w:val="IndexLink"/>
              </w:rPr>
              <w:t>364</w:t>
            </w:r>
          </w:hyperlink>
        </w:p>
        <w:p>
          <w:pPr>
            <w:pStyle w:val="Contents2"/>
            <w:tabs>
              <w:tab w:val="clear" w:pos="8743"/>
              <w:tab w:val="right" w:pos="9026" w:leader="dot"/>
            </w:tabs>
            <w:rPr/>
          </w:pPr>
          <w:hyperlink w:anchor="__RefHeading___Toc3056894_2870459653">
            <w:r>
              <w:rPr>
                <w:webHidden/>
                <w:rStyle w:val="IndexLink"/>
                <w:rtl w:val="true"/>
              </w:rPr>
              <w:t xml:space="preserve">تحقيق حال جابر الجعفي </w:t>
            </w:r>
            <w:r>
              <w:rPr>
                <w:rStyle w:val="IndexLink"/>
                <w:rtl w:val="true"/>
              </w:rPr>
              <w:t>(</w:t>
            </w:r>
            <w:r>
              <w:rPr>
                <w:rStyle w:val="IndexLink"/>
                <w:rtl w:val="true"/>
              </w:rPr>
              <w:t>الحلقة الخامسة</w:t>
            </w:r>
            <w:r>
              <w:rPr>
                <w:rStyle w:val="IndexLink"/>
                <w:rtl w:val="true"/>
              </w:rPr>
              <w:t xml:space="preserve">) - </w:t>
            </w:r>
            <w:r>
              <w:rPr>
                <w:rStyle w:val="IndexLink"/>
                <w:rtl w:val="true"/>
              </w:rPr>
              <w:t xml:space="preserve">الشَّيخ محمَّد الجعفري </w:t>
            </w:r>
            <w:r>
              <w:rPr>
                <w:rStyle w:val="IndexLink"/>
                <w:rtl w:val="true"/>
              </w:rPr>
              <w:t>(</w:t>
            </w:r>
            <w:r>
              <w:rPr>
                <w:rStyle w:val="IndexLink"/>
                <w:rtl w:val="true"/>
              </w:rPr>
              <w:t>دام عزه</w:t>
            </w:r>
            <w:r>
              <w:rPr>
                <w:rStyle w:val="IndexLink"/>
                <w:rtl w:val="true"/>
              </w:rPr>
              <w:t>)</w:t>
              <w:tab/>
            </w:r>
            <w:r>
              <w:rPr>
                <w:rStyle w:val="IndexLink"/>
              </w:rPr>
              <w:t>371</w:t>
            </w:r>
          </w:hyperlink>
        </w:p>
        <w:p>
          <w:pPr>
            <w:pStyle w:val="Contents3"/>
            <w:tabs>
              <w:tab w:val="clear" w:pos="8459"/>
              <w:tab w:val="right" w:pos="9026" w:leader="dot"/>
            </w:tabs>
            <w:rPr/>
          </w:pPr>
          <w:hyperlink w:anchor="__RefHeading___Toc3056896_2870459653">
            <w:r>
              <w:rPr>
                <w:webHidden/>
                <w:rStyle w:val="IndexLink"/>
                <w:rtl w:val="true"/>
              </w:rPr>
              <w:t>اشارة</w:t>
            </w:r>
            <w:r>
              <w:rPr>
                <w:rStyle w:val="IndexLink"/>
                <w:rtl w:val="true"/>
              </w:rPr>
              <w:tab/>
            </w:r>
            <w:r>
              <w:rPr>
                <w:rStyle w:val="IndexLink"/>
              </w:rPr>
              <w:t>371</w:t>
            </w:r>
          </w:hyperlink>
        </w:p>
        <w:p>
          <w:pPr>
            <w:pStyle w:val="Contents3"/>
            <w:tabs>
              <w:tab w:val="clear" w:pos="8459"/>
              <w:tab w:val="right" w:pos="9026" w:leader="dot"/>
            </w:tabs>
            <w:rPr/>
          </w:pPr>
          <w:hyperlink w:anchor="__RefHeading___Toc3056898_2870459653">
            <w:r>
              <w:rPr>
                <w:webHidden/>
                <w:rStyle w:val="IndexLink"/>
                <w:rtl w:val="true"/>
              </w:rPr>
              <w:t>المقام الرَّابع</w:t>
            </w:r>
            <w:r>
              <w:rPr>
                <w:rStyle w:val="IndexLink"/>
                <w:rtl w:val="true"/>
              </w:rPr>
              <w:t xml:space="preserve">: </w:t>
            </w:r>
            <w:r>
              <w:rPr>
                <w:rStyle w:val="IndexLink"/>
                <w:rtl w:val="true"/>
              </w:rPr>
              <w:t>معجم بأسماء أساتذة جابر الجعفي وتلاميذه</w:t>
            </w:r>
            <w:r>
              <w:rPr>
                <w:rStyle w:val="IndexLink"/>
                <w:rtl w:val="true"/>
              </w:rPr>
              <w:tab/>
            </w:r>
            <w:r>
              <w:rPr>
                <w:rStyle w:val="IndexLink"/>
              </w:rPr>
              <w:t>373</w:t>
            </w:r>
          </w:hyperlink>
        </w:p>
        <w:p>
          <w:pPr>
            <w:pStyle w:val="Contents4"/>
            <w:tabs>
              <w:tab w:val="clear" w:pos="8176"/>
              <w:tab w:val="right" w:pos="9026" w:leader="dot"/>
            </w:tabs>
            <w:rPr/>
          </w:pPr>
          <w:hyperlink w:anchor="__RefHeading___Toc3056900_2870459653">
            <w:r>
              <w:rPr>
                <w:webHidden/>
                <w:rStyle w:val="IndexLink"/>
                <w:rtl w:val="true"/>
              </w:rPr>
              <w:t>اشارة</w:t>
            </w:r>
            <w:r>
              <w:rPr>
                <w:rStyle w:val="IndexLink"/>
                <w:rtl w:val="true"/>
              </w:rPr>
              <w:tab/>
            </w:r>
            <w:r>
              <w:rPr>
                <w:rStyle w:val="IndexLink"/>
              </w:rPr>
              <w:t>373</w:t>
            </w:r>
          </w:hyperlink>
        </w:p>
        <w:p>
          <w:pPr>
            <w:pStyle w:val="Contents4"/>
            <w:tabs>
              <w:tab w:val="clear" w:pos="8176"/>
              <w:tab w:val="right" w:pos="9026" w:leader="dot"/>
            </w:tabs>
            <w:rPr/>
          </w:pPr>
          <w:hyperlink w:anchor="__RefHeading___Toc3056902_2870459653">
            <w:r>
              <w:rPr>
                <w:webHidden/>
                <w:rStyle w:val="IndexLink"/>
                <w:rtl w:val="true"/>
              </w:rPr>
              <w:t>الطَّبقات لغةًً واصطلاحاً</w:t>
            </w:r>
            <w:r>
              <w:rPr>
                <w:rStyle w:val="IndexLink"/>
                <w:rtl w:val="true"/>
              </w:rPr>
              <w:tab/>
            </w:r>
            <w:r>
              <w:rPr>
                <w:rStyle w:val="IndexLink"/>
              </w:rPr>
              <w:t>374</w:t>
            </w:r>
          </w:hyperlink>
        </w:p>
        <w:p>
          <w:pPr>
            <w:pStyle w:val="Contents4"/>
            <w:tabs>
              <w:tab w:val="clear" w:pos="8176"/>
              <w:tab w:val="right" w:pos="9026" w:leader="dot"/>
            </w:tabs>
            <w:rPr/>
          </w:pPr>
          <w:hyperlink w:anchor="__RefHeading___Toc3056904_2870459653">
            <w:r>
              <w:rPr>
                <w:webHidden/>
                <w:rStyle w:val="IndexLink"/>
                <w:rtl w:val="true"/>
              </w:rPr>
              <w:t>الغاية من معرفة الطّبقة</w:t>
            </w:r>
            <w:r>
              <w:rPr>
                <w:rStyle w:val="IndexLink"/>
                <w:rtl w:val="true"/>
              </w:rPr>
              <w:tab/>
            </w:r>
            <w:r>
              <w:rPr>
                <w:rStyle w:val="IndexLink"/>
              </w:rPr>
              <w:t>374</w:t>
            </w:r>
          </w:hyperlink>
        </w:p>
        <w:p>
          <w:pPr>
            <w:pStyle w:val="Contents4"/>
            <w:tabs>
              <w:tab w:val="clear" w:pos="8176"/>
              <w:tab w:val="right" w:pos="9026" w:leader="dot"/>
            </w:tabs>
            <w:rPr/>
          </w:pPr>
          <w:hyperlink w:anchor="__RefHeading___Toc3056906_2870459653">
            <w:r>
              <w:rPr>
                <w:webHidden/>
                <w:rStyle w:val="IndexLink"/>
                <w:rtl w:val="true"/>
              </w:rPr>
              <w:t>كتب الطّبقات عند العامّة ومناهجهم فيها</w:t>
            </w:r>
            <w:r>
              <w:rPr>
                <w:rStyle w:val="IndexLink"/>
                <w:rtl w:val="true"/>
              </w:rPr>
              <w:t>..</w:t>
              <w:tab/>
            </w:r>
            <w:r>
              <w:rPr>
                <w:rStyle w:val="IndexLink"/>
              </w:rPr>
              <w:t>375</w:t>
            </w:r>
          </w:hyperlink>
        </w:p>
        <w:p>
          <w:pPr>
            <w:pStyle w:val="Contents5"/>
            <w:tabs>
              <w:tab w:val="clear" w:pos="7892"/>
              <w:tab w:val="right" w:pos="9026" w:leader="dot"/>
            </w:tabs>
            <w:rPr/>
          </w:pPr>
          <w:hyperlink w:anchor="__RefHeading___Toc3056908_2870459653">
            <w:r>
              <w:rPr>
                <w:webHidden/>
                <w:rStyle w:val="IndexLink"/>
                <w:rtl w:val="true"/>
              </w:rPr>
              <w:t>اشارة</w:t>
            </w:r>
            <w:r>
              <w:rPr>
                <w:rStyle w:val="IndexLink"/>
                <w:rtl w:val="true"/>
              </w:rPr>
              <w:tab/>
            </w:r>
            <w:r>
              <w:rPr>
                <w:rStyle w:val="IndexLink"/>
              </w:rPr>
              <w:t>375</w:t>
            </w:r>
          </w:hyperlink>
        </w:p>
        <w:p>
          <w:pPr>
            <w:pStyle w:val="Contents5"/>
            <w:tabs>
              <w:tab w:val="clear" w:pos="7892"/>
              <w:tab w:val="right" w:pos="9026" w:leader="dot"/>
            </w:tabs>
            <w:rPr/>
          </w:pPr>
          <w:hyperlink w:anchor="__RefHeading___Toc3056910_2870459653">
            <w:r>
              <w:rPr>
                <w:webHidden/>
                <w:rStyle w:val="IndexLink"/>
                <w:rtl w:val="true"/>
              </w:rPr>
              <w:t>المنهج الأوَّل</w:t>
            </w:r>
            <w:r>
              <w:rPr>
                <w:rStyle w:val="IndexLink"/>
                <w:rtl w:val="true"/>
              </w:rPr>
              <w:tab/>
            </w:r>
            <w:r>
              <w:rPr>
                <w:rStyle w:val="IndexLink"/>
              </w:rPr>
              <w:t>375</w:t>
            </w:r>
          </w:hyperlink>
        </w:p>
        <w:p>
          <w:pPr>
            <w:pStyle w:val="Contents5"/>
            <w:tabs>
              <w:tab w:val="clear" w:pos="7892"/>
              <w:tab w:val="right" w:pos="9026" w:leader="dot"/>
            </w:tabs>
            <w:rPr/>
          </w:pPr>
          <w:hyperlink w:anchor="__RefHeading___Toc3056912_2870459653">
            <w:r>
              <w:rPr>
                <w:webHidden/>
                <w:rStyle w:val="IndexLink"/>
                <w:rtl w:val="true"/>
              </w:rPr>
              <w:t>المنهج الثَّاني</w:t>
            </w:r>
            <w:r>
              <w:rPr>
                <w:rStyle w:val="IndexLink"/>
                <w:rtl w:val="true"/>
              </w:rPr>
              <w:tab/>
            </w:r>
            <w:r>
              <w:rPr>
                <w:rStyle w:val="IndexLink"/>
              </w:rPr>
              <w:t>376</w:t>
            </w:r>
          </w:hyperlink>
        </w:p>
        <w:p>
          <w:pPr>
            <w:pStyle w:val="Contents5"/>
            <w:tabs>
              <w:tab w:val="clear" w:pos="7892"/>
              <w:tab w:val="right" w:pos="9026" w:leader="dot"/>
            </w:tabs>
            <w:rPr/>
          </w:pPr>
          <w:hyperlink w:anchor="__RefHeading___Toc3056914_2870459653">
            <w:r>
              <w:rPr>
                <w:webHidden/>
                <w:rStyle w:val="IndexLink"/>
                <w:rtl w:val="true"/>
              </w:rPr>
              <w:t>المنهج الثَّالث</w:t>
            </w:r>
            <w:r>
              <w:rPr>
                <w:rStyle w:val="IndexLink"/>
                <w:rtl w:val="true"/>
              </w:rPr>
              <w:tab/>
            </w:r>
            <w:r>
              <w:rPr>
                <w:rStyle w:val="IndexLink"/>
              </w:rPr>
              <w:t>377</w:t>
            </w:r>
          </w:hyperlink>
        </w:p>
        <w:p>
          <w:pPr>
            <w:pStyle w:val="Contents5"/>
            <w:tabs>
              <w:tab w:val="clear" w:pos="7892"/>
              <w:tab w:val="right" w:pos="9026" w:leader="dot"/>
            </w:tabs>
            <w:rPr/>
          </w:pPr>
          <w:hyperlink w:anchor="__RefHeading___Toc3056916_2870459653">
            <w:r>
              <w:rPr>
                <w:webHidden/>
                <w:rStyle w:val="IndexLink"/>
                <w:rtl w:val="true"/>
              </w:rPr>
              <w:t>المنهج الرَّابع</w:t>
            </w:r>
            <w:r>
              <w:rPr>
                <w:rStyle w:val="IndexLink"/>
                <w:rtl w:val="true"/>
              </w:rPr>
              <w:tab/>
            </w:r>
            <w:r>
              <w:rPr>
                <w:rStyle w:val="IndexLink"/>
              </w:rPr>
              <w:t>377</w:t>
            </w:r>
          </w:hyperlink>
        </w:p>
        <w:p>
          <w:pPr>
            <w:pStyle w:val="Contents5"/>
            <w:tabs>
              <w:tab w:val="clear" w:pos="7892"/>
              <w:tab w:val="right" w:pos="9026" w:leader="dot"/>
            </w:tabs>
            <w:rPr/>
          </w:pPr>
          <w:hyperlink w:anchor="__RefHeading___Toc3056918_2870459653">
            <w:r>
              <w:rPr>
                <w:webHidden/>
                <w:rStyle w:val="IndexLink"/>
                <w:rtl w:val="true"/>
              </w:rPr>
              <w:t>المنهج الخامس</w:t>
            </w:r>
            <w:r>
              <w:rPr>
                <w:rStyle w:val="IndexLink"/>
                <w:rtl w:val="true"/>
              </w:rPr>
              <w:tab/>
            </w:r>
            <w:r>
              <w:rPr>
                <w:rStyle w:val="IndexLink"/>
              </w:rPr>
              <w:t>377</w:t>
            </w:r>
          </w:hyperlink>
        </w:p>
        <w:p>
          <w:pPr>
            <w:pStyle w:val="Contents5"/>
            <w:tabs>
              <w:tab w:val="clear" w:pos="7892"/>
              <w:tab w:val="right" w:pos="9026" w:leader="dot"/>
            </w:tabs>
            <w:rPr/>
          </w:pPr>
          <w:hyperlink w:anchor="__RefHeading___Toc3056920_2870459653">
            <w:r>
              <w:rPr>
                <w:webHidden/>
                <w:rStyle w:val="IndexLink"/>
                <w:rtl w:val="true"/>
              </w:rPr>
              <w:t>المنهج السَّادس</w:t>
            </w:r>
            <w:r>
              <w:rPr>
                <w:rStyle w:val="IndexLink"/>
                <w:rtl w:val="true"/>
              </w:rPr>
              <w:tab/>
            </w:r>
            <w:r>
              <w:rPr>
                <w:rStyle w:val="IndexLink"/>
              </w:rPr>
              <w:t>378</w:t>
            </w:r>
          </w:hyperlink>
        </w:p>
        <w:p>
          <w:pPr>
            <w:pStyle w:val="Contents4"/>
            <w:tabs>
              <w:tab w:val="clear" w:pos="8176"/>
              <w:tab w:val="right" w:pos="9026" w:leader="dot"/>
            </w:tabs>
            <w:rPr/>
          </w:pPr>
          <w:hyperlink w:anchor="__RefHeading___Toc3056922_2870459653">
            <w:r>
              <w:rPr>
                <w:webHidden/>
                <w:rStyle w:val="IndexLink"/>
                <w:rtl w:val="true"/>
              </w:rPr>
              <w:t>كتب الطَّبقات عند الخاصّة</w:t>
            </w:r>
            <w:r>
              <w:rPr>
                <w:rStyle w:val="IndexLink"/>
                <w:rtl w:val="true"/>
              </w:rPr>
              <w:tab/>
            </w:r>
            <w:r>
              <w:rPr>
                <w:rStyle w:val="IndexLink"/>
              </w:rPr>
              <w:t>379</w:t>
            </w:r>
          </w:hyperlink>
        </w:p>
        <w:p>
          <w:pPr>
            <w:pStyle w:val="Contents4"/>
            <w:tabs>
              <w:tab w:val="clear" w:pos="8176"/>
              <w:tab w:val="right" w:pos="9026" w:leader="dot"/>
            </w:tabs>
            <w:rPr/>
          </w:pPr>
          <w:hyperlink w:anchor="__RefHeading___Toc3056924_2870459653">
            <w:r>
              <w:rPr>
                <w:webHidden/>
                <w:rStyle w:val="IndexLink"/>
                <w:rtl w:val="true"/>
              </w:rPr>
              <w:t>فائدة معرفة الرَّاوي والمروي عنه</w:t>
            </w:r>
            <w:r>
              <w:rPr>
                <w:rStyle w:val="IndexLink"/>
                <w:rtl w:val="true"/>
              </w:rPr>
              <w:tab/>
            </w:r>
            <w:r>
              <w:rPr>
                <w:rStyle w:val="IndexLink"/>
              </w:rPr>
              <w:t>381</w:t>
            </w:r>
          </w:hyperlink>
        </w:p>
        <w:p>
          <w:pPr>
            <w:pStyle w:val="Contents5"/>
            <w:tabs>
              <w:tab w:val="clear" w:pos="7892"/>
              <w:tab w:val="right" w:pos="9026" w:leader="dot"/>
            </w:tabs>
            <w:rPr/>
          </w:pPr>
          <w:hyperlink w:anchor="__RefHeading___Toc3056926_2870459653">
            <w:r>
              <w:rPr>
                <w:webHidden/>
                <w:rStyle w:val="IndexLink"/>
                <w:rtl w:val="true"/>
              </w:rPr>
              <w:t>اشارة</w:t>
            </w:r>
            <w:r>
              <w:rPr>
                <w:rStyle w:val="IndexLink"/>
                <w:rtl w:val="true"/>
              </w:rPr>
              <w:tab/>
            </w:r>
            <w:r>
              <w:rPr>
                <w:rStyle w:val="IndexLink"/>
              </w:rPr>
              <w:t>381</w:t>
            </w:r>
          </w:hyperlink>
        </w:p>
        <w:p>
          <w:pPr>
            <w:pStyle w:val="Contents5"/>
            <w:tabs>
              <w:tab w:val="clear" w:pos="7892"/>
              <w:tab w:val="right" w:pos="9026" w:leader="dot"/>
            </w:tabs>
            <w:rPr/>
          </w:pPr>
          <w:hyperlink w:anchor="__RefHeading___Toc3056928_2870459653">
            <w:r>
              <w:rPr>
                <w:webHidden/>
                <w:rStyle w:val="IndexLink"/>
                <w:rtl w:val="true"/>
              </w:rPr>
              <w:t>المطلب الأوَّل</w:t>
            </w:r>
            <w:r>
              <w:rPr>
                <w:rStyle w:val="IndexLink"/>
                <w:rtl w:val="true"/>
              </w:rPr>
              <w:t xml:space="preserve">: </w:t>
            </w:r>
            <w:r>
              <w:rPr>
                <w:rStyle w:val="IndexLink"/>
                <w:rtl w:val="true"/>
              </w:rPr>
              <w:t>في ذكر الرَّاوي والمروي عنه في أسانيد العامة</w:t>
            </w:r>
            <w:r>
              <w:rPr>
                <w:rStyle w:val="IndexLink"/>
                <w:rtl w:val="true"/>
              </w:rPr>
              <w:t>..</w:t>
              <w:tab/>
            </w:r>
            <w:r>
              <w:rPr>
                <w:rStyle w:val="IndexLink"/>
              </w:rPr>
              <w:t>383</w:t>
            </w:r>
          </w:hyperlink>
        </w:p>
        <w:p>
          <w:pPr>
            <w:pStyle w:val="Contents6"/>
            <w:tabs>
              <w:tab w:val="clear" w:pos="7609"/>
              <w:tab w:val="right" w:pos="9026" w:leader="dot"/>
            </w:tabs>
            <w:rPr/>
          </w:pPr>
          <w:hyperlink w:anchor="__RefHeading___Toc3056930_2870459653">
            <w:r>
              <w:rPr>
                <w:webHidden/>
                <w:rStyle w:val="IndexLink"/>
                <w:rtl w:val="true"/>
              </w:rPr>
              <w:t>اشارة</w:t>
            </w:r>
            <w:r>
              <w:rPr>
                <w:rStyle w:val="IndexLink"/>
                <w:rtl w:val="true"/>
              </w:rPr>
              <w:tab/>
            </w:r>
            <w:r>
              <w:rPr>
                <w:rStyle w:val="IndexLink"/>
              </w:rPr>
              <w:t>383</w:t>
            </w:r>
          </w:hyperlink>
        </w:p>
        <w:p>
          <w:pPr>
            <w:pStyle w:val="Contents6"/>
            <w:tabs>
              <w:tab w:val="clear" w:pos="7609"/>
              <w:tab w:val="right" w:pos="9026" w:leader="dot"/>
            </w:tabs>
            <w:rPr/>
          </w:pPr>
          <w:hyperlink w:anchor="__RefHeading___Toc3056932_2870459653">
            <w:r>
              <w:rPr>
                <w:webHidden/>
                <w:rStyle w:val="IndexLink"/>
                <w:rtl w:val="true"/>
              </w:rPr>
              <w:t>القسم الأوَّل</w:t>
            </w:r>
            <w:r>
              <w:rPr>
                <w:rStyle w:val="IndexLink"/>
                <w:rtl w:val="true"/>
              </w:rPr>
              <w:t xml:space="preserve">: </w:t>
            </w:r>
            <w:r>
              <w:rPr>
                <w:rStyle w:val="IndexLink"/>
                <w:rtl w:val="true"/>
              </w:rPr>
              <w:t>مشايخ جابر في أسانيد العامّة</w:t>
            </w:r>
            <w:r>
              <w:rPr>
                <w:rStyle w:val="IndexLink"/>
                <w:rtl w:val="true"/>
              </w:rPr>
              <w:tab/>
            </w:r>
            <w:r>
              <w:rPr>
                <w:rStyle w:val="IndexLink"/>
              </w:rPr>
              <w:t>383</w:t>
            </w:r>
          </w:hyperlink>
        </w:p>
        <w:p>
          <w:pPr>
            <w:pStyle w:val="Contents6"/>
            <w:tabs>
              <w:tab w:val="clear" w:pos="7609"/>
              <w:tab w:val="right" w:pos="9026" w:leader="dot"/>
            </w:tabs>
            <w:rPr/>
          </w:pPr>
          <w:hyperlink w:anchor="__RefHeading___Toc3056934_2870459653">
            <w:r>
              <w:rPr>
                <w:webHidden/>
                <w:rStyle w:val="IndexLink"/>
                <w:rtl w:val="true"/>
              </w:rPr>
              <w:t>القسم الثَّاني</w:t>
            </w:r>
            <w:r>
              <w:rPr>
                <w:rStyle w:val="IndexLink"/>
                <w:rtl w:val="true"/>
              </w:rPr>
              <w:t xml:space="preserve">: </w:t>
            </w:r>
            <w:r>
              <w:rPr>
                <w:rStyle w:val="IndexLink"/>
                <w:rtl w:val="true"/>
              </w:rPr>
              <w:t>تلاميذ جابر عند العامّة</w:t>
            </w:r>
            <w:r>
              <w:rPr>
                <w:rStyle w:val="IndexLink"/>
                <w:rtl w:val="true"/>
              </w:rPr>
              <w:tab/>
            </w:r>
            <w:r>
              <w:rPr>
                <w:rStyle w:val="IndexLink"/>
              </w:rPr>
              <w:t>392</w:t>
            </w:r>
          </w:hyperlink>
        </w:p>
        <w:p>
          <w:pPr>
            <w:pStyle w:val="Contents5"/>
            <w:tabs>
              <w:tab w:val="clear" w:pos="7892"/>
              <w:tab w:val="right" w:pos="9026" w:leader="dot"/>
            </w:tabs>
            <w:rPr/>
          </w:pPr>
          <w:hyperlink w:anchor="__RefHeading___Toc3056936_2870459653">
            <w:r>
              <w:rPr>
                <w:webHidden/>
                <w:rStyle w:val="IndexLink"/>
                <w:rtl w:val="true"/>
              </w:rPr>
              <w:t>المطلب الآخر</w:t>
            </w:r>
            <w:r>
              <w:rPr>
                <w:rStyle w:val="IndexLink"/>
                <w:rtl w:val="true"/>
              </w:rPr>
              <w:t xml:space="preserve">: </w:t>
            </w:r>
            <w:r>
              <w:rPr>
                <w:rStyle w:val="IndexLink"/>
                <w:rtl w:val="true"/>
              </w:rPr>
              <w:t>في ذكر الرَّاوي والمروي عنه في كتب الخاصّة</w:t>
            </w:r>
            <w:r>
              <w:rPr>
                <w:rStyle w:val="IndexLink"/>
                <w:rtl w:val="true"/>
              </w:rPr>
              <w:tab/>
            </w:r>
            <w:r>
              <w:rPr>
                <w:rStyle w:val="IndexLink"/>
              </w:rPr>
              <w:t>397</w:t>
            </w:r>
          </w:hyperlink>
        </w:p>
        <w:p>
          <w:pPr>
            <w:pStyle w:val="Contents6"/>
            <w:tabs>
              <w:tab w:val="clear" w:pos="7609"/>
              <w:tab w:val="right" w:pos="9026" w:leader="dot"/>
            </w:tabs>
            <w:rPr/>
          </w:pPr>
          <w:hyperlink w:anchor="__RefHeading___Toc3056938_2870459653">
            <w:r>
              <w:rPr>
                <w:webHidden/>
                <w:rStyle w:val="IndexLink"/>
                <w:rtl w:val="true"/>
              </w:rPr>
              <w:t>اشارة</w:t>
            </w:r>
            <w:r>
              <w:rPr>
                <w:rStyle w:val="IndexLink"/>
                <w:rtl w:val="true"/>
              </w:rPr>
              <w:tab/>
            </w:r>
            <w:r>
              <w:rPr>
                <w:rStyle w:val="IndexLink"/>
              </w:rPr>
              <w:t>397</w:t>
            </w:r>
          </w:hyperlink>
        </w:p>
        <w:p>
          <w:pPr>
            <w:pStyle w:val="Contents6"/>
            <w:tabs>
              <w:tab w:val="clear" w:pos="7609"/>
              <w:tab w:val="right" w:pos="9026" w:leader="dot"/>
            </w:tabs>
            <w:rPr/>
          </w:pPr>
          <w:hyperlink w:anchor="__RefHeading___Toc3056940_2870459653">
            <w:r>
              <w:rPr>
                <w:webHidden/>
                <w:rStyle w:val="IndexLink"/>
                <w:rtl w:val="true"/>
              </w:rPr>
              <w:t>القسم الأوَّل</w:t>
            </w:r>
            <w:r>
              <w:rPr>
                <w:rStyle w:val="IndexLink"/>
                <w:rtl w:val="true"/>
              </w:rPr>
              <w:t xml:space="preserve">: </w:t>
            </w:r>
            <w:r>
              <w:rPr>
                <w:rStyle w:val="IndexLink"/>
                <w:rtl w:val="true"/>
              </w:rPr>
              <w:t>ما ورد في الروايات والأسانيد العاميّة التي ذكرها بعض علماء الخاصّة</w:t>
            </w:r>
            <w:r>
              <w:rPr>
                <w:rStyle w:val="IndexLink"/>
                <w:rtl w:val="true"/>
              </w:rPr>
              <w:tab/>
            </w:r>
            <w:r>
              <w:rPr>
                <w:rStyle w:val="IndexLink"/>
              </w:rPr>
              <w:t>397</w:t>
            </w:r>
          </w:hyperlink>
        </w:p>
        <w:p>
          <w:pPr>
            <w:pStyle w:val="Contents6"/>
            <w:tabs>
              <w:tab w:val="clear" w:pos="7609"/>
              <w:tab w:val="right" w:pos="9026" w:leader="dot"/>
            </w:tabs>
            <w:rPr/>
          </w:pPr>
          <w:hyperlink w:anchor="__RefHeading___Toc3056942_2870459653">
            <w:r>
              <w:rPr>
                <w:webHidden/>
                <w:rStyle w:val="IndexLink"/>
                <w:rtl w:val="true"/>
              </w:rPr>
              <w:t>اشارة</w:t>
            </w:r>
            <w:r>
              <w:rPr>
                <w:rStyle w:val="IndexLink"/>
                <w:rtl w:val="true"/>
              </w:rPr>
              <w:tab/>
            </w:r>
            <w:r>
              <w:rPr>
                <w:rStyle w:val="IndexLink"/>
              </w:rPr>
              <w:t>397</w:t>
            </w:r>
          </w:hyperlink>
        </w:p>
        <w:p>
          <w:pPr>
            <w:pStyle w:val="Contents6"/>
            <w:tabs>
              <w:tab w:val="clear" w:pos="7609"/>
              <w:tab w:val="right" w:pos="9026" w:leader="dot"/>
            </w:tabs>
            <w:rPr/>
          </w:pPr>
          <w:hyperlink w:anchor="__RefHeading___Toc3056944_2870459653">
            <w:r>
              <w:rPr>
                <w:webHidden/>
                <w:rStyle w:val="IndexLink"/>
                <w:rtl w:val="true"/>
              </w:rPr>
              <w:t>أوَّلاً</w:t>
            </w:r>
            <w:r>
              <w:rPr>
                <w:rStyle w:val="IndexLink"/>
                <w:rtl w:val="true"/>
              </w:rPr>
              <w:t xml:space="preserve">: </w:t>
            </w:r>
            <w:r>
              <w:rPr>
                <w:rStyle w:val="IndexLink"/>
                <w:rtl w:val="true"/>
              </w:rPr>
              <w:t>المروي عنهم</w:t>
            </w:r>
            <w:r>
              <w:rPr>
                <w:rStyle w:val="IndexLink"/>
                <w:rtl w:val="true"/>
              </w:rPr>
              <w:tab/>
            </w:r>
            <w:r>
              <w:rPr>
                <w:rStyle w:val="IndexLink"/>
              </w:rPr>
              <w:t>397</w:t>
            </w:r>
          </w:hyperlink>
        </w:p>
        <w:p>
          <w:pPr>
            <w:pStyle w:val="Contents6"/>
            <w:tabs>
              <w:tab w:val="clear" w:pos="7609"/>
              <w:tab w:val="right" w:pos="9026" w:leader="dot"/>
            </w:tabs>
            <w:rPr/>
          </w:pPr>
          <w:hyperlink w:anchor="__RefHeading___Toc3056946_2870459653">
            <w:r>
              <w:rPr>
                <w:webHidden/>
                <w:rStyle w:val="IndexLink"/>
                <w:rtl w:val="true"/>
              </w:rPr>
              <w:t>ثانياً</w:t>
            </w:r>
            <w:r>
              <w:rPr>
                <w:rStyle w:val="IndexLink"/>
                <w:rtl w:val="true"/>
              </w:rPr>
              <w:t xml:space="preserve">: </w:t>
            </w:r>
            <w:r>
              <w:rPr>
                <w:rStyle w:val="IndexLink"/>
                <w:rtl w:val="true"/>
              </w:rPr>
              <w:t>الرَّواة عن جابر في كتبنا بأسانيد عاميّة</w:t>
            </w:r>
            <w:r>
              <w:rPr>
                <w:rStyle w:val="IndexLink"/>
                <w:rtl w:val="true"/>
              </w:rPr>
              <w:tab/>
            </w:r>
            <w:r>
              <w:rPr>
                <w:rStyle w:val="IndexLink"/>
              </w:rPr>
              <w:t>401</w:t>
            </w:r>
          </w:hyperlink>
        </w:p>
        <w:p>
          <w:pPr>
            <w:pStyle w:val="Contents6"/>
            <w:tabs>
              <w:tab w:val="clear" w:pos="7609"/>
              <w:tab w:val="right" w:pos="9026" w:leader="dot"/>
            </w:tabs>
            <w:rPr/>
          </w:pPr>
          <w:hyperlink w:anchor="__RefHeading___Toc3056948_2870459653">
            <w:r>
              <w:rPr>
                <w:webHidden/>
                <w:rStyle w:val="IndexLink"/>
                <w:rtl w:val="true"/>
              </w:rPr>
              <w:t>القسم الثَّاني</w:t>
            </w:r>
            <w:r>
              <w:rPr>
                <w:rStyle w:val="IndexLink"/>
                <w:rtl w:val="true"/>
              </w:rPr>
              <w:t xml:space="preserve">: </w:t>
            </w:r>
            <w:r>
              <w:rPr>
                <w:rStyle w:val="IndexLink"/>
                <w:rtl w:val="true"/>
              </w:rPr>
              <w:t>ما ورد في الرَّوايات والأسانيد الإماميّة</w:t>
            </w:r>
            <w:r>
              <w:rPr>
                <w:rStyle w:val="IndexLink"/>
                <w:rtl w:val="true"/>
              </w:rPr>
              <w:tab/>
            </w:r>
            <w:r>
              <w:rPr>
                <w:rStyle w:val="IndexLink"/>
              </w:rPr>
              <w:t>405</w:t>
            </w:r>
          </w:hyperlink>
        </w:p>
        <w:p>
          <w:pPr>
            <w:pStyle w:val="Contents6"/>
            <w:tabs>
              <w:tab w:val="clear" w:pos="7609"/>
              <w:tab w:val="right" w:pos="9026" w:leader="dot"/>
            </w:tabs>
            <w:rPr/>
          </w:pPr>
          <w:hyperlink w:anchor="__RefHeading___Toc3056950_2870459653">
            <w:r>
              <w:rPr>
                <w:webHidden/>
                <w:rStyle w:val="IndexLink"/>
                <w:rtl w:val="true"/>
              </w:rPr>
              <w:t>اشارة</w:t>
            </w:r>
            <w:r>
              <w:rPr>
                <w:rStyle w:val="IndexLink"/>
                <w:rtl w:val="true"/>
              </w:rPr>
              <w:tab/>
            </w:r>
            <w:r>
              <w:rPr>
                <w:rStyle w:val="IndexLink"/>
              </w:rPr>
              <w:t>405</w:t>
            </w:r>
          </w:hyperlink>
        </w:p>
        <w:p>
          <w:pPr>
            <w:pStyle w:val="Contents6"/>
            <w:tabs>
              <w:tab w:val="clear" w:pos="7609"/>
              <w:tab w:val="right" w:pos="9026" w:leader="dot"/>
            </w:tabs>
            <w:rPr/>
          </w:pPr>
          <w:hyperlink w:anchor="__RefHeading___Toc3056952_2870459653">
            <w:r>
              <w:rPr>
                <w:webHidden/>
                <w:rStyle w:val="IndexLink"/>
                <w:rtl w:val="true"/>
              </w:rPr>
              <w:t>أوَّلاً</w:t>
            </w:r>
            <w:r>
              <w:rPr>
                <w:rStyle w:val="IndexLink"/>
                <w:rtl w:val="true"/>
              </w:rPr>
              <w:t xml:space="preserve">: </w:t>
            </w:r>
            <w:r>
              <w:rPr>
                <w:rStyle w:val="IndexLink"/>
                <w:rtl w:val="true"/>
              </w:rPr>
              <w:t>المروي عنهم من الشيعة</w:t>
            </w:r>
            <w:r>
              <w:rPr>
                <w:rStyle w:val="IndexLink"/>
                <w:rtl w:val="true"/>
              </w:rPr>
              <w:tab/>
            </w:r>
            <w:r>
              <w:rPr>
                <w:rStyle w:val="IndexLink"/>
              </w:rPr>
              <w:t>405</w:t>
            </w:r>
          </w:hyperlink>
        </w:p>
        <w:p>
          <w:pPr>
            <w:pStyle w:val="Contents6"/>
            <w:tabs>
              <w:tab w:val="clear" w:pos="7609"/>
              <w:tab w:val="right" w:pos="9026" w:leader="dot"/>
            </w:tabs>
            <w:rPr/>
          </w:pPr>
          <w:hyperlink w:anchor="__RefHeading___Toc3056954_2870459653">
            <w:r>
              <w:rPr>
                <w:webHidden/>
                <w:rStyle w:val="IndexLink"/>
                <w:rtl w:val="true"/>
              </w:rPr>
              <w:t>ثانياً</w:t>
            </w:r>
            <w:r>
              <w:rPr>
                <w:rStyle w:val="IndexLink"/>
                <w:rtl w:val="true"/>
              </w:rPr>
              <w:t xml:space="preserve">: </w:t>
            </w:r>
            <w:r>
              <w:rPr>
                <w:rStyle w:val="IndexLink"/>
                <w:rtl w:val="true"/>
              </w:rPr>
              <w:t>الرَّواة عن جابر من الشَّيعة</w:t>
            </w:r>
            <w:r>
              <w:rPr>
                <w:rStyle w:val="IndexLink"/>
                <w:rtl w:val="true"/>
              </w:rPr>
              <w:tab/>
            </w:r>
            <w:r>
              <w:rPr>
                <w:rStyle w:val="IndexLink"/>
              </w:rPr>
              <w:t>408</w:t>
            </w:r>
          </w:hyperlink>
        </w:p>
        <w:p>
          <w:pPr>
            <w:pStyle w:val="Contents6"/>
            <w:tabs>
              <w:tab w:val="clear" w:pos="7609"/>
              <w:tab w:val="right" w:pos="9026" w:leader="dot"/>
            </w:tabs>
            <w:rPr/>
          </w:pPr>
          <w:hyperlink w:anchor="__RefHeading___Toc3056956_2870459653">
            <w:r>
              <w:rPr>
                <w:webHidden/>
                <w:rStyle w:val="IndexLink"/>
                <w:rtl w:val="true"/>
              </w:rPr>
              <w:t>اشارة</w:t>
            </w:r>
            <w:r>
              <w:rPr>
                <w:rStyle w:val="IndexLink"/>
                <w:rtl w:val="true"/>
              </w:rPr>
              <w:tab/>
            </w:r>
            <w:r>
              <w:rPr>
                <w:rStyle w:val="IndexLink"/>
              </w:rPr>
              <w:t>408</w:t>
            </w:r>
          </w:hyperlink>
        </w:p>
        <w:p>
          <w:pPr>
            <w:pStyle w:val="Contents6"/>
            <w:tabs>
              <w:tab w:val="clear" w:pos="7609"/>
              <w:tab w:val="right" w:pos="9026" w:leader="dot"/>
            </w:tabs>
            <w:rPr/>
          </w:pPr>
          <w:hyperlink w:anchor="__RefHeading___Toc3056958_2870459653">
            <w:r>
              <w:rPr>
                <w:webHidden/>
                <w:rStyle w:val="IndexLink"/>
                <w:rtl w:val="true"/>
              </w:rPr>
              <w:t>أ</w:t>
            </w:r>
            <w:r>
              <w:rPr>
                <w:rStyle w:val="IndexLink"/>
                <w:rtl w:val="true"/>
              </w:rPr>
              <w:t xml:space="preserve">. </w:t>
            </w:r>
            <w:r>
              <w:rPr>
                <w:rStyle w:val="IndexLink"/>
                <w:rtl w:val="true"/>
              </w:rPr>
              <w:t>الثَّقات الذّين رووا عن جابر مباشرة</w:t>
            </w:r>
            <w:r>
              <w:rPr>
                <w:rStyle w:val="IndexLink"/>
                <w:rtl w:val="true"/>
              </w:rPr>
              <w:tab/>
            </w:r>
            <w:r>
              <w:rPr>
                <w:rStyle w:val="IndexLink"/>
              </w:rPr>
              <w:t>409</w:t>
            </w:r>
          </w:hyperlink>
        </w:p>
        <w:p>
          <w:pPr>
            <w:pStyle w:val="Contents6"/>
            <w:tabs>
              <w:tab w:val="clear" w:pos="7609"/>
              <w:tab w:val="right" w:pos="9026" w:leader="dot"/>
            </w:tabs>
            <w:rPr/>
          </w:pPr>
          <w:hyperlink w:anchor="__RefHeading___Toc3056960_2870459653">
            <w:r>
              <w:rPr>
                <w:webHidden/>
                <w:rStyle w:val="IndexLink"/>
                <w:rtl w:val="true"/>
              </w:rPr>
              <w:t>ب</w:t>
            </w:r>
            <w:r>
              <w:rPr>
                <w:rStyle w:val="IndexLink"/>
                <w:rtl w:val="true"/>
              </w:rPr>
              <w:t xml:space="preserve">. </w:t>
            </w:r>
            <w:r>
              <w:rPr>
                <w:rStyle w:val="IndexLink"/>
                <w:rtl w:val="true"/>
              </w:rPr>
              <w:t>مَن تعارض فيه التَّوثيق والتَّضعيف ممّن روى عن جابر</w:t>
            </w:r>
            <w:r>
              <w:rPr>
                <w:rStyle w:val="IndexLink"/>
                <w:rtl w:val="true"/>
              </w:rPr>
              <w:tab/>
            </w:r>
            <w:r>
              <w:rPr>
                <w:rStyle w:val="IndexLink"/>
              </w:rPr>
              <w:t>416</w:t>
            </w:r>
          </w:hyperlink>
        </w:p>
        <w:p>
          <w:pPr>
            <w:pStyle w:val="Contents6"/>
            <w:tabs>
              <w:tab w:val="clear" w:pos="7609"/>
              <w:tab w:val="right" w:pos="9026" w:leader="dot"/>
            </w:tabs>
            <w:rPr/>
          </w:pPr>
          <w:hyperlink w:anchor="__RefHeading___Toc3056962_2870459653">
            <w:r>
              <w:rPr>
                <w:webHidden/>
                <w:rStyle w:val="IndexLink"/>
                <w:rtl w:val="true"/>
              </w:rPr>
              <w:t>ج</w:t>
            </w:r>
            <w:r>
              <w:rPr>
                <w:rStyle w:val="IndexLink"/>
                <w:rtl w:val="true"/>
              </w:rPr>
              <w:t xml:space="preserve">. </w:t>
            </w:r>
            <w:r>
              <w:rPr>
                <w:rStyle w:val="IndexLink"/>
                <w:rtl w:val="true"/>
              </w:rPr>
              <w:t>الضَّعفاء والمهملون الذين رووا عن جابر</w:t>
            </w:r>
            <w:r>
              <w:rPr>
                <w:rStyle w:val="IndexLink"/>
                <w:rtl w:val="true"/>
              </w:rPr>
              <w:tab/>
            </w:r>
            <w:r>
              <w:rPr>
                <w:rStyle w:val="IndexLink"/>
              </w:rPr>
              <w:t>418</w:t>
            </w:r>
          </w:hyperlink>
        </w:p>
        <w:p>
          <w:pPr>
            <w:pStyle w:val="Contents2"/>
            <w:tabs>
              <w:tab w:val="clear" w:pos="8743"/>
              <w:tab w:val="right" w:pos="9026" w:leader="dot"/>
            </w:tabs>
            <w:rPr/>
          </w:pPr>
          <w:hyperlink w:anchor="__RefHeading___Toc3056964_2870459653">
            <w:r>
              <w:rPr>
                <w:webHidden/>
                <w:rStyle w:val="IndexLink"/>
                <w:rtl w:val="true"/>
              </w:rPr>
              <w:t xml:space="preserve">أربع رسائل لأوّل مرّة تُنشر </w:t>
            </w:r>
            <w:r>
              <w:rPr>
                <w:rStyle w:val="IndexLink"/>
                <w:rtl w:val="true"/>
              </w:rPr>
              <w:t xml:space="preserve">- </w:t>
            </w:r>
            <w:r>
              <w:rPr>
                <w:rStyle w:val="IndexLink"/>
                <w:rtl w:val="true"/>
              </w:rPr>
              <w:t>الشّيخ قاسم خضير الطائي</w:t>
            </w:r>
            <w:r>
              <w:rPr>
                <w:rStyle w:val="IndexLink"/>
                <w:rtl w:val="true"/>
              </w:rPr>
              <w:t>(</w:t>
            </w:r>
            <w:r>
              <w:rPr>
                <w:rStyle w:val="IndexLink"/>
                <w:rtl w:val="true"/>
              </w:rPr>
              <w:t>دام عزه</w:t>
            </w:r>
            <w:r>
              <w:rPr>
                <w:rStyle w:val="IndexLink"/>
                <w:rtl w:val="true"/>
              </w:rPr>
              <w:t>)</w:t>
              <w:tab/>
            </w:r>
            <w:r>
              <w:rPr>
                <w:rStyle w:val="IndexLink"/>
              </w:rPr>
              <w:t>443</w:t>
            </w:r>
          </w:hyperlink>
        </w:p>
        <w:p>
          <w:pPr>
            <w:pStyle w:val="Contents3"/>
            <w:tabs>
              <w:tab w:val="clear" w:pos="8459"/>
              <w:tab w:val="right" w:pos="9026" w:leader="dot"/>
            </w:tabs>
            <w:rPr/>
          </w:pPr>
          <w:hyperlink w:anchor="__RefHeading___Toc3056966_2870459653">
            <w:r>
              <w:rPr>
                <w:webHidden/>
                <w:rStyle w:val="IndexLink"/>
                <w:rtl w:val="true"/>
              </w:rPr>
              <w:t>اشارة</w:t>
            </w:r>
            <w:r>
              <w:rPr>
                <w:rStyle w:val="IndexLink"/>
                <w:rtl w:val="true"/>
              </w:rPr>
              <w:tab/>
            </w:r>
            <w:r>
              <w:rPr>
                <w:rStyle w:val="IndexLink"/>
              </w:rPr>
              <w:t>443</w:t>
            </w:r>
          </w:hyperlink>
        </w:p>
        <w:p>
          <w:pPr>
            <w:pStyle w:val="Contents3"/>
            <w:tabs>
              <w:tab w:val="clear" w:pos="8459"/>
              <w:tab w:val="right" w:pos="9026" w:leader="dot"/>
            </w:tabs>
            <w:rPr/>
          </w:pPr>
          <w:hyperlink w:anchor="__RefHeading___Toc3056968_2870459653">
            <w:r>
              <w:rPr>
                <w:webHidden/>
                <w:rStyle w:val="IndexLink"/>
                <w:rtl w:val="true"/>
              </w:rPr>
              <w:t>مؤلّف و الرسائل</w:t>
            </w:r>
            <w:r>
              <w:rPr>
                <w:rStyle w:val="IndexLink"/>
                <w:rtl w:val="true"/>
              </w:rPr>
              <w:tab/>
            </w:r>
            <w:r>
              <w:rPr>
                <w:rStyle w:val="IndexLink"/>
              </w:rPr>
              <w:t>447</w:t>
            </w:r>
          </w:hyperlink>
        </w:p>
        <w:p>
          <w:pPr>
            <w:pStyle w:val="Contents4"/>
            <w:tabs>
              <w:tab w:val="clear" w:pos="8176"/>
              <w:tab w:val="right" w:pos="9026" w:leader="dot"/>
            </w:tabs>
            <w:rPr/>
          </w:pPr>
          <w:hyperlink w:anchor="__RefHeading___Toc3056970_2870459653">
            <w:r>
              <w:rPr>
                <w:webHidden/>
                <w:rStyle w:val="IndexLink"/>
              </w:rPr>
              <w:t>1</w:t>
            </w:r>
            <w:r>
              <w:rPr>
                <w:rStyle w:val="IndexLink"/>
                <w:rtl w:val="true"/>
              </w:rPr>
              <w:t xml:space="preserve">. </w:t>
            </w:r>
            <w:r>
              <w:rPr>
                <w:rStyle w:val="IndexLink"/>
                <w:rtl w:val="true"/>
              </w:rPr>
              <w:t xml:space="preserve">الشهيد الأوَّل </w:t>
            </w:r>
            <w:r>
              <w:rPr>
                <w:rStyle w:val="IndexLink"/>
                <w:rtl w:val="true"/>
              </w:rPr>
              <w:t>(</w:t>
            </w:r>
            <w:r>
              <w:rPr>
                <w:rStyle w:val="IndexLink"/>
                <w:rtl w:val="true"/>
              </w:rPr>
              <w:t>رحمة الله</w:t>
            </w:r>
            <w:r>
              <w:rPr>
                <w:rStyle w:val="IndexLink"/>
                <w:rtl w:val="true"/>
              </w:rPr>
              <w:t>)</w:t>
              <w:tab/>
            </w:r>
            <w:r>
              <w:rPr>
                <w:rStyle w:val="IndexLink"/>
              </w:rPr>
              <w:t>447</w:t>
            </w:r>
          </w:hyperlink>
        </w:p>
        <w:p>
          <w:pPr>
            <w:pStyle w:val="Contents4"/>
            <w:tabs>
              <w:tab w:val="clear" w:pos="8176"/>
              <w:tab w:val="right" w:pos="9026" w:leader="dot"/>
            </w:tabs>
            <w:rPr/>
          </w:pPr>
          <w:hyperlink w:anchor="__RefHeading___Toc3056972_2870459653">
            <w:r>
              <w:rPr>
                <w:webHidden/>
                <w:rStyle w:val="IndexLink"/>
              </w:rPr>
              <w:t>2</w:t>
            </w:r>
            <w:r>
              <w:rPr>
                <w:rStyle w:val="IndexLink"/>
                <w:rtl w:val="true"/>
              </w:rPr>
              <w:t xml:space="preserve">. </w:t>
            </w:r>
            <w:r>
              <w:rPr>
                <w:rStyle w:val="IndexLink"/>
                <w:rtl w:val="true"/>
              </w:rPr>
              <w:t xml:space="preserve">المحقّق الكركيّ </w:t>
            </w:r>
            <w:r>
              <w:rPr>
                <w:rStyle w:val="IndexLink"/>
                <w:rtl w:val="true"/>
              </w:rPr>
              <w:t>(</w:t>
            </w:r>
            <w:r>
              <w:rPr>
                <w:rStyle w:val="IndexLink"/>
                <w:rtl w:val="true"/>
              </w:rPr>
              <w:t>رحمة الله</w:t>
            </w:r>
            <w:r>
              <w:rPr>
                <w:rStyle w:val="IndexLink"/>
                <w:rtl w:val="true"/>
              </w:rPr>
              <w:t>)</w:t>
              <w:tab/>
            </w:r>
            <w:r>
              <w:rPr>
                <w:rStyle w:val="IndexLink"/>
              </w:rPr>
              <w:t>448</w:t>
            </w:r>
          </w:hyperlink>
        </w:p>
        <w:p>
          <w:pPr>
            <w:pStyle w:val="Contents5"/>
            <w:tabs>
              <w:tab w:val="clear" w:pos="7892"/>
              <w:tab w:val="right" w:pos="9026" w:leader="dot"/>
            </w:tabs>
            <w:rPr/>
          </w:pPr>
          <w:hyperlink w:anchor="__RefHeading___Toc3056974_2870459653">
            <w:r>
              <w:rPr>
                <w:webHidden/>
                <w:rStyle w:val="IndexLink"/>
                <w:rtl w:val="true"/>
              </w:rPr>
              <w:t>اشارة</w:t>
            </w:r>
            <w:r>
              <w:rPr>
                <w:rStyle w:val="IndexLink"/>
                <w:rtl w:val="true"/>
              </w:rPr>
              <w:tab/>
            </w:r>
            <w:r>
              <w:rPr>
                <w:rStyle w:val="IndexLink"/>
              </w:rPr>
              <w:t>448</w:t>
            </w:r>
          </w:hyperlink>
        </w:p>
        <w:p>
          <w:pPr>
            <w:pStyle w:val="Contents5"/>
            <w:tabs>
              <w:tab w:val="clear" w:pos="7892"/>
              <w:tab w:val="right" w:pos="9026" w:leader="dot"/>
            </w:tabs>
            <w:rPr/>
          </w:pPr>
          <w:hyperlink w:anchor="__RefHeading___Toc3056976_2870459653">
            <w:r>
              <w:rPr>
                <w:webHidden/>
                <w:rStyle w:val="IndexLink"/>
                <w:rtl w:val="true"/>
              </w:rPr>
              <w:t>نسبه</w:t>
            </w:r>
            <w:r>
              <w:rPr>
                <w:rStyle w:val="IndexLink"/>
                <w:rtl w:val="true"/>
              </w:rPr>
              <w:tab/>
            </w:r>
            <w:r>
              <w:rPr>
                <w:rStyle w:val="IndexLink"/>
              </w:rPr>
              <w:t>448</w:t>
            </w:r>
          </w:hyperlink>
        </w:p>
        <w:p>
          <w:pPr>
            <w:pStyle w:val="Contents5"/>
            <w:tabs>
              <w:tab w:val="clear" w:pos="7892"/>
              <w:tab w:val="right" w:pos="9026" w:leader="dot"/>
            </w:tabs>
            <w:rPr/>
          </w:pPr>
          <w:hyperlink w:anchor="__RefHeading___Toc3056978_2870459653">
            <w:r>
              <w:rPr>
                <w:webHidden/>
                <w:rStyle w:val="IndexLink"/>
                <w:rtl w:val="true"/>
              </w:rPr>
              <w:t>ولادته</w:t>
            </w:r>
            <w:r>
              <w:rPr>
                <w:rStyle w:val="IndexLink"/>
                <w:rtl w:val="true"/>
              </w:rPr>
              <w:tab/>
            </w:r>
            <w:r>
              <w:rPr>
                <w:rStyle w:val="IndexLink"/>
              </w:rPr>
              <w:t>449</w:t>
            </w:r>
          </w:hyperlink>
        </w:p>
        <w:p>
          <w:pPr>
            <w:pStyle w:val="Contents5"/>
            <w:tabs>
              <w:tab w:val="clear" w:pos="7892"/>
              <w:tab w:val="right" w:pos="9026" w:leader="dot"/>
            </w:tabs>
            <w:rPr/>
          </w:pPr>
          <w:hyperlink w:anchor="__RefHeading___Toc3056980_2870459653">
            <w:r>
              <w:rPr>
                <w:webHidden/>
                <w:rStyle w:val="IndexLink"/>
                <w:rtl w:val="true"/>
              </w:rPr>
              <w:t>نشأته</w:t>
            </w:r>
            <w:r>
              <w:rPr>
                <w:rStyle w:val="IndexLink"/>
                <w:rtl w:val="true"/>
              </w:rPr>
              <w:tab/>
            </w:r>
            <w:r>
              <w:rPr>
                <w:rStyle w:val="IndexLink"/>
              </w:rPr>
              <w:t>450</w:t>
            </w:r>
          </w:hyperlink>
        </w:p>
        <w:p>
          <w:pPr>
            <w:pStyle w:val="Contents5"/>
            <w:tabs>
              <w:tab w:val="clear" w:pos="7892"/>
              <w:tab w:val="right" w:pos="9026" w:leader="dot"/>
            </w:tabs>
            <w:rPr/>
          </w:pPr>
          <w:hyperlink w:anchor="__RefHeading___Toc3056982_2870459653">
            <w:r>
              <w:rPr>
                <w:webHidden/>
                <w:rStyle w:val="IndexLink"/>
                <w:rtl w:val="true"/>
              </w:rPr>
              <w:t>مشايخه من العامة</w:t>
            </w:r>
            <w:r>
              <w:rPr>
                <w:rStyle w:val="IndexLink"/>
                <w:rtl w:val="true"/>
              </w:rPr>
              <w:tab/>
            </w:r>
            <w:r>
              <w:rPr>
                <w:rStyle w:val="IndexLink"/>
              </w:rPr>
              <w:t>452</w:t>
            </w:r>
          </w:hyperlink>
        </w:p>
        <w:p>
          <w:pPr>
            <w:pStyle w:val="Contents5"/>
            <w:tabs>
              <w:tab w:val="clear" w:pos="7892"/>
              <w:tab w:val="right" w:pos="9026" w:leader="dot"/>
            </w:tabs>
            <w:rPr/>
          </w:pPr>
          <w:hyperlink w:anchor="__RefHeading___Toc3056984_2870459653">
            <w:r>
              <w:rPr>
                <w:webHidden/>
                <w:rStyle w:val="IndexLink"/>
                <w:rtl w:val="true"/>
              </w:rPr>
              <w:t>مشايخه من الخاصّة</w:t>
            </w:r>
            <w:r>
              <w:rPr>
                <w:rStyle w:val="IndexLink"/>
                <w:rtl w:val="true"/>
              </w:rPr>
              <w:tab/>
            </w:r>
            <w:r>
              <w:rPr>
                <w:rStyle w:val="IndexLink"/>
              </w:rPr>
              <w:t>453</w:t>
            </w:r>
          </w:hyperlink>
        </w:p>
        <w:p>
          <w:pPr>
            <w:pStyle w:val="Contents5"/>
            <w:tabs>
              <w:tab w:val="clear" w:pos="7892"/>
              <w:tab w:val="right" w:pos="9026" w:leader="dot"/>
            </w:tabs>
            <w:rPr/>
          </w:pPr>
          <w:hyperlink w:anchor="__RefHeading___Toc3056986_2870459653">
            <w:r>
              <w:rPr>
                <w:webHidden/>
                <w:rStyle w:val="IndexLink"/>
                <w:rtl w:val="true"/>
              </w:rPr>
              <w:t>هجرته إلى العراق</w:t>
            </w:r>
            <w:r>
              <w:rPr>
                <w:rStyle w:val="IndexLink"/>
                <w:rtl w:val="true"/>
              </w:rPr>
              <w:tab/>
            </w:r>
            <w:r>
              <w:rPr>
                <w:rStyle w:val="IndexLink"/>
              </w:rPr>
              <w:t>456</w:t>
            </w:r>
          </w:hyperlink>
        </w:p>
        <w:p>
          <w:pPr>
            <w:pStyle w:val="Contents6"/>
            <w:tabs>
              <w:tab w:val="clear" w:pos="7609"/>
              <w:tab w:val="right" w:pos="9026" w:leader="dot"/>
            </w:tabs>
            <w:rPr/>
          </w:pPr>
          <w:hyperlink w:anchor="__RefHeading___Toc3056988_2870459653">
            <w:r>
              <w:rPr>
                <w:webHidden/>
                <w:rStyle w:val="IndexLink"/>
                <w:rtl w:val="true"/>
              </w:rPr>
              <w:t>اشارة</w:t>
            </w:r>
            <w:r>
              <w:rPr>
                <w:rStyle w:val="IndexLink"/>
                <w:rtl w:val="true"/>
              </w:rPr>
              <w:tab/>
            </w:r>
            <w:r>
              <w:rPr>
                <w:rStyle w:val="IndexLink"/>
              </w:rPr>
              <w:t>456</w:t>
            </w:r>
          </w:hyperlink>
        </w:p>
        <w:p>
          <w:pPr>
            <w:pStyle w:val="Contents6"/>
            <w:tabs>
              <w:tab w:val="clear" w:pos="7609"/>
              <w:tab w:val="right" w:pos="9026" w:leader="dot"/>
            </w:tabs>
            <w:rPr/>
          </w:pPr>
          <w:hyperlink w:anchor="__RefHeading___Toc3056990_2870459653">
            <w:r>
              <w:rPr>
                <w:webHidden/>
                <w:rStyle w:val="IndexLink"/>
              </w:rPr>
              <w:t>1</w:t>
            </w:r>
            <w:r>
              <w:rPr>
                <w:rStyle w:val="IndexLink"/>
                <w:rtl w:val="true"/>
              </w:rPr>
              <w:t xml:space="preserve">. </w:t>
            </w:r>
            <w:r>
              <w:rPr>
                <w:rStyle w:val="IndexLink"/>
                <w:rtl w:val="true"/>
              </w:rPr>
              <w:t xml:space="preserve">الفترة الأولى </w:t>
            </w:r>
            <w:r>
              <w:rPr>
                <w:rStyle w:val="IndexLink"/>
                <w:rtl w:val="true"/>
              </w:rPr>
              <w:t>(</w:t>
            </w:r>
            <w:r>
              <w:rPr>
                <w:rStyle w:val="IndexLink"/>
              </w:rPr>
              <w:t>909</w:t>
            </w:r>
            <w:r>
              <w:rPr>
                <w:rStyle w:val="IndexLink"/>
                <w:rtl w:val="true"/>
              </w:rPr>
              <w:t xml:space="preserve"> - </w:t>
            </w:r>
            <w:r>
              <w:rPr>
                <w:rStyle w:val="IndexLink"/>
              </w:rPr>
              <w:t>916</w:t>
            </w:r>
            <w:r>
              <w:rPr>
                <w:rStyle w:val="IndexLink"/>
                <w:rtl w:val="true"/>
              </w:rPr>
              <w:t>ﻫ</w:t>
            </w:r>
            <w:r>
              <w:rPr>
                <w:rStyle w:val="IndexLink"/>
                <w:rtl w:val="true"/>
              </w:rPr>
              <w:t>)</w:t>
              <w:tab/>
            </w:r>
            <w:r>
              <w:rPr>
                <w:rStyle w:val="IndexLink"/>
              </w:rPr>
              <w:t>457</w:t>
            </w:r>
          </w:hyperlink>
        </w:p>
        <w:p>
          <w:pPr>
            <w:pStyle w:val="Contents6"/>
            <w:tabs>
              <w:tab w:val="clear" w:pos="7609"/>
              <w:tab w:val="right" w:pos="9026" w:leader="dot"/>
            </w:tabs>
            <w:rPr/>
          </w:pPr>
          <w:hyperlink w:anchor="__RefHeading___Toc3056992_2870459653">
            <w:r>
              <w:rPr>
                <w:webHidden/>
                <w:rStyle w:val="IndexLink"/>
                <w:rtl w:val="true"/>
              </w:rPr>
              <w:t>اشارة</w:t>
            </w:r>
            <w:r>
              <w:rPr>
                <w:rStyle w:val="IndexLink"/>
                <w:rtl w:val="true"/>
              </w:rPr>
              <w:tab/>
            </w:r>
            <w:r>
              <w:rPr>
                <w:rStyle w:val="IndexLink"/>
              </w:rPr>
              <w:t>457</w:t>
            </w:r>
          </w:hyperlink>
        </w:p>
        <w:p>
          <w:pPr>
            <w:pStyle w:val="Contents6"/>
            <w:tabs>
              <w:tab w:val="clear" w:pos="7609"/>
              <w:tab w:val="right" w:pos="9026" w:leader="dot"/>
            </w:tabs>
            <w:rPr/>
          </w:pPr>
          <w:hyperlink w:anchor="__RefHeading___Toc3056994_2870459653">
            <w:r>
              <w:rPr>
                <w:webHidden/>
                <w:rStyle w:val="IndexLink"/>
                <w:rtl w:val="true"/>
              </w:rPr>
              <w:t xml:space="preserve">أ </w:t>
            </w:r>
            <w:r>
              <w:rPr>
                <w:rStyle w:val="IndexLink"/>
                <w:rtl w:val="true"/>
              </w:rPr>
              <w:t xml:space="preserve">- </w:t>
            </w:r>
            <w:r>
              <w:rPr>
                <w:rStyle w:val="IndexLink"/>
                <w:rtl w:val="true"/>
              </w:rPr>
              <w:t>مستوى الحركة العلميّة</w:t>
            </w:r>
            <w:r>
              <w:rPr>
                <w:rStyle w:val="IndexLink"/>
                <w:rtl w:val="true"/>
              </w:rPr>
              <w:tab/>
            </w:r>
            <w:r>
              <w:rPr>
                <w:rStyle w:val="IndexLink"/>
              </w:rPr>
              <w:t>458</w:t>
            </w:r>
          </w:hyperlink>
        </w:p>
        <w:p>
          <w:pPr>
            <w:pStyle w:val="Contents6"/>
            <w:tabs>
              <w:tab w:val="clear" w:pos="7609"/>
              <w:tab w:val="right" w:pos="9026" w:leader="dot"/>
            </w:tabs>
            <w:rPr/>
          </w:pPr>
          <w:hyperlink w:anchor="__RefHeading___Toc3056996_2870459653">
            <w:r>
              <w:rPr>
                <w:webHidden/>
                <w:rStyle w:val="IndexLink"/>
                <w:rtl w:val="true"/>
              </w:rPr>
              <w:t xml:space="preserve">ب </w:t>
            </w:r>
            <w:r>
              <w:rPr>
                <w:rStyle w:val="IndexLink"/>
                <w:rtl w:val="true"/>
              </w:rPr>
              <w:t xml:space="preserve">- </w:t>
            </w:r>
            <w:r>
              <w:rPr>
                <w:rStyle w:val="IndexLink"/>
                <w:rtl w:val="true"/>
              </w:rPr>
              <w:t>مستوى الخدمات الاجتماعية</w:t>
            </w:r>
            <w:r>
              <w:rPr>
                <w:rStyle w:val="IndexLink"/>
                <w:rtl w:val="true"/>
              </w:rPr>
              <w:tab/>
            </w:r>
            <w:r>
              <w:rPr>
                <w:rStyle w:val="IndexLink"/>
              </w:rPr>
              <w:t>458</w:t>
            </w:r>
          </w:hyperlink>
        </w:p>
        <w:p>
          <w:pPr>
            <w:pStyle w:val="Contents6"/>
            <w:tabs>
              <w:tab w:val="clear" w:pos="7609"/>
              <w:tab w:val="right" w:pos="9026" w:leader="dot"/>
            </w:tabs>
            <w:rPr/>
          </w:pPr>
          <w:hyperlink w:anchor="__RefHeading___Toc3056998_2870459653">
            <w:r>
              <w:rPr>
                <w:webHidden/>
                <w:rStyle w:val="IndexLink"/>
              </w:rPr>
              <w:t>2</w:t>
            </w:r>
            <w:r>
              <w:rPr>
                <w:rStyle w:val="IndexLink"/>
                <w:rtl w:val="true"/>
              </w:rPr>
              <w:t xml:space="preserve">. </w:t>
            </w:r>
            <w:r>
              <w:rPr>
                <w:rStyle w:val="IndexLink"/>
                <w:rtl w:val="true"/>
              </w:rPr>
              <w:t xml:space="preserve">الفترة الثانية </w:t>
            </w:r>
            <w:r>
              <w:rPr>
                <w:rStyle w:val="IndexLink"/>
                <w:rtl w:val="true"/>
              </w:rPr>
              <w:t>(</w:t>
            </w:r>
            <w:r>
              <w:rPr>
                <w:rStyle w:val="IndexLink"/>
              </w:rPr>
              <w:t>920</w:t>
            </w:r>
            <w:r>
              <w:rPr>
                <w:rStyle w:val="IndexLink"/>
                <w:rtl w:val="true"/>
              </w:rPr>
              <w:t xml:space="preserve"> - </w:t>
            </w:r>
            <w:r>
              <w:rPr>
                <w:rStyle w:val="IndexLink"/>
              </w:rPr>
              <w:t>936</w:t>
            </w:r>
            <w:r>
              <w:rPr>
                <w:rStyle w:val="IndexLink"/>
                <w:rtl w:val="true"/>
              </w:rPr>
              <w:t xml:space="preserve"> </w:t>
            </w:r>
            <w:r>
              <w:rPr>
                <w:rStyle w:val="IndexLink"/>
                <w:rtl w:val="true"/>
              </w:rPr>
              <w:t>ﻫ</w:t>
            </w:r>
            <w:r>
              <w:rPr>
                <w:rStyle w:val="IndexLink"/>
                <w:rtl w:val="true"/>
              </w:rPr>
              <w:t>)</w:t>
              <w:tab/>
            </w:r>
            <w:r>
              <w:rPr>
                <w:rStyle w:val="IndexLink"/>
              </w:rPr>
              <w:t>460</w:t>
            </w:r>
          </w:hyperlink>
        </w:p>
        <w:p>
          <w:pPr>
            <w:pStyle w:val="Contents6"/>
            <w:tabs>
              <w:tab w:val="clear" w:pos="7609"/>
              <w:tab w:val="right" w:pos="9026" w:leader="dot"/>
            </w:tabs>
            <w:rPr/>
          </w:pPr>
          <w:hyperlink w:anchor="__RefHeading___Toc3057000_2870459653">
            <w:r>
              <w:rPr>
                <w:webHidden/>
                <w:rStyle w:val="IndexLink"/>
                <w:rtl w:val="true"/>
              </w:rPr>
              <w:t>اشارة</w:t>
            </w:r>
            <w:r>
              <w:rPr>
                <w:rStyle w:val="IndexLink"/>
                <w:rtl w:val="true"/>
              </w:rPr>
              <w:tab/>
            </w:r>
            <w:r>
              <w:rPr>
                <w:rStyle w:val="IndexLink"/>
              </w:rPr>
              <w:t>460</w:t>
            </w:r>
          </w:hyperlink>
        </w:p>
        <w:p>
          <w:pPr>
            <w:pStyle w:val="Contents6"/>
            <w:tabs>
              <w:tab w:val="clear" w:pos="7609"/>
              <w:tab w:val="right" w:pos="9026" w:leader="dot"/>
            </w:tabs>
            <w:rPr/>
          </w:pPr>
          <w:hyperlink w:anchor="__RefHeading___Toc3057002_2870459653">
            <w:r>
              <w:rPr>
                <w:webHidden/>
                <w:rStyle w:val="IndexLink"/>
                <w:rtl w:val="true"/>
              </w:rPr>
              <w:t xml:space="preserve">أ </w:t>
            </w:r>
            <w:r>
              <w:rPr>
                <w:rStyle w:val="IndexLink"/>
                <w:rtl w:val="true"/>
              </w:rPr>
              <w:t xml:space="preserve">- </w:t>
            </w:r>
            <w:r>
              <w:rPr>
                <w:rStyle w:val="IndexLink"/>
                <w:rtl w:val="true"/>
              </w:rPr>
              <w:t>مستوى الممارسات الدينية</w:t>
            </w:r>
            <w:r>
              <w:rPr>
                <w:rStyle w:val="IndexLink"/>
                <w:rtl w:val="true"/>
              </w:rPr>
              <w:tab/>
            </w:r>
            <w:r>
              <w:rPr>
                <w:rStyle w:val="IndexLink"/>
              </w:rPr>
              <w:t>460</w:t>
            </w:r>
          </w:hyperlink>
        </w:p>
        <w:p>
          <w:pPr>
            <w:pStyle w:val="Contents6"/>
            <w:tabs>
              <w:tab w:val="clear" w:pos="7609"/>
              <w:tab w:val="right" w:pos="9026" w:leader="dot"/>
            </w:tabs>
            <w:rPr/>
          </w:pPr>
          <w:hyperlink w:anchor="__RefHeading___Toc3057004_2870459653">
            <w:r>
              <w:rPr>
                <w:webHidden/>
                <w:rStyle w:val="IndexLink"/>
                <w:rtl w:val="true"/>
              </w:rPr>
              <w:t>إقامته لصلاة الجمعة والجماعة</w:t>
            </w:r>
            <w:r>
              <w:rPr>
                <w:rStyle w:val="IndexLink"/>
                <w:rtl w:val="true"/>
              </w:rPr>
              <w:tab/>
            </w:r>
            <w:r>
              <w:rPr>
                <w:rStyle w:val="IndexLink"/>
              </w:rPr>
              <w:t>460</w:t>
            </w:r>
          </w:hyperlink>
        </w:p>
        <w:p>
          <w:pPr>
            <w:pStyle w:val="Contents6"/>
            <w:tabs>
              <w:tab w:val="clear" w:pos="7609"/>
              <w:tab w:val="right" w:pos="9026" w:leader="dot"/>
            </w:tabs>
            <w:rPr/>
          </w:pPr>
          <w:hyperlink w:anchor="__RefHeading___Toc3057006_2870459653">
            <w:r>
              <w:rPr>
                <w:webHidden/>
                <w:rStyle w:val="IndexLink"/>
                <w:rtl w:val="true"/>
              </w:rPr>
              <w:t>ب</w:t>
            </w:r>
            <w:r>
              <w:rPr>
                <w:rStyle w:val="IndexLink"/>
                <w:rtl w:val="true"/>
              </w:rPr>
              <w:t xml:space="preserve">. </w:t>
            </w:r>
            <w:r>
              <w:rPr>
                <w:rStyle w:val="IndexLink"/>
                <w:rtl w:val="true"/>
              </w:rPr>
              <w:t>مستوى الكتابة والتأليف</w:t>
            </w:r>
            <w:r>
              <w:rPr>
                <w:rStyle w:val="IndexLink"/>
                <w:rtl w:val="true"/>
              </w:rPr>
              <w:tab/>
            </w:r>
            <w:r>
              <w:rPr>
                <w:rStyle w:val="IndexLink"/>
              </w:rPr>
              <w:t>460</w:t>
            </w:r>
          </w:hyperlink>
        </w:p>
        <w:p>
          <w:pPr>
            <w:pStyle w:val="Contents6"/>
            <w:tabs>
              <w:tab w:val="clear" w:pos="7609"/>
              <w:tab w:val="right" w:pos="9026" w:leader="dot"/>
            </w:tabs>
            <w:rPr/>
          </w:pPr>
          <w:hyperlink w:anchor="__RefHeading___Toc3057008_2870459653">
            <w:r>
              <w:rPr>
                <w:webHidden/>
                <w:rStyle w:val="IndexLink"/>
                <w:rtl w:val="true"/>
              </w:rPr>
              <w:t>ج</w:t>
            </w:r>
            <w:r>
              <w:rPr>
                <w:rStyle w:val="IndexLink"/>
                <w:rtl w:val="true"/>
              </w:rPr>
              <w:t xml:space="preserve">. </w:t>
            </w:r>
            <w:r>
              <w:rPr>
                <w:rStyle w:val="IndexLink"/>
                <w:rtl w:val="true"/>
              </w:rPr>
              <w:t>مستوى رعايته لتلاميذه بعقد مجالس الدرس والمذاكرة</w:t>
            </w:r>
            <w:r>
              <w:rPr>
                <w:rStyle w:val="IndexLink"/>
                <w:rtl w:val="true"/>
              </w:rPr>
              <w:tab/>
            </w:r>
            <w:r>
              <w:rPr>
                <w:rStyle w:val="IndexLink"/>
              </w:rPr>
              <w:t>462</w:t>
            </w:r>
          </w:hyperlink>
        </w:p>
        <w:p>
          <w:pPr>
            <w:pStyle w:val="Contents5"/>
            <w:tabs>
              <w:tab w:val="clear" w:pos="7892"/>
              <w:tab w:val="right" w:pos="9026" w:leader="dot"/>
            </w:tabs>
            <w:rPr/>
          </w:pPr>
          <w:hyperlink w:anchor="__RefHeading___Toc3057010_2870459653">
            <w:r>
              <w:rPr>
                <w:webHidden/>
                <w:rStyle w:val="IndexLink"/>
                <w:rtl w:val="true"/>
              </w:rPr>
              <w:t>وفاته ومدفنه</w:t>
            </w:r>
            <w:r>
              <w:rPr>
                <w:rStyle w:val="IndexLink"/>
                <w:rtl w:val="true"/>
              </w:rPr>
              <w:tab/>
            </w:r>
            <w:r>
              <w:rPr>
                <w:rStyle w:val="IndexLink"/>
              </w:rPr>
              <w:t>466</w:t>
            </w:r>
          </w:hyperlink>
        </w:p>
        <w:p>
          <w:pPr>
            <w:pStyle w:val="Contents4"/>
            <w:tabs>
              <w:tab w:val="clear" w:pos="8176"/>
              <w:tab w:val="right" w:pos="9026" w:leader="dot"/>
            </w:tabs>
            <w:rPr/>
          </w:pPr>
          <w:hyperlink w:anchor="__RefHeading___Toc3057012_2870459653">
            <w:r>
              <w:rPr>
                <w:webHidden/>
                <w:rStyle w:val="IndexLink"/>
              </w:rPr>
              <w:t>3</w:t>
            </w:r>
            <w:r>
              <w:rPr>
                <w:rStyle w:val="IndexLink"/>
                <w:rtl w:val="true"/>
              </w:rPr>
              <w:t xml:space="preserve">. </w:t>
            </w:r>
            <w:r>
              <w:rPr>
                <w:rStyle w:val="IndexLink"/>
                <w:rtl w:val="true"/>
              </w:rPr>
              <w:t xml:space="preserve">الشيخ محيي الدين بن أحمد بن تاج الدين الميسي </w:t>
            </w:r>
            <w:r>
              <w:rPr>
                <w:rStyle w:val="IndexLink"/>
                <w:rtl w:val="true"/>
              </w:rPr>
              <w:t>(</w:t>
            </w:r>
            <w:r>
              <w:rPr>
                <w:rStyle w:val="IndexLink"/>
                <w:rtl w:val="true"/>
              </w:rPr>
              <w:t>رحمة الله</w:t>
            </w:r>
            <w:r>
              <w:rPr>
                <w:rStyle w:val="IndexLink"/>
                <w:rtl w:val="true"/>
              </w:rPr>
              <w:t>)</w:t>
              <w:tab/>
            </w:r>
            <w:r>
              <w:rPr>
                <w:rStyle w:val="IndexLink"/>
              </w:rPr>
              <w:t>467</w:t>
            </w:r>
          </w:hyperlink>
        </w:p>
        <w:p>
          <w:pPr>
            <w:pStyle w:val="Contents5"/>
            <w:tabs>
              <w:tab w:val="clear" w:pos="7892"/>
              <w:tab w:val="right" w:pos="9026" w:leader="dot"/>
            </w:tabs>
            <w:rPr/>
          </w:pPr>
          <w:hyperlink w:anchor="__RefHeading___Toc3057014_2870459653">
            <w:r>
              <w:rPr>
                <w:webHidden/>
                <w:rStyle w:val="IndexLink"/>
                <w:rtl w:val="true"/>
              </w:rPr>
              <w:t>اشارة</w:t>
            </w:r>
            <w:r>
              <w:rPr>
                <w:rStyle w:val="IndexLink"/>
                <w:rtl w:val="true"/>
              </w:rPr>
              <w:tab/>
            </w:r>
            <w:r>
              <w:rPr>
                <w:rStyle w:val="IndexLink"/>
              </w:rPr>
              <w:t>467</w:t>
            </w:r>
          </w:hyperlink>
        </w:p>
        <w:p>
          <w:pPr>
            <w:pStyle w:val="Contents5"/>
            <w:tabs>
              <w:tab w:val="clear" w:pos="7892"/>
              <w:tab w:val="right" w:pos="9026" w:leader="dot"/>
            </w:tabs>
            <w:rPr/>
          </w:pPr>
          <w:hyperlink w:anchor="__RefHeading___Toc3057016_2870459653">
            <w:r>
              <w:rPr>
                <w:webHidden/>
                <w:rStyle w:val="IndexLink"/>
                <w:rtl w:val="true"/>
              </w:rPr>
              <w:t>وفاته</w:t>
            </w:r>
            <w:r>
              <w:rPr>
                <w:rStyle w:val="IndexLink"/>
                <w:rtl w:val="true"/>
              </w:rPr>
              <w:tab/>
            </w:r>
            <w:r>
              <w:rPr>
                <w:rStyle w:val="IndexLink"/>
              </w:rPr>
              <w:t>471</w:t>
            </w:r>
          </w:hyperlink>
        </w:p>
        <w:p>
          <w:pPr>
            <w:pStyle w:val="Contents3"/>
            <w:tabs>
              <w:tab w:val="clear" w:pos="8459"/>
              <w:tab w:val="right" w:pos="9026" w:leader="dot"/>
            </w:tabs>
            <w:rPr/>
          </w:pPr>
          <w:hyperlink w:anchor="__RefHeading___Toc3057018_2870459653">
            <w:r>
              <w:rPr>
                <w:webHidden/>
                <w:rStyle w:val="IndexLink"/>
                <w:rtl w:val="true"/>
              </w:rPr>
              <w:t>مواصفات النسخ المعتمدة</w:t>
            </w:r>
            <w:r>
              <w:rPr>
                <w:rStyle w:val="IndexLink"/>
                <w:rtl w:val="true"/>
              </w:rPr>
              <w:tab/>
            </w:r>
            <w:r>
              <w:rPr>
                <w:rStyle w:val="IndexLink"/>
              </w:rPr>
              <w:t>472</w:t>
            </w:r>
          </w:hyperlink>
        </w:p>
        <w:p>
          <w:pPr>
            <w:pStyle w:val="Contents4"/>
            <w:tabs>
              <w:tab w:val="clear" w:pos="8176"/>
              <w:tab w:val="right" w:pos="9026" w:leader="dot"/>
            </w:tabs>
            <w:rPr/>
          </w:pPr>
          <w:hyperlink w:anchor="__RefHeading___Toc3057020_2870459653">
            <w:r>
              <w:rPr>
                <w:webHidden/>
                <w:rStyle w:val="IndexLink"/>
                <w:rtl w:val="true"/>
              </w:rPr>
              <w:t>الرسالة الأولى</w:t>
            </w:r>
            <w:r>
              <w:rPr>
                <w:rStyle w:val="IndexLink"/>
                <w:rtl w:val="true"/>
              </w:rPr>
              <w:tab/>
            </w:r>
            <w:r>
              <w:rPr>
                <w:rStyle w:val="IndexLink"/>
              </w:rPr>
              <w:t>472</w:t>
            </w:r>
          </w:hyperlink>
        </w:p>
        <w:p>
          <w:pPr>
            <w:pStyle w:val="Contents4"/>
            <w:tabs>
              <w:tab w:val="clear" w:pos="8176"/>
              <w:tab w:val="right" w:pos="9026" w:leader="dot"/>
            </w:tabs>
            <w:rPr/>
          </w:pPr>
          <w:hyperlink w:anchor="__RefHeading___Toc3057022_2870459653">
            <w:r>
              <w:rPr>
                <w:webHidden/>
                <w:rStyle w:val="IndexLink"/>
                <w:rtl w:val="true"/>
              </w:rPr>
              <w:t>الرسالة الثانية</w:t>
            </w:r>
            <w:r>
              <w:rPr>
                <w:rStyle w:val="IndexLink"/>
                <w:rtl w:val="true"/>
              </w:rPr>
              <w:tab/>
            </w:r>
            <w:r>
              <w:rPr>
                <w:rStyle w:val="IndexLink"/>
              </w:rPr>
              <w:t>472</w:t>
            </w:r>
          </w:hyperlink>
        </w:p>
        <w:p>
          <w:pPr>
            <w:pStyle w:val="Contents4"/>
            <w:tabs>
              <w:tab w:val="clear" w:pos="8176"/>
              <w:tab w:val="right" w:pos="9026" w:leader="dot"/>
            </w:tabs>
            <w:rPr/>
          </w:pPr>
          <w:hyperlink w:anchor="__RefHeading___Toc3057024_2870459653">
            <w:r>
              <w:rPr>
                <w:webHidden/>
                <w:rStyle w:val="IndexLink"/>
                <w:rtl w:val="true"/>
              </w:rPr>
              <w:t>الرسالة الثالثة</w:t>
            </w:r>
            <w:r>
              <w:rPr>
                <w:rStyle w:val="IndexLink"/>
                <w:rtl w:val="true"/>
              </w:rPr>
              <w:tab/>
            </w:r>
            <w:r>
              <w:rPr>
                <w:rStyle w:val="IndexLink"/>
              </w:rPr>
              <w:t>473</w:t>
            </w:r>
          </w:hyperlink>
        </w:p>
        <w:p>
          <w:pPr>
            <w:pStyle w:val="Contents4"/>
            <w:tabs>
              <w:tab w:val="clear" w:pos="8176"/>
              <w:tab w:val="right" w:pos="9026" w:leader="dot"/>
            </w:tabs>
            <w:rPr/>
          </w:pPr>
          <w:hyperlink w:anchor="__RefHeading___Toc3057026_2870459653">
            <w:r>
              <w:rPr>
                <w:webHidden/>
                <w:rStyle w:val="IndexLink"/>
                <w:rtl w:val="true"/>
              </w:rPr>
              <w:t>الرسالة الرابعة</w:t>
            </w:r>
            <w:r>
              <w:rPr>
                <w:rStyle w:val="IndexLink"/>
                <w:rtl w:val="true"/>
              </w:rPr>
              <w:tab/>
            </w:r>
            <w:r>
              <w:rPr>
                <w:rStyle w:val="IndexLink"/>
              </w:rPr>
              <w:t>473</w:t>
            </w:r>
          </w:hyperlink>
        </w:p>
        <w:p>
          <w:pPr>
            <w:pStyle w:val="Contents3"/>
            <w:tabs>
              <w:tab w:val="clear" w:pos="8459"/>
              <w:tab w:val="right" w:pos="9026" w:leader="dot"/>
            </w:tabs>
            <w:rPr/>
          </w:pPr>
          <w:hyperlink w:anchor="__RefHeading___Toc3057028_2870459653">
            <w:r>
              <w:rPr>
                <w:webHidden/>
                <w:rStyle w:val="IndexLink"/>
                <w:rtl w:val="true"/>
              </w:rPr>
              <w:t>عملنا في التحقيق</w:t>
            </w:r>
            <w:r>
              <w:rPr>
                <w:rStyle w:val="IndexLink"/>
                <w:rtl w:val="true"/>
              </w:rPr>
              <w:tab/>
            </w:r>
            <w:r>
              <w:rPr>
                <w:rStyle w:val="IndexLink"/>
              </w:rPr>
              <w:t>475</w:t>
            </w:r>
          </w:hyperlink>
        </w:p>
        <w:p>
          <w:pPr>
            <w:pStyle w:val="Contents3"/>
            <w:tabs>
              <w:tab w:val="clear" w:pos="8459"/>
              <w:tab w:val="right" w:pos="9026" w:leader="dot"/>
            </w:tabs>
            <w:rPr/>
          </w:pPr>
          <w:hyperlink w:anchor="__RefHeading___Toc3057030_2870459653">
            <w:r>
              <w:rPr>
                <w:webHidden/>
                <w:rStyle w:val="IndexLink"/>
                <w:rtl w:val="true"/>
              </w:rPr>
              <w:t>شكر وثناء</w:t>
            </w:r>
            <w:r>
              <w:rPr>
                <w:rStyle w:val="IndexLink"/>
                <w:rtl w:val="true"/>
              </w:rPr>
              <w:tab/>
            </w:r>
            <w:r>
              <w:rPr>
                <w:rStyle w:val="IndexLink"/>
              </w:rPr>
              <w:t>475</w:t>
            </w:r>
          </w:hyperlink>
        </w:p>
        <w:p>
          <w:pPr>
            <w:pStyle w:val="Contents3"/>
            <w:tabs>
              <w:tab w:val="clear" w:pos="8459"/>
              <w:tab w:val="right" w:pos="9026" w:leader="dot"/>
            </w:tabs>
            <w:rPr/>
          </w:pPr>
          <w:hyperlink w:anchor="__RefHeading___Toc3057032_2870459653">
            <w:r>
              <w:rPr>
                <w:webHidden/>
                <w:rStyle w:val="IndexLink"/>
                <w:rtl w:val="true"/>
              </w:rPr>
              <w:t xml:space="preserve">مسائل في حَجّ الوَدعيّ </w:t>
            </w:r>
            <w:r>
              <w:rPr>
                <w:rStyle w:val="IndexLink"/>
                <w:rtl w:val="true"/>
              </w:rPr>
              <w:t xml:space="preserve">- </w:t>
            </w:r>
            <w:r>
              <w:rPr>
                <w:rStyle w:val="IndexLink"/>
                <w:rtl w:val="true"/>
              </w:rPr>
              <w:t xml:space="preserve">للشیخ محمدبن مکی العاملی المعروف بالشهيد الأوَّل </w:t>
            </w:r>
            <w:r>
              <w:rPr>
                <w:rStyle w:val="IndexLink"/>
                <w:rtl w:val="true"/>
              </w:rPr>
              <w:t>(</w:t>
            </w:r>
            <w:r>
              <w:rPr>
                <w:rStyle w:val="IndexLink"/>
                <w:rtl w:val="true"/>
              </w:rPr>
              <w:t xml:space="preserve">ت </w:t>
            </w:r>
            <w:r>
              <w:rPr>
                <w:rStyle w:val="IndexLink"/>
              </w:rPr>
              <w:t>786</w:t>
            </w:r>
            <w:r>
              <w:rPr>
                <w:rStyle w:val="IndexLink"/>
                <w:rtl w:val="true"/>
              </w:rPr>
              <w:t>ﻫ</w:t>
            </w:r>
            <w:r>
              <w:rPr>
                <w:rStyle w:val="IndexLink"/>
                <w:rtl w:val="true"/>
              </w:rPr>
              <w:t>)</w:t>
              <w:tab/>
            </w:r>
            <w:r>
              <w:rPr>
                <w:rStyle w:val="IndexLink"/>
              </w:rPr>
              <w:t>481</w:t>
            </w:r>
          </w:hyperlink>
        </w:p>
        <w:p>
          <w:pPr>
            <w:pStyle w:val="Contents3"/>
            <w:tabs>
              <w:tab w:val="clear" w:pos="8459"/>
              <w:tab w:val="right" w:pos="9026" w:leader="dot"/>
            </w:tabs>
            <w:rPr/>
          </w:pPr>
          <w:hyperlink w:anchor="__RefHeading___Toc3057034_2870459653">
            <w:r>
              <w:rPr>
                <w:webHidden/>
                <w:rStyle w:val="IndexLink"/>
                <w:rtl w:val="true"/>
              </w:rPr>
              <w:t xml:space="preserve">ضابطة حلّيّة المأخوذ من الأرض المشكوك فتحها عنوة </w:t>
            </w:r>
            <w:r>
              <w:rPr>
                <w:rStyle w:val="IndexLink"/>
                <w:rtl w:val="true"/>
              </w:rPr>
              <w:t xml:space="preserve">- </w:t>
            </w:r>
            <w:r>
              <w:rPr>
                <w:rStyle w:val="IndexLink"/>
                <w:rtl w:val="true"/>
              </w:rPr>
              <w:t>للشیخ علی بن الحسین ابن عبدالعالی العاملی الکرکی المعروف بالمحقق الثانی</w:t>
            </w:r>
            <w:r>
              <w:rPr>
                <w:rStyle w:val="IndexLink"/>
                <w:rtl w:val="true"/>
              </w:rPr>
              <w:t>(</w:t>
            </w:r>
            <w:r>
              <w:rPr>
                <w:rStyle w:val="IndexLink"/>
                <w:rtl w:val="true"/>
              </w:rPr>
              <w:t xml:space="preserve">ت </w:t>
            </w:r>
            <w:r>
              <w:rPr>
                <w:rStyle w:val="IndexLink"/>
              </w:rPr>
              <w:t>940</w:t>
            </w:r>
            <w:r>
              <w:rPr>
                <w:rStyle w:val="IndexLink"/>
                <w:rtl w:val="true"/>
              </w:rPr>
              <w:t xml:space="preserve"> </w:t>
            </w:r>
            <w:r>
              <w:rPr>
                <w:rStyle w:val="IndexLink"/>
                <w:rtl w:val="true"/>
              </w:rPr>
              <w:t>ﻫ</w:t>
            </w:r>
            <w:r>
              <w:rPr>
                <w:rStyle w:val="IndexLink"/>
                <w:rtl w:val="true"/>
              </w:rPr>
              <w:t>)</w:t>
              <w:tab/>
            </w:r>
            <w:r>
              <w:rPr>
                <w:rStyle w:val="IndexLink"/>
              </w:rPr>
              <w:t>489</w:t>
            </w:r>
          </w:hyperlink>
        </w:p>
        <w:p>
          <w:pPr>
            <w:pStyle w:val="Contents3"/>
            <w:tabs>
              <w:tab w:val="clear" w:pos="8459"/>
              <w:tab w:val="right" w:pos="9026" w:leader="dot"/>
            </w:tabs>
            <w:rPr/>
          </w:pPr>
          <w:hyperlink w:anchor="__RefHeading___Toc3057036_2870459653">
            <w:r>
              <w:rPr>
                <w:webHidden/>
                <w:rStyle w:val="IndexLink"/>
                <w:rtl w:val="true"/>
              </w:rPr>
              <w:t xml:space="preserve">المقدار اللّازم من المعرفة </w:t>
            </w:r>
            <w:r>
              <w:rPr>
                <w:rStyle w:val="IndexLink"/>
                <w:rtl w:val="true"/>
              </w:rPr>
              <w:t xml:space="preserve">- </w:t>
            </w:r>
            <w:r>
              <w:rPr>
                <w:rStyle w:val="IndexLink"/>
                <w:rtl w:val="true"/>
              </w:rPr>
              <w:t>للشیخ علی بن الحسین ابن عبدالعالی العاملی الکرکی المعروف بالمحقق الثانی</w:t>
            </w:r>
            <w:r>
              <w:rPr>
                <w:rStyle w:val="IndexLink"/>
                <w:rtl w:val="true"/>
              </w:rPr>
              <w:t>(</w:t>
            </w:r>
            <w:r>
              <w:rPr>
                <w:rStyle w:val="IndexLink"/>
                <w:rtl w:val="true"/>
              </w:rPr>
              <w:t xml:space="preserve">ت </w:t>
            </w:r>
            <w:r>
              <w:rPr>
                <w:rStyle w:val="IndexLink"/>
              </w:rPr>
              <w:t>940</w:t>
            </w:r>
            <w:r>
              <w:rPr>
                <w:rStyle w:val="IndexLink"/>
                <w:rtl w:val="true"/>
              </w:rPr>
              <w:t xml:space="preserve"> </w:t>
            </w:r>
            <w:r>
              <w:rPr>
                <w:rStyle w:val="IndexLink"/>
                <w:rtl w:val="true"/>
              </w:rPr>
              <w:t>ﻫ</w:t>
            </w:r>
            <w:r>
              <w:rPr>
                <w:rStyle w:val="IndexLink"/>
                <w:rtl w:val="true"/>
              </w:rPr>
              <w:t>)</w:t>
              <w:tab/>
            </w:r>
            <w:r>
              <w:rPr>
                <w:rStyle w:val="IndexLink"/>
              </w:rPr>
              <w:t>500</w:t>
            </w:r>
          </w:hyperlink>
        </w:p>
        <w:p>
          <w:pPr>
            <w:pStyle w:val="Contents3"/>
            <w:tabs>
              <w:tab w:val="clear" w:pos="8459"/>
              <w:tab w:val="right" w:pos="9026" w:leader="dot"/>
            </w:tabs>
            <w:rPr/>
          </w:pPr>
          <w:hyperlink w:anchor="__RefHeading___Toc3057038_2870459653">
            <w:r>
              <w:rPr>
                <w:webHidden/>
                <w:rStyle w:val="IndexLink"/>
                <w:rtl w:val="true"/>
              </w:rPr>
              <w:t xml:space="preserve">رسالة في أحكام الصداق </w:t>
            </w:r>
            <w:r>
              <w:rPr>
                <w:rStyle w:val="IndexLink"/>
                <w:rtl w:val="true"/>
              </w:rPr>
              <w:t xml:space="preserve">- </w:t>
            </w:r>
            <w:r>
              <w:rPr>
                <w:rStyle w:val="IndexLink"/>
                <w:rtl w:val="true"/>
              </w:rPr>
              <w:t xml:space="preserve">للشيخ محيي الدين بن أحمد بن تاج الدین العاملی الميسيّ </w:t>
            </w:r>
            <w:r>
              <w:rPr>
                <w:rStyle w:val="IndexLink"/>
                <w:rtl w:val="true"/>
              </w:rPr>
              <w:t>(</w:t>
            </w:r>
            <w:r>
              <w:rPr>
                <w:rStyle w:val="IndexLink"/>
                <w:rtl w:val="true"/>
              </w:rPr>
              <w:t xml:space="preserve">كان حيّاً </w:t>
            </w:r>
            <w:r>
              <w:rPr>
                <w:rStyle w:val="IndexLink"/>
              </w:rPr>
              <w:t>974</w:t>
            </w:r>
            <w:r>
              <w:rPr>
                <w:rStyle w:val="IndexLink"/>
                <w:rtl w:val="true"/>
              </w:rPr>
              <w:t xml:space="preserve"> </w:t>
            </w:r>
            <w:r>
              <w:rPr>
                <w:rStyle w:val="IndexLink"/>
                <w:rtl w:val="true"/>
              </w:rPr>
              <w:t>ﻫ</w:t>
            </w:r>
            <w:r>
              <w:rPr>
                <w:rStyle w:val="IndexLink"/>
                <w:rtl w:val="true"/>
              </w:rPr>
              <w:t>)</w:t>
              <w:tab/>
            </w:r>
            <w:r>
              <w:rPr>
                <w:rStyle w:val="IndexLink"/>
              </w:rPr>
              <w:t>509</w:t>
            </w:r>
          </w:hyperlink>
        </w:p>
        <w:p>
          <w:pPr>
            <w:pStyle w:val="Contents4"/>
            <w:tabs>
              <w:tab w:val="clear" w:pos="8176"/>
              <w:tab w:val="right" w:pos="9026" w:leader="dot"/>
            </w:tabs>
            <w:rPr/>
          </w:pPr>
          <w:hyperlink w:anchor="__RefHeading___Toc3057040_2870459653">
            <w:r>
              <w:rPr>
                <w:webHidden/>
                <w:rStyle w:val="IndexLink"/>
                <w:rtl w:val="true"/>
              </w:rPr>
              <w:t>اشارة</w:t>
            </w:r>
            <w:r>
              <w:rPr>
                <w:rStyle w:val="IndexLink"/>
                <w:rtl w:val="true"/>
              </w:rPr>
              <w:tab/>
            </w:r>
            <w:r>
              <w:rPr>
                <w:rStyle w:val="IndexLink"/>
              </w:rPr>
              <w:t>509</w:t>
            </w:r>
          </w:hyperlink>
        </w:p>
        <w:p>
          <w:pPr>
            <w:pStyle w:val="Contents4"/>
            <w:tabs>
              <w:tab w:val="clear" w:pos="8176"/>
              <w:tab w:val="right" w:pos="9026" w:leader="dot"/>
            </w:tabs>
            <w:rPr/>
          </w:pPr>
          <w:hyperlink w:anchor="__RefHeading___Toc3057042_2870459653">
            <w:r>
              <w:rPr>
                <w:webHidden/>
                <w:rStyle w:val="IndexLink"/>
                <w:rtl w:val="true"/>
              </w:rPr>
              <w:t>الأقوال في جواز الامتناع</w:t>
            </w:r>
            <w:r>
              <w:rPr>
                <w:rStyle w:val="IndexLink"/>
                <w:rtl w:val="true"/>
              </w:rPr>
              <w:tab/>
            </w:r>
            <w:r>
              <w:rPr>
                <w:rStyle w:val="IndexLink"/>
              </w:rPr>
              <w:t>512</w:t>
            </w:r>
          </w:hyperlink>
        </w:p>
        <w:p>
          <w:pPr>
            <w:pStyle w:val="Contents4"/>
            <w:tabs>
              <w:tab w:val="clear" w:pos="8176"/>
              <w:tab w:val="right" w:pos="9026" w:leader="dot"/>
            </w:tabs>
            <w:rPr/>
          </w:pPr>
          <w:hyperlink w:anchor="__RefHeading___Toc3057044_2870459653">
            <w:r>
              <w:rPr>
                <w:webHidden/>
                <w:rStyle w:val="IndexLink"/>
                <w:rtl w:val="true"/>
              </w:rPr>
              <w:t>إمكان القول بالامتناع مع جهل الزوجة بإعسار الزوج</w:t>
            </w:r>
            <w:r>
              <w:rPr>
                <w:rStyle w:val="IndexLink"/>
                <w:rtl w:val="true"/>
              </w:rPr>
              <w:tab/>
            </w:r>
            <w:r>
              <w:rPr>
                <w:rStyle w:val="IndexLink"/>
              </w:rPr>
              <w:t>515</w:t>
            </w:r>
          </w:hyperlink>
        </w:p>
        <w:p>
          <w:pPr>
            <w:pStyle w:val="Contents4"/>
            <w:tabs>
              <w:tab w:val="clear" w:pos="8176"/>
              <w:tab w:val="right" w:pos="9026" w:leader="dot"/>
            </w:tabs>
            <w:rPr/>
          </w:pPr>
          <w:hyperlink w:anchor="__RefHeading___Toc3057046_2870459653">
            <w:r>
              <w:rPr>
                <w:webHidden/>
                <w:rStyle w:val="IndexLink"/>
                <w:rtl w:val="true"/>
              </w:rPr>
              <w:t>جواز الامتناع وعدمه عند قبض بعض المهر</w:t>
            </w:r>
            <w:r>
              <w:rPr>
                <w:rStyle w:val="IndexLink"/>
                <w:rtl w:val="true"/>
              </w:rPr>
              <w:tab/>
            </w:r>
            <w:r>
              <w:rPr>
                <w:rStyle w:val="IndexLink"/>
              </w:rPr>
              <w:t>515</w:t>
            </w:r>
          </w:hyperlink>
        </w:p>
        <w:p>
          <w:pPr>
            <w:pStyle w:val="Contents4"/>
            <w:tabs>
              <w:tab w:val="clear" w:pos="8176"/>
              <w:tab w:val="right" w:pos="9026" w:leader="dot"/>
            </w:tabs>
            <w:rPr/>
          </w:pPr>
          <w:hyperlink w:anchor="__RefHeading___Toc3057048_2870459653">
            <w:r>
              <w:rPr>
                <w:webHidden/>
                <w:rStyle w:val="IndexLink"/>
                <w:rtl w:val="true"/>
              </w:rPr>
              <w:t>جواز الامتناع وعدمه لو كان المهر مؤجَّلاً</w:t>
            </w:r>
            <w:r>
              <w:rPr>
                <w:rStyle w:val="IndexLink"/>
                <w:rtl w:val="true"/>
              </w:rPr>
              <w:tab/>
            </w:r>
            <w:r>
              <w:rPr>
                <w:rStyle w:val="IndexLink"/>
              </w:rPr>
              <w:t>516</w:t>
            </w:r>
          </w:hyperlink>
        </w:p>
        <w:p>
          <w:pPr>
            <w:pStyle w:val="Contents4"/>
            <w:tabs>
              <w:tab w:val="clear" w:pos="8176"/>
              <w:tab w:val="right" w:pos="9026" w:leader="dot"/>
            </w:tabs>
            <w:rPr/>
          </w:pPr>
          <w:hyperlink w:anchor="__RefHeading___Toc3057050_2870459653">
            <w:r>
              <w:rPr>
                <w:webHidden/>
                <w:rStyle w:val="IndexLink"/>
                <w:rtl w:val="true"/>
              </w:rPr>
              <w:t>جواز الامتناع وعدمه لو كانت مفوّضة البضع</w:t>
            </w:r>
            <w:r>
              <w:rPr>
                <w:rStyle w:val="IndexLink"/>
                <w:rtl w:val="true"/>
              </w:rPr>
              <w:tab/>
            </w:r>
            <w:r>
              <w:rPr>
                <w:rStyle w:val="IndexLink"/>
              </w:rPr>
              <w:t>516</w:t>
            </w:r>
          </w:hyperlink>
        </w:p>
        <w:p>
          <w:pPr>
            <w:pStyle w:val="Contents4"/>
            <w:tabs>
              <w:tab w:val="clear" w:pos="8176"/>
              <w:tab w:val="right" w:pos="9026" w:leader="dot"/>
            </w:tabs>
            <w:rPr/>
          </w:pPr>
          <w:hyperlink w:anchor="__RefHeading___Toc3057052_2870459653">
            <w:r>
              <w:rPr>
                <w:webHidden/>
                <w:rStyle w:val="IndexLink"/>
                <w:rtl w:val="true"/>
              </w:rPr>
              <w:t>جواز الامتناع وعدمه بين العقد الدائم والمنقطع</w:t>
            </w:r>
            <w:r>
              <w:rPr>
                <w:rStyle w:val="IndexLink"/>
                <w:rtl w:val="true"/>
              </w:rPr>
              <w:tab/>
            </w:r>
            <w:r>
              <w:rPr>
                <w:rStyle w:val="IndexLink"/>
              </w:rPr>
              <w:t>517</w:t>
            </w:r>
          </w:hyperlink>
        </w:p>
        <w:p>
          <w:pPr>
            <w:pStyle w:val="Contents4"/>
            <w:tabs>
              <w:tab w:val="clear" w:pos="8176"/>
              <w:tab w:val="right" w:pos="9026" w:leader="dot"/>
            </w:tabs>
            <w:rPr/>
          </w:pPr>
          <w:hyperlink w:anchor="__RefHeading___Toc3057054_2870459653">
            <w:r>
              <w:rPr>
                <w:webHidden/>
                <w:rStyle w:val="IndexLink"/>
                <w:rtl w:val="true"/>
              </w:rPr>
              <w:t>جواز الامتناع لا لأجل قبض المهر</w:t>
            </w:r>
            <w:r>
              <w:rPr>
                <w:rStyle w:val="IndexLink"/>
                <w:rtl w:val="true"/>
              </w:rPr>
              <w:tab/>
            </w:r>
            <w:r>
              <w:rPr>
                <w:rStyle w:val="IndexLink"/>
              </w:rPr>
              <w:t>518</w:t>
            </w:r>
          </w:hyperlink>
        </w:p>
        <w:p>
          <w:pPr>
            <w:pStyle w:val="Contents4"/>
            <w:tabs>
              <w:tab w:val="clear" w:pos="8176"/>
              <w:tab w:val="right" w:pos="9026" w:leader="dot"/>
            </w:tabs>
            <w:rPr/>
          </w:pPr>
          <w:hyperlink w:anchor="__RefHeading___Toc3057056_2870459653">
            <w:r>
              <w:rPr>
                <w:webHidden/>
                <w:rStyle w:val="IndexLink"/>
                <w:rtl w:val="true"/>
              </w:rPr>
              <w:t>المناط في وجوب النفقة للزوجة</w:t>
            </w:r>
            <w:r>
              <w:rPr>
                <w:rStyle w:val="IndexLink"/>
                <w:rtl w:val="true"/>
              </w:rPr>
              <w:tab/>
            </w:r>
            <w:r>
              <w:rPr>
                <w:rStyle w:val="IndexLink"/>
              </w:rPr>
              <w:t>518</w:t>
            </w:r>
          </w:hyperlink>
        </w:p>
        <w:p>
          <w:pPr>
            <w:pStyle w:val="Contents4"/>
            <w:tabs>
              <w:tab w:val="clear" w:pos="8176"/>
              <w:tab w:val="right" w:pos="9026" w:leader="dot"/>
            </w:tabs>
            <w:rPr/>
          </w:pPr>
          <w:hyperlink w:anchor="__RefHeading___Toc3057058_2870459653">
            <w:r>
              <w:rPr>
                <w:webHidden/>
                <w:rStyle w:val="IndexLink"/>
                <w:rtl w:val="true"/>
              </w:rPr>
              <w:t>الامتناع هو الامتناع من سائر الحقوق أو خصوص الوطء</w:t>
            </w:r>
            <w:r>
              <w:rPr>
                <w:rStyle w:val="IndexLink"/>
                <w:rtl w:val="true"/>
              </w:rPr>
              <w:tab/>
            </w:r>
            <w:r>
              <w:rPr>
                <w:rStyle w:val="IndexLink"/>
              </w:rPr>
              <w:t>519</w:t>
            </w:r>
          </w:hyperlink>
        </w:p>
        <w:p>
          <w:pPr>
            <w:pStyle w:val="Contents4"/>
            <w:tabs>
              <w:tab w:val="clear" w:pos="8176"/>
              <w:tab w:val="right" w:pos="9026" w:leader="dot"/>
            </w:tabs>
            <w:rPr/>
          </w:pPr>
          <w:hyperlink w:anchor="__RefHeading___Toc3057060_2870459653">
            <w:r>
              <w:rPr>
                <w:webHidden/>
                <w:rStyle w:val="IndexLink"/>
                <w:rtl w:val="true"/>
              </w:rPr>
              <w:t>التنازع في الدخول وعدمه</w:t>
            </w:r>
            <w:r>
              <w:rPr>
                <w:rStyle w:val="IndexLink"/>
                <w:rtl w:val="true"/>
              </w:rPr>
              <w:tab/>
            </w:r>
            <w:r>
              <w:rPr>
                <w:rStyle w:val="IndexLink"/>
              </w:rPr>
              <w:t>519</w:t>
            </w:r>
          </w:hyperlink>
        </w:p>
        <w:p>
          <w:pPr>
            <w:pStyle w:val="Contents4"/>
            <w:tabs>
              <w:tab w:val="clear" w:pos="8176"/>
              <w:tab w:val="right" w:pos="9026" w:leader="dot"/>
            </w:tabs>
            <w:rPr/>
          </w:pPr>
          <w:hyperlink w:anchor="__RefHeading___Toc3057062_2870459653">
            <w:r>
              <w:rPr>
                <w:webHidden/>
                <w:rStyle w:val="IndexLink"/>
                <w:rtl w:val="true"/>
              </w:rPr>
              <w:t>حرمة مكابرة الزوج لها على نفسها قبل تسليم المهر</w:t>
            </w:r>
            <w:r>
              <w:rPr>
                <w:rStyle w:val="IndexLink"/>
                <w:rtl w:val="true"/>
              </w:rPr>
              <w:tab/>
            </w:r>
            <w:r>
              <w:rPr>
                <w:rStyle w:val="IndexLink"/>
              </w:rPr>
              <w:t>520</w:t>
            </w:r>
          </w:hyperlink>
        </w:p>
        <w:p>
          <w:pPr>
            <w:pStyle w:val="Contents4"/>
            <w:tabs>
              <w:tab w:val="clear" w:pos="8176"/>
              <w:tab w:val="right" w:pos="9026" w:leader="dot"/>
            </w:tabs>
            <w:rPr/>
          </w:pPr>
          <w:hyperlink w:anchor="__RefHeading___Toc3057064_2870459653">
            <w:r>
              <w:rPr>
                <w:webHidden/>
                <w:rStyle w:val="IndexLink"/>
                <w:rtl w:val="true"/>
              </w:rPr>
              <w:t>انحصار دفعه لو كابرها بقتله أو جرحه</w:t>
            </w:r>
            <w:r>
              <w:rPr>
                <w:rStyle w:val="IndexLink"/>
                <w:rtl w:val="true"/>
              </w:rPr>
              <w:tab/>
            </w:r>
            <w:r>
              <w:rPr>
                <w:rStyle w:val="IndexLink"/>
              </w:rPr>
              <w:t>521</w:t>
            </w:r>
          </w:hyperlink>
        </w:p>
        <w:p>
          <w:pPr>
            <w:pStyle w:val="Contents4"/>
            <w:tabs>
              <w:tab w:val="clear" w:pos="8176"/>
              <w:tab w:val="right" w:pos="9026" w:leader="dot"/>
            </w:tabs>
            <w:rPr/>
          </w:pPr>
          <w:hyperlink w:anchor="__RefHeading___Toc3057066_2870459653">
            <w:r>
              <w:rPr>
                <w:webHidden/>
                <w:rStyle w:val="IndexLink"/>
                <w:rtl w:val="true"/>
              </w:rPr>
              <w:t>لا ثمرة في الامتناع لو كان أحد الزوجين أو كلاهما صغيراً</w:t>
            </w:r>
            <w:r>
              <w:rPr>
                <w:rStyle w:val="IndexLink"/>
                <w:rtl w:val="true"/>
              </w:rPr>
              <w:tab/>
            </w:r>
            <w:r>
              <w:rPr>
                <w:rStyle w:val="IndexLink"/>
              </w:rPr>
              <w:t>521</w:t>
            </w:r>
          </w:hyperlink>
        </w:p>
        <w:p>
          <w:pPr>
            <w:pStyle w:val="Contents4"/>
            <w:tabs>
              <w:tab w:val="clear" w:pos="8176"/>
              <w:tab w:val="right" w:pos="9026" w:leader="dot"/>
            </w:tabs>
            <w:rPr/>
          </w:pPr>
          <w:hyperlink w:anchor="__RefHeading___Toc3057068_2870459653">
            <w:r>
              <w:rPr>
                <w:webHidden/>
                <w:rStyle w:val="IndexLink"/>
                <w:rtl w:val="true"/>
              </w:rPr>
              <w:t>تمانع كلّ من الزوجين في التسليم</w:t>
            </w:r>
            <w:r>
              <w:rPr>
                <w:rStyle w:val="IndexLink"/>
                <w:rtl w:val="true"/>
              </w:rPr>
              <w:tab/>
            </w:r>
            <w:r>
              <w:rPr>
                <w:rStyle w:val="IndexLink"/>
              </w:rPr>
              <w:t>522</w:t>
            </w:r>
          </w:hyperlink>
        </w:p>
        <w:p>
          <w:pPr>
            <w:pStyle w:val="Contents4"/>
            <w:tabs>
              <w:tab w:val="clear" w:pos="8176"/>
              <w:tab w:val="right" w:pos="9026" w:leader="dot"/>
            </w:tabs>
            <w:rPr/>
          </w:pPr>
          <w:hyperlink w:anchor="__RefHeading___Toc3057070_2870459653">
            <w:r>
              <w:rPr>
                <w:webHidden/>
                <w:rStyle w:val="IndexLink"/>
                <w:rtl w:val="true"/>
              </w:rPr>
              <w:t>موارد سقوط امتناع الزوجة</w:t>
            </w:r>
            <w:r>
              <w:rPr>
                <w:rStyle w:val="IndexLink"/>
                <w:rtl w:val="true"/>
              </w:rPr>
              <w:tab/>
            </w:r>
            <w:r>
              <w:rPr>
                <w:rStyle w:val="IndexLink"/>
              </w:rPr>
              <w:t>522</w:t>
            </w:r>
          </w:hyperlink>
        </w:p>
        <w:p>
          <w:pPr>
            <w:pStyle w:val="Contents3"/>
            <w:tabs>
              <w:tab w:val="clear" w:pos="8459"/>
              <w:tab w:val="right" w:pos="9026" w:leader="dot"/>
            </w:tabs>
            <w:rPr/>
          </w:pPr>
          <w:hyperlink w:anchor="__RefHeading___Toc3057072_2870459653">
            <w:r>
              <w:rPr>
                <w:webHidden/>
                <w:rStyle w:val="IndexLink"/>
                <w:rtl w:val="true"/>
              </w:rPr>
              <w:t>مصادر مقدّمة التحقيق</w:t>
            </w:r>
            <w:r>
              <w:rPr>
                <w:rStyle w:val="IndexLink"/>
                <w:rtl w:val="true"/>
              </w:rPr>
              <w:tab/>
            </w:r>
            <w:r>
              <w:rPr>
                <w:rStyle w:val="IndexLink"/>
              </w:rPr>
              <w:t>525</w:t>
            </w:r>
          </w:hyperlink>
        </w:p>
        <w:p>
          <w:pPr>
            <w:pStyle w:val="Contents3"/>
            <w:tabs>
              <w:tab w:val="clear" w:pos="8459"/>
              <w:tab w:val="right" w:pos="9026" w:leader="dot"/>
            </w:tabs>
            <w:rPr/>
          </w:pPr>
          <w:hyperlink w:anchor="__RefHeading___Toc3057074_2870459653">
            <w:r>
              <w:rPr>
                <w:webHidden/>
                <w:rStyle w:val="IndexLink"/>
                <w:rtl w:val="true"/>
              </w:rPr>
              <w:t>مصادر تحقيق الرسائل</w:t>
            </w:r>
            <w:r>
              <w:rPr>
                <w:rStyle w:val="IndexLink"/>
                <w:rtl w:val="true"/>
              </w:rPr>
              <w:tab/>
            </w:r>
            <w:r>
              <w:rPr>
                <w:rStyle w:val="IndexLink"/>
              </w:rPr>
              <w:t>528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13_110353"/>
      <w:bookmarkStart w:id="1" w:name="pg10913_110353"/>
      <w:bookmarkEnd w:id="1"/>
    </w:p>
    <w:p>
      <w:pPr>
        <w:pStyle w:val="Heading2"/>
        <w:numPr>
          <w:ilvl w:val="1"/>
          <w:numId w:val="1"/>
        </w:numPr>
        <w:rPr/>
      </w:pPr>
      <w:bookmarkStart w:id="2" w:name="pg10913_110353"/>
      <w:bookmarkStart w:id="3" w:name="__RefHeading___Toc3056420_2870459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دراسات علمیة</w:t>
      </w:r>
    </w:p>
    <w:p>
      <w:pPr>
        <w:pStyle w:val="BookText"/>
        <w:rPr/>
      </w:pPr>
      <w:r>
        <w:rPr>
          <w:rFonts w:ascii="Amiri" w:hAnsi="Amiri" w:eastAsia="Amiri" w:cs="Amiri"/>
          <w:color w:val="111111"/>
          <w:sz w:val="28"/>
          <w:sz w:val="28"/>
          <w:szCs w:val="28"/>
          <w:rtl w:val="true"/>
          <w:lang w:bidi="ar-SA"/>
        </w:rPr>
        <w:t>مجلَّة نصف سنويَّة تُعنى بالأبحاث التَّخصّصيَّة في الحوزة العلميَّة</w:t>
      </w:r>
    </w:p>
    <w:p>
      <w:pPr>
        <w:pStyle w:val="BookText"/>
        <w:rPr/>
      </w:pPr>
      <w:r>
        <w:rPr>
          <w:rFonts w:ascii="Amiri" w:hAnsi="Amiri" w:eastAsia="Amiri" w:cs="Amiri"/>
          <w:color w:val="111111"/>
          <w:sz w:val="28"/>
          <w:sz w:val="28"/>
          <w:szCs w:val="28"/>
          <w:rtl w:val="true"/>
          <w:lang w:bidi="ar-SA"/>
        </w:rPr>
        <w:t xml:space="preserve">تصدر عن المدرسة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الآخوند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w:t>
      </w:r>
    </w:p>
    <w:p>
      <w:pPr>
        <w:pStyle w:val="BookText"/>
        <w:rPr/>
      </w:pPr>
      <w:r>
        <w:rPr>
          <w:rFonts w:ascii="Amiri" w:hAnsi="Amiri" w:eastAsia="Amiri" w:cs="Amiri"/>
          <w:color w:val="111111"/>
          <w:sz w:val="28"/>
          <w:sz w:val="28"/>
          <w:szCs w:val="28"/>
          <w:rtl w:val="true"/>
          <w:lang w:bidi="ar-SA"/>
        </w:rPr>
        <w:t>العدد الثّاني عشر</w:t>
      </w:r>
    </w:p>
    <w:p>
      <w:pPr>
        <w:pStyle w:val="BookText"/>
        <w:rPr/>
      </w:pPr>
      <w:r>
        <w:rPr>
          <w:rFonts w:ascii="Amiri" w:hAnsi="Amiri" w:eastAsia="Amiri" w:cs="Amiri"/>
          <w:color w:val="111111"/>
          <w:sz w:val="28"/>
          <w:sz w:val="28"/>
          <w:szCs w:val="28"/>
          <w:rtl w:val="true"/>
          <w:lang w:bidi="ar-SA"/>
        </w:rPr>
        <w:t xml:space="preserve">صفر الخير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56422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الْمُؤْمِنُونَ لِيَنْفِرُوا كَافَّةً فَلَوْلَا نَفَرَ مِنْ كُلِّ فِرْقَةٍ مِنْهُمْ طَائِفَةٌ لِيَتَفَقَّهُوا فِي الدِّينِ وَلِيُنْذِرُوا قَوْمَهُمْ إِذَا رَجَعُوا إِلَيْهِمْ لَعَلَّهُمْ يَحْذَرُونَ التوبة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bookmarkStart w:id="7" w:name="pg10913_110360"/>
    </w:p>
    <w:p>
      <w:pPr>
        <w:pStyle w:val="Heading2"/>
        <w:numPr>
          <w:ilvl w:val="1"/>
          <w:numId w:val="1"/>
        </w:numPr>
        <w:rPr/>
      </w:pPr>
      <w:bookmarkStart w:id="8" w:name="__RefHeading___Toc3056424_2870459653"/>
      <w:bookmarkStart w:id="9" w:name="_Toc3"/>
      <w:bookmarkEnd w:id="7"/>
      <w:bookmarkEnd w:id="8"/>
      <w:r>
        <w:rPr>
          <w:rtl w:val="true"/>
        </w:rPr>
        <w:t>الأسس المعتمدة للنشر</w:t>
      </w:r>
      <w:bookmarkEnd w:id="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ترحّب المجلَّة بإسهامات الباحثين الأفاضل في مختلف المجالات التي تهمّ طالب الأبحاث العليا في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الفقه والأُصول والرجال والحديث ونحوها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يُشترط في المادّة المُراد نشرها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مستوفية لأُصول البحث العلمي على مختلف المستويات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الفنيّة والعلميّة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المنهجيّة والتوثيق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الأبحاث مكتوبة بخطّ واضح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منضَّدة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توضع الهوامش في أسفل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يتراوح حجم البحث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من القطع الوزيري بخطٍّ متوسّط الحجم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يزيد على ذلك يمكن جعله في حلقتين أو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نظر المجلَّة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شريطة استلام البحث كاملاً، ويمكن للمجلّة في ما زاد عن ذلك أن تنشره مستقلّا ً مع نشر قسمٍ منه في بعض أعدادها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البحث قد نُشر أو أُرسل للنشر في مكان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يُذيَّلَ البحث بذكر المصادر التي اعتمدها الباحث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يخضع البحث لمراجعة هيئة استشارية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يُعاد إلى صاحبه سواء أنُشر أم لم يُنشر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للمجلَّة حقّ إعادة نشر البحوث التي نشرتها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يخضع ترتيب البحوث المنشورة في المجلَّة لاعتبارات فنّيّة لا علاقة لها بمكانة الكاتب أو أهميّة 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يُنشر في المجلَّة لا يعدو كونه مطارحات علميّة 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يُعبّر بالضرورة عن رأي المجلَّة</w:t>
      </w:r>
      <w:r>
        <w:rPr>
          <w:rFonts w:eastAsia="Amiri" w:cs="Amiri" w:ascii="Amiri" w:hAnsi="Amiri"/>
          <w:color w:val="111111"/>
          <w:sz w:val="28"/>
          <w:szCs w:val="28"/>
          <w:rtl w:val="true"/>
          <w:lang w:bidi="ar-SA"/>
        </w:rPr>
        <w:t xml:space="preserve">. </w:t>
      </w:r>
      <w:bookmarkStart w:id="10" w:name="pg10913_110362"/>
    </w:p>
    <w:p>
      <w:pPr>
        <w:pStyle w:val="Heading2"/>
        <w:numPr>
          <w:ilvl w:val="1"/>
          <w:numId w:val="1"/>
        </w:numPr>
        <w:rPr/>
      </w:pPr>
      <w:bookmarkStart w:id="11" w:name="__RefHeading___Toc3056426_2870459653"/>
      <w:bookmarkStart w:id="12" w:name="_Toc4"/>
      <w:bookmarkEnd w:id="10"/>
      <w:bookmarkEnd w:id="11"/>
      <w:r>
        <w:rPr>
          <w:rtl w:val="true"/>
        </w:rPr>
        <w:t>محتويات العدد</w:t>
      </w:r>
      <w:bookmarkEnd w:id="12"/>
    </w:p>
    <w:p>
      <w:pPr>
        <w:pStyle w:val="BookText"/>
        <w:rPr/>
      </w:pPr>
      <w:r>
        <w:rPr>
          <w:rFonts w:ascii="Amiri" w:hAnsi="Amiri" w:eastAsia="Amiri" w:cs="Amiri"/>
          <w:color w:val="111111"/>
          <w:sz w:val="28"/>
          <w:sz w:val="28"/>
          <w:szCs w:val="28"/>
          <w:rtl w:val="true"/>
          <w:lang w:bidi="ar-SA"/>
        </w:rPr>
        <w:t>الافتتاحيّة</w:t>
      </w:r>
    </w:p>
    <w:p>
      <w:pPr>
        <w:pStyle w:val="BookText"/>
        <w:rPr/>
      </w:pPr>
      <w:r>
        <w:rPr>
          <w:rFonts w:ascii="Amiri" w:hAnsi="Amiri" w:eastAsia="Amiri" w:cs="Amiri"/>
          <w:color w:val="111111"/>
          <w:sz w:val="28"/>
          <w:sz w:val="28"/>
          <w:szCs w:val="28"/>
          <w:rtl w:val="true"/>
          <w:lang w:bidi="ar-SA"/>
        </w:rPr>
        <w:t>إدارة المجلّة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نكاح ذات البعل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الشيخ علي سالم الناصري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رباعيّة المسافر في المواضع الأربعة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الشيخ جاسم الفهدي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دراسات فقهيّة مقارنة بين قانون الأحوال الشّخصيّة العراقيّ ومشروع قانون الأحوال الشّخصيّة الجعفريّ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الأحكام العامّة والزّواج أنموذجا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الشّيخ يحيى السّعداوي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الشّهرة حجّة ومرجحاً وجابراً</w:t>
      </w:r>
    </w:p>
    <w:p>
      <w:pPr>
        <w:pStyle w:val="BookText"/>
        <w:rPr/>
      </w:pPr>
      <w:r>
        <w:rPr>
          <w:rFonts w:ascii="Amiri" w:hAnsi="Amiri" w:eastAsia="Amiri" w:cs="Amiri"/>
          <w:color w:val="111111"/>
          <w:sz w:val="28"/>
          <w:sz w:val="28"/>
          <w:szCs w:val="28"/>
          <w:rtl w:val="true"/>
          <w:lang w:bidi="ar-SA"/>
        </w:rPr>
        <w:t xml:space="preserve">الشّيخ حميد رمح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تصحيح الأسانيد بنظرية التّعويض</w:t>
      </w:r>
    </w:p>
    <w:p>
      <w:pPr>
        <w:pStyle w:val="BookText"/>
        <w:rPr/>
      </w:pPr>
      <w:r>
        <w:rPr>
          <w:rFonts w:ascii="Amiri" w:hAnsi="Amiri" w:eastAsia="Amiri" w:cs="Amiri"/>
          <w:color w:val="111111"/>
          <w:sz w:val="28"/>
          <w:sz w:val="28"/>
          <w:szCs w:val="28"/>
          <w:rtl w:val="true"/>
          <w:lang w:bidi="ar-SA"/>
        </w:rPr>
        <w:t xml:space="preserve">الشّيخ محمّد راتب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حال جابر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الشّيخ محمّد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أربع رسائل لأوّل مرّة تُنشر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مسائل في حَجّ الوَدعيّ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والثالثة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ضابطة حلّيّة المأخوذ من الأرض المشكوك فتحها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المقدار اللّازم من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أحكام الصداق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محيي الدين الميسيّ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قاسم خضير 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bookmarkStart w:id="13" w:name="pg10913_110365"/>
    </w:p>
    <w:p>
      <w:pPr>
        <w:pStyle w:val="Heading2"/>
        <w:numPr>
          <w:ilvl w:val="1"/>
          <w:numId w:val="1"/>
        </w:numPr>
        <w:rPr/>
      </w:pPr>
      <w:bookmarkStart w:id="14" w:name="__RefHeading___Toc3056428_2870459653"/>
      <w:bookmarkStart w:id="15" w:name="_Toc5"/>
      <w:bookmarkEnd w:id="13"/>
      <w:bookmarkEnd w:id="14"/>
      <w:r>
        <w:rPr>
          <w:rtl w:val="true"/>
        </w:rPr>
        <w:t>الافتتاحيّة</w:t>
      </w:r>
      <w:bookmarkEnd w:id="1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وَقُلِ اعْمَلُوا فَسَيَرَى اللَّهُ عَمَلَكُمْ وَرَسُولُهُ وَالْمُؤْمِنُونَ صدق 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تتوالى إصدارات المجلّة، وتتنوّع أفكار الباحثين واهتماماتهم، منطلقين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فلك الموضوعات المشهورة في البحوث العالية الدائرة في المراكز العلميّة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البحوث وإنْ اصطبغت بالأسلوب والطرح الجديدين المبنيّين على طريقة تفاعل الباحث مع الموضوع ورؤيته في معالجته، وتنجح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فتح الباب أمام حلول معيّنة للمسألة المبحوثة، أو تقديم صورة أوضح من زاوية كانت بعيدة قبلها، إلّا أنّا لا زلنا نقتنص كلّ فرصة لبث الدعوة إلى تحريك الكتابة نحو تناول أوسع في طيف الموضوعات، والإقدام نحو طرح المسائل الأقرب لاهتمامات الإنسان المعاصر</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في أنّ وجود أبحاث تعالج أزمة قانونيّة أو مشكلة اجتماعيّة في ضمن نطاق وعي الإنسان المعاصر بثقافته وارتكازاته العقلائيّة المثاليّة بصورة محترفة مستندة لأمّهات الأفكار الدّينيّة والقواعد التّشريعيّة، وعلى مستوى واعٍ من المسؤوليّة والصناعة الفقهيّة، يرفع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وثوق المختصّ بآليّاته التّشريعيّة، ويشدّ المثقّف المتابع والمتديّن الواعي إلى ثراء النهج التّشريعيّ في حلّ الأزمات وإيجاد الحلول المناسبة، من دون الخروج عن جوّ النّصوص وأهدافها البنائيّة، ومحكماتها المثاليّة، خصوصاً إذا وضع الباحثُ يدنا على فوائد ملموسة في المصالح الواقعيّة سعة ومضموناً تعجز عن رعايتها </w:t>
      </w:r>
    </w:p>
    <w:p>
      <w:pPr>
        <w:pStyle w:val="BookText"/>
        <w:rPr/>
      </w:pPr>
      <w:r>
        <w:rPr>
          <w:rFonts w:ascii="Amiri" w:hAnsi="Amiri" w:eastAsia="Amiri" w:cs="Amiri"/>
          <w:color w:val="111111"/>
          <w:sz w:val="28"/>
          <w:sz w:val="28"/>
          <w:szCs w:val="28"/>
          <w:rtl w:val="true"/>
          <w:lang w:bidi="ar-SA"/>
        </w:rPr>
        <w:t>القوانين والأحكام والرؤى الوضعيّة، أو تقصر عن مجاراة سعة ريعها إذا قورنت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وبذلك يكون في الولوج بمسائل قد تبدو بعيدة الاتّصال بالمنهج التّشريعيّ في نتيجتها المتأمَّلة، انبلاجٌ لصبح جديد آخر بعد سُرى في التّنقيب والسّبر في مصادر التّشريع، وقدح زناد الفهم الأفضل لمفادات الشّارع الأقدس، خصوصاً مع تجدّد الزّمان، وتغيّر قوالب الأفهام، فإنّ جري الفقه وآلاته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الزّمان لا يتخلّف عن جري القرآن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وصفه به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الحديث المعروف الّذي أشار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حقيقة أنّه لا ينبغي قصر تأويل آية ما من آياته على معنى خاصّ وموضوع وقتي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الكل يجري مع الزمان، وللزمان نصيب في التّصوّر والتّصديق لمفادات الأدلّة، سعة وضيقاً وعمقاً، لا يبطل ما مضى منه، ويستجدّ في حاضره ما غاب عن سابقه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أجل بلورة الهدف المنشود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الارتقاء بمستوى الكتابة موضوعاً وأسلوباً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رعت المجلّة برنامجاً تطويريّاً في جانب كتابة البحوث وإنضاجها وإخراجها مؤهّلة للنشر، وأثمرت دورات ذلك البرنامج تنامي رغبة الرّوّاد في تبنّي طريق الكتابة، فكشفت لبعضهم عن قدرات فيهم لم تكن تبلورت بعد، وكانت تنتظر التحفيز والصقل، وانفرجت من حلقات البرنامج أُولى الثمرات من أكمامها، فطالعتنا ببحث في هذا العدد، وننتظر تفتّح المزيد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القارئ اللّبيب يجد في هذا العدد دراسات متعدّدة في بعض الموضوعات المشهورة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المسألة الّتي تُسبب للبعض الحرج الشّديد في حياته الاجتماعية بسبب الجهل بالأسباب الموضوعيّة المؤدّية لطروّ حرمة ما كان محلّلاً بأصله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تبيّن أنّها على ذمّة رجل آخر فيؤدّي ذلك للحرمة الأبديّة للعلقة الثّانية، فإذا أضيف إليها </w:t>
      </w:r>
    </w:p>
    <w:p>
      <w:pPr>
        <w:pStyle w:val="BookText"/>
        <w:rPr/>
      </w:pPr>
      <w:r>
        <w:rPr>
          <w:rFonts w:ascii="Amiri" w:hAnsi="Amiri" w:eastAsia="Amiri" w:cs="Amiri"/>
          <w:color w:val="111111"/>
          <w:sz w:val="28"/>
          <w:sz w:val="28"/>
          <w:szCs w:val="28"/>
          <w:rtl w:val="true"/>
          <w:lang w:bidi="ar-SA"/>
        </w:rPr>
        <w:t>اكتشاف ذلك في وقت متأخّر بعد تكوين الأسرة فلك أن تتخيّل المأساة الّتي وصفها الباحث في ديباجة بحثه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نجد الحلقة الأُخرى من دراسات فقهيّة تحليليّة مقارنة بين بعض شؤون قانون الأحوال الشّخصيّة العراقي ومشروع قانون الأحوال الشّخصيّة الجعفريّ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ونمرُّ أيضاً ببحث فقهي آخر هو تتمّة لما كان قد صدر في العدد السابق من مسألة التخيير بين الإتمام والقصر في مواطن خاصّة وردت في بعض الروايات لشرافة تلك الأمكنة المعروفة، وفي هذه الحلقة يطالعنا الباحث ببيان حدود هذه الأماكن الأربعة، وهل يمكن إلحاق سائر مشاهد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أم لا؟</w:t>
      </w:r>
    </w:p>
    <w:p>
      <w:pPr>
        <w:pStyle w:val="BookText"/>
        <w:rPr/>
      </w:pPr>
      <w:r>
        <w:rPr>
          <w:rFonts w:ascii="Amiri" w:hAnsi="Amiri" w:eastAsia="Amiri" w:cs="Amiri"/>
          <w:color w:val="111111"/>
          <w:sz w:val="28"/>
          <w:sz w:val="28"/>
          <w:szCs w:val="28"/>
          <w:rtl w:val="true"/>
          <w:lang w:bidi="ar-SA"/>
        </w:rPr>
        <w:t xml:space="preserve">ثمّ إنّ لأصول الفقه ركناً مهمّاً في المجلّة تمثّل في مسألة أصوليّة مهمّة، يضعف الاعتماد على حجّيتها بمرور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طبقة معيّنة من الفقهاء والباحثين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مسألة صلاحيّة الشهرة الفتوائيّة أو الروائيّة في كونها حجّة ومرجّحاً وجابراً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يخلُ هذا العدد أيضاً من الأبحاث الرّجاليّة الّتي تعتبر منقّحاً مهمّاً للتراث الروائي،ومبضعاً يزداد دقّة في الفصل بين ما لا يصحّ الاعتماد عليه، وما يمكن دعمه فنّيّاً وعلميّاً ليكون حجّة للفقيه ومعذّراً له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والمطروح في هذا المجال بحثان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نظرية التعويض وجدواها في تصحيح الأسانيد المجهولة والضعيفة، حيث سعى الباحث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متابعة بداياتها وإرهاصاتها في كلمات 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تبلورت بهذا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لجمع شتات ما ذكره الأعلام وتبويبها وعرضها ومحاولة تقعيدها بشكل ينتفع به مريدو العلم وبغاته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الحلقة الأخيرة من تحقيق حال التابعي المعروف جابر بن يزيد الجعفي، وتناول البحث مشايخه وتلامذته في المدرستين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في كلّ 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نختتمه بما يتيسّر من المخطوطات بعد تحليتها وإبرازها بحُلّة التّحقيق وإخراجها لنور النشر والقراءة، وهذه المرّة توفّرنا على أربع مخطوطات مختصرة نفيسة، الأولى في حجّ الودعي للشهيد الأوّل الشّيخ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في حكم قرية من استراباد والأرض المفتوحة، والثالثة في المقدار اللازم من المعرفة، وكلاهما للشيخ علي ابن عبد العالي الكركي المعروف بالمحقّق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والأخيرة في أحكام الصداق للشيخ محيي الدين بن أحمد بن تاج الدين الميسي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هذه الرسائل لم ترَ النور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نتقدّم بالشكر الجزيل إلى كلّ من يمدّ هذا الكيان بالعون والمشورة، ونخصّ بالذكر اللّجنة العلميّة المشرفة على البحوث، التي بفضلها أمكن لهذه المجلّة أن تُعَدّ في عداد المجلات المُحَكّمة في اختصاصها حوزيّاً، ونشكر أيضاً الباحثين الكرام الّذين رفدوا المجلّة بأبحاثهم، ونرغب إليهم في المزيد خدمة للعلم وسابقة لهم أيضاً، ونهيب بمن يصله صوتنا ولوج هذا المضمار، فالمجال مفتوح للجميع مادام مراعياً للضوابط العامّة والخاصّة في هذا 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نشكر كلّ الواقفين خلف استمرار المجلّة في الظهور والصدور الّذين يحرصون على أن تكون أقرب إلى درجات الإتقان، ويعملون جاهدين على سلامتها من العيوب، غير أنّ القارئ والمتابع إذا وجد نقصاً أو عيباً فظنّنا به التماس العُذر لنا، فإنّ العصمة لأهلها، وما توفيقنا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إدارة المجلّة</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الخير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bookmarkStart w:id="16" w:name="pg10913_110373"/>
    </w:p>
    <w:p>
      <w:pPr>
        <w:pStyle w:val="Heading2"/>
        <w:numPr>
          <w:ilvl w:val="1"/>
          <w:numId w:val="1"/>
        </w:numPr>
        <w:rPr/>
      </w:pPr>
      <w:bookmarkStart w:id="17" w:name="__RefHeading___Toc3056430_2870459653"/>
      <w:bookmarkStart w:id="18" w:name="_Toc6"/>
      <w:bookmarkEnd w:id="16"/>
      <w:bookmarkEnd w:id="17"/>
      <w:r>
        <w:rPr>
          <w:rtl w:val="true"/>
        </w:rPr>
        <w:t xml:space="preserve">نکاح ذات البعل </w:t>
      </w:r>
      <w:r>
        <w:rPr>
          <w:rtl w:val="true"/>
        </w:rPr>
        <w:t>(</w:t>
      </w:r>
      <w:r>
        <w:rPr>
          <w:rtl w:val="true"/>
        </w:rPr>
        <w:t>الحلقة الأولى</w:t>
      </w:r>
      <w:r>
        <w:rPr>
          <w:rtl w:val="true"/>
        </w:rPr>
        <w:t xml:space="preserve">) - </w:t>
      </w:r>
      <w:r>
        <w:rPr>
          <w:rtl w:val="true"/>
        </w:rPr>
        <w:t xml:space="preserve">الشيخ علي سالم الناصري </w:t>
      </w:r>
      <w:r>
        <w:rPr>
          <w:rtl w:val="true"/>
        </w:rPr>
        <w:t>(</w:t>
      </w:r>
      <w:r>
        <w:rPr>
          <w:rtl w:val="true"/>
        </w:rPr>
        <w:t>دام عزه</w:t>
      </w:r>
      <w:r>
        <w:rPr>
          <w:rtl w:val="true"/>
        </w:rPr>
        <w:t>)</w:t>
      </w:r>
      <w:bookmarkEnd w:id="18"/>
    </w:p>
    <w:p>
      <w:pPr>
        <w:pStyle w:val="Heading3"/>
        <w:numPr>
          <w:ilvl w:val="2"/>
          <w:numId w:val="1"/>
        </w:numPr>
        <w:rPr/>
      </w:pPr>
      <w:bookmarkStart w:id="19" w:name="__RefHeading___Toc3056432_2870459653"/>
      <w:bookmarkStart w:id="20" w:name="_Toc7"/>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ربَّما غمرت السعادة امرأة تعيش في كنف زوجٍ يرعاها وهي قريرة العين بذرّية تحنو عليهم، وتجد في غدوّهم ورواحهم عليها ما ينسيها تبعات ماضٍ طوت صفحاته، لكنّه لم يتركها ليطلّ عليها بشبحه، فالعلاقة بالزوج السابق التي ظنّت أنَّ عراها تقصَّمت وأنَّ أسبابها قد تقطَّعت لم يكن الأمر فيها كما حسبته، وعادت عليها بما لا يرجى، وتسبّبت بحرمتها على الرجل الثاني وإلى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الوصف أثر لمسألة فقهيّة مشهورة، وهي الحرمة المؤبَّدة بين الرجل والمرأة إذا كان زواجهما قد تمّ في حال بقاء زوجية المرأة لرجل سابق</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البحث أُعد لتلمّس مفاتيح للحلّ من خلال إعادة النظر في أدلّة المسألة</w:t>
      </w:r>
      <w:r>
        <w:rPr>
          <w:rFonts w:eastAsia="Amiri" w:cs="Amiri" w:ascii="Amiri" w:hAnsi="Amiri"/>
          <w:color w:val="111111"/>
          <w:sz w:val="28"/>
          <w:szCs w:val="28"/>
          <w:rtl w:val="true"/>
          <w:lang w:bidi="ar-SA"/>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0913_110377"/>
      <w:bookmarkStart w:id="22" w:name="pg10913_110377"/>
      <w:bookmarkEnd w:id="22"/>
    </w:p>
    <w:p>
      <w:pPr>
        <w:pStyle w:val="Heading3"/>
        <w:numPr>
          <w:ilvl w:val="2"/>
          <w:numId w:val="1"/>
        </w:numPr>
        <w:rPr/>
      </w:pPr>
      <w:bookmarkStart w:id="23" w:name="pg10913_110377"/>
      <w:bookmarkStart w:id="24" w:name="__RefHeading___Toc3056434_2870459653"/>
      <w:bookmarkStart w:id="25" w:name="_Toc8"/>
      <w:bookmarkEnd w:id="23"/>
      <w:bookmarkEnd w:id="24"/>
      <w:r>
        <w:rPr>
          <w:rtl w:val="true"/>
        </w:rPr>
        <w:t>المقدّمة</w:t>
      </w:r>
      <w:bookmarkEnd w:id="2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الأنبياء والمرسلين أبي القاسم محمّد وعلى آل بيته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من المسائل الابتلائيّة أن تتزوّج المرأة من رجل مع جهلهما بأنّها لا تزال في ذمّة زوجٍ سابق واقعاً، إمّا لعدم صحّة طلاقها منه، أو لمراجعته لها في العدّة مع عدم علمها بذلك، أو لغيابه وقيام الدليل على موته، أو طلاقه لها ثمّ يتبيّن خطأ الدليل، ونحوها من الأسباب، وقد أفتى مشهور مَنْ تعرّض صريحاً لهذه المسألة بحرمة الارتباط بالرجل الثاني مؤبّداً حتى بعد تصحيح انفصالها من الأوّل شرعاً، وهو ما قد لا يسهل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الجلي أنّه إذا ثبت الحكم فليس للعبد إلّا الطاعة، ولكن هل يمكن إيجاد مخرج فقهي لنفي تلك الحرمة الأبديّة على الرجل الثاني بمراجعة وتحليل ومناقشة أدلّة من قالوا بتلك الحرمة؟ هذه محاولة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المسألة صورة من مجموعة صور تشترك معها في الأدلّة والتبويب في كلمات الفقهاء، لذا ناسب التعرّض لجميع تلك الصور، ووسم البحث بعنوان جامع</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الهدف الإثارة العلميّة وليس لمن يطّلع على الكتابة أيّ منفعة ترجى في جزم الكاتب تركتُ بعض المطالب للتأمّل</w:t>
      </w:r>
      <w:r>
        <w:rPr>
          <w:rFonts w:eastAsia="Amiri" w:cs="Amiri" w:ascii="Amiri" w:hAnsi="Amiri"/>
          <w:color w:val="111111"/>
          <w:sz w:val="28"/>
          <w:szCs w:val="28"/>
          <w:rtl w:val="true"/>
          <w:lang w:bidi="ar-SA"/>
        </w:rPr>
        <w:t xml:space="preserve">. </w:t>
      </w:r>
      <w:bookmarkStart w:id="26" w:name="pg10913_110379"/>
    </w:p>
    <w:p>
      <w:pPr>
        <w:pStyle w:val="Heading3"/>
        <w:numPr>
          <w:ilvl w:val="2"/>
          <w:numId w:val="1"/>
        </w:numPr>
        <w:rPr/>
      </w:pPr>
      <w:bookmarkStart w:id="27" w:name="__RefHeading___Toc3056436_2870459653"/>
      <w:bookmarkStart w:id="28" w:name="_Toc9"/>
      <w:bookmarkEnd w:id="26"/>
      <w:bookmarkEnd w:id="27"/>
      <w:r>
        <w:rPr>
          <w:rtl w:val="true"/>
        </w:rPr>
        <w:t>تمهيد</w:t>
      </w:r>
      <w:bookmarkEnd w:id="28"/>
    </w:p>
    <w:p>
      <w:pPr>
        <w:pStyle w:val="Heading4"/>
        <w:numPr>
          <w:ilvl w:val="3"/>
          <w:numId w:val="1"/>
        </w:numPr>
        <w:rPr/>
      </w:pPr>
      <w:bookmarkStart w:id="29" w:name="__RefHeading___Toc3056438_2870459653"/>
      <w:bookmarkStart w:id="30" w:name="_Toc10"/>
      <w:bookmarkEnd w:id="29"/>
      <w:r>
        <w:rPr>
          <w:rtl w:val="true"/>
        </w:rPr>
        <w:t>اشارة</w:t>
      </w:r>
      <w:bookmarkEnd w:id="30"/>
    </w:p>
    <w:p>
      <w:pPr>
        <w:pStyle w:val="BookText"/>
        <w:rPr/>
      </w:pPr>
      <w:r>
        <w:rPr>
          <w:rFonts w:ascii="Amiri" w:hAnsi="Amiri" w:eastAsia="Amiri" w:cs="Amiri"/>
          <w:color w:val="111111"/>
          <w:sz w:val="28"/>
          <w:sz w:val="28"/>
          <w:szCs w:val="28"/>
          <w:rtl w:val="true"/>
          <w:lang w:bidi="ar-SA"/>
        </w:rPr>
        <w:t>خلق الله سبحانه وتعالى الإنسان من جنسين جعل بينهما مودَّة ورحمة، وسنَّ في التكاثر ممارسة وفَّر لها من دواعي الغريزة ما يؤمّن حصولها، والإنسان وإنّ سُلِّح بالعقل وفُطِرَ على الاجتماع إلَّا أنّ غريزته قد تذهب به بعيداً عن مصالح نوعه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مسَّت الحاجة إلى تشريعات تنظّم حياته على جميع الأصعدة وفي مختلف ميادين الحياة، ومن أهم تلك التشريعات ما يصاغ به نظام الأسرة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والتشريعات عموماً منها ما يكون جزائيّاً، ومنها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الجزائيّة منها قد تأخذ شكلاً واضحاً في العقوبة، وقد لا تكون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الحجّ من قابل على من قارب أهله قبل الوقوف في مزدلفة، ووجوب إعادة الصلاة على من لم يهتمّ بإزالة النجاسة عن ثوبه حتى صلّى به نسياناً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ينفتح لنا احتمال كون الحرمة المؤبّدة في بعض صور نكاح ذات البعل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علمهما بالحكم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القبيل، وهذا ما يدفع باتّجاه عدم المؤاخذة على تقدير عدم التقصير منهما، ولعلّ فرض عدم التقصير يشكّل طيفاً واسعاً ممّا هو محطّ الاهتمام من صور مسألتنا، وهي صورة جهلهما بالموضوع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نريد بهذا الكلام تشخيص الحكم وإنّما محض توطئة، سائلين المولى أن يوفّقنا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وسنفصّل الكلام في المقصد الأساس بعد الكلام في ثلاث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التعريض بخطبة ذات البعل</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الحرمة التكليفيّة لإجراء العقد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بطلان العقد عليها</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من بعده خاتمة نلخّص فيها النّتائج</w:t>
      </w:r>
      <w:r>
        <w:rPr>
          <w:rFonts w:eastAsia="Amiri" w:cs="Amiri" w:ascii="Amiri" w:hAnsi="Amiri"/>
          <w:color w:val="111111"/>
          <w:sz w:val="28"/>
          <w:szCs w:val="28"/>
          <w:rtl w:val="true"/>
          <w:lang w:bidi="ar-SA"/>
        </w:rPr>
        <w:t xml:space="preserve">. </w:t>
      </w:r>
      <w:bookmarkStart w:id="31" w:name="pg10913_110383"/>
    </w:p>
    <w:p>
      <w:pPr>
        <w:pStyle w:val="Heading4"/>
        <w:numPr>
          <w:ilvl w:val="3"/>
          <w:numId w:val="1"/>
        </w:numPr>
        <w:rPr/>
      </w:pPr>
      <w:bookmarkStart w:id="32" w:name="__RefHeading___Toc3056440_2870459653"/>
      <w:bookmarkStart w:id="33" w:name="_Toc11"/>
      <w:bookmarkEnd w:id="31"/>
      <w:bookmarkEnd w:id="32"/>
      <w:r>
        <w:rPr>
          <w:rtl w:val="true"/>
        </w:rPr>
        <w:t>النّقطة الأولى</w:t>
      </w:r>
      <w:r>
        <w:rPr>
          <w:rtl w:val="true"/>
        </w:rPr>
        <w:t xml:space="preserve">: </w:t>
      </w:r>
      <w:r>
        <w:rPr>
          <w:rtl w:val="true"/>
        </w:rPr>
        <w:t>حرمة التّعريض بخطبة ذات البعل</w:t>
      </w:r>
      <w:bookmarkEnd w:id="33"/>
    </w:p>
    <w:p>
      <w:pPr>
        <w:pStyle w:val="BookText"/>
        <w:rPr/>
      </w:pPr>
      <w:r>
        <w:rPr>
          <w:rFonts w:ascii="Amiri" w:hAnsi="Amiri" w:eastAsia="Amiri" w:cs="Amiri"/>
          <w:color w:val="111111"/>
          <w:sz w:val="28"/>
          <w:sz w:val="28"/>
          <w:szCs w:val="28"/>
          <w:rtl w:val="true"/>
          <w:lang w:bidi="ar-SA"/>
        </w:rPr>
        <w:t>صُرِّح في كلمات جماعة بحرمة التعريض بخطبة ذات البعل كالعلّامة في التحرير</w:t>
      </w:r>
      <w:r>
        <w:rPr>
          <w:rStyle w:val="FootnoteAnchor"/>
          <w:rtl w:val="true"/>
        </w:rPr>
        <w:footnoteReference w:id="2"/>
      </w:r>
      <w:r>
        <w:rPr>
          <w:rFonts w:ascii="Amiri" w:hAnsi="Amiri" w:eastAsia="Amiri" w:cs="Amiri"/>
          <w:color w:val="111111"/>
          <w:sz w:val="28"/>
          <w:sz w:val="28"/>
          <w:szCs w:val="28"/>
          <w:rtl w:val="true"/>
          <w:lang w:bidi="ar-SA"/>
        </w:rPr>
        <w:t>والتذكرة</w:t>
      </w:r>
      <w:r>
        <w:rPr>
          <w:rStyle w:val="FootnoteAnchor"/>
          <w:rtl w:val="true"/>
        </w:rPr>
        <w:footnoteReference w:id="3"/>
      </w:r>
      <w:r>
        <w:rPr>
          <w:rFonts w:ascii="IRNazanin" w:hAnsi="IRNazanin" w:eastAsia="IRNazanin"/>
          <w:color w:val="111111"/>
          <w:sz w:val="28"/>
          <w:sz w:val="28"/>
          <w:szCs w:val="28"/>
          <w:rtl w:val="true"/>
          <w:lang w:bidi="fa-IR"/>
        </w:rPr>
        <w:t>والقواعد</w:t>
      </w:r>
      <w:r>
        <w:rPr>
          <w:rStyle w:val="FootnoteAnchor"/>
          <w:rtl w:val="true"/>
        </w:rPr>
        <w:footnoteReference w:id="4"/>
      </w:r>
      <w:r>
        <w:rPr>
          <w:rFonts w:ascii="Amiri" w:hAnsi="Amiri" w:eastAsia="Amiri" w:cs="Amiri"/>
          <w:color w:val="111111"/>
          <w:sz w:val="28"/>
          <w:sz w:val="28"/>
          <w:szCs w:val="28"/>
          <w:rtl w:val="true"/>
          <w:lang w:bidi="ar-SA"/>
        </w:rPr>
        <w:t>، بل ادّعى الشهيد الثاني في الروضة الاتّفاق عليه</w:t>
      </w:r>
      <w:r>
        <w:rPr>
          <w:rStyle w:val="FootnoteAnchor"/>
          <w:rtl w:val="true"/>
        </w:rPr>
        <w:footnoteReference w:id="5"/>
      </w:r>
      <w:r>
        <w:rPr>
          <w:rFonts w:ascii="Amiri" w:hAnsi="Amiri" w:eastAsia="Amiri" w:cs="Amiri"/>
          <w:color w:val="111111"/>
          <w:sz w:val="28"/>
          <w:sz w:val="28"/>
          <w:szCs w:val="28"/>
          <w:rtl w:val="true"/>
          <w:lang w:bidi="ar-SA"/>
        </w:rPr>
        <w:t>، ونفى المحقّق الثاني في جامع المقاصد</w:t>
      </w:r>
      <w:r>
        <w:rPr>
          <w:rStyle w:val="FootnoteAnchor"/>
          <w:rtl w:val="true"/>
        </w:rPr>
        <w:footnoteReference w:id="6"/>
      </w:r>
      <w:r>
        <w:rPr>
          <w:rFonts w:ascii="Amiri" w:hAnsi="Amiri" w:eastAsia="Amiri" w:cs="Amiri"/>
          <w:color w:val="111111"/>
          <w:sz w:val="28"/>
          <w:sz w:val="28"/>
          <w:szCs w:val="28"/>
          <w:rtl w:val="true"/>
          <w:lang w:bidi="ar-SA"/>
        </w:rPr>
        <w:t>الشبهة والخلاف عنه، وعلّل به حرمة التعريض بخطبة المعتدّة الرجعيّة، وصرّح السيّد صاحب الرياض</w:t>
      </w:r>
      <w:r>
        <w:rPr>
          <w:rStyle w:val="FootnoteAnchor"/>
          <w:rtl w:val="true"/>
        </w:rPr>
        <w:footnoteReference w:id="7"/>
      </w:r>
      <w:r>
        <w:rPr>
          <w:rFonts w:ascii="Amiri" w:hAnsi="Amiri" w:eastAsia="Amiri" w:cs="Amiri"/>
          <w:color w:val="111111"/>
          <w:sz w:val="28"/>
          <w:sz w:val="28"/>
          <w:szCs w:val="28"/>
          <w:rtl w:val="true"/>
          <w:lang w:bidi="ar-SA"/>
        </w:rPr>
        <w:t>بالحرمة وعلّل بها الحرمة في ذات العدّة الرجعيّة، وورد التعليل في كلمات غير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في الشرائع</w:t>
      </w:r>
      <w:r>
        <w:rPr>
          <w:rStyle w:val="FootnoteAnchor"/>
          <w:rtl w:val="true"/>
        </w:rPr>
        <w:footnoteReference w:id="8"/>
      </w:r>
      <w:r>
        <w:rPr>
          <w:rFonts w:ascii="Amiri" w:hAnsi="Amiri" w:eastAsia="Amiri" w:cs="Amiri"/>
          <w:color w:val="111111"/>
          <w:sz w:val="28"/>
          <w:sz w:val="28"/>
          <w:szCs w:val="28"/>
          <w:rtl w:val="true"/>
          <w:lang w:bidi="ar-SA"/>
        </w:rPr>
        <w:t>، والشهيد الثاني في الروضة</w:t>
      </w:r>
      <w:r>
        <w:rPr>
          <w:rStyle w:val="FootnoteAnchor"/>
          <w:rtl w:val="true"/>
        </w:rPr>
        <w:footnoteReference w:id="9"/>
      </w:r>
      <w:r>
        <w:rPr>
          <w:rFonts w:ascii="Amiri" w:hAnsi="Amiri" w:eastAsia="Amiri" w:cs="Amiri"/>
          <w:color w:val="111111"/>
          <w:sz w:val="28"/>
          <w:sz w:val="28"/>
          <w:szCs w:val="28"/>
          <w:rtl w:val="true"/>
          <w:lang w:bidi="ar-SA"/>
        </w:rPr>
        <w:t>، وصاحب المدارك في نهاية المرام</w:t>
      </w:r>
      <w:r>
        <w:rPr>
          <w:rStyle w:val="FootnoteAnchor"/>
          <w:rtl w:val="true"/>
        </w:rPr>
        <w:footnoteReference w:id="10"/>
      </w:r>
      <w:r>
        <w:rPr>
          <w:rFonts w:ascii="Amiri" w:hAnsi="Amiri" w:eastAsia="Amiri" w:cs="Amiri"/>
          <w:color w:val="111111"/>
          <w:sz w:val="28"/>
          <w:sz w:val="28"/>
          <w:szCs w:val="28"/>
          <w:rtl w:val="true"/>
          <w:lang w:bidi="ar-SA"/>
        </w:rPr>
        <w:t>، والجواد الكاظمي في مسالك الأفهام</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والفاضل الهندي في كشف اللّثام</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الدليل فيمكن أن يستدلّ على الحرمة بقيام الإجماع عليها، فإنّه قد نقل سببه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 في الروضة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ونفى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كفى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الكركي في جامع المقاصد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محكيّاً من غير واحدٍ إن لم يكن محصّلاً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السيّد صاحب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كما في الروضة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وظاهره موافقته، لكنّه ليس بحجّة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يتيسّر تحصيل الإجماع لعدم وصول مصنّفات جماعة من المتقدّمين لكي تُعرف آراؤهم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على حرمة التعريض بخطبة ذات البعل في كلمات غير واحدٍ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فيه الفساد</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لا يمكن الاعتماد على مثل هذا الكلام في إثبات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في الجواهر أنّه منافٍ لحرمة العِرض الثابتة كحرمة الدم والمال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شمول حرمة العِرض للتعريض بالخطبة تأمّل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يستدل عليها بالأولويّة،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ثبتت الحرمة في التعريض بالمعتدّة، والحرمة هنا 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الحكم بحرمة التعريض بخطبة المعتدّة فقد ذهب إليه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في المختصر</w:t>
      </w:r>
      <w:r>
        <w:rPr>
          <w:rStyle w:val="FootnoteAnchor"/>
          <w:rtl w:val="true"/>
        </w:rPr>
        <w:footnoteReference w:id="14"/>
      </w:r>
      <w:r>
        <w:rPr>
          <w:rFonts w:ascii="IRNazanin" w:hAnsi="IRNazanin" w:eastAsia="IRNazanin"/>
          <w:color w:val="111111"/>
          <w:sz w:val="28"/>
          <w:sz w:val="28"/>
          <w:szCs w:val="28"/>
          <w:rtl w:val="true"/>
          <w:lang w:bidi="fa-IR"/>
        </w:rPr>
        <w:t>، والشرائع</w:t>
      </w:r>
      <w:r>
        <w:rPr>
          <w:rStyle w:val="FootnoteAnchor"/>
          <w:rtl w:val="true"/>
        </w:rPr>
        <w:footnoteReference w:id="15"/>
      </w:r>
      <w:r>
        <w:rPr>
          <w:rFonts w:ascii="Amiri" w:hAnsi="Amiri" w:eastAsia="Amiri" w:cs="Amiri"/>
          <w:color w:val="111111"/>
          <w:sz w:val="28"/>
          <w:sz w:val="28"/>
          <w:szCs w:val="28"/>
          <w:rtl w:val="true"/>
          <w:lang w:bidi="ar-SA"/>
        </w:rPr>
        <w:t>، والعلّامة في الإرشاد</w:t>
      </w:r>
      <w:r>
        <w:rPr>
          <w:rStyle w:val="FootnoteAnchor"/>
          <w:rtl w:val="true"/>
        </w:rPr>
        <w:footnoteReference w:id="16"/>
      </w:r>
      <w:r>
        <w:rPr>
          <w:rFonts w:ascii="Amiri" w:hAnsi="Amiri" w:eastAsia="Amiri" w:cs="Amiri"/>
          <w:color w:val="111111"/>
          <w:sz w:val="28"/>
          <w:sz w:val="28"/>
          <w:szCs w:val="28"/>
          <w:rtl w:val="true"/>
          <w:lang w:bidi="ar-SA"/>
        </w:rPr>
        <w:t>، وصاحب المدارك في نهاية المرام</w:t>
      </w:r>
      <w:r>
        <w:rPr>
          <w:rStyle w:val="FootnoteAnchor"/>
          <w:rtl w:val="true"/>
        </w:rPr>
        <w:footnoteReference w:id="17"/>
      </w:r>
      <w:r>
        <w:rPr>
          <w:rFonts w:ascii="Amiri" w:hAnsi="Amiri" w:eastAsia="Amiri" w:cs="Amiri"/>
          <w:color w:val="111111"/>
          <w:sz w:val="28"/>
          <w:sz w:val="28"/>
          <w:szCs w:val="28"/>
          <w:rtl w:val="true"/>
          <w:lang w:bidi="ar-SA"/>
        </w:rPr>
        <w:t>وكثير ممّن تأخّر عنهم، بل نفى المحقّق السبزواري في الكفاية الخلاف عنه</w:t>
      </w:r>
      <w:r>
        <w:rPr>
          <w:rStyle w:val="FootnoteAnchor"/>
          <w:rtl w:val="true"/>
        </w:rPr>
        <w:footnoteReference w:id="18"/>
      </w:r>
      <w:r>
        <w:rPr>
          <w:rFonts w:ascii="Amiri" w:hAnsi="Amiri" w:eastAsia="Amiri" w:cs="Amiri"/>
          <w:color w:val="111111"/>
          <w:sz w:val="28"/>
          <w:sz w:val="28"/>
          <w:szCs w:val="28"/>
          <w:rtl w:val="true"/>
          <w:lang w:bidi="ar-SA"/>
        </w:rPr>
        <w:t>، وكذا المجلسي في ملاذ الأخيار</w:t>
      </w:r>
      <w:r>
        <w:rPr>
          <w:rStyle w:val="FootnoteAnchor"/>
          <w:rtl w:val="true"/>
        </w:rPr>
        <w:footnoteReference w:id="19"/>
      </w:r>
      <w:r>
        <w:rPr>
          <w:rFonts w:ascii="Amiri" w:hAnsi="Amiri" w:eastAsia="Amiri" w:cs="Amiri"/>
          <w:color w:val="111111"/>
          <w:sz w:val="28"/>
          <w:sz w:val="28"/>
          <w:szCs w:val="28"/>
          <w:rtl w:val="true"/>
          <w:lang w:bidi="ar-SA"/>
        </w:rPr>
        <w:t>، وادّعى السيّد صاحب الرياض الإجماع ظاهراً عليه</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الأولويّة فيمكن أن يُقال إنّها واضحة؛ إذ العُلقة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لو تمّ دليل على حرمة التعريض في المعتدّة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يتمّ؛ لأنّ الإجماع في الكلمات المتقدّمة غير 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الأولويّة نظر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نقل العلّامة في التذكرة وجهين لحكمة الحرمة في الرجعيّة،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المقتضي للتحريم في الرجعيّة ما هو؟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أنّها بمعرض أن تراجع فقد تحملها الرغبة في المخاطب على أن تكذب في انقضاء العدّة دفعاً للرجعة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أنّها مجفوّة بالطلاق فعساها تكذب في انقضاء العدّة إذا وجدت راغباً مسارعةً إلى الانتقام من الزوج</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34" w:name="pg10913_110389"/>
    </w:p>
    <w:p>
      <w:pPr>
        <w:pStyle w:val="BookText"/>
        <w:rPr/>
      </w:pPr>
      <w:bookmarkEnd w:id="34"/>
      <w:r>
        <w:rPr>
          <w:rFonts w:ascii="Amiri" w:hAnsi="Amiri" w:eastAsia="Amiri" w:cs="Amiri"/>
          <w:color w:val="111111"/>
          <w:sz w:val="28"/>
          <w:sz w:val="28"/>
          <w:szCs w:val="28"/>
          <w:rtl w:val="true"/>
          <w:lang w:bidi="ar-SA"/>
        </w:rPr>
        <w:t>وما ذُكر يفتح باباً للتأمّل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حصل وثوق بالحرمة من الأقوال ونفي الخلاف ونقل الاتّفاق وما ذكر من وجوه فبها، وإلّا فلا دليل ينهض مستقلّا ً بالإثبات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ونِعم ما أفاد المحقّق البحراني معلّقاً على تفصيلات القوم في التعريض بالخطبة والتصريح بها،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أنّك قد عرفت ما في أصل هذه الأحكام من عدم دليل واضح حتّى بالنسبة إلى التعريض، بل التصريح في العدّة الرجعيّة حيث إنّها زوجة، بل الزوجة فضلاً عن العدّة، فأيّ دليل دلّ على التحريم فإنّي لم أقف على نصّ يقتضيه، والتحريم حكم شرعي يترتّب عليه المؤاخذة والعقاب من الله سبحانه، وثبوت الفسق مع المخالفة، والحكم به من غير دليل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لغو من القول لا أثر يترتّب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اتّفاقهم على الحكم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أقوى المؤيّدات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فباب المناقشة غير مسدود</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 w:name="__RefHeading___Toc3056442_2870459653"/>
      <w:bookmarkStart w:id="36" w:name="_Toc12"/>
      <w:bookmarkEnd w:id="35"/>
      <w:r>
        <w:rPr>
          <w:rtl w:val="true"/>
        </w:rPr>
        <w:t>النّقطة الثّانية</w:t>
      </w:r>
      <w:r>
        <w:rPr>
          <w:rtl w:val="true"/>
        </w:rPr>
        <w:t xml:space="preserve">: </w:t>
      </w:r>
      <w:r>
        <w:rPr>
          <w:rtl w:val="true"/>
        </w:rPr>
        <w:t>حرمة إجراء العقد على ذات البعل تكليفاً</w:t>
      </w:r>
      <w:bookmarkEnd w:id="36"/>
    </w:p>
    <w:p>
      <w:pPr>
        <w:pStyle w:val="Heading5"/>
        <w:numPr>
          <w:ilvl w:val="4"/>
          <w:numId w:val="1"/>
        </w:numPr>
        <w:rPr/>
      </w:pPr>
      <w:bookmarkStart w:id="37" w:name="__RefHeading___Toc3056444_2870459653"/>
      <w:bookmarkStart w:id="38" w:name="_Toc13"/>
      <w:bookmarkEnd w:id="37"/>
      <w:r>
        <w:rPr>
          <w:rtl w:val="true"/>
        </w:rPr>
        <w:t>اشارة</w:t>
      </w:r>
      <w:bookmarkEnd w:id="3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عبّر جماعة من الأصحاب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العقد على ذات البعل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النهاية،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اللّواتي يحرمن على حال دون حال، فإنّه لا يجوز للرجل أن يعقد على امرأة لها زوج ما دامت في حبالته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فارقته بموت أو طلاق جاز له حينئذ العقد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في المختصر، حيث أفاد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العقد على ذات البعل ولا تحرم به</w:t>
      </w:r>
      <w:r>
        <w:rPr>
          <w:rFonts w:eastAsia="Amiri" w:cs="Amiri" w:ascii="Amiri" w:hAnsi="Amiri"/>
          <w:color w:val="111111"/>
          <w:sz w:val="28"/>
          <w:szCs w:val="28"/>
          <w:rtl w:val="true"/>
          <w:lang w:bidi="ar-SA"/>
        </w:rPr>
        <w:t>)</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العلّامة في التبصرة، حيث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ويحرم العقد على ذات البعل</w:t>
      </w:r>
      <w:r>
        <w:rPr>
          <w:rFonts w:eastAsia="Amiri" w:cs="Amiri" w:ascii="Amiri" w:hAnsi="Amiri"/>
          <w:color w:val="111111"/>
          <w:sz w:val="28"/>
          <w:szCs w:val="28"/>
          <w:rtl w:val="true"/>
          <w:lang w:bidi="ar-SA"/>
        </w:rPr>
        <w:t>)</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العلّامة المجلسي في ملاذ الأخيار،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العقد على ذات البعل، فلا ريب في تحريمه</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وإن كان ظاهراً في الحرمة التكليفيّة إلّا أنّه ليس كذلك، فلا يكفي مثل هذا التعبير في المقام، فمن يلاحظ كلمات 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سائر محرّمات النكاح يجد أنّ التعبير بالحرمة أو عدم الحلّية إنّما يراد منه الحرمة الوضعيّة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بطلان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التعبير لوحده لا يكفي في نسبة القول بالحرمة التكليفيّة للقائل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ظاهر جماعة آخرين الحرمة التكليفيّة كالسيّد العامليّ في نهاية المرام، حيث قال شارحاً عبارة المختصر أعلاه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أنّه لا يحلّ العقد على ذات البعل فلا ريب فيه، لما سيجيء من تحريم التعريض بالخطبة في العدّة الرجعيّة، فتحريم العقد على ذات البعل أولى</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وشرحها السيّد صاحب الرياض،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إجماعاً؛ لاستلزام تحريم التعريض بالخطبة في العدّة الرجعيّة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تحريمه بطريق أولى</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وفي الشرح الصغير جعلها ضروريّة</w:t>
      </w:r>
      <w:r>
        <w:rPr>
          <w:rStyle w:val="FootnoteAnchor"/>
          <w:rtl w:val="true"/>
        </w:rPr>
        <w:footnoteReference w:id="28"/>
      </w:r>
      <w:r>
        <w:rPr>
          <w:rFonts w:ascii="Amiri" w:hAnsi="Amiri" w:eastAsia="Amiri" w:cs="Amiri"/>
          <w:color w:val="111111"/>
          <w:sz w:val="28"/>
          <w:sz w:val="28"/>
          <w:szCs w:val="28"/>
          <w:rtl w:val="true"/>
          <w:lang w:bidi="ar-SA"/>
        </w:rPr>
        <w:t>، وكذا تظهر الحرمة التكليفيّة من السيّد اليزدي في العروة الوثقى، وجماعة من الأعلام المعلّقين عليها</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bookmarkStart w:id="39" w:name="pg10913_110393"/>
    </w:p>
    <w:p>
      <w:pPr>
        <w:pStyle w:val="BookText"/>
        <w:rPr/>
      </w:pPr>
      <w:bookmarkEnd w:id="39"/>
      <w:r>
        <w:rPr>
          <w:rFonts w:ascii="Amiri" w:hAnsi="Amiri" w:eastAsia="Amiri" w:cs="Amiri"/>
          <w:color w:val="111111"/>
          <w:sz w:val="28"/>
          <w:sz w:val="28"/>
          <w:szCs w:val="28"/>
          <w:rtl w:val="true"/>
          <w:lang w:bidi="ar-SA"/>
        </w:rPr>
        <w:t>واحتمل المحقّق البحراني في الحدائق</w:t>
      </w:r>
      <w:r>
        <w:rPr>
          <w:rStyle w:val="FootnoteAnchor"/>
          <w:rtl w:val="true"/>
        </w:rPr>
        <w:footnoteReference w:id="30"/>
      </w:r>
      <w:r>
        <w:rPr>
          <w:rFonts w:ascii="Amiri" w:hAnsi="Amiri" w:eastAsia="Amiri" w:cs="Amiri"/>
          <w:color w:val="111111"/>
          <w:sz w:val="28"/>
          <w:sz w:val="28"/>
          <w:szCs w:val="28"/>
          <w:rtl w:val="true"/>
          <w:lang w:bidi="ar-SA"/>
        </w:rPr>
        <w:t>في كلام من تقدّمه الاحتمالين من الحرمة التكليفيّة والوضعيّة، وجعله نظير منعهم من استعمال الماء النجس في الطهارة، وذكر تصريح بعض بترتّب الإثم على استعماله</w:t>
      </w:r>
      <w:r>
        <w:rPr>
          <w:rStyle w:val="FootnoteAnchor"/>
          <w:rtl w:val="true"/>
        </w:rPr>
        <w:footnoteReference w:id="31"/>
      </w:r>
      <w:r>
        <w:rPr>
          <w:rFonts w:ascii="Amiri" w:hAnsi="Amiri" w:eastAsia="Amiri" w:cs="Amiri"/>
          <w:color w:val="111111"/>
          <w:sz w:val="28"/>
          <w:sz w:val="28"/>
          <w:szCs w:val="28"/>
          <w:rtl w:val="true"/>
          <w:lang w:bidi="ar-SA"/>
        </w:rPr>
        <w:t>، وتصريح العلّامة في النهاية بعدم التحريم التكليفي في الاستعمال</w:t>
      </w:r>
      <w:r>
        <w:rPr>
          <w:rStyle w:val="FootnoteAnchor"/>
          <w:rtl w:val="true"/>
        </w:rPr>
        <w:footnoteReference w:id="32"/>
      </w:r>
      <w:r>
        <w:rPr>
          <w:rFonts w:ascii="Amiri" w:hAnsi="Amiri" w:eastAsia="Amiri" w:cs="Amiri"/>
          <w:color w:val="111111"/>
          <w:sz w:val="28"/>
          <w:sz w:val="28"/>
          <w:szCs w:val="28"/>
          <w:rtl w:val="true"/>
          <w:lang w:bidi="ar-SA"/>
        </w:rPr>
        <w:t>، ثمّ استقرب هنا إرادة البطلان لعدم الدليل على التكليف إلّا مع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وكيفما كان، فقد استُدلَّ على الحرمة التكليفيّة بمجموعة من الأدلّة</w:t>
      </w:r>
      <w:r>
        <w:rPr>
          <w:rFonts w:eastAsia="Amiri" w:cs="Amiri" w:ascii="Amiri" w:hAnsi="Amiri"/>
          <w:color w:val="111111"/>
          <w:sz w:val="28"/>
          <w:szCs w:val="28"/>
          <w:rtl w:val="true"/>
          <w:lang w:bidi="ar-SA"/>
        </w:rPr>
        <w:t>:</w:t>
      </w:r>
    </w:p>
    <w:p>
      <w:pPr>
        <w:pStyle w:val="Heading5"/>
        <w:numPr>
          <w:ilvl w:val="4"/>
          <w:numId w:val="1"/>
        </w:numPr>
        <w:rPr/>
      </w:pPr>
      <w:bookmarkStart w:id="40" w:name="__RefHeading___Toc3056446_2870459653"/>
      <w:bookmarkStart w:id="41" w:name="_Toc14"/>
      <w:bookmarkEnd w:id="40"/>
      <w:r>
        <w:rPr>
          <w:rtl w:val="true"/>
        </w:rPr>
        <w:t>الدّليل الأوّل</w:t>
      </w:r>
      <w:r>
        <w:rPr>
          <w:rtl w:val="true"/>
        </w:rPr>
        <w:t xml:space="preserve">: </w:t>
      </w:r>
      <w:r>
        <w:rPr>
          <w:rtl w:val="true"/>
        </w:rPr>
        <w:t>الإجماع</w:t>
      </w:r>
      <w:bookmarkEnd w:id="41"/>
    </w:p>
    <w:p>
      <w:pPr>
        <w:pStyle w:val="BookText"/>
        <w:rPr/>
      </w:pPr>
      <w:r>
        <w:rPr>
          <w:rFonts w:ascii="Amiri" w:hAnsi="Amiri" w:eastAsia="Amiri" w:cs="Amiri"/>
          <w:color w:val="111111"/>
          <w:sz w:val="28"/>
          <w:sz w:val="28"/>
          <w:szCs w:val="28"/>
          <w:rtl w:val="true"/>
          <w:lang w:bidi="ar-SA"/>
        </w:rPr>
        <w:t>ولكن المحصَّل منه غير حاصل، فهناك من لم يتعرّض للمسألة مع أنّ تحصيل كلمات كثير من المتقدّمين متعذّر، وقد أشرنا إلى أنّ عباراتهم يراد منها الحرمة الوضعية، مع أنّه محتمل المدرك لبعض الوجوه الآتية،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والمنقول مع أنّه ليس بحجّة كما قرّر في محلّه من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معلّل بأنّ الحرمة هنا أولى من الحرمة في التعريض بخطبة المعتدّة رجعياً، وهذا ما سيأتي الحديث عنه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42" w:name="__RefHeading___Toc3056448_2870459653"/>
      <w:bookmarkStart w:id="43" w:name="_Toc15"/>
      <w:bookmarkEnd w:id="42"/>
      <w:r>
        <w:rPr>
          <w:rtl w:val="true"/>
        </w:rPr>
        <w:t>الدّليل الثّاني</w:t>
      </w:r>
      <w:r>
        <w:rPr>
          <w:rtl w:val="true"/>
        </w:rPr>
        <w:t xml:space="preserve">: </w:t>
      </w:r>
      <w:r>
        <w:rPr>
          <w:rtl w:val="true"/>
        </w:rPr>
        <w:t>الأولويّة</w:t>
      </w:r>
      <w:bookmarkEnd w:id="43"/>
    </w:p>
    <w:p>
      <w:pPr>
        <w:pStyle w:val="Heading6"/>
        <w:numPr>
          <w:ilvl w:val="5"/>
          <w:numId w:val="1"/>
        </w:numPr>
        <w:rPr/>
      </w:pPr>
      <w:bookmarkStart w:id="44" w:name="__RefHeading___Toc3056450_2870459653"/>
      <w:bookmarkStart w:id="45" w:name="_Toc16"/>
      <w:bookmarkEnd w:id="44"/>
      <w:r>
        <w:rPr>
          <w:rtl w:val="true"/>
        </w:rPr>
        <w:t>اشارة</w:t>
      </w:r>
      <w:bookmarkEnd w:id="4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بثلاث محاولات</w:t>
      </w:r>
      <w:r>
        <w:rPr>
          <w:rFonts w:eastAsia="Amiri" w:cs="Amiri" w:ascii="Amiri" w:hAnsi="Amiri"/>
          <w:color w:val="111111"/>
          <w:sz w:val="28"/>
          <w:szCs w:val="28"/>
          <w:rtl w:val="true"/>
          <w:lang w:bidi="ar-SA"/>
        </w:rPr>
        <w:t xml:space="preserve">: </w:t>
      </w:r>
      <w:bookmarkStart w:id="46" w:name="pg10913_110395"/>
    </w:p>
    <w:p>
      <w:pPr>
        <w:pStyle w:val="Heading6"/>
        <w:numPr>
          <w:ilvl w:val="5"/>
          <w:numId w:val="1"/>
        </w:numPr>
        <w:rPr/>
      </w:pPr>
      <w:bookmarkStart w:id="47" w:name="__RefHeading___Toc3056452_2870459653"/>
      <w:bookmarkStart w:id="48" w:name="_Toc17"/>
      <w:bookmarkEnd w:id="46"/>
      <w:bookmarkEnd w:id="47"/>
      <w:r>
        <w:rPr>
          <w:rtl w:val="true"/>
        </w:rPr>
        <w:t>المحاولة الأولى</w:t>
      </w:r>
      <w:r>
        <w:rPr>
          <w:rtl w:val="true"/>
        </w:rPr>
        <w:t xml:space="preserve">: </w:t>
      </w:r>
      <w:r>
        <w:rPr>
          <w:rtl w:val="true"/>
        </w:rPr>
        <w:t>عن طريق الابتداء بحرمة التّعريض بخطبة المعتدّة الرجعيّة</w:t>
      </w:r>
      <w:bookmarkEnd w:id="48"/>
    </w:p>
    <w:p>
      <w:pPr>
        <w:pStyle w:val="BookText"/>
        <w:rPr/>
      </w:pPr>
      <w:r>
        <w:rPr>
          <w:rFonts w:ascii="Amiri" w:hAnsi="Amiri" w:eastAsia="Amiri" w:cs="Amiri"/>
          <w:color w:val="111111"/>
          <w:sz w:val="28"/>
          <w:sz w:val="28"/>
          <w:szCs w:val="28"/>
          <w:rtl w:val="true"/>
          <w:lang w:bidi="ar-SA"/>
        </w:rPr>
        <w:t>وهي ما تقدّم في بعض العبائر من ثبوت حرمة التعريض لخطبة المعتدّة الرجعيّة فيكون العقد على ذات البعل أولى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 ذلك إمّا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التعريض بخطبة ذات البعل أولى بالحرمة منه في ذات العدّة، والعقد على ذات البعل أولى بالحرمة من التعريض بخطبتها،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على ذات العدّة أولى بالحرمة من التعريض بخطبتها، والحرمة في العقد على ذات البعل أولى منها في العقد على ذات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جماعة إلى تحريم التعريض بالخطبة للمعتدّة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الاستدلال بالأولويّة ليس كما ينبغي؛ فإنّ الملاحظ أنّ الحرمة في ذات العدّة الرجعيّة علّلت في كلمات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في حكم الزوجة، كما أنّه قد صُرّح في كلمات آخرين بحرمة التعريض بخطبة ذات البعل، وبعض الأعلام جمعوا بين الأمرين حيث صرّحوا بالحرمة لذات البعل، وعلّلوا بها حرمة المعتدّة الرجعيّة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يكون الاستدلال على حرمة العقد على ذات البعل بأولويتها بالحرمة من التعريض بخطبة الرجعيّة تطويلاً للمسافة، فالأولى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حرمة التعريض بخطبة ذات البعل نثبت حرمة العقد عليها بلا رجوع للرجعية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صرّح بحرمة التعريض بخطبة الرجعيّة أكثر؛ فإنّ كلّ من صرّح بحرمة التعريض بخطبة ذات البعل ذكر معها التعريض بخطبة المعتدّة الرجعيّة، والبعض اقتصر على ذكر حرمة التعريض بخطبة المعتدّة رجعياً كما اتّضح ممّا </w:t>
      </w:r>
    </w:p>
    <w:p>
      <w:p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العامّة ذكروا أنّ مسألة التعريض بخطبة المعتدّة رجعيّاً حرام، فقد نقل القرطبي الإجماع عليه</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يمكن أن تتمّ أركان الإجماع بلحاظ المطلّقة الرجعيّة، فيناسب الانتقال منها إلى ذات البعل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يبقى هذا الطريق محتاجاً إلى الأولويّة في مرحلتين في كلّ طريق، وقد يمنع ما ينتقل به من المعتدّة إلى ذات البعل سواءً كان التعريض بالخطبة أو إجراء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هل يمكن أن ينتقل إلى حرمة العقد من حرمة التصريح بخطبة المعتدّة لوجود الدليل عليها؟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جُنَاحَ عَلَيْكُمْ فِيمَا عَرَّضْتُمْ بِهِ مِنْ خِطْبَةِ النِّسَاءِ أَوْ أَكْنَنْتُمْ فِي أَنْفُسِكُمْ عَلِمَ اللَّهُ أَنَّكُمْ سَتَذْكُرُونَهُنَّ وَلَكِنْ لَا تُوَاعِدُوهُنَّ سِرًّا إِلَّا أَنْ تَقُولُوا قَوْلًا مَعْرُوفًا وَلَا تَعْزِمُوا عُقْدَةَ النِّكَاحِ حَتَّى يَبْلُغَ الْكِتَابُ أَجَلَهُ وَاعْلَمُوا أَنَّ اللَّهَ يَعْلَمُ مَا فِي أَنْفُسِكُمْ فَاحْذَرُوهُ وَاعْلَمُوا أَنَّ اللَّهَ غَفُورٌ حَلِيمٌ</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xml:space="preserve">، وذلك بالاستفادة ممّا ذكره الشيخ الأراكي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من اختصاص الآية بالمعتدّة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يَبْلُغَ الْكِتابُ أَجَلَهُ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وكون الآية لها مفهوم بمقتضى المتفاهم العرفي من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ظاهر بالمضايقة من التعدّي كما 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تنام على صفّة باب دار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عدم السماح بدخول الدار، فالنوم على الصفّة هو الحدّ المسموح به، وما عداه محظور، فينتج عدم جواز التصريح بخطبة ذات العدّة، فالحدّ المسموح به هو التعريض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يتمّم بمثل الطريقين السالفين، فالعقد أولى بالحرمة من التصريح بالخطبة</w:t>
      </w:r>
      <w:r>
        <w:rPr>
          <w:rFonts w:eastAsia="Amiri" w:cs="Amiri" w:ascii="Amiri" w:hAnsi="Amiri"/>
          <w:color w:val="111111"/>
          <w:sz w:val="28"/>
          <w:szCs w:val="28"/>
          <w:rtl w:val="true"/>
          <w:lang w:bidi="ar-SA"/>
        </w:rPr>
        <w:t xml:space="preserve">. </w:t>
      </w:r>
      <w:bookmarkStart w:id="49" w:name="pg10913_110400"/>
    </w:p>
    <w:p>
      <w:pPr>
        <w:pStyle w:val="BookText"/>
        <w:rPr/>
      </w:pPr>
      <w:bookmarkEnd w:id="49"/>
      <w:r>
        <w:rPr>
          <w:rFonts w:ascii="Amiri" w:hAnsi="Amiri" w:eastAsia="Amiri" w:cs="Amiri"/>
          <w:color w:val="111111"/>
          <w:sz w:val="28"/>
          <w:sz w:val="28"/>
          <w:szCs w:val="28"/>
          <w:rtl w:val="true"/>
          <w:lang w:bidi="ar-SA"/>
        </w:rPr>
        <w:t xml:space="preserve">ولكن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آخر حدّ للترخيص غير واضحة</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 w:name="__RefHeading___Toc3056454_2870459653"/>
      <w:bookmarkStart w:id="51" w:name="_Toc18"/>
      <w:bookmarkEnd w:id="50"/>
      <w:r>
        <w:rPr>
          <w:rtl w:val="true"/>
        </w:rPr>
        <w:t>المحاولة الثّانية</w:t>
      </w:r>
      <w:r>
        <w:rPr>
          <w:rtl w:val="true"/>
        </w:rPr>
        <w:t xml:space="preserve">: </w:t>
      </w:r>
      <w:r>
        <w:rPr>
          <w:rtl w:val="true"/>
        </w:rPr>
        <w:t>من خلال الابتداء بإثبات حرمة التّعريض بخطبة ذات البعل</w:t>
      </w:r>
      <w:bookmarkEnd w:id="51"/>
    </w:p>
    <w:p>
      <w:pPr>
        <w:pStyle w:val="BookText"/>
        <w:rPr/>
      </w:pPr>
      <w:r>
        <w:rPr>
          <w:rFonts w:ascii="Amiri" w:hAnsi="Amiri" w:eastAsia="Amiri" w:cs="Amiri"/>
          <w:color w:val="111111"/>
          <w:sz w:val="28"/>
          <w:sz w:val="28"/>
          <w:szCs w:val="28"/>
          <w:rtl w:val="true"/>
          <w:lang w:bidi="ar-SA"/>
        </w:rPr>
        <w:t>تقدّم الكلام في حرمة التعريض بخطبة ذات البعل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 يمكن أن يكون منشأ لحرمة العقد عليها بالأولويّة</w:t>
      </w:r>
      <w:r>
        <w:rPr>
          <w:rFonts w:eastAsia="Amiri" w:cs="Amiri" w:ascii="Amiri" w:hAnsi="Amiri"/>
          <w:color w:val="111111"/>
          <w:sz w:val="28"/>
          <w:szCs w:val="28"/>
          <w:rtl w:val="true"/>
          <w:lang w:bidi="ar-SA"/>
        </w:rPr>
        <w:t>.</w:t>
      </w:r>
    </w:p>
    <w:p>
      <w:pPr>
        <w:pStyle w:val="Heading6"/>
        <w:numPr>
          <w:ilvl w:val="5"/>
          <w:numId w:val="1"/>
        </w:numPr>
        <w:rPr/>
      </w:pPr>
      <w:bookmarkStart w:id="52" w:name="__RefHeading___Toc3056456_2870459653"/>
      <w:bookmarkStart w:id="53" w:name="_Toc19"/>
      <w:bookmarkEnd w:id="52"/>
      <w:r>
        <w:rPr>
          <w:rtl w:val="true"/>
        </w:rPr>
        <w:t>المحاولة الثّالثة</w:t>
      </w:r>
      <w:r>
        <w:rPr>
          <w:rtl w:val="true"/>
        </w:rPr>
        <w:t xml:space="preserve">: </w:t>
      </w:r>
      <w:r>
        <w:rPr>
          <w:rtl w:val="true"/>
        </w:rPr>
        <w:t>من خلال إثبات حرمة العقد على المعتدّة</w:t>
      </w:r>
      <w:bookmarkEnd w:id="53"/>
    </w:p>
    <w:p>
      <w:pPr>
        <w:pStyle w:val="BookText"/>
        <w:rPr/>
      </w:pPr>
      <w:r>
        <w:rPr>
          <w:rFonts w:ascii="Amiri" w:hAnsi="Amiri" w:eastAsia="Amiri" w:cs="Amiri"/>
          <w:color w:val="111111"/>
          <w:sz w:val="28"/>
          <w:sz w:val="28"/>
          <w:szCs w:val="28"/>
          <w:rtl w:val="true"/>
          <w:lang w:bidi="ar-SA"/>
        </w:rPr>
        <w:t>الكلام في استظهار الحرمة التكليفيّة من عبارات الفقهاء كما تقدّم، فإنّ الأقرب إرادة الحرمة الوضعية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بل الإجماع بقسميه عليه</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ثمّ استدلّ عليه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تَعْزِمُوا عُقْدَةَ النِّكَاحِ حَتَّىٰ يَبْلُغَ الْكِتَابُ أَجَلَهُ</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فقد استظهر منها إرادة العقد، ثمّ أضاف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أنّ الآية قد دلّت على تحريم العزم، والمراد منه إمّا معناه الحقيقي وهو القصد والإرادة أو الفعل المعزوم عليه مجازاً لكونه ملزوماً للعزم، وعلى التقديرين يثبت المطلوب، أمّا على الثاني فظاهر، وأمّا على الأوّل فلأنّ تحريم العزم على النكاح يستلزم تحريم النكاح المعزوم عليه، فإنّه لو كان جائزاً لجاز العزم عليه قطعاً، إذ لا حكم للعزم بالنظر إلى ذاته، وإنّما يثبت له التحريم والجواز بواسطة ما أضيف إليه من الفعل المعزوم عليه، فإن كان محرّماً فالعزم حرام، وإلّا </w:t>
      </w:r>
    </w:p>
    <w:p>
      <w:pPr>
        <w:pStyle w:val="BookText"/>
        <w:rPr/>
      </w:pPr>
      <w:r>
        <w:rPr>
          <w:rFonts w:ascii="Amiri" w:hAnsi="Amiri" w:eastAsia="Amiri" w:cs="Amiri"/>
          <w:color w:val="111111"/>
          <w:sz w:val="28"/>
          <w:sz w:val="28"/>
          <w:szCs w:val="28"/>
          <w:rtl w:val="true"/>
          <w:lang w:bidi="ar-SA"/>
        </w:rPr>
        <w:t>فجائز، بل لا يعقل جواز الفعل مع تحريم العزم عليه، وحيث ثبت تحريم العزم بالآية ثبت تحريم العقد نفسه</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ظاهرة في الإرشاد إلى بطلان العقد وإنّه لا يصح إلّا بعد انقضاء العدّة، وما ورد من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لَّا تُوَاعِدُوهُنَّ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لَّا تُوَاعِدُوهُنَّ سِرًّا إِلَّا أَن تَقُولُوا قَوْلًا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يقول للمرأة قبل أن تنقضي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أواعدك بيت آل فلان ليعرض لها بالخطبة، ويعني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تَقُولُوا قَوْلًا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التعريض بالخطبة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تَعْزِمُوا عُقْدَةَ النِّكَاحِ حَتَّى يَبْلُغَ الْكِتَابُ أَجَلَهُ</w:t>
      </w:r>
      <w:r>
        <w:rPr>
          <w:rFonts w:eastAsia="Amiri" w:cs="Amiri" w:ascii="Amiri" w:hAnsi="Amiri"/>
          <w:color w:val="111111"/>
          <w:sz w:val="28"/>
          <w:szCs w:val="28"/>
          <w:rtl w:val="true"/>
          <w:lang w:bidi="ar-SA"/>
        </w:rPr>
        <w:t>])</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عن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الإنصاف أنّ القول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سياق نفس الآية صدراً وذيلاً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الحرمة التكليفيّة ليس ممّا يبعد البناء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إنّ موردها المعتدّة عدّة وفاة، والتعدّي يحتاج إلى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موجب لذلك، والسياق مع الآية السابقة غير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الخطوة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حرمة العقد على المعتدّة وبضمنها الرجعيّة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متحقّقة، ولكن تبقى الأولويّة بحاجة إلى التأمّل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على قول السيّد في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يجوز التزويج في </w:t>
      </w:r>
    </w:p>
    <w:p>
      <w:pPr>
        <w:pStyle w:val="BookText"/>
        <w:rPr/>
      </w:pPr>
      <w:r>
        <w:rPr>
          <w:rFonts w:ascii="Amiri" w:hAnsi="Amiri" w:eastAsia="Amiri" w:cs="Amiri"/>
          <w:color w:val="111111"/>
          <w:sz w:val="28"/>
          <w:sz w:val="28"/>
          <w:szCs w:val="28"/>
          <w:rtl w:val="true"/>
          <w:lang w:bidi="ar-SA"/>
        </w:rPr>
        <w:t>عدّة الغير</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بمجموعة من الآيات</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يقال بأنّ ظاهر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للحرمة التكليفيّة</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لكن الظاهر إرادة المقاربة، لا مجرّد العقد، فلم يذكر أحد أنّ من موجبات الرجم أو الحدّ مجرّد العقد على ذات البعل مع العلم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من ذيل كلامه يظهر أنّه ناظر للوضعيّة</w:t>
      </w:r>
      <w:r>
        <w:rPr>
          <w:rFonts w:eastAsia="Amiri" w:cs="Amiri" w:ascii="Amiri" w:hAnsi="Amiri"/>
          <w:color w:val="111111"/>
          <w:sz w:val="28"/>
          <w:szCs w:val="28"/>
          <w:rtl w:val="true"/>
          <w:lang w:bidi="ar-SA"/>
        </w:rPr>
        <w:t>.</w:t>
      </w:r>
      <w:bookmarkStart w:id="54" w:name="pg10913_110406"/>
    </w:p>
    <w:p>
      <w:pPr>
        <w:pStyle w:val="Heading4"/>
        <w:numPr>
          <w:ilvl w:val="3"/>
          <w:numId w:val="1"/>
        </w:numPr>
        <w:rPr/>
      </w:pPr>
      <w:bookmarkStart w:id="55" w:name="__RefHeading___Toc3056458_2870459653"/>
      <w:bookmarkStart w:id="56" w:name="_Toc20"/>
      <w:bookmarkEnd w:id="54"/>
      <w:bookmarkEnd w:id="55"/>
      <w:r>
        <w:rPr>
          <w:rtl w:val="true"/>
        </w:rPr>
        <w:t>النّقطة الثّالثة</w:t>
      </w:r>
      <w:r>
        <w:rPr>
          <w:rtl w:val="true"/>
        </w:rPr>
        <w:t xml:space="preserve">: </w:t>
      </w:r>
      <w:r>
        <w:rPr>
          <w:rtl w:val="true"/>
        </w:rPr>
        <w:t>بطلان العقد على ذات البعل</w:t>
      </w:r>
      <w:bookmarkEnd w:id="56"/>
    </w:p>
    <w:p>
      <w:pPr>
        <w:pStyle w:val="BookText"/>
        <w:rPr/>
      </w:pPr>
      <w:r>
        <w:rPr>
          <w:rFonts w:ascii="Amiri" w:hAnsi="Amiri" w:eastAsia="Amiri" w:cs="Amiri"/>
          <w:color w:val="111111"/>
          <w:sz w:val="28"/>
          <w:sz w:val="28"/>
          <w:szCs w:val="28"/>
          <w:rtl w:val="true"/>
          <w:lang w:bidi="ar-SA"/>
        </w:rPr>
        <w:t xml:space="preserve">بطلان العقد على ذات البعل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 لم يحكم بالحرمة المؤبّدة لاحتاجا إلى عقد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خلاف فيه، وهو مدلول عليه ضمناً في موارد الحرمة المؤبّدة في عبارات كلّ من حكم بها، وصرّح آخرون بها في غير مواردها كالشهيد الثاني في الروضة</w:t>
      </w:r>
      <w:r>
        <w:rPr>
          <w:rStyle w:val="FootnoteAnchor"/>
          <w:rtl w:val="true"/>
        </w:rPr>
        <w:footnoteReference w:id="46"/>
      </w:r>
      <w:r>
        <w:rPr>
          <w:rFonts w:ascii="Amiri" w:hAnsi="Amiri" w:eastAsia="Amiri" w:cs="Amiri"/>
          <w:color w:val="111111"/>
          <w:sz w:val="28"/>
          <w:sz w:val="28"/>
          <w:szCs w:val="28"/>
          <w:rtl w:val="true"/>
          <w:lang w:bidi="ar-SA"/>
        </w:rPr>
        <w:t>، بل ذكر العلّامة في التحرير</w:t>
      </w:r>
      <w:r>
        <w:rPr>
          <w:rStyle w:val="FootnoteAnchor"/>
          <w:rtl w:val="true"/>
        </w:rPr>
        <w:footnoteReference w:id="47"/>
      </w:r>
      <w:r>
        <w:rPr>
          <w:rFonts w:ascii="Amiri" w:hAnsi="Amiri" w:eastAsia="Amiri" w:cs="Amiri"/>
          <w:color w:val="111111"/>
          <w:sz w:val="28"/>
          <w:sz w:val="28"/>
          <w:szCs w:val="28"/>
          <w:rtl w:val="true"/>
          <w:lang w:bidi="ar-SA"/>
        </w:rPr>
        <w:t>أنّ بطلان العقد في صورة الجهل إجماعي، وجعل مقابله الحرمة المؤبّدة في حالة العلم، و ذكر الفيض الكاشاني في المفاتيح</w:t>
      </w:r>
      <w:r>
        <w:rPr>
          <w:rStyle w:val="FootnoteAnchor"/>
          <w:rtl w:val="true"/>
        </w:rPr>
        <w:footnoteReference w:id="48"/>
      </w:r>
      <w:r>
        <w:rPr>
          <w:rFonts w:ascii="Amiri" w:hAnsi="Amiri" w:eastAsia="Amiri" w:cs="Amiri"/>
          <w:color w:val="111111"/>
          <w:sz w:val="28"/>
          <w:sz w:val="28"/>
          <w:szCs w:val="28"/>
          <w:rtl w:val="true"/>
          <w:lang w:bidi="ar-SA"/>
        </w:rPr>
        <w:t>أنّ حرمة العقد على ذات البعل إجماعيّة إلّا بعد الافتراق والعدّة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أنّ الأقرب إرادة الحرمة الوضعية في عبارات التحريم، مضافاً إلى أنّه استدلّ عليه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وَالْمُحْصَنَاتُ مِنَ النِّسَاءِ</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والتحريم في الآية وضعي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يستدلّ له بعد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آنفة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بأغلب ما سيأتي إن شاء الله تعالى من روايات القسمين، ففي معتبرتي أديم وشعيب ومرفوعة أحمد وخبر الدعائم الحكم بالتفريق بينهما، وفي معتبرتي زرارة من القسم الأوّل الحكم بالحرمة المؤبّدة، وبطلان العقد هو القدر المتيقّن من رواية علي بن جعفر لو التزم بإطلاقها وإلّا فهي دالّة عليه إمّا بالمطابقة أو بالتضمّن حسب ما يُفهم منها، وأنّها ناظرة إلى حال زوجيّتها للأوّل أو لما بعدها، وفي رواية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أن يتزوّجها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أنّه يحتاج إلى عقد </w:t>
      </w:r>
    </w:p>
    <w:p>
      <w:pPr>
        <w:pStyle w:val="BookText"/>
        <w:rPr/>
      </w:pPr>
      <w:r>
        <w:rPr>
          <w:rFonts w:ascii="Amiri" w:hAnsi="Amiri" w:eastAsia="Amiri" w:cs="Amiri"/>
          <w:color w:val="111111"/>
          <w:sz w:val="28"/>
          <w:sz w:val="28"/>
          <w:szCs w:val="28"/>
          <w:rtl w:val="true"/>
          <w:lang w:bidi="ar-SA"/>
        </w:rPr>
        <w:t xml:space="preserve">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من صحيحة ابن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أيتزوّجها</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أيراجعها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قصرت الأخيرة عن الظهور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ومضافاً إلى ذلك توجد بعض الروايات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محمّد بن قيس،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حَسَبَ أهلُه أنّه قد مات أو قتل فنكحت امرأته وتزوّجت سريّته فولدت كلّ واحدة منهما من زوجها، فجاء زوجها الأوّل ومولى السريّة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يأخذ امرأته فهو أحقّ بها، ويأخذ سريّته وولدها أو يأخذ عوضاً من ثمنه</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إبراهيم بن عبد الحميد،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شاهدين شهدا على امرأةٍ بأنّ زوجها طلّقها فتزوّجت، ثمّ جاء زوجها فأنكر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يضربان الحدّ، ويُضَمَّنَانِ الصداق للزوج، ثمّ تعتدّ، ثمّ ترجع إلى زوجها الأوّل</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57" w:name="pg10913_110410"/>
    </w:p>
    <w:p>
      <w:pPr>
        <w:pStyle w:val="Heading3"/>
        <w:numPr>
          <w:ilvl w:val="2"/>
          <w:numId w:val="1"/>
        </w:numPr>
        <w:rPr/>
      </w:pPr>
      <w:bookmarkStart w:id="58" w:name="__RefHeading___Toc3056460_2870459653"/>
      <w:bookmarkStart w:id="59" w:name="_Toc21"/>
      <w:bookmarkEnd w:id="57"/>
      <w:bookmarkEnd w:id="58"/>
      <w:r>
        <w:rPr>
          <w:rtl w:val="true"/>
        </w:rPr>
        <w:t>المقصد الأساس</w:t>
      </w:r>
      <w:r>
        <w:rPr>
          <w:rtl w:val="true"/>
        </w:rPr>
        <w:t xml:space="preserve">: </w:t>
      </w:r>
      <w:r>
        <w:rPr>
          <w:rtl w:val="true"/>
        </w:rPr>
        <w:t>الحرمة المؤبّدة في نكاح ذات البعل</w:t>
      </w:r>
      <w:bookmarkEnd w:id="59"/>
    </w:p>
    <w:p>
      <w:pPr>
        <w:pStyle w:val="Heading4"/>
        <w:numPr>
          <w:ilvl w:val="3"/>
          <w:numId w:val="1"/>
        </w:numPr>
        <w:rPr/>
      </w:pPr>
      <w:bookmarkStart w:id="60" w:name="__RefHeading___Toc3056462_2870459653"/>
      <w:bookmarkStart w:id="61" w:name="_Toc22"/>
      <w:bookmarkEnd w:id="60"/>
      <w:r>
        <w:rPr>
          <w:rtl w:val="true"/>
        </w:rPr>
        <w:t>صُور المسألة</w:t>
      </w:r>
      <w:bookmarkEnd w:id="61"/>
    </w:p>
    <w:p>
      <w:pPr>
        <w:pStyle w:val="BookText"/>
        <w:rPr/>
      </w:pPr>
      <w:r>
        <w:rPr>
          <w:rFonts w:ascii="Amiri" w:hAnsi="Amiri" w:eastAsia="Amiri" w:cs="Amiri"/>
          <w:color w:val="111111"/>
          <w:sz w:val="28"/>
          <w:sz w:val="28"/>
          <w:szCs w:val="28"/>
          <w:rtl w:val="true"/>
          <w:lang w:bidi="ar-SA"/>
        </w:rPr>
        <w:t xml:space="preserve">قد يكون الرجل عالماً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حرمة الزواج بذات البعل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وعالماً بالموضوع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كونها ذات بعل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المرأة أيضاً عالمة بالحكم والموضوع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يجهل أحدهما أو كلاهما كلا الأمرين أو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يقع منهما عقد فقط وقد يحصل 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والمنظور في كلمات أغلب الأعلام صور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عقدهُ على المرأة مع علمه بأنّها ذات بعل ودخل بها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بذلك مع عدم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جهله بأنّها ذات بعلٍ مع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واكتفى البعض بجهله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جهله بذلك مع عدم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الصورة الأولى في الجملة بغضّ النظر عن مسألة الزنا بذات البعل، وإلّا فهي عند المشهور ممّن تحرم مؤبّداً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استدلّ للحرمة في الصورة الأولى بالحرمة في مسألة الزنا بذات البعل في كلمات غير واحد</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62" w:name="pg10913_110412"/>
    </w:p>
    <w:p>
      <w:pPr>
        <w:pStyle w:val="Heading4"/>
        <w:numPr>
          <w:ilvl w:val="3"/>
          <w:numId w:val="1"/>
        </w:numPr>
        <w:rPr/>
      </w:pPr>
      <w:bookmarkStart w:id="63" w:name="__RefHeading___Toc3056464_2870459653"/>
      <w:bookmarkStart w:id="64" w:name="_Toc23"/>
      <w:bookmarkEnd w:id="62"/>
      <w:bookmarkEnd w:id="63"/>
      <w:r>
        <w:rPr>
          <w:rtl w:val="true"/>
        </w:rPr>
        <w:t>كلمات الفقهاء</w:t>
      </w:r>
      <w:bookmarkEnd w:id="64"/>
    </w:p>
    <w:p>
      <w:pPr>
        <w:pStyle w:val="BookText"/>
        <w:rPr/>
      </w:pPr>
      <w:r>
        <w:rPr>
          <w:rFonts w:ascii="Amiri" w:hAnsi="Amiri" w:eastAsia="Amiri" w:cs="Amiri"/>
          <w:color w:val="111111"/>
          <w:sz w:val="28"/>
          <w:sz w:val="28"/>
          <w:szCs w:val="28"/>
          <w:rtl w:val="true"/>
          <w:lang w:bidi="ar-SA"/>
        </w:rPr>
        <w:t>لم أعثر على كلمات لفقهاء العامّة في هذه المسألة، أمّا فقهاؤنا فلهم فيها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المؤبّدة مطلقاً في جميع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ذلك ممّا يعرف بالفقه الرضوي</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المؤبّدة في الصور الثلاث الأولى، وعدمها في الرابعة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مذهب الأكثر ممّن تعرّضوا لهذه المسألة صريحاً، كالعلّامة في التحرير</w:t>
      </w:r>
      <w:r>
        <w:rPr>
          <w:rStyle w:val="FootnoteAnchor"/>
          <w:rtl w:val="true"/>
        </w:rPr>
        <w:footnoteReference w:id="55"/>
      </w:r>
      <w:r>
        <w:rPr>
          <w:rFonts w:ascii="Amiri" w:hAnsi="Amiri" w:eastAsia="Amiri" w:cs="Amiri"/>
          <w:color w:val="111111"/>
          <w:sz w:val="28"/>
          <w:sz w:val="28"/>
          <w:szCs w:val="28"/>
          <w:rtl w:val="true"/>
          <w:lang w:bidi="ar-SA"/>
        </w:rPr>
        <w:t>، والشهيد الثاني</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الحدائق</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الرياض</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الأنصاري</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صاحب العروة</w:t>
      </w:r>
      <w:r>
        <w:rPr>
          <w:rStyle w:val="FootnoteAnchor"/>
          <w:rtl w:val="true"/>
        </w:rPr>
        <w:footnoteReference w:id="60"/>
      </w:r>
      <w:r>
        <w:rPr>
          <w:rFonts w:ascii="Amiri" w:hAnsi="Amiri" w:eastAsia="Amiri" w:cs="Amiri"/>
          <w:color w:val="111111"/>
          <w:sz w:val="28"/>
          <w:sz w:val="28"/>
          <w:szCs w:val="28"/>
          <w:rtl w:val="true"/>
          <w:lang w:bidi="ar-SA"/>
        </w:rPr>
        <w:t xml:space="preserve">، ومجموعة من الأعلام المعلّقين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عبد الكريم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والمحقّق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أبو الحسن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محمّد حسين آل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عبد </w:t>
      </w:r>
    </w:p>
    <w:p>
      <w:pPr>
        <w:pStyle w:val="BookText"/>
        <w:rPr/>
      </w:pPr>
      <w:r>
        <w:rPr>
          <w:rFonts w:ascii="Amiri" w:hAnsi="Amiri" w:eastAsia="Amiri" w:cs="Amiri"/>
          <w:color w:val="111111"/>
          <w:sz w:val="28"/>
          <w:sz w:val="28"/>
          <w:szCs w:val="28"/>
          <w:rtl w:val="true"/>
          <w:lang w:bidi="ar-SA"/>
        </w:rPr>
        <w:t>الهادي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الخوئي</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ذهب لهذا القول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المرعشي</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السبزواري</w:t>
      </w:r>
      <w:r>
        <w:rPr>
          <w:rStyle w:val="FootnoteAnchor"/>
          <w:rtl w:val="true"/>
        </w:rPr>
        <w:footnoteReference w:id="63"/>
      </w:r>
      <w:r>
        <w:rPr>
          <w:rFonts w:ascii="Amiri" w:hAnsi="Amiri" w:eastAsia="Amiri" w:cs="Amiri"/>
          <w:color w:val="111111"/>
          <w:sz w:val="28"/>
          <w:sz w:val="28"/>
          <w:szCs w:val="28"/>
          <w:rtl w:val="true"/>
          <w:lang w:bidi="ar-SA"/>
        </w:rPr>
        <w:t>قدّس الله أسرارهم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وأفتى بذلك جماعة من الأعلام المعاصرين أيضاً</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يظهر ذلك من ابن فهد الحلّي أيضاً</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ورأي المحقّق الكركي</w:t>
      </w:r>
      <w:r>
        <w:rPr>
          <w:rStyle w:val="FootnoteAnchor"/>
          <w:rtl w:val="true"/>
        </w:rPr>
        <w:footnoteReference w:id="66"/>
      </w:r>
      <w:r>
        <w:rPr>
          <w:rFonts w:ascii="Amiri" w:hAnsi="Amiri" w:eastAsia="Amiri" w:cs="Amiri"/>
          <w:color w:val="111111"/>
          <w:sz w:val="28"/>
          <w:sz w:val="28"/>
          <w:szCs w:val="28"/>
          <w:rtl w:val="true"/>
          <w:lang w:bidi="ar-SA"/>
        </w:rPr>
        <w:t>موافق لهذا القول إلّا في الصورة الثانية فقد استشكل فيها، وتنظّر العلّامة المجلسي فيها، وجعل الاجتناب أحوط، ولم يستبعد حمل أخبار التحريم على الكراهة في الصورة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ووافق بعضُ أعاظم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دامة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القول</w:t>
      </w:r>
      <w:r>
        <w:rPr>
          <w:rStyle w:val="FootnoteAnchor"/>
          <w:rtl w:val="true"/>
        </w:rPr>
        <w:footnoteReference w:id="67"/>
      </w:r>
      <w:r>
        <w:rPr>
          <w:rFonts w:ascii="Amiri" w:hAnsi="Amiri" w:eastAsia="Amiri" w:cs="Amiri"/>
          <w:color w:val="111111"/>
          <w:sz w:val="28"/>
          <w:sz w:val="28"/>
          <w:szCs w:val="28"/>
          <w:rtl w:val="true"/>
          <w:lang w:bidi="ar-SA"/>
        </w:rPr>
        <w:t>إلّا في الصورة الثالثة فقد احتاط فيها وجوباً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الفقهاء المشار إليهم المناط في صورة العلم والجهل هو العلم والجهل </w:t>
      </w:r>
    </w:p>
    <w:p>
      <w:pPr>
        <w:pStyle w:val="BookText"/>
        <w:rPr/>
      </w:pPr>
      <w:r>
        <w:rPr>
          <w:rFonts w:ascii="Amiri" w:hAnsi="Amiri" w:eastAsia="Amiri" w:cs="Amiri"/>
          <w:color w:val="111111"/>
          <w:sz w:val="28"/>
          <w:sz w:val="28"/>
          <w:szCs w:val="28"/>
          <w:rtl w:val="true"/>
          <w:lang w:bidi="ar-SA"/>
        </w:rPr>
        <w:t>بالموضوع، ولم يُدخِلوا العلم بالحكم والجهل به في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من جعل المناط في العلم على العلم بالحكم والموضوع معاً، وفي الجهل على الجهل بأحدهما،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الفيض الكاشاني</w:t>
      </w:r>
      <w:r>
        <w:rPr>
          <w:rStyle w:val="FootnoteAnchor"/>
          <w:rtl w:val="true"/>
        </w:rPr>
        <w:footnoteReference w:id="68"/>
      </w:r>
      <w:r>
        <w:rPr>
          <w:rFonts w:ascii="Amiri" w:hAnsi="Amiri" w:eastAsia="Amiri" w:cs="Amiri"/>
          <w:color w:val="111111"/>
          <w:sz w:val="28"/>
          <w:sz w:val="28"/>
          <w:szCs w:val="28"/>
          <w:rtl w:val="true"/>
          <w:lang w:bidi="ar-SA"/>
        </w:rPr>
        <w:t>والسيّد الشهيد الصدر</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الخوانساري</w:t>
      </w:r>
      <w:r>
        <w:rPr>
          <w:rStyle w:val="FootnoteAnchor"/>
          <w:rtl w:val="true"/>
        </w:rPr>
        <w:footnoteReference w:id="70"/>
      </w:r>
      <w:r>
        <w:rPr>
          <w:rFonts w:ascii="Amiri" w:hAnsi="Amiri" w:eastAsia="Amiri" w:cs="Amiri"/>
          <w:color w:val="111111"/>
          <w:sz w:val="28"/>
          <w:sz w:val="28"/>
          <w:szCs w:val="28"/>
          <w:rtl w:val="true"/>
          <w:lang w:bidi="ar-SA"/>
        </w:rPr>
        <w:t>، والشيخ جواد التبريزي</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الحكيم، إلّا أنّه زاد الحكم بالحرمة لمجرّد العقد لو كانت المرأة عالمة بالحكم والموضوع</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وأدخل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المنهاج</w:t>
      </w:r>
      <w:r>
        <w:rPr>
          <w:rStyle w:val="FootnoteAnchor"/>
          <w:rtl w:val="true"/>
        </w:rPr>
        <w:footnoteReference w:id="73"/>
      </w:r>
      <w:r>
        <w:rPr>
          <w:rFonts w:ascii="Amiri" w:hAnsi="Amiri" w:eastAsia="Amiri" w:cs="Amiri"/>
          <w:color w:val="111111"/>
          <w:sz w:val="28"/>
          <w:sz w:val="28"/>
          <w:szCs w:val="28"/>
          <w:rtl w:val="true"/>
          <w:lang w:bidi="ar-SA"/>
        </w:rPr>
        <w:t>العلم بالحكم في الحساب، ولكن في التعليقة على العروة الوثقى لم يعلّق شيئاً بهذا الصدد، وظاهر عبارة متن العروة قصر الاعتبار على العلم بالموضوع، ولكنّه صرّح في الشرح</w:t>
      </w:r>
      <w:r>
        <w:rPr>
          <w:rStyle w:val="FootnoteAnchor"/>
          <w:rtl w:val="true"/>
        </w:rPr>
        <w:footnoteReference w:id="74"/>
      </w:r>
      <w:r>
        <w:rPr>
          <w:rFonts w:ascii="Amiri" w:hAnsi="Amiri" w:eastAsia="Amiri" w:cs="Amiri"/>
          <w:color w:val="111111"/>
          <w:sz w:val="28"/>
          <w:sz w:val="28"/>
          <w:szCs w:val="28"/>
          <w:rtl w:val="true"/>
          <w:lang w:bidi="ar-SA"/>
        </w:rPr>
        <w:t>بالاعتبار بهما، واعتذر لعدم تعرّض النصوص للعلم بالحكم بكونه ممّا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الحرمة المؤبّدة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وعباراتهم وإن لم تستثنِ الصورة الأولى إلّا أنّها تدخل في مسألة الزنا بذات البعل، ويظهر هذا من المحقّق في المختصر</w:t>
      </w:r>
      <w:r>
        <w:rPr>
          <w:rStyle w:val="FootnoteAnchor"/>
          <w:rtl w:val="true"/>
        </w:rPr>
        <w:footnoteReference w:id="75"/>
      </w:r>
      <w:r>
        <w:rPr>
          <w:rFonts w:ascii="Amiri" w:hAnsi="Amiri" w:eastAsia="Amiri" w:cs="Amiri"/>
          <w:color w:val="111111"/>
          <w:sz w:val="28"/>
          <w:sz w:val="28"/>
          <w:szCs w:val="28"/>
          <w:rtl w:val="true"/>
          <w:lang w:bidi="ar-SA"/>
        </w:rPr>
        <w:t>، فإنّه وإن كان من المحتمل أنّه ناظر إلى مجرّد العقد فتخرج صور الدخول عن حكم المسألة إلّا أنّ الأقرب أنّها داخلة في مراده ولو بملاحظة المسألة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وللعلّامة في التبصرة</w:t>
      </w:r>
      <w:r>
        <w:rPr>
          <w:rStyle w:val="FootnoteAnchor"/>
          <w:rtl w:val="true"/>
        </w:rPr>
        <w:footnoteReference w:id="76"/>
      </w:r>
      <w:r>
        <w:rPr>
          <w:rFonts w:ascii="Amiri" w:hAnsi="Amiri" w:eastAsia="Amiri" w:cs="Amiri"/>
          <w:color w:val="111111"/>
          <w:sz w:val="28"/>
          <w:sz w:val="28"/>
          <w:szCs w:val="28"/>
          <w:rtl w:val="true"/>
          <w:lang w:bidi="ar-SA"/>
        </w:rPr>
        <w:t>عبارة ظاهرة في عدم ذهابه للحرمة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فخر المحقّقين</w:t>
      </w:r>
      <w:r>
        <w:rPr>
          <w:rStyle w:val="FootnoteAnchor"/>
          <w:rtl w:val="true"/>
        </w:rPr>
        <w:footnoteReference w:id="77"/>
      </w:r>
      <w:r>
        <w:rPr>
          <w:rFonts w:ascii="Amiri" w:hAnsi="Amiri" w:eastAsia="Amiri" w:cs="Amiri"/>
          <w:color w:val="111111"/>
          <w:sz w:val="28"/>
          <w:sz w:val="28"/>
          <w:szCs w:val="28"/>
          <w:rtl w:val="true"/>
          <w:lang w:bidi="ar-SA"/>
        </w:rPr>
        <w:t>عدم إلحاق المسألة بمسألة الزواج بمن كانت في العدّة، وكذلك الفاضل المقداد</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والفاضل الهندي</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بمجرّد العقد لو لم يكن لهما عذر، وتوقّفها على الدخول لو كان للمرأة عذر دون الرجل، ولا حرمة في غير ذلك</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رأي بعض الأعلام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القول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التوقّف</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استشكل في المسألة جماعة منهم العلّامة في القواعد</w:t>
      </w:r>
      <w:r>
        <w:rPr>
          <w:rStyle w:val="FootnoteAnchor"/>
          <w:rtl w:val="true"/>
        </w:rPr>
        <w:footnoteReference w:id="82"/>
      </w:r>
      <w:r>
        <w:rPr>
          <w:rFonts w:ascii="Amiri" w:hAnsi="Amiri" w:eastAsia="Amiri" w:cs="Amiri"/>
          <w:color w:val="111111"/>
          <w:sz w:val="28"/>
          <w:sz w:val="28"/>
          <w:szCs w:val="28"/>
          <w:rtl w:val="true"/>
          <w:lang w:bidi="ar-SA"/>
        </w:rPr>
        <w:t>والسبزواري في الكفاية</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البروجردي</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وتردّد صاحب المدارك في نهاية المرام</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واستشكل الصيمري</w:t>
      </w:r>
      <w:r>
        <w:rPr>
          <w:rStyle w:val="FootnoteAnchor"/>
          <w:rtl w:val="true"/>
        </w:rPr>
        <w:footnoteReference w:id="86"/>
      </w:r>
      <w:r>
        <w:rPr>
          <w:rFonts w:ascii="Amiri" w:hAnsi="Amiri" w:eastAsia="Amiri" w:cs="Amiri"/>
          <w:color w:val="111111"/>
          <w:sz w:val="28"/>
          <w:sz w:val="28"/>
          <w:szCs w:val="28"/>
          <w:rtl w:val="true"/>
          <w:lang w:bidi="ar-SA"/>
        </w:rPr>
        <w:t>في غير الصورة الأولى، أمّا فيها فقد صرّح بالحرمة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يبدِ السيّد الجزائري رأياً</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يظهر من السيّد الكلبايكاني الإلزام بالاحتياط</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وإنّ جماعة من فقهاء أصحابنا تعرّضوا في مواضع من كتبهم لمن يحرم نكاحهن مؤبّداً، مثل المزوّجة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والمزني بها وهي ذات 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عدّة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عَقَد عليها المُحرم في حجّ أو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وغيرهن، ولم يذكروا المزوّجة وهي ذات بعل، </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في المقنعة</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وسلّار في المراسم</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والحلبي في الكافي</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والكيدري في الإصباح</w:t>
      </w:r>
      <w:r>
        <w:rPr>
          <w:rStyle w:val="FootnoteAnchor"/>
          <w:rtl w:val="true"/>
        </w:rPr>
        <w:footnoteReference w:id="92"/>
      </w:r>
      <w:r>
        <w:rPr>
          <w:rFonts w:ascii="Amiri" w:hAnsi="Amiri" w:eastAsia="Amiri" w:cs="Amiri"/>
          <w:color w:val="111111"/>
          <w:sz w:val="28"/>
          <w:sz w:val="28"/>
          <w:szCs w:val="28"/>
          <w:rtl w:val="true"/>
          <w:lang w:bidi="ar-SA"/>
        </w:rPr>
        <w:t>، والعلّامة في الإرشاد</w:t>
      </w:r>
      <w:r>
        <w:rPr>
          <w:rStyle w:val="FootnoteAnchor"/>
          <w:rtl w:val="true"/>
        </w:rPr>
        <w:footnoteReference w:id="93"/>
      </w:r>
      <w:r>
        <w:rPr>
          <w:rFonts w:ascii="Amiri" w:hAnsi="Amiri" w:eastAsia="Amiri" w:cs="Amiri"/>
          <w:color w:val="111111"/>
          <w:sz w:val="28"/>
          <w:sz w:val="28"/>
          <w:szCs w:val="28"/>
          <w:rtl w:val="true"/>
          <w:lang w:bidi="ar-SA"/>
        </w:rPr>
        <w:t>والتلخيص</w:t>
      </w:r>
      <w:r>
        <w:rPr>
          <w:rStyle w:val="FootnoteAnchor"/>
          <w:rtl w:val="true"/>
        </w:rPr>
        <w:footnoteReference w:id="94"/>
      </w:r>
      <w:r>
        <w:rPr>
          <w:rFonts w:ascii="Amiri" w:hAnsi="Amiri" w:eastAsia="Amiri" w:cs="Amiri"/>
          <w:color w:val="111111"/>
          <w:sz w:val="28"/>
          <w:sz w:val="28"/>
          <w:szCs w:val="28"/>
          <w:rtl w:val="true"/>
          <w:lang w:bidi="ar-SA"/>
        </w:rPr>
        <w:t>، والشهيد الأوّل في اللمعة</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وزاد بعضهم على ذلك بأن عنون هذه الموارد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يحرم العقد عليهن على جميع الأحوال</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يحرم نكاحه أبداً</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ونحوهما، مثل الشيخ في النهاية</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والقاضي في المهذّب</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حمزة في الوسيلة</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زهرة في الغنية</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w:t>
      </w:r>
    </w:p>
    <w:p>
      <w:pPr>
        <w:pStyle w:val="BookText"/>
        <w:rPr/>
      </w:pPr>
      <w:r>
        <w:rPr>
          <w:rFonts w:ascii="Amiri" w:hAnsi="Amiri" w:eastAsia="Amiri" w:cs="Amiri"/>
          <w:color w:val="111111"/>
          <w:sz w:val="28"/>
          <w:sz w:val="28"/>
          <w:szCs w:val="28"/>
          <w:rtl w:val="true"/>
          <w:lang w:bidi="ar-SA"/>
        </w:rPr>
        <w:t>إدريس في السرائر</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سعيد في الجامع والنزهة</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محمّد القمي في جامع الخلاف</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غضّ النظر عمّا في ما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الفتوى بالحرمة، وما في مختصر المحقّق من الفتوى بعدم الحرمة، هل يكون قول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نعرف لعلمائنا فيه فتوى</w:t>
      </w:r>
      <w:r>
        <w:rPr>
          <w:rFonts w:eastAsia="Amiri" w:cs="Amiri" w:ascii="Amiri" w:hAnsi="Amiri"/>
          <w:color w:val="111111"/>
          <w:sz w:val="28"/>
          <w:szCs w:val="28"/>
          <w:rtl w:val="true"/>
          <w:lang w:bidi="ar-SA"/>
        </w:rPr>
        <w:t>)</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 أم يمكن نسبة القول بعدم الحرمة إليهم في تلك المواضع؟</w:t>
      </w:r>
    </w:p>
    <w:p>
      <w:pPr>
        <w:pStyle w:val="BookText"/>
        <w:rPr/>
      </w:pPr>
      <w:r>
        <w:rPr>
          <w:rFonts w:ascii="Amiri" w:hAnsi="Amiri" w:eastAsia="Amiri" w:cs="Amiri"/>
          <w:color w:val="111111"/>
          <w:sz w:val="28"/>
          <w:sz w:val="28"/>
          <w:szCs w:val="28"/>
          <w:rtl w:val="true"/>
          <w:lang w:bidi="ar-SA"/>
        </w:rPr>
        <w:t>يمكن أن يقال بإمكان النسبة، فالإطلاق المقاميّ محكم لشدّة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للجماعة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لعباراتهم مفهوماً؛ لأنّها في مقام التحديد ولا سيّما عبارة مَن ذكر العدد</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يلتزم باحتمال غفلتهم عن هذا الفرع أصلاً، فإنّ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عقد في الكافي باباً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المرأة التي تحرم على الرجل فلا تحلّ له أبداً</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xml:space="preserve">لكنّه لم يذكر </w:t>
      </w:r>
    </w:p>
    <w:p>
      <w:pPr>
        <w:pStyle w:val="BookText"/>
        <w:rPr/>
      </w:pPr>
      <w:r>
        <w:rPr>
          <w:rFonts w:ascii="Amiri" w:hAnsi="Amiri" w:eastAsia="Amiri" w:cs="Amiri"/>
          <w:color w:val="111111"/>
          <w:sz w:val="28"/>
          <w:sz w:val="28"/>
          <w:szCs w:val="28"/>
          <w:rtl w:val="true"/>
          <w:lang w:bidi="ar-SA"/>
        </w:rPr>
        <w:t xml:space="preserve">فيه من روايات المسألة إلّا مرفوعة أحمد بن محمّد، وهي تدلّ على الحرمة مع العلم، وهذا قد يدخلها في باب ذات البعل المزني بها، وإنّما ذكر رواية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نعي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أولاهما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المرأة يبلغها موت زوجها أو طلاقها فتعتدّ ثمّ تزوّج فيجيء زوجها</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وهو يتناول أحكام الغائب عنها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والأخرى</w:t>
      </w:r>
      <w:r>
        <w:rPr>
          <w:rStyle w:val="FootnoteAnchor"/>
          <w:rtl w:val="true"/>
        </w:rPr>
        <w:footnoteReference w:id="109"/>
      </w:r>
      <w:r>
        <w:rPr>
          <w:rFonts w:ascii="Amiri" w:hAnsi="Amiri" w:eastAsia="Amiri" w:cs="Amiri"/>
          <w:color w:val="111111"/>
          <w:sz w:val="28"/>
          <w:sz w:val="28"/>
          <w:szCs w:val="28"/>
          <w:rtl w:val="true"/>
          <w:lang w:bidi="ar-SA"/>
        </w:rPr>
        <w:t>غير مشتملة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للآخر أن يتزوّجها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والصدوق لم يذكر إلّا رواية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نعي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طلاق المفقود</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والشيخ في التهذيب لم يفرد لمسألتنا عنواناً، وإنّما ذكر المرفوعة ورواية أديم تحت قول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سافح امرأة وهي ذات بعل لم يحلّ له العقد عليها أبداً، وكذا إن سافحها وهي في عدّة من بعلٍ له عليها رجعة فإنّها لا تحلّ له أبداً</w:t>
      </w:r>
      <w:r>
        <w:rPr>
          <w:rFonts w:eastAsia="Amiri" w:cs="Amiri" w:ascii="Amiri" w:hAnsi="Amiri"/>
          <w:color w:val="111111"/>
          <w:sz w:val="28"/>
          <w:szCs w:val="28"/>
          <w:rtl w:val="true"/>
          <w:lang w:bidi="ar-SA"/>
        </w:rPr>
        <w:t>)</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رواية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فقدت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ومتى كان قد دخل بها لزمتها عدّتان</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وروايته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نعي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الزيادات</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أنْ يقال لكنّه قد جمع في بعض الروايات بين الحكم بالحرمة المؤبّدة في مسألة زواج المحرم والحكم بالحرمة المؤبدة في مسألة زواج ذات البعل، وهو ممّا يبعد عدم الالتفات إلى الحكم في ذات البعل لمن التفت إلى الحكم في زواج المحرم وأفتى </w:t>
      </w:r>
    </w:p>
    <w:p>
      <w:pPr>
        <w:pStyle w:val="BookText"/>
        <w:rPr/>
      </w:pPr>
      <w:r>
        <w:rPr>
          <w:rFonts w:ascii="IRNazanin" w:hAnsi="IRNazanin" w:eastAsia="IRNazanin"/>
          <w:color w:val="111111"/>
          <w:sz w:val="28"/>
          <w:sz w:val="28"/>
          <w:szCs w:val="28"/>
          <w:rtl w:val="true"/>
          <w:lang w:bidi="fa-IR"/>
        </w:rPr>
        <w:t xml:space="preserve">بالحرمة المؤبدة، وهذه الرواية هي رواية أديم بن الحرّ الخزاعي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المحرم إذا تزوّج وهو محرم فرّق بينهما ولا يتعاودان أبداً، والتي تتزوّج ولها زوج يفرّق بينهما ولا يتعاودان أبداً</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يقتصر الشيخ على رواية أديم، فقد ذكر معها رواية إبراهيم، وهي لم تتعرّض إلَّا إلى حكم مَن تزوّجها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يستبعد الالتفات إلى رواية إبراهيم دون الالتفات إلى رواية أديم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ما ذكر ليس بذلك الوضوح، فالروايات الدالّة على حرمة مَن تزوجها المحرم لا تقتصر على رواية أديم هذه، ولا على هذا الموضع من التهذيب، فقد عقد الكليني باباً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يتزوّج أو يزوّج ويطلّق ويشتري الجواري</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وذكر فيه ممّا يدل على التحريم المؤبّد مع رواية إبراهيم رواية أخرى، وروى في موضع آخر رواية ثالثة</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إلى احتمال بنائهم على أنّ الذيل ليس من الرواية،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 احتمال غفلة الجميع بما فيهم الشيخ الطوسي الذي قد أورد بنفسه أهمّ روايات الحرمة المؤبّدة ممّا لا تركن إليه النفس، مع أنّ المسألة موجودة في ما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من رسالة الشرائع في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في واقعه كتاب التكليف للشلمغاني فلا ينفع كثيراً في تقوية احتمال التفات الفقهاء إليه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تقدّم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 العلّامة في بيان وجه الإشكال في إلحاقها بالمعتدّة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ينشأ من عدم التنصيص ومن أولويّة التحريم</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فلعلّه أراد نفي النصّ الصحيح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بملاحظة ما في التحرير من ذكر رواية زرارة والطعن فيها بأنّ فيها ابن بكير، وقد قال الفاضل الهندي في شرح عبارة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من عدم التنصيص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من الأصحاب والأخبار إلّا في أخبارٍ غير صحيحة كموثّق أديم بن الحرّ</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وقال السيّد الجزائري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ذات البعل فرواياتها لا تخلو عن قصور في سند أو دلالة، ومن ثَمّ أعرض عنها الأكثر وعوّلوا على إلحاقها بذات العدّة؛ لمساواتها لها في المعنى وزيادة علاقة الزوجيّة</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ويجري هذا الاحتمال في حقّ من شابه العلّامة في نفي النصّ كالشهيد الثاني والفخر والمقداد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النسبة ما قاله السيّد صاحب الرياض في شرحه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العقد على ذات البعل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مؤبّداً مع الجهالة وعدم الدخول إجماعاً، وأمّا مع العلم أو الدخول فالأكثر على أنّها لا تحرم كالسابق، وفيه إشكال</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أين الإجماع والأكثريّة لولا أنّه فهم من عبارات المزبورين بناءهم على عدم الحرمة</w:t>
      </w:r>
      <w:r>
        <w:rPr>
          <w:rFonts w:eastAsia="Amiri" w:cs="Amiri" w:ascii="Amiri" w:hAnsi="Amiri"/>
          <w:color w:val="111111"/>
          <w:sz w:val="28"/>
          <w:szCs w:val="28"/>
          <w:rtl w:val="true"/>
          <w:lang w:bidi="ar-SA"/>
        </w:rPr>
        <w:t xml:space="preserve">! </w:t>
      </w:r>
      <w:bookmarkStart w:id="65" w:name="pg10913_110433"/>
    </w:p>
    <w:p>
      <w:pPr>
        <w:pStyle w:val="BookText"/>
        <w:rPr/>
      </w:pPr>
      <w:bookmarkEnd w:id="65"/>
      <w:r>
        <w:rPr>
          <w:rFonts w:ascii="Amiri" w:hAnsi="Amiri" w:eastAsia="Amiri" w:cs="Amiri"/>
          <w:color w:val="111111"/>
          <w:sz w:val="28"/>
          <w:sz w:val="28"/>
          <w:szCs w:val="28"/>
          <w:rtl w:val="true"/>
          <w:lang w:bidi="ar-SA"/>
        </w:rPr>
        <w:t>وكيفما كان، فالمهمّ أنّه لا توجد شهرة قدمائيّة على الحرمة، بل لا نعلم من أفتى بالحرمة قبل العلّامة إلّا صاحب 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3056466_2870459653"/>
      <w:bookmarkStart w:id="67" w:name="_Toc24"/>
      <w:bookmarkEnd w:id="66"/>
      <w:r>
        <w:rPr>
          <w:rtl w:val="true"/>
        </w:rPr>
        <w:t>الاستدلال على حكم المسألة</w:t>
      </w:r>
      <w:bookmarkEnd w:id="67"/>
    </w:p>
    <w:p>
      <w:pPr>
        <w:pStyle w:val="Heading5"/>
        <w:numPr>
          <w:ilvl w:val="4"/>
          <w:numId w:val="1"/>
        </w:numPr>
        <w:rPr/>
      </w:pPr>
      <w:bookmarkStart w:id="68" w:name="__RefHeading___Toc3056468_2870459653"/>
      <w:bookmarkStart w:id="69" w:name="_Toc25"/>
      <w:bookmarkEnd w:id="68"/>
      <w:r>
        <w:rPr>
          <w:rtl w:val="true"/>
        </w:rPr>
        <w:t>اشارة</w:t>
      </w:r>
      <w:bookmarkEnd w:id="69"/>
    </w:p>
    <w:p>
      <w:pPr>
        <w:pStyle w:val="BookText"/>
        <w:rPr/>
      </w:pPr>
      <w:r>
        <w:rPr>
          <w:rFonts w:ascii="Amiri" w:hAnsi="Amiri" w:eastAsia="Amiri" w:cs="Amiri"/>
          <w:color w:val="111111"/>
          <w:sz w:val="28"/>
          <w:sz w:val="28"/>
          <w:szCs w:val="28"/>
          <w:rtl w:val="true"/>
          <w:lang w:bidi="ar-SA"/>
        </w:rPr>
        <w:t>استدلّ على حكم المسألة بدليلين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الأولويّة، والروايات، فالكلام في مقامين</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3056470_2870459653"/>
      <w:bookmarkStart w:id="71" w:name="_Toc26"/>
      <w:bookmarkEnd w:id="70"/>
      <w:r>
        <w:rPr>
          <w:rtl w:val="true"/>
        </w:rPr>
        <w:t>المقام الأوّل</w:t>
      </w:r>
      <w:r>
        <w:rPr>
          <w:rtl w:val="true"/>
        </w:rPr>
        <w:t xml:space="preserve">: </w:t>
      </w:r>
      <w:r>
        <w:rPr>
          <w:rtl w:val="true"/>
        </w:rPr>
        <w:t>في الأولويّة</w:t>
      </w:r>
      <w:bookmarkEnd w:id="71"/>
    </w:p>
    <w:p>
      <w:pPr>
        <w:pStyle w:val="Heading6"/>
        <w:numPr>
          <w:ilvl w:val="5"/>
          <w:numId w:val="1"/>
        </w:numPr>
        <w:rPr/>
      </w:pPr>
      <w:bookmarkStart w:id="72" w:name="__RefHeading___Toc3056472_2870459653"/>
      <w:bookmarkStart w:id="73" w:name="_Toc27"/>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وصورة هذه الأولويّة أنّ دخول ذات البعل في الحرمة المؤبّدة على من تزوّج بها أولى من دخول المعتدّة الرجعيّة في حكم الحرمة الذي لا خلاف فيه نصّاً وفتوى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كلمات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أقوائية علاقة الزوجية من علاقة الاعتداد أو كون الأثر المحتمل لبقاء النِكاح إنّما هو تأكيد التحريم، فلو لم يؤكّده لا يكون نافياً له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ذُكرت هذه الأولويّة في كلمات جماعة من الأعلام في المقام، إمّا كأحد وجهي الإشكال في المسألة المبحوث عنها كعُنصر إثبات في مقابل عدم النصّ كعنصر نفي، وإمّا كدليل صالح على حكم المسألة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الأوّل قول العلّامة في القواعد، والشهيد الثاني في المسالك</w:t>
      </w:r>
      <w:r>
        <w:rPr>
          <w:rStyle w:val="FootnoteAnchor"/>
          <w:rtl w:val="true"/>
        </w:rPr>
        <w:footnoteReference w:id="122"/>
      </w:r>
      <w:r>
        <w:rPr>
          <w:rFonts w:ascii="Amiri" w:hAnsi="Amiri" w:eastAsia="Amiri" w:cs="Amiri"/>
          <w:color w:val="111111"/>
          <w:sz w:val="28"/>
          <w:sz w:val="28"/>
          <w:szCs w:val="28"/>
          <w:rtl w:val="true"/>
          <w:lang w:bidi="ar-SA"/>
        </w:rPr>
        <w:t>، حيث قال العلّامة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تزوّج بذات بعل ففي إلحاقه بالمعتدة إشكال، ينشأ من عدم التنصيص، ومن أولويّة التحريم</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الثاني ما اختاره المحقّق الكركي في جامع المقاصد من الاستناد للأولويّة،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علاقة الزوجة أقوى من علاقة الاعتداد، فيثبت التحريم مع الزوجية بطريق أولى</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قوّى الشهيد الثاني في الروضة هذه الأولويّة بعد استشكاله في الحكم،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ووجه الإشكال مع عدم النصّ عليه بخصوصه، وكون الحكم بالتحريم هنا أولى للعلاقة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أقوى</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وقَبِل الأولويّة الفيض الكاشاني في المفاتيح، والسيّد صاحب الرياض</w:t>
      </w:r>
      <w:r>
        <w:rPr>
          <w:rStyle w:val="FootnoteAnchor"/>
          <w:rtl w:val="true"/>
        </w:rPr>
        <w:footnoteReference w:id="126"/>
      </w:r>
      <w:r>
        <w:rPr>
          <w:rFonts w:ascii="Amiri" w:hAnsi="Amiri" w:eastAsia="Amiri" w:cs="Amiri"/>
          <w:color w:val="111111"/>
          <w:sz w:val="28"/>
          <w:sz w:val="28"/>
          <w:szCs w:val="28"/>
          <w:rtl w:val="true"/>
          <w:lang w:bidi="ar-SA"/>
        </w:rPr>
        <w:t xml:space="preserve">، وكذا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قرّبها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بقاء النكاح لو لم يؤكّد التحريم لم ينفه قطعاً</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رفض هذه الأولويّة جماعة من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المحقّقين في الإيضاح</w:t>
      </w:r>
      <w:r>
        <w:rPr>
          <w:rStyle w:val="FootnoteAnchor"/>
          <w:rtl w:val="true"/>
        </w:rPr>
        <w:footnoteReference w:id="128"/>
      </w:r>
      <w:r>
        <w:rPr>
          <w:rFonts w:ascii="Amiri" w:hAnsi="Amiri" w:eastAsia="Amiri" w:cs="Amiri"/>
          <w:color w:val="111111"/>
          <w:sz w:val="28"/>
          <w:sz w:val="28"/>
          <w:szCs w:val="28"/>
          <w:rtl w:val="true"/>
          <w:lang w:bidi="ar-SA"/>
        </w:rPr>
        <w:t>، والفاضل المقداد في التنقيح</w:t>
      </w:r>
      <w:r>
        <w:rPr>
          <w:rStyle w:val="FootnoteAnchor"/>
          <w:rtl w:val="true"/>
        </w:rPr>
        <w:footnoteReference w:id="129"/>
      </w:r>
      <w:r>
        <w:rPr>
          <w:rFonts w:ascii="Amiri" w:hAnsi="Amiri" w:eastAsia="Amiri" w:cs="Amiri"/>
          <w:color w:val="111111"/>
          <w:sz w:val="28"/>
          <w:sz w:val="28"/>
          <w:szCs w:val="28"/>
          <w:rtl w:val="true"/>
          <w:lang w:bidi="ar-SA"/>
        </w:rPr>
        <w:t>، وكذا السيّد العاملي في نهاية المرام،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ويشكل بأنّ الأولويّة إنّما تثبت إذا ثبت التعليل، وهو غير ثابت هنا؛ إذ من الجائز اختصاص المعتدّة بمزيّة اقتضت ذلك، وبالجملة فإلحاق ذات البعل بالمعتدّة في هذا الحكم لا يخرج عن القياس</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وكذا الفاضل الهندي في كشف اللثام</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وجماعة ممّن </w:t>
      </w:r>
    </w:p>
    <w:p>
      <w:pPr>
        <w:pStyle w:val="BookText"/>
        <w:rPr/>
      </w:pPr>
      <w:r>
        <w:rPr>
          <w:rFonts w:ascii="Amiri" w:hAnsi="Amiri" w:eastAsia="Amiri" w:cs="Amiri"/>
          <w:color w:val="111111"/>
          <w:sz w:val="28"/>
          <w:sz w:val="28"/>
          <w:szCs w:val="28"/>
          <w:rtl w:val="true"/>
          <w:lang w:bidi="ar-SA"/>
        </w:rPr>
        <w:t>تأخّروا</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الحكم بتماميّة الأولويّة من عدمها نسلّط الضوء على نقطة،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مراد 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المقام، من أنّه هل التعدّي من نفس الحكم أو بمساعدة دليل الحكم؟</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للتعدّي من حكم مسألة إلى أخرى بلا تنصيص على العلّة طريقتين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الحكم وبأي طريق ثبت بنصّ أو إجماع أو سيرة أو غيرها، فإنّه يلاحظ الحكم والموضوع ويستنبط منهما العلّة إمّا بتمام حدودها أو بما يمكنه من إثباتها أو نفيها في الآخر، ومتى قطع بها حكم في الموضع الثاني على أساسها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يمكن أن يكون قياساً إذا لم يكن قطعيّاً، ويناسب الاصطلاح عليه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المناط القطعي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تنقيح للمناط ظنّاً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بغضّ النظر عن جدوى هذه الطريقة فإنّه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للعقل القطع بالعلّة التامّة للحكم في موضع وبتحقّقها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الدليل لفظيّاً فحيث إنّه ملقى إلى العرف فإذا كان العرف لا يرى فرقاً بين مورد النصّ ومورد آخر وفق المناسبات المركوزة في أذهانهم، أو يرى الآخر أولى بالحكم من الأوّل تعدّى بالحكم إلى الآخر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يناسب الاصطلاح عليه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إلغاء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المثاليّة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والفرق بينهما أنّ الأوّل ملاك حجّيّته القطع، ولا دخالة للعرف فيه لا من قريب ولا من بعيد، أمّا الآخر فهو فَهْم عرفي، حجّيّته من حجّيّة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من القطع بأنّ فَهْم العرف هو هكذا، وهو شيء آخر لا بُدَّ منه في كلّ ظهور</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وكذلك يظهر هذا من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منع إلغاء الخصوصيّة في نظر السائل، وَقِبلَ الأولويّة في التعدّي في لزوم الكفارة على من نقّص شوطاً إلى من نقّص أكثر من ثلاثة وفق صحيحة سعيد بن يسار،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مناسك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اتّضح هذا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عبارات الأصحاب أعلاه ناظرة إلى الطريقة الأولى خصوصاً عبارة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هناك عبارات أخرى ظاهرة في الأخرى، إذ قال في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وحمله على ذات العدّة قياس، مع أنّ الأقرب ذلك، وثبوت الحكم فيه بطريق التنبيه لا القياس</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xml:space="preserve">، وظاهر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رفض الطريقة الأولى؛ إذ من أين نعلم علماً لا شكّ فيه بالعلّة التامّة وتحقّقها؟ إلّا أنّه قَبِلَ الأخرى، فهو يقبل أنّ العرف لا يرى فرقاً؛ فإنّ دلالة التنبيه وإن لم يتوقّف عليها صدق الكلام وصحّته إلّا أنّها مقصودة عرفاً، ويقطع معها بإرادة المعنى الآخر أو يستبعد عدم إرادته</w:t>
      </w:r>
      <w:r>
        <w:rPr>
          <w:rStyle w:val="FootnoteAnchor"/>
          <w:rtl w:val="true"/>
        </w:rPr>
        <w:footnoteReference w:id="135"/>
      </w:r>
      <w:r>
        <w:rPr>
          <w:rFonts w:ascii="Amiri" w:hAnsi="Amiri" w:eastAsia="Amiri" w:cs="Amiri"/>
          <w:color w:val="111111"/>
          <w:sz w:val="28"/>
          <w:sz w:val="28"/>
          <w:szCs w:val="28"/>
          <w:rtl w:val="true"/>
          <w:lang w:bidi="ar-SA"/>
        </w:rPr>
        <w:t xml:space="preserve">، وقال في </w:t>
      </w:r>
    </w:p>
    <w:p>
      <w:pPr>
        <w:pStyle w:val="BookText"/>
        <w:rPr/>
      </w:pPr>
      <w:r>
        <w:rPr>
          <w:rFonts w:ascii="Amiri" w:hAnsi="Amiri" w:eastAsia="Amiri" w:cs="Amiri"/>
          <w:color w:val="111111"/>
          <w:sz w:val="28"/>
          <w:sz w:val="28"/>
          <w:szCs w:val="28"/>
          <w:rtl w:val="true"/>
          <w:lang w:bidi="ar-SA"/>
        </w:rPr>
        <w:t>المسالك في تقريبها كوجهٍ للإشكال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مساواتها لها في المعنى وزيادة علقة الزوجيّة، فيكون من باب مفهوم الموافقة</w:t>
      </w:r>
      <w:r>
        <w:rPr>
          <w:rFonts w:eastAsia="Amiri" w:cs="Amiri" w:ascii="Amiri" w:hAnsi="Amiri"/>
          <w:color w:val="111111"/>
          <w:sz w:val="28"/>
          <w:szCs w:val="28"/>
          <w:rtl w:val="true"/>
          <w:lang w:bidi="ar-SA"/>
        </w:rPr>
        <w:t>...)</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تصريح بالأخرى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ودافع عنها السيّد صاحب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التزم بها بما نقلناه من عبارته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والاستشكال فيه بتوقّف الأولويّة على ثبوت علّيّة الزوجيّة، وهي غير ثابتة؛ لاحتمال اختصاص المعتدّة بمزيد علّة اقتضت الحرمة، مدفوع بمخالفة الاحتمال للظاهر، مع جريانه في كلّ 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القول بأنّ من منع كان ناظراً إلى الطريقة الأولى، ومنعها لعدم القطع بأنّ العلّة هي الزوجيّة فإنّه يوجد احتمال الخصوصيّة في المعتدّة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الصحيح أن ننظر للأخرى، وفيها يعتمد على العرف والعرف لا يرى فرقاً،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وكيفما كان، فعلى الطريقة الأولى لا مجال لدعوى الأولويّة، فأنّى لنا بالقطع بعدم دخالة كونها معتدّة؟</w:t>
      </w:r>
    </w:p>
    <w:p>
      <w:pPr>
        <w:pStyle w:val="BookText"/>
        <w:rPr/>
      </w:pPr>
      <w:r>
        <w:rPr>
          <w:rFonts w:ascii="Amiri" w:hAnsi="Amiri" w:eastAsia="Amiri" w:cs="Amiri"/>
          <w:color w:val="111111"/>
          <w:sz w:val="28"/>
          <w:sz w:val="28"/>
          <w:szCs w:val="28"/>
          <w:rtl w:val="true"/>
          <w:lang w:bidi="ar-SA"/>
        </w:rPr>
        <w:t xml:space="preserve">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الأولويّة غير ظاهرة؛ لما عرفت من احتمال أن يكون التحريم الأبدي الذي هو حكم تعبدي من آثار العدّة بالخصوص وإن كان لعلقة الزوجية دخل فيه في الجملة لكن لا على الاستقلال، وحينئذ لا مجال للقطع بالأولويّة</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الطريقة الأخرى فاحتمال الفرق عند العرف قائم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منه ليس أيّ عرفٍ وإنّما المطّلع على تقنينات المشرّع، ومن يطلع على الحكم المقيس عليه يلاحظ أنّه لم تُجعل علقة الزوجيّة ولا فكرة حرمة الزوج هي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أجاد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غاية ما يمكن أن يقال عن هذه الأولويّة إنّها مظنونة وليست بقطعيّة، فإنّ هذه الأحكام تعبّديّة محضة، ولا يمكن كشف الملاك منها، وإحراز أنّه هو العلقة </w:t>
      </w:r>
      <w:bookmarkStart w:id="74" w:name="pg10913_110443"/>
    </w:p>
    <w:p>
      <w:pPr>
        <w:pStyle w:val="BookText"/>
        <w:rPr/>
      </w:pPr>
      <w:bookmarkEnd w:id="74"/>
      <w:r>
        <w:rPr>
          <w:rFonts w:ascii="Amiri" w:hAnsi="Amiri" w:eastAsia="Amiri" w:cs="Amiri"/>
          <w:color w:val="111111"/>
          <w:sz w:val="28"/>
          <w:sz w:val="28"/>
          <w:szCs w:val="28"/>
          <w:rtl w:val="true"/>
          <w:lang w:bidi="ar-SA"/>
        </w:rPr>
        <w:t>الزوجيّة، بل يمكن دعوى العلم بعدم كونها هي الملاك في ثبوت الحرمة في التزوّج من ذات العدّة، وذلك لثبوت الحرمة الأبديّة في موارد لا يوجد فيها أي نوع من العلقة الزوجيّة كالتزوّج من المعتدّة عدّة وطء الشبهة، أو المعتدّة عن الطلاق التاسع أو المعتدّة عن فسخ النكاح لرضاع أو ما شابهه مع العلم بالموضوع أو الحكم، فإنّها تثبت مع أنّ العلقة الزوجيّة فيها مفقودة بالمرّة، فإنّ ذلك يكشف عن عدم كون وجود العلقة الزوجيّة ملاكاً لثبوت الحرمة الأبديّة</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 w:name="__RefHeading___Toc3056474_2870459653"/>
      <w:bookmarkStart w:id="76" w:name="_Toc28"/>
      <w:bookmarkEnd w:id="75"/>
      <w:r>
        <w:rPr>
          <w:rtl w:val="true"/>
        </w:rPr>
        <w:t>كلام لصاحب الجواهر</w:t>
      </w:r>
      <w:bookmarkEnd w:id="76"/>
    </w:p>
    <w:p>
      <w:pPr>
        <w:pStyle w:val="BookText"/>
        <w:rPr/>
      </w:pPr>
      <w:r>
        <w:rPr>
          <w:rFonts w:ascii="Amiri" w:hAnsi="Amiri" w:eastAsia="Amiri" w:cs="Amiri"/>
          <w:color w:val="111111"/>
          <w:sz w:val="28"/>
          <w:sz w:val="28"/>
          <w:szCs w:val="28"/>
          <w:rtl w:val="true"/>
          <w:lang w:bidi="ar-SA"/>
        </w:rPr>
        <w:t xml:space="preserve">ثمّ إنّ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تقريبها عن غير واحد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أولويّة حرمة الزوج التي هي حكمة الحكم المزبور فيها من ذات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ناقشه بأنّه كما ترى،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والأولى الاستدلال عليه بأنّه من ذات العدّة الرجعيّة قطعاً التي قد صرّح بها في خبر حمران السابق، وقد اتّفق النصّ والفتاوى على أنّها بحكم الزوجة، فيعلم منه حينئذ أنّ حكم الزوجة مثل حكمها، كما هو واضح</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حاصل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ذات العدّة الرجعيّة قد ثبتت لها الحرمة بلا ريب في رواية حمران </w:t>
      </w:r>
      <w:r>
        <w:rPr>
          <w:rStyle w:val="FootnoteAnchor"/>
          <w:rtl w:val="true"/>
        </w:rPr>
        <w:footnoteReference w:id="140"/>
      </w:r>
      <w:r>
        <w:rPr>
          <w:rFonts w:ascii="Amiri" w:hAnsi="Amiri" w:eastAsia="Amiri" w:cs="Amiri"/>
          <w:color w:val="111111"/>
          <w:sz w:val="28"/>
          <w:sz w:val="28"/>
          <w:szCs w:val="28"/>
          <w:rtl w:val="true"/>
          <w:lang w:bidi="ar-SA"/>
        </w:rPr>
        <w:t>، هذا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الرجعيّة بحكم الزوجة نصّاً وفتوى، </w:t>
      </w:r>
    </w:p>
    <w:p>
      <w:pPr>
        <w:pStyle w:val="BookText"/>
        <w:rPr/>
      </w:pPr>
      <w:r>
        <w:rPr>
          <w:rFonts w:ascii="Amiri" w:hAnsi="Amiri" w:eastAsia="Amiri" w:cs="Amiri"/>
          <w:color w:val="111111"/>
          <w:sz w:val="28"/>
          <w:sz w:val="28"/>
          <w:szCs w:val="28"/>
          <w:rtl w:val="true"/>
          <w:lang w:bidi="ar-SA"/>
        </w:rPr>
        <w:t>وهذا يعني أنّه لو ثبت حكم للزوجة يثبت للرجعيّة والعكس صحيح، فكلّ ما يثبت للرجعيّة يثبت للزوجة، فتثبت الحرمة المؤبّدة للزوجة؛ لأنّها ثابتة للرجعية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بعض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كانت الرجعيّة زوجة حقيقة لما اقتضى ذلك سراية حكمها إلى كلّ زوجة، فلعلّها تختصّ بحكم دون الباقي، فالحمل على وجه التنزيل ليس حاله بأقوى من الحقيقة، وليست المساواة ممتنعة إلّا أنّها خلاف الظاهر، بل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يعلم من ملاحظة النظائر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بالبيت صلاة، ومثل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الحمّام بمنزلة 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تنزيل الموضوع منزلة المحمول في أحكامه لا بالعكس، وهذا واضح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الكلام وجيه فالتنزيل في القانون كالتشبيه في البلاغة، وهو لا يعني ثبوت كلّ صفات المشبّه به للمشبّه فضلاً عن ثبوت كلّ صفات المشبّه للمشبّه به</w:t>
      </w:r>
      <w:r>
        <w:rPr>
          <w:rFonts w:eastAsia="Amiri" w:cs="Amiri" w:ascii="Amiri" w:hAnsi="Amiri"/>
          <w:color w:val="111111"/>
          <w:sz w:val="28"/>
          <w:szCs w:val="28"/>
          <w:rtl w:val="true"/>
          <w:lang w:bidi="ar-SA"/>
        </w:rPr>
        <w:t xml:space="preserve">. </w:t>
      </w:r>
      <w:bookmarkStart w:id="77" w:name="pg10913_110447"/>
    </w:p>
    <w:p>
      <w:pPr>
        <w:pStyle w:val="Heading5"/>
        <w:numPr>
          <w:ilvl w:val="4"/>
          <w:numId w:val="1"/>
        </w:numPr>
        <w:rPr/>
      </w:pPr>
      <w:bookmarkStart w:id="78" w:name="__RefHeading___Toc3056476_2870459653"/>
      <w:bookmarkStart w:id="79" w:name="_Toc29"/>
      <w:bookmarkEnd w:id="77"/>
      <w:bookmarkEnd w:id="78"/>
      <w:r>
        <w:rPr>
          <w:rtl w:val="true"/>
        </w:rPr>
        <w:t>المقام الثّاني في الاستدلال بالرّوايات</w:t>
      </w:r>
      <w:bookmarkEnd w:id="79"/>
    </w:p>
    <w:p>
      <w:pPr>
        <w:pStyle w:val="Heading6"/>
        <w:numPr>
          <w:ilvl w:val="5"/>
          <w:numId w:val="1"/>
        </w:numPr>
        <w:rPr/>
      </w:pPr>
      <w:bookmarkStart w:id="80" w:name="__RefHeading___Toc3056478_2870459653"/>
      <w:bookmarkStart w:id="81" w:name="_Toc30"/>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وأمّا روايات المسألة فهي على قسمين</w:t>
      </w:r>
      <w:r>
        <w:rPr>
          <w:rFonts w:eastAsia="Amiri" w:cs="Amiri" w:ascii="Amiri" w:hAnsi="Amiri"/>
          <w:color w:val="111111"/>
          <w:sz w:val="28"/>
          <w:szCs w:val="28"/>
          <w:rtl w:val="true"/>
          <w:lang w:bidi="ar-SA"/>
        </w:rPr>
        <w:t>:</w:t>
      </w:r>
    </w:p>
    <w:p>
      <w:pPr>
        <w:pStyle w:val="Heading6"/>
        <w:numPr>
          <w:ilvl w:val="5"/>
          <w:numId w:val="1"/>
        </w:numPr>
        <w:rPr/>
      </w:pPr>
      <w:bookmarkStart w:id="82" w:name="__RefHeading___Toc3056480_2870459653"/>
      <w:bookmarkStart w:id="83" w:name="_Toc31"/>
      <w:bookmarkEnd w:id="82"/>
      <w:r>
        <w:rPr>
          <w:rtl w:val="true"/>
        </w:rPr>
        <w:t>القسم الأوَّل</w:t>
      </w:r>
      <w:r>
        <w:rPr>
          <w:rtl w:val="true"/>
        </w:rPr>
        <w:t xml:space="preserve">: </w:t>
      </w:r>
      <w:r>
        <w:rPr>
          <w:rtl w:val="true"/>
        </w:rPr>
        <w:t>ما يدلّ على الحرمة المؤبّدة</w:t>
      </w:r>
      <w:bookmarkEnd w:id="83"/>
    </w:p>
    <w:p>
      <w:pPr>
        <w:pStyle w:val="Heading6"/>
        <w:numPr>
          <w:ilvl w:val="5"/>
          <w:numId w:val="1"/>
        </w:numPr>
        <w:rPr/>
      </w:pPr>
      <w:bookmarkStart w:id="84" w:name="__RefHeading___Toc3056482_2870459653"/>
      <w:bookmarkStart w:id="85" w:name="_Toc32"/>
      <w:bookmarkEnd w:id="84"/>
      <w:r>
        <w:rPr>
          <w:rtl w:val="true"/>
        </w:rPr>
        <w:t>الرّواية الأولى</w:t>
      </w:r>
      <w:bookmarkEnd w:id="85"/>
    </w:p>
    <w:p>
      <w:pPr>
        <w:pStyle w:val="Heading6"/>
        <w:numPr>
          <w:ilvl w:val="5"/>
          <w:numId w:val="1"/>
        </w:numPr>
        <w:rPr/>
      </w:pPr>
      <w:bookmarkStart w:id="86" w:name="__RefHeading___Toc3056484_2870459653"/>
      <w:bookmarkStart w:id="87" w:name="_Toc33"/>
      <w:bookmarkEnd w:id="86"/>
      <w:r>
        <w:rPr>
          <w:rtl w:val="true"/>
        </w:rPr>
        <w:t>اشارة</w:t>
      </w:r>
      <w:bookmarkEnd w:id="87"/>
    </w:p>
    <w:p>
      <w:pPr>
        <w:pStyle w:val="BookText"/>
        <w:rPr/>
      </w:pPr>
      <w:r>
        <w:rPr>
          <w:rFonts w:ascii="IRNazanin" w:hAnsi="IRNazanin" w:eastAsia="IRNazanin"/>
          <w:color w:val="111111"/>
          <w:sz w:val="28"/>
          <w:sz w:val="28"/>
          <w:szCs w:val="28"/>
          <w:rtl w:val="true"/>
          <w:lang w:bidi="fa-IR"/>
        </w:rPr>
        <w:t>معتبرة أديم بن الحرّ،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تتزوّج ولها زوج يفرّق بينهما، ثمّ لا يتعاودان أبداً</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رواها الشيخ في التهذيب، وروى في موضع آخر منه عن أديم بن الحرّ الخزاعي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المحرم إذا تزوّج وهو محرم فرّق بينهما، ولا يتعاودان أبداً، والتي تتزوّج ولها زوج يفرّق بينهما، ولا يتعاودان أبداً</w:t>
      </w:r>
      <w:r>
        <w:rPr>
          <w:rFonts w:eastAsia="IRNazanin" w:cs="IRNazanin"/>
          <w:color w:val="111111"/>
          <w:sz w:val="28"/>
          <w:szCs w:val="28"/>
          <w:rtl w:val="true"/>
          <w:lang w:bidi="fa-IR"/>
        </w:rPr>
        <w:t>)</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والذيل جزء من الرواية، ولا وجه للتشكيك فيه كما عن بعضهم</w:t>
      </w:r>
      <w:r>
        <w:rPr>
          <w:rStyle w:val="FootnoteAnchor"/>
          <w:rtl w:val="true"/>
        </w:rPr>
        <w:footnoteReference w:id="144"/>
      </w:r>
      <w:r>
        <w:rPr>
          <w:rFonts w:ascii="Amiri" w:hAnsi="Amiri" w:eastAsia="Amiri" w:cs="Amiri"/>
          <w:color w:val="111111"/>
          <w:sz w:val="28"/>
          <w:sz w:val="28"/>
          <w:szCs w:val="28"/>
          <w:rtl w:val="true"/>
          <w:lang w:bidi="ar-SA"/>
        </w:rPr>
        <w:t>، فالظاهر أنّ الشيخ ذكر الرواية كاملة، وإن كان المقطع الآخر ليس محلّا ً للاستشهاد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الوسائل</w:t>
      </w:r>
      <w:r>
        <w:rPr>
          <w:rStyle w:val="FootnoteAnchor"/>
          <w:rtl w:val="true"/>
        </w:rPr>
        <w:footnoteReference w:id="145"/>
      </w:r>
      <w:r>
        <w:rPr>
          <w:rFonts w:ascii="Amiri" w:hAnsi="Amiri" w:eastAsia="Amiri" w:cs="Amiri"/>
          <w:color w:val="111111"/>
          <w:sz w:val="28"/>
          <w:sz w:val="28"/>
          <w:szCs w:val="28"/>
          <w:rtl w:val="true"/>
          <w:lang w:bidi="ar-SA"/>
        </w:rPr>
        <w:t>وموضع من الوافي</w:t>
      </w:r>
      <w:r>
        <w:rPr>
          <w:rStyle w:val="FootnoteAnchor"/>
          <w:rtl w:val="true"/>
        </w:rPr>
        <w:footnoteReference w:id="146"/>
      </w:r>
      <w:r>
        <w:rPr>
          <w:rFonts w:ascii="Amiri" w:hAnsi="Amiri" w:eastAsia="Amiri" w:cs="Amiri"/>
          <w:color w:val="111111"/>
          <w:sz w:val="28"/>
          <w:sz w:val="28"/>
          <w:szCs w:val="28"/>
          <w:rtl w:val="true"/>
          <w:lang w:bidi="ar-SA"/>
        </w:rPr>
        <w:t>نقلت كاملة</w:t>
      </w:r>
      <w:r>
        <w:rPr>
          <w:rFonts w:eastAsia="Amiri" w:cs="Amiri" w:ascii="Amiri" w:hAnsi="Amiri"/>
          <w:color w:val="111111"/>
          <w:sz w:val="28"/>
          <w:szCs w:val="28"/>
          <w:rtl w:val="true"/>
          <w:lang w:bidi="ar-SA"/>
        </w:rPr>
        <w:t xml:space="preserve">. </w:t>
      </w:r>
      <w:bookmarkStart w:id="88" w:name="pg10913_110450"/>
    </w:p>
    <w:p>
      <w:pPr>
        <w:pStyle w:val="Heading6"/>
        <w:numPr>
          <w:ilvl w:val="5"/>
          <w:numId w:val="1"/>
        </w:numPr>
        <w:rPr/>
      </w:pPr>
      <w:bookmarkStart w:id="89" w:name="__RefHeading___Toc3056486_2870459653"/>
      <w:bookmarkStart w:id="90" w:name="_Toc34"/>
      <w:bookmarkEnd w:id="88"/>
      <w:bookmarkEnd w:id="89"/>
      <w:r>
        <w:rPr>
          <w:rtl w:val="true"/>
        </w:rPr>
        <w:t>السّند</w:t>
      </w:r>
      <w:bookmarkEnd w:id="90"/>
    </w:p>
    <w:p>
      <w:pPr>
        <w:pStyle w:val="Heading6"/>
        <w:numPr>
          <w:ilvl w:val="5"/>
          <w:numId w:val="1"/>
        </w:numPr>
        <w:rPr/>
      </w:pPr>
      <w:bookmarkStart w:id="91" w:name="__RefHeading___Toc3056488_2870459653"/>
      <w:bookmarkStart w:id="92" w:name="_Toc35"/>
      <w:bookmarkEnd w:id="91"/>
      <w:r>
        <w:rPr>
          <w:rtl w:val="true"/>
        </w:rPr>
        <w:t>اشارة</w:t>
      </w:r>
      <w:bookmarkEnd w:id="92"/>
    </w:p>
    <w:p>
      <w:pPr>
        <w:pStyle w:val="BookText"/>
        <w:rPr/>
      </w:pPr>
      <w:r>
        <w:rPr>
          <w:rFonts w:ascii="Amiri" w:hAnsi="Amiri" w:eastAsia="Amiri" w:cs="Amiri"/>
          <w:color w:val="111111"/>
          <w:sz w:val="28"/>
          <w:sz w:val="28"/>
          <w:szCs w:val="28"/>
          <w:rtl w:val="true"/>
          <w:lang w:bidi="ar-SA"/>
        </w:rPr>
        <w:t>والرواية معتبرة كما وصفناها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أديم بن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لاتّحاد رواية أديم بن الحرّ مع ذيل رواية الخزاعي، والخزاعي لم يوثّق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المقام احتمالات ثلاثة</w:t>
      </w:r>
      <w:r>
        <w:rPr>
          <w:rFonts w:eastAsia="Amiri" w:cs="Amiri" w:ascii="Amiri" w:hAnsi="Amiri"/>
          <w:color w:val="111111"/>
          <w:sz w:val="28"/>
          <w:szCs w:val="28"/>
          <w:rtl w:val="true"/>
          <w:lang w:bidi="ar-SA"/>
        </w:rPr>
        <w:t>:</w:t>
      </w:r>
    </w:p>
    <w:p>
      <w:pPr>
        <w:pStyle w:val="Heading6"/>
        <w:numPr>
          <w:ilvl w:val="5"/>
          <w:numId w:val="1"/>
        </w:numPr>
        <w:rPr/>
      </w:pPr>
      <w:bookmarkStart w:id="93" w:name="__RefHeading___Toc3056490_2870459653"/>
      <w:bookmarkStart w:id="94" w:name="_Toc36"/>
      <w:bookmarkEnd w:id="93"/>
      <w:r>
        <w:rPr>
          <w:rtl w:val="true"/>
        </w:rPr>
        <w:t>الاحتمال الأوّل</w:t>
      </w:r>
      <w:bookmarkEnd w:id="94"/>
    </w:p>
    <w:p>
      <w:pPr>
        <w:pStyle w:val="Heading6"/>
        <w:numPr>
          <w:ilvl w:val="5"/>
          <w:numId w:val="1"/>
        </w:numPr>
        <w:rPr/>
      </w:pPr>
      <w:bookmarkStart w:id="95" w:name="__RefHeading___Toc3056492_2870459653"/>
      <w:bookmarkStart w:id="96" w:name="_Toc37"/>
      <w:bookmarkEnd w:id="95"/>
      <w:r>
        <w:rPr>
          <w:rtl w:val="true"/>
        </w:rPr>
        <w:t>اشارة</w:t>
      </w:r>
      <w:bookmarkEnd w:id="96"/>
    </w:p>
    <w:p>
      <w:pPr>
        <w:pStyle w:val="BookText"/>
        <w:rPr/>
      </w:pPr>
      <w:r>
        <w:rPr>
          <w:rFonts w:ascii="Amiri" w:hAnsi="Amiri" w:eastAsia="Amiri" w:cs="Amiri"/>
          <w:color w:val="111111"/>
          <w:sz w:val="28"/>
          <w:sz w:val="28"/>
          <w:szCs w:val="28"/>
          <w:rtl w:val="true"/>
          <w:lang w:bidi="ar-SA"/>
        </w:rPr>
        <w:t xml:space="preserve">اتّحاد الجعفي مع الخزاعي، وهو ما لم يستبعده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المعجم</w:t>
      </w:r>
      <w:r>
        <w:rPr>
          <w:rStyle w:val="FootnoteAnchor"/>
          <w:rtl w:val="true"/>
        </w:rPr>
        <w:footnoteReference w:id="147"/>
      </w:r>
      <w:r>
        <w:rPr>
          <w:rFonts w:ascii="Amiri" w:hAnsi="Amiri" w:eastAsia="Amiri" w:cs="Amiri"/>
          <w:color w:val="111111"/>
          <w:sz w:val="28"/>
          <w:sz w:val="28"/>
          <w:szCs w:val="28"/>
          <w:rtl w:val="true"/>
          <w:lang w:bidi="ar-SA"/>
        </w:rPr>
        <w:t>، ويظهر أنّه بنى عليه في كتاب النكاح</w:t>
      </w:r>
      <w:r>
        <w:rPr>
          <w:rStyle w:val="FootnoteAnchor"/>
          <w:rtl w:val="true"/>
        </w:rPr>
        <w:footnoteReference w:id="148"/>
      </w:r>
      <w:r>
        <w:rPr>
          <w:rFonts w:ascii="Amiri" w:hAnsi="Amiri" w:eastAsia="Amiri" w:cs="Amiri"/>
          <w:color w:val="111111"/>
          <w:sz w:val="28"/>
          <w:sz w:val="28"/>
          <w:szCs w:val="28"/>
          <w:rtl w:val="true"/>
          <w:lang w:bidi="ar-SA"/>
        </w:rPr>
        <w:t>حيث عبّر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معتبرة أديم بن الحرّ 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طريق معتدّ به لاعتبارها إلّا اتّحاده مع الجعفي، ويمكن التوصّل إليه بطريقين</w:t>
      </w:r>
      <w:r>
        <w:rPr>
          <w:rFonts w:eastAsia="Amiri" w:cs="Amiri" w:ascii="Amiri" w:hAnsi="Amiri"/>
          <w:color w:val="111111"/>
          <w:sz w:val="28"/>
          <w:szCs w:val="28"/>
          <w:rtl w:val="true"/>
          <w:lang w:bidi="ar-SA"/>
        </w:rPr>
        <w:t>:</w:t>
      </w:r>
    </w:p>
    <w:p>
      <w:pPr>
        <w:pStyle w:val="Heading6"/>
        <w:numPr>
          <w:ilvl w:val="5"/>
          <w:numId w:val="1"/>
        </w:numPr>
        <w:rPr/>
      </w:pPr>
      <w:bookmarkStart w:id="97" w:name="__RefHeading___Toc3056494_2870459653"/>
      <w:bookmarkStart w:id="98" w:name="_Toc38"/>
      <w:bookmarkEnd w:id="97"/>
      <w:r>
        <w:rPr>
          <w:rtl w:val="true"/>
        </w:rPr>
        <w:t>الطّريق الأوّل</w:t>
      </w:r>
      <w:bookmarkEnd w:id="98"/>
    </w:p>
    <w:p>
      <w:pPr>
        <w:pStyle w:val="BookText"/>
        <w:rPr/>
      </w:pPr>
      <w:r>
        <w:rPr>
          <w:rFonts w:ascii="IRNazanin" w:hAnsi="IRNazanin" w:eastAsia="IRNazanin"/>
          <w:color w:val="111111"/>
          <w:sz w:val="28"/>
          <w:sz w:val="28"/>
          <w:szCs w:val="28"/>
          <w:rtl w:val="true"/>
          <w:lang w:bidi="fa-IR"/>
        </w:rPr>
        <w:t xml:space="preserve">إثبات الاتّحاد بالمباشرة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بملاحظة عنوان أديم بن الحرّ الجعفي وعنوان أديم بن الحرّ الخزاعي بلا توسّط عنوان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يستبعد أن يتّحد راويان باسم الأب والطبقة وفي الرواية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ويروي عنهما عبد الله بن بكير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ذلك لوحده قد لا يكون كافياً بملاحظة أنّ للخزاعي فيما وصل إلينا رواية واحدة فقط رواها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ورواها عنه عبد الله بن بكير</w:t>
      </w:r>
      <w:r>
        <w:rPr>
          <w:rStyle w:val="FootnoteAnchor"/>
          <w:rtl w:val="true"/>
        </w:rPr>
        <w:footnoteReference w:id="149"/>
      </w:r>
      <w:r>
        <w:rPr>
          <w:rFonts w:ascii="Amiri" w:hAnsi="Amiri" w:eastAsia="Amiri" w:cs="Amiri"/>
          <w:color w:val="111111"/>
          <w:sz w:val="28"/>
          <w:sz w:val="28"/>
          <w:szCs w:val="28"/>
          <w:rtl w:val="true"/>
          <w:lang w:bidi="ar-SA"/>
        </w:rPr>
        <w:t xml:space="preserve">، وأنّ في روايات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بملاحظة أنّه هو المراد عند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تنوّع، فقد روى عن حمران بن أعين، وروى عنه عمر بن أبان</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معلّى بن خنيس وروى عنه يحيى الحلبي</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bookmarkStart w:id="99" w:name="pg10913_110452"/>
    </w:p>
    <w:p>
      <w:pPr>
        <w:pStyle w:val="BookText"/>
        <w:rPr/>
      </w:pPr>
      <w:bookmarkEnd w:id="99"/>
      <w:r>
        <w:rPr>
          <w:rFonts w:ascii="IRNazanin" w:hAnsi="IRNazanin" w:eastAsia="IRNazanin"/>
          <w:color w:val="111111"/>
          <w:sz w:val="28"/>
          <w:sz w:val="28"/>
          <w:szCs w:val="28"/>
          <w:rtl w:val="true"/>
          <w:lang w:bidi="fa-IR"/>
        </w:rPr>
        <w:t xml:space="preserve">ولم تقتصر رواياته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ابن بكير، وإنّما رواها عنه غير ابن بكير كجعفر بن بشير</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وحمّاد بن عثمان</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يمكن أن يقال لو تمثّل شيء من هذا التنوّع في روايات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أقل من أن تكون قد تكرّرت ولو على شاكلة واحدة،لأمكن دعوى الوثوق بالاتّحاد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والحال أنّها واحدة فلا تثريب على المتوقّف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لو كان للخزاعي موارد يتفرّد بها لكان الوثوق بالاتّحاد أبعدَ أو ممنوعاً، وعليه فلا يقال لماذا عدم الوثوق والحال أنّ رواية الخزاعي لم تشذّ عن موارد روايات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6"/>
        <w:numPr>
          <w:ilvl w:val="5"/>
          <w:numId w:val="1"/>
        </w:numPr>
        <w:rPr/>
      </w:pPr>
      <w:bookmarkStart w:id="100" w:name="__RefHeading___Toc3056496_2870459653"/>
      <w:bookmarkStart w:id="101" w:name="_Toc39"/>
      <w:bookmarkEnd w:id="100"/>
      <w:r>
        <w:rPr>
          <w:rtl w:val="true"/>
        </w:rPr>
        <w:t>الطّريق الآخر</w:t>
      </w:r>
      <w:bookmarkEnd w:id="101"/>
    </w:p>
    <w:p>
      <w:pPr>
        <w:pStyle w:val="BookText"/>
        <w:rPr/>
      </w:pPr>
      <w:r>
        <w:rPr>
          <w:rFonts w:ascii="Amiri" w:hAnsi="Amiri" w:eastAsia="Amiri" w:cs="Amiri"/>
          <w:color w:val="111111"/>
          <w:sz w:val="28"/>
          <w:sz w:val="28"/>
          <w:szCs w:val="28"/>
          <w:rtl w:val="true"/>
          <w:lang w:bidi="ar-SA"/>
        </w:rPr>
        <w:t xml:space="preserve">إثبات الاتّحاد بالواسطة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بإدخال عنوان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أديم بيّاع الهروي، فقد بنى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المعجم</w:t>
      </w:r>
      <w:r>
        <w:rPr>
          <w:rStyle w:val="FootnoteAnchor"/>
          <w:rtl w:val="true"/>
        </w:rPr>
        <w:footnoteReference w:id="154"/>
      </w:r>
      <w:r>
        <w:rPr>
          <w:rFonts w:ascii="Amiri" w:hAnsi="Amiri" w:eastAsia="Amiri" w:cs="Amiri"/>
          <w:color w:val="111111"/>
          <w:sz w:val="28"/>
          <w:sz w:val="28"/>
          <w:szCs w:val="28"/>
          <w:rtl w:val="true"/>
          <w:lang w:bidi="ar-SA"/>
        </w:rPr>
        <w:t>على اتّحاده مع الخزاعي لاتّحاد الراوي والمروي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خطوة أولى وهي بحاجة إلى خطوة أخرى، وهي اتّحاد أديم بن الحرّ الجعفي مع أديم بيّاع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ليتمّ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بنى عليها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النكاح</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والخطوة الأخرى تامّة فإنّه من جهةٍ يوجد لأديم بن الحرّ الجعفي أخ يسمّى أيوب، فقد قال الصدوق في طريقه إلى أيوب بن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أيوب بن الحرّ الجعفي الكوفي أخي </w:t>
      </w:r>
    </w:p>
    <w:p>
      <w:pPr>
        <w:pStyle w:val="BookText"/>
        <w:rPr/>
      </w:pPr>
      <w:r>
        <w:rPr>
          <w:rFonts w:ascii="Amiri" w:hAnsi="Amiri" w:eastAsia="Amiri" w:cs="Amiri"/>
          <w:color w:val="111111"/>
          <w:sz w:val="28"/>
          <w:sz w:val="28"/>
          <w:szCs w:val="28"/>
          <w:rtl w:val="true"/>
          <w:lang w:bidi="ar-SA"/>
        </w:rPr>
        <w:t>أديم بن الحرّ وهو مولى</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وقال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أيوب بن الحرّ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يعرف بأخي أديم</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زكريا بن الحرّ الجعفي أخو أديم وأيوب</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xml:space="preserve">، وورد في جملة من الأسانيد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أيوب بن الحرّ أخي أديم</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ومن الواضح أنّ أديم هنا وفي عبارة النجاشي هو ابن الحرّ؛ لأنّ الوارد أيوب بن الحرّ وزكريا بن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أيضاً لأديم بيّاع الهروي أخ يسمّى أيوب، فقد ورد في الأسانيد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أديم بيّاع الهروي وأخيه أيوب</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أيوب أخي أديم بيّاع الهروي</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نقلنا يعلم أنّ كلّا ً من ابن الحرّ وبيّاع الهروي كانا ممّن يعرّف أخواهما بهما، وهذه نكتة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حجر في 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أديم بن الحرّ الخثعمي بيّاع الهروي، روى عن جعفر الصادق، روى عنه حمّاد بن عثمان، وذكره الكشي في رجال الشيعة</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الخثعمي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فقد عُبّر عنه بذلك في رجال الشيخ</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ومعه يحصل الوثوق، فإنّ هذا عنصر إضافي لم يكن متوفّراً في الخزاعي مع اشتراكه </w:t>
      </w:r>
    </w:p>
    <w:p>
      <w:pPr>
        <w:pStyle w:val="BookText"/>
        <w:rPr/>
      </w:pPr>
      <w:r>
        <w:rPr>
          <w:rFonts w:ascii="IRNazanin" w:hAnsi="IRNazanin" w:eastAsia="IRNazanin"/>
          <w:color w:val="111111"/>
          <w:sz w:val="28"/>
          <w:sz w:val="28"/>
          <w:szCs w:val="28"/>
          <w:rtl w:val="true"/>
          <w:lang w:bidi="fa-IR"/>
        </w:rPr>
        <w:t xml:space="preserve">ببعض النقاط الأخرى كالطبقة وروايته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ورواية ابن بكير عنه</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وبيّاع الهروي وإن افترق عن الجعفي برواية عروة بن موسى</w:t>
      </w:r>
      <w:r>
        <w:rPr>
          <w:rStyle w:val="FootnoteAnchor"/>
          <w:rtl w:val="true"/>
        </w:rPr>
        <w:footnoteReference w:id="165"/>
      </w:r>
      <w:r>
        <w:rPr>
          <w:rFonts w:ascii="Amiri" w:hAnsi="Amiri" w:eastAsia="Amiri" w:cs="Amiri"/>
          <w:color w:val="111111"/>
          <w:sz w:val="28"/>
          <w:sz w:val="28"/>
          <w:szCs w:val="28"/>
          <w:rtl w:val="true"/>
          <w:lang w:bidi="ar-SA"/>
        </w:rPr>
        <w:t>وعاصم بن حميد الحناط</w:t>
      </w:r>
      <w:r>
        <w:rPr>
          <w:rStyle w:val="FootnoteAnchor"/>
          <w:rtl w:val="true"/>
        </w:rPr>
        <w:footnoteReference w:id="166"/>
      </w:r>
      <w:r>
        <w:rPr>
          <w:rFonts w:ascii="Amiri" w:hAnsi="Amiri" w:eastAsia="Amiri" w:cs="Amiri"/>
          <w:color w:val="111111"/>
          <w:sz w:val="28"/>
          <w:sz w:val="28"/>
          <w:szCs w:val="28"/>
          <w:rtl w:val="true"/>
          <w:lang w:bidi="ar-SA"/>
        </w:rPr>
        <w:t>عنه ولم يرويا عن الجعفي وهو ما يدفع باتّجاه التغاير، إلّا أنّ قرينة اتّحاد اسم الأخ وكون كلّ منهما ممّن يعرّف به أخوه تتغلب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الخطوة الأولى فهي ليست بأحسن حالاً ممّا ذكر في الطريق الأوّل؛ فللخزاعي رواية واحدة، ولبيّاع الهروي ثلاث روايات يشترك مع الخزاعي في الراوي والمروي عنه في واحدة فقط</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وأنّ محاولة إرجاع بعض الألقاب إلى الآخر من جهة النسب كأن يكون أحدها بطن من الآخر لم تكلّل بالنجاح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الخزاعي من الأزد</w:t>
      </w:r>
      <w:r>
        <w:rPr>
          <w:rStyle w:val="FootnoteAnchor"/>
          <w:rtl w:val="true"/>
        </w:rPr>
        <w:footnoteReference w:id="167"/>
      </w:r>
      <w:r>
        <w:rPr>
          <w:rFonts w:ascii="Amiri" w:hAnsi="Amiri" w:eastAsia="Amiri" w:cs="Amiri"/>
          <w:color w:val="111111"/>
          <w:sz w:val="28"/>
          <w:sz w:val="28"/>
          <w:szCs w:val="28"/>
          <w:rtl w:val="true"/>
          <w:lang w:bidi="ar-SA"/>
        </w:rPr>
        <w:t>، والجعفي من مذحج</w:t>
      </w:r>
      <w:r>
        <w:rPr>
          <w:rStyle w:val="FootnoteAnchor"/>
          <w:rtl w:val="true"/>
        </w:rPr>
        <w:footnoteReference w:id="168"/>
      </w:r>
      <w:r>
        <w:rPr>
          <w:rFonts w:ascii="Amiri" w:hAnsi="Amiri" w:eastAsia="Amiri" w:cs="Amiri"/>
          <w:color w:val="111111"/>
          <w:sz w:val="28"/>
          <w:sz w:val="28"/>
          <w:szCs w:val="28"/>
          <w:rtl w:val="true"/>
          <w:lang w:bidi="ar-SA"/>
        </w:rPr>
        <w:t>، وخثعم من إخوة بجيلة</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أنّ بعض هذه الأنساب داخل تحت الآخر وإن كان هذا ليس مانعاً لو قامت قرينة فقد يكون نسبه من قبيلة وسكنه في أخرى فيعرف بهما، وقد تغلب عليه التي سكن بها كما في أبي الصباح الكناني فهو إبراهيم بن نعيم العبدي نُسِبَ إلى كنانة لسكنه فيهم</w:t>
      </w:r>
      <w:r>
        <w:rPr>
          <w:rStyle w:val="FootnoteAnchor"/>
          <w:rtl w:val="true"/>
        </w:rPr>
        <w:footnoteReference w:id="170"/>
      </w:r>
      <w:r>
        <w:rPr>
          <w:rFonts w:ascii="Amiri" w:hAnsi="Amiri" w:eastAsia="Amiri" w:cs="Amiri"/>
          <w:color w:val="111111"/>
          <w:sz w:val="28"/>
          <w:sz w:val="28"/>
          <w:szCs w:val="28"/>
          <w:rtl w:val="true"/>
          <w:lang w:bidi="ar-SA"/>
        </w:rPr>
        <w:t xml:space="preserve">، وفي المقام قد يكون سبب العنوان الثالث كونه </w:t>
      </w:r>
      <w:bookmarkStart w:id="102" w:name="pg10913_110458"/>
    </w:p>
    <w:p>
      <w:pPr>
        <w:pStyle w:val="BookText"/>
        <w:rPr/>
      </w:pPr>
      <w:bookmarkEnd w:id="102"/>
      <w:r>
        <w:rPr>
          <w:rFonts w:ascii="Amiri" w:hAnsi="Amiri" w:eastAsia="Amiri" w:cs="Amiri"/>
          <w:color w:val="111111"/>
          <w:sz w:val="28"/>
          <w:sz w:val="28"/>
          <w:szCs w:val="28"/>
          <w:rtl w:val="true"/>
          <w:lang w:bidi="ar-SA"/>
        </w:rPr>
        <w:t>حليفاً لهم أو سكن فيهم مدّة أيضاً أو أي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الاحتمال يمكن لأحد أن يشكّك فيه، فتأمّل</w:t>
      </w:r>
      <w:r>
        <w:rPr>
          <w:rFonts w:eastAsia="Amiri" w:cs="Amiri" w:ascii="Amiri" w:hAnsi="Amiri"/>
          <w:color w:val="111111"/>
          <w:sz w:val="28"/>
          <w:szCs w:val="28"/>
          <w:rtl w:val="true"/>
          <w:lang w:bidi="ar-SA"/>
        </w:rPr>
        <w:t>!</w:t>
      </w:r>
    </w:p>
    <w:p>
      <w:pPr>
        <w:pStyle w:val="Heading6"/>
        <w:numPr>
          <w:ilvl w:val="5"/>
          <w:numId w:val="1"/>
        </w:numPr>
        <w:rPr/>
      </w:pPr>
      <w:bookmarkStart w:id="103" w:name="__RefHeading___Toc3056498_2870459653"/>
      <w:bookmarkStart w:id="104" w:name="_Toc40"/>
      <w:bookmarkEnd w:id="103"/>
      <w:r>
        <w:rPr>
          <w:rtl w:val="true"/>
        </w:rPr>
        <w:t>الاحتمال الثّاني</w:t>
      </w:r>
      <w:r>
        <w:rPr>
          <w:rtl w:val="true"/>
        </w:rPr>
        <w:t xml:space="preserve">: </w:t>
      </w:r>
      <w:r>
        <w:rPr>
          <w:rtl w:val="true"/>
        </w:rPr>
        <w:t>تصحيف كلمة الخزاعي</w:t>
      </w:r>
      <w:bookmarkEnd w:id="104"/>
    </w:p>
    <w:p>
      <w:pPr>
        <w:pStyle w:val="BookText"/>
        <w:rPr/>
      </w:pPr>
      <w:r>
        <w:rPr>
          <w:rFonts w:ascii="Amiri" w:hAnsi="Amiri" w:eastAsia="Amiri" w:cs="Amiri"/>
          <w:color w:val="111111"/>
          <w:sz w:val="28"/>
          <w:sz w:val="28"/>
          <w:szCs w:val="28"/>
          <w:rtl w:val="true"/>
          <w:lang w:bidi="ar-SA"/>
        </w:rPr>
        <w:t>يحتمل تصحيفها عن الجعفي أو الخثعمي أو الحذّاء أو الكوفي، والألقاب الأربعة لواحد وهو الثقة، الأوّل ذكره النجاشي والصدوق</w:t>
      </w:r>
      <w:r>
        <w:rPr>
          <w:rStyle w:val="FootnoteAnchor"/>
          <w:rtl w:val="true"/>
        </w:rPr>
        <w:footnoteReference w:id="171"/>
      </w:r>
      <w:r>
        <w:rPr>
          <w:rFonts w:ascii="Amiri" w:hAnsi="Amiri" w:eastAsia="Amiri" w:cs="Amiri"/>
          <w:color w:val="111111"/>
          <w:sz w:val="28"/>
          <w:sz w:val="28"/>
          <w:szCs w:val="28"/>
          <w:rtl w:val="true"/>
          <w:lang w:bidi="ar-SA"/>
        </w:rPr>
        <w:t>، والثاني ذكره الشيخ في رجاله</w:t>
      </w:r>
      <w:r>
        <w:rPr>
          <w:rStyle w:val="FootnoteAnchor"/>
          <w:rtl w:val="true"/>
        </w:rPr>
        <w:footnoteReference w:id="172"/>
      </w:r>
      <w:r>
        <w:rPr>
          <w:rFonts w:ascii="Amiri" w:hAnsi="Amiri" w:eastAsia="Amiri" w:cs="Amiri"/>
          <w:color w:val="111111"/>
          <w:sz w:val="28"/>
          <w:sz w:val="28"/>
          <w:szCs w:val="28"/>
          <w:rtl w:val="true"/>
          <w:lang w:bidi="ar-SA"/>
        </w:rPr>
        <w:t>، والثالث ذكره الكشي</w:t>
      </w:r>
      <w:r>
        <w:rPr>
          <w:rStyle w:val="FootnoteAnchor"/>
          <w:rtl w:val="true"/>
        </w:rPr>
        <w:footnoteReference w:id="173"/>
      </w:r>
      <w:r>
        <w:rPr>
          <w:rFonts w:ascii="Amiri" w:hAnsi="Amiri" w:eastAsia="Amiri" w:cs="Amiri"/>
          <w:color w:val="111111"/>
          <w:sz w:val="28"/>
          <w:sz w:val="28"/>
          <w:szCs w:val="28"/>
          <w:rtl w:val="true"/>
          <w:lang w:bidi="ar-SA"/>
        </w:rPr>
        <w:t>، والرابع ذكره الصدوق والشيخ</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الاحتمال تساعده قرائن الطريق الأوّل آنف الذكر مع تقارب خطّي اللفظين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كان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شاهد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والوسائل</w:t>
      </w:r>
      <w:r>
        <w:rPr>
          <w:rStyle w:val="FootnoteAnchor"/>
          <w:rtl w:val="true"/>
        </w:rPr>
        <w:footnoteReference w:id="175"/>
      </w:r>
      <w:r>
        <w:rPr>
          <w:rFonts w:ascii="Amiri" w:hAnsi="Amiri" w:eastAsia="Amiri" w:cs="Amiri"/>
          <w:color w:val="111111"/>
          <w:sz w:val="28"/>
          <w:sz w:val="28"/>
          <w:szCs w:val="28"/>
          <w:rtl w:val="true"/>
          <w:lang w:bidi="ar-SA"/>
        </w:rPr>
        <w:t>والوافي</w:t>
      </w:r>
      <w:r>
        <w:rPr>
          <w:rStyle w:val="FootnoteAnchor"/>
          <w:rtl w:val="true"/>
        </w:rPr>
        <w:footnoteReference w:id="176"/>
      </w:r>
      <w:r>
        <w:rPr>
          <w:rFonts w:ascii="Amiri" w:hAnsi="Amiri" w:eastAsia="Amiri" w:cs="Amiri"/>
          <w:color w:val="111111"/>
          <w:sz w:val="28"/>
          <w:sz w:val="28"/>
          <w:szCs w:val="28"/>
          <w:rtl w:val="true"/>
          <w:lang w:bidi="ar-SA"/>
        </w:rPr>
        <w:t>موافقان لما في التهذيب</w:t>
      </w:r>
      <w:r>
        <w:rPr>
          <w:rFonts w:eastAsia="Amiri" w:cs="Amiri" w:ascii="Amiri" w:hAnsi="Amiri"/>
          <w:color w:val="111111"/>
          <w:sz w:val="28"/>
          <w:szCs w:val="28"/>
          <w:rtl w:val="true"/>
          <w:lang w:bidi="ar-SA"/>
        </w:rPr>
        <w:t>.</w:t>
      </w:r>
    </w:p>
    <w:p>
      <w:pPr>
        <w:pStyle w:val="Heading6"/>
        <w:numPr>
          <w:ilvl w:val="5"/>
          <w:numId w:val="1"/>
        </w:numPr>
        <w:rPr/>
      </w:pPr>
      <w:bookmarkStart w:id="105" w:name="__RefHeading___Toc3056500_2870459653"/>
      <w:bookmarkStart w:id="106" w:name="_Toc41"/>
      <w:bookmarkEnd w:id="105"/>
      <w:r>
        <w:rPr>
          <w:rtl w:val="true"/>
        </w:rPr>
        <w:t>الاحتمال الثّالث</w:t>
      </w:r>
      <w:r>
        <w:rPr>
          <w:rtl w:val="true"/>
        </w:rPr>
        <w:t xml:space="preserve">: </w:t>
      </w:r>
      <w:r>
        <w:rPr>
          <w:rtl w:val="true"/>
        </w:rPr>
        <w:t>تغايرهما</w:t>
      </w:r>
      <w:bookmarkEnd w:id="10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أنّه مقتضى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تقريبه بما ورد في بعض الأسانيد حيث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أديم أخو أيوب</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فلو لم يكن هناك من يشترك معه في الاسم فلا حاجة إلى هذا القيد، وليس في الطبقة بل ليس في كتبنا الرجالية والحديثية من يسمّى بأديم غير هذه العناوين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واتّحاد الجعفي مع بيّاع الهروي لا يتنازل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يمكن أن يقال بأنّ مورد الرواية الذي ورد فيه الوصف بالخزاعي يكون مبيّناً للمجرّد منه بعد كون المقطع المتّفق عليه ممّا يصلح للرواية لوحده، فهو يتضمّن معنى مستقلاً عن الآخر، وينتج عدم اعتبار الرواية لعدم وثاقة الخزاعي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يمكن أن يجاب بأنّه وإنْ كان لا يوجد في ما وصل إلينا من مصادرنا مَن يسمّى بأديم غير هذه العناوين الثلاثة، لكن ذكر البرقي في رجاله في طبقة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بن عبد الله بن سعد الأشعري القمي</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 وذكر الشيخ في رجاله في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بن عبد الله القمي</w:t>
      </w:r>
      <w:r>
        <w:rPr>
          <w:rFonts w:eastAsia="IRNazanin" w:cs="IRNazanin"/>
          <w:color w:val="111111"/>
          <w:sz w:val="28"/>
          <w:szCs w:val="28"/>
          <w:rtl w:val="true"/>
          <w:lang w:bidi="fa-IR"/>
        </w:rPr>
        <w:t>)</w:t>
      </w:r>
      <w:r>
        <w:rPr>
          <w:rStyle w:val="FootnoteAnchor"/>
          <w:rtl w:val="true"/>
        </w:rPr>
        <w:footnoteReference w:id="179"/>
      </w:r>
      <w:r>
        <w:rPr>
          <w:rFonts w:ascii="Amiri" w:hAnsi="Amiri" w:eastAsia="Amiri" w:cs="Amiri"/>
          <w:color w:val="111111"/>
          <w:sz w:val="28"/>
          <w:sz w:val="28"/>
          <w:szCs w:val="28"/>
          <w:rtl w:val="true"/>
          <w:lang w:bidi="ar-SA"/>
        </w:rPr>
        <w:t xml:space="preserve">، والظاهر أنّه كان يطلق عليه أديم أيضاً، أو وجه محتمل في تسميته، فقد ذكر ابن حجر في لسان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أديم بن عبد الله بن سعد الأشعري القمي أخو عبد الملك، ذكره الكشي في رجال الشيعة، روى عنه نوح الشيباني</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وهو وإن لم يوجد في الاختيار إلّا أنّ هذا لا يشكل نقضاً كما هو واضح؛ فإنّ الاختيار لا يطابق أصل الكتاب، ولم يعلم أنّ الشيخ لم يغيّر ولو بنحوٍ ما فيما يتعلّق برواة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 كتب الجمهور شخص آخر يدور اسمه بين أديم أو هديم التغلبي، لكنّه مختلف الطبقة فقد ذكر في الصحابة</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أنّه ليس واضحاً جداً أنّ هذا التعريف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 في مظنّة الاشتباه، فلعلّه أسرع في التعريف إلى ذهن السامع، أو يضيف وضوحاً، ولذا نجد </w:t>
      </w:r>
      <w:bookmarkStart w:id="107" w:name="pg10913_110462"/>
    </w:p>
    <w:p>
      <w:pPr>
        <w:pStyle w:val="BookText"/>
        <w:rPr/>
      </w:pPr>
      <w:bookmarkEnd w:id="107"/>
      <w:r>
        <w:rPr>
          <w:rFonts w:ascii="Amiri" w:hAnsi="Amiri" w:eastAsia="Amiri" w:cs="Amiri"/>
          <w:color w:val="111111"/>
          <w:sz w:val="28"/>
          <w:sz w:val="28"/>
          <w:szCs w:val="28"/>
          <w:rtl w:val="true"/>
          <w:lang w:bidi="ar-SA"/>
        </w:rPr>
        <w:t xml:space="preserve">الصدوق كما تقدّم النقل عنه مع ذكره لاسم أيوب واسم أبيه ولقبه من النسب والمسكن عرّفه بأخيه أديم، وكذا ما في الأسانيد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الحرّ أخي أديم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حتى إذا بنينا على التغاير بين الجعفي والخزاعي فقرينة أعرفيّة الجعفي تغلب على الاتّحاد بجزء الرواية فيحكم بتعدّد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اللفظ طويلاً أو معقّداً أو حاوياً على تفريعات حتى يُستبعد صدوره بنفسه مرّتين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وجود اختلاف يسير، ففي رواية الخزاعي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يتعاودان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يتعاودان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أعرفية الجعفي فتُستفاد من ذكره في مصادرنا الرجالية ومصادر العامّة على خلاف الخزاعي، ومِنْ كونه ممّن يُعرّف به إخوته في الغالب كما تقدّم في حقّ أيوب وزكريا، وعُرّف به أخوه يحيى أيضاً</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يضرّ أنّه نفسه ربّما عُرّف بأيوب؛ لما أشرنا إليه آنفاً، وكونه وسم بصاحب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روى نيفاً وأربعين حديثاً عنه حسب الكشي</w:t>
      </w:r>
      <w:r>
        <w:rPr>
          <w:rStyle w:val="FootnoteAnchor"/>
          <w:rtl w:val="true"/>
        </w:rPr>
        <w:footnoteReference w:id="183"/>
      </w:r>
      <w:r>
        <w:rPr>
          <w:rFonts w:ascii="Amiri" w:hAnsi="Amiri" w:eastAsia="Amiri" w:cs="Amiri"/>
          <w:color w:val="111111"/>
          <w:sz w:val="28"/>
          <w:sz w:val="28"/>
          <w:szCs w:val="28"/>
          <w:rtl w:val="true"/>
          <w:lang w:bidi="ar-SA"/>
        </w:rPr>
        <w:t>وإن كانت روايته الموجودة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جميع الاحتمالات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الأرجح وإنْ كنتُ إلى الثاني أميل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البناء على اعتبار الرواية</w:t>
      </w:r>
      <w:r>
        <w:rPr>
          <w:rFonts w:eastAsia="Amiri" w:cs="Amiri" w:ascii="Amiri" w:hAnsi="Amiri"/>
          <w:color w:val="111111"/>
          <w:sz w:val="28"/>
          <w:szCs w:val="28"/>
          <w:rtl w:val="true"/>
          <w:lang w:bidi="ar-SA"/>
        </w:rPr>
        <w:t>.</w:t>
      </w:r>
    </w:p>
    <w:p>
      <w:pPr>
        <w:pStyle w:val="Heading6"/>
        <w:numPr>
          <w:ilvl w:val="5"/>
          <w:numId w:val="1"/>
        </w:numPr>
        <w:rPr/>
      </w:pPr>
      <w:bookmarkStart w:id="108" w:name="__RefHeading___Toc3056502_2870459653"/>
      <w:bookmarkStart w:id="109" w:name="_Toc42"/>
      <w:bookmarkEnd w:id="108"/>
      <w:r>
        <w:rPr>
          <w:rtl w:val="true"/>
        </w:rPr>
        <w:t>الدلالة</w:t>
      </w:r>
      <w:bookmarkEnd w:id="109"/>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يستفاد منها هو حكم العالِمَين؛ فإنّه لا إطلاق لها ليشمل حالة الجهل؛ لأنّ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تتزوج ولها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 عن حالة جهلهما بذلك</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الشيخ في التهذيب فَهِمَ عدم الإطلاق حسب الظاهر، فقد جعلها دليلاً على حرمة المزني بها مؤبّداً، ولا زنا بلا 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استدلّ الشيخ في الاستبصار بمعتبرة أبي بصير</w:t>
      </w:r>
      <w:r>
        <w:rPr>
          <w:rStyle w:val="FootnoteAnchor"/>
          <w:rtl w:val="true"/>
        </w:rPr>
        <w:footnoteReference w:id="184"/>
      </w:r>
      <w:r>
        <w:rPr>
          <w:rFonts w:ascii="Amiri" w:hAnsi="Amiri" w:eastAsia="Amiri" w:cs="Amiri"/>
          <w:color w:val="111111"/>
          <w:sz w:val="28"/>
          <w:sz w:val="28"/>
          <w:szCs w:val="28"/>
          <w:rtl w:val="true"/>
          <w:lang w:bidi="ar-SA"/>
        </w:rPr>
        <w:t>ومعتبرة شعيب العقرقوفي</w:t>
      </w:r>
      <w:r>
        <w:rPr>
          <w:rStyle w:val="FootnoteAnchor"/>
          <w:rtl w:val="true"/>
        </w:rPr>
        <w:footnoteReference w:id="185"/>
      </w:r>
      <w:r>
        <w:rPr>
          <w:rFonts w:ascii="Amiri" w:hAnsi="Amiri" w:eastAsia="Amiri" w:cs="Amiri"/>
          <w:color w:val="111111"/>
          <w:sz w:val="28"/>
          <w:sz w:val="28"/>
          <w:szCs w:val="28"/>
          <w:rtl w:val="true"/>
          <w:lang w:bidi="ar-SA"/>
        </w:rPr>
        <w:t>على أنّ مَن تُعقد عالمة بالزوجيّة تكون زانية لو دخل بها، وحرمة المزني بها ليست بأولى من حرمة المزوّجة مطلقاً حتى يقال لعلّه استند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يكفي الشيخ الإطلاق، فلا يتوقّف استدلاله على اختصاص الرواية بالعالِمَين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أصل الاستدلال غير تامّ؛ لأنّ الحرمة المؤبّدة في المعتبرة وإن ثبتت حتى في فرض الدخول للإطلاق، ومسلّم صدق الزنا على من يجامع عالماً بالحكم والموضوع إلّا أنّها إنّما ثبتت مع وجود عقد زواج، وأمّا مع عدمه وفرض الزنا بلا عقد فالرواية قاصرة عن الشمول لهذه الحالة لعدم تحقّق موضوعها، ولعلّه لهذا التجأ 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أولويّة حرمة ذات البعل، وإلى ما ورد في ما يسمّى بالفقه الرضوي، وإلى الإجماع المنقول</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وحديث 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عدم تماميته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كلام الأصحاب، قال الشهيد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يتوجّه على ما تقدّم من إلحاق العقد على ذات البعل بالمعتدّة تحريمها هنا مع الدخول؛ لأنّه إذا ثبت تحريمها بالعقد المجرّد مع العلم فمع الدخول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تحريمها بالدخول مع العقد فمع التجرّد عنه أولى</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وكيفما كان، فدعوى الانصراف إلى حالة جهل الرجل لا موجب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الانصراف عن حالة جهل المرأة ربّما يمكن لأحدٍ أن يقرّبه بالاستشهاد ببعض الروايات التي استعمل فيها تعبير مشابه وأريد به حالة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أبي عبيدة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امرأة تزوّجت رجلاً ولها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زوجها الأوّل مقيماً معها في المصر الذي هي فيه تصل إليه ويصل إليها فإنّ عليها ما على الزاني المحصن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زوجها الأوّل غائباً عنها أو كان مقيماً معها في المصر لا يصل إليها ولا تصل إليه فإنّ عليها ما على الزانية غير المحصنة</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وتقريب الاستفادة بأنْ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يفرض علمها بأنّ لها زوجاً ومع ذلك رتّب عليها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العالمة، فالظاهر أنّ هذا التعبير يُستعمل عند علم الزوجة بأنّ لها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في ذيلها من علم المسلمة بحرمة زواج المتزوّجة مرتبط بالحكم، وكلامنا في 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المتعارف أن يُجمل السؤال أو يُترك اعتماداً على الجواب</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لكن ليس هذا مورده، فإنّه إنّما يصحّ في ترك الحكم المسؤول عنه، لا في ترك حالات المسؤول عن حكمه التي تؤثّر في الحكم، ففي المقام يصحّ ترك ذكر أنّه سأله عن حكمها من حيث الرجم أو الحدّ أو من حيث الحرمة المؤبّدة وعدمها أو غيرها، ومن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يتّضح بجلاء أنّ المسؤول عنه حكمها من حيث </w:t>
      </w:r>
    </w:p>
    <w:p>
      <w:pPr>
        <w:pStyle w:val="BookText"/>
        <w:rPr/>
      </w:pPr>
      <w:r>
        <w:rPr>
          <w:rFonts w:ascii="Amiri" w:hAnsi="Amiri" w:eastAsia="Amiri" w:cs="Amiri"/>
          <w:color w:val="111111"/>
          <w:sz w:val="28"/>
          <w:sz w:val="28"/>
          <w:szCs w:val="28"/>
          <w:rtl w:val="true"/>
          <w:lang w:bidi="ar-SA"/>
        </w:rPr>
        <w:t>الرجم، أمّا ترك ذكر حالها من العلم أو الجهل ونحوهما فليس مناسباً، فهو مثل أن يترك بيان أنّ لها زوجاً أو أنّها تزوّجت رجلاً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يضرّ كونه من كلام السائل وليس من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،فالفرق إنّما هو من الجهة أعلاه، واتّضح أنّها غير مؤثّرة في ما نطلب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يزيد الكناسي،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تزوّجت في عدّتها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كانت تزوّجت في عدّة طلاق لزوجها عليها الرجعة فإنّ عليها الرجم، وإن كانت تزوّجت في عدّة ليس لزوجها عليها الرجعة فإنّ عليها حدّ الزاني غير المحصن، وإن كانت تزوّجت في عدّة من بعد موت زوجها من قبل انقضاء الأربعة أشهر والعشرة أيّام فلا رجم عليها، وعليها ضرب مائة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كان ذلك منها بجهالة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امرأة اليوم من نساء المسلمين إلّا وهي تعلم أنّ عليها عدّةً في طلاق أو موت، ولقد كنّ نساء الجاهلية يعرفن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كانت تعلم أنّ عليها عدّة ولا تدري كم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أنّ عليها العدّة لزمتها الحجّة فتسأل حتى تعلم</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والتقريب نفسه، وكونها تتناول المعتدّة وليس المتزوجة غير 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المهم هو تشابه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وسؤاله عن حالة الجهل بلزوم العدّة غير ضار وإن لم يكن نافعاً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نريده دلالة الكلام على العلم بالموضوع، وهو هنا كونها في العدّة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امرأة كان لها زوج غائب عنها فتزوّجت زوجاً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رفعت إلى الإمام ثمّ شهد عليها شهود أنّ لها </w:t>
      </w:r>
    </w:p>
    <w:p>
      <w:pPr>
        <w:pStyle w:val="BookText"/>
        <w:rPr/>
      </w:pPr>
      <w:r>
        <w:rPr>
          <w:rFonts w:ascii="Amiri" w:hAnsi="Amiri" w:eastAsia="Amiri" w:cs="Amiri"/>
          <w:color w:val="111111"/>
          <w:sz w:val="28"/>
          <w:sz w:val="28"/>
          <w:szCs w:val="28"/>
          <w:rtl w:val="true"/>
          <w:lang w:bidi="ar-SA"/>
        </w:rPr>
        <w:t>زوجاً غائباً، وأنّ مادّته وخبره يأتيها منه، وأنّها تزوّجت زوجاً آخر، كان على الإمام أن يحدّها، ويفرّق بينها وبين الذي 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فالمهر الذي أخذت منه كيف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 منه شيئاً فليأخذه، وإنْ لم يصب منه شيئاً فإنّ كلّ ما أخذت منه حرام عليها مثل أجر الفاجرة</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فيها قول أبي بصير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جعفراً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في الرجل تزوّج امرأة لها زوج فرجم المرأة وضرب الرجل الحدّ،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 أنّك علمتَ لفضختُ رأسك بالحجارة</w:t>
      </w:r>
      <w:r>
        <w:rPr>
          <w:rFonts w:eastAsia="IRNazanin" w:cs="IRNazanin"/>
          <w:color w:val="111111"/>
          <w:sz w:val="28"/>
          <w:szCs w:val="28"/>
          <w:rtl w:val="true"/>
          <w:lang w:bidi="fa-IR"/>
        </w:rPr>
        <w:t>)</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والتعبير هنا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امرأة تزوّجت ولها زوج،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 المرأة وإن كان للذي تزوّجها بيّنة على تزويجها وإلّا ضرب الحدّ</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الواردة في هذه الروايات مطلقة تعمُّ الجاهلة إلّا أنّ القرينة الخارجية تقتضي الاختصاص بالعالمة، فلعلّه مجانب للإنصاف</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لا يوجد وجه واضح للتفريق بين الحكم المسؤول عنه وحالات المسؤول عن حكمه بحيث يمكن جعله متّكأ، فالترك متصوّر في الاثنين على نحو واحد وذلك للاختصار مثلاً، مضافاً إلى أنّ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بعض حالات المسؤول عن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في الروايات بما لا يتيسّر تحميله على اللفظ المستخدم في السؤال، فقد وردت حالات لم يذكر فيها في السؤال بعض حالات المسؤول عن حكمه المؤثّرة في الحكم واستفيدت من الجواب كما سيأتي في معتبرتي زرارة، فإنّ الدخول لم يُذكر وفُهِمَ من </w:t>
      </w:r>
      <w:bookmarkStart w:id="110" w:name="pg10913_110472"/>
    </w:p>
    <w:p>
      <w:pPr>
        <w:pStyle w:val="BookText"/>
        <w:rPr/>
      </w:pPr>
      <w:bookmarkEnd w:id="110"/>
      <w:r>
        <w:rPr>
          <w:rFonts w:ascii="Amiri" w:hAnsi="Amiri" w:eastAsia="Amiri" w:cs="Amiri"/>
          <w:color w:val="111111"/>
          <w:sz w:val="28"/>
          <w:sz w:val="28"/>
          <w:szCs w:val="28"/>
          <w:rtl w:val="true"/>
          <w:lang w:bidi="ar-SA"/>
        </w:rPr>
        <w:t>الاعتداد أو الاستحلال، ولفظ التزويج لا يدلّ عليه،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ربّما يتوهّم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قرينة على أنّه كان منهما دخول، فالتفريق إمّا اعتباري يطلق على الطلاق ونحوه؛ لأنّه مقابل عقد النكاح وشبهه، وإمّا تكويني يراد به منعهما من الاختلاء بعد تحقّقه، وحيث لا طلاق هنا دلّ على وقوع الخلوة، وهي تلازم الدخول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ولكنّه ضعيفٌ، فالخلوة لا تلازم الدخول ملازمة توجب الدلالة الالتزامية، وقد استعمل التفريق في موارد عدم تحقّق العلقة مع عدم الدخول كما في معتبرة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المرأة الحبلى يموت زوجها فتضع وتزوّج قبل أن تمضي لها أربعة أشهر وعشراً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دخل بها فرّق بينهما ثمّ لم تحلّ له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يكن دخل بها فرّق بينهما واعتدّت بما بقي عليها من الأوّل وهو خاطب من الخطّاب</w:t>
      </w:r>
      <w:r>
        <w:rPr>
          <w:rFonts w:eastAsia="IRNazanin" w:cs="IRNazanin"/>
          <w:color w:val="111111"/>
          <w:sz w:val="28"/>
          <w:szCs w:val="28"/>
          <w:rtl w:val="true"/>
          <w:lang w:bidi="fa-IR"/>
        </w:rPr>
        <w:t>)</w:t>
      </w:r>
      <w:r>
        <w:rPr>
          <w:rStyle w:val="FootnoteAnchor"/>
          <w:rtl w:val="true"/>
        </w:rPr>
        <w:footnoteReference w:id="193"/>
      </w:r>
      <w:r>
        <w:rPr>
          <w:rFonts w:ascii="Amiri" w:hAnsi="Amiri" w:eastAsia="Amiri" w:cs="Amiri"/>
          <w:color w:val="111111"/>
          <w:sz w:val="28"/>
          <w:sz w:val="28"/>
          <w:szCs w:val="28"/>
          <w:rtl w:val="true"/>
          <w:lang w:bidi="ar-SA"/>
        </w:rPr>
        <w:t>، فإنّه مع بطلان العقد وعدم الدخول عبر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معتبرة، وهي تدلّ على الحرمة المؤبّدة سواء علم الرجل بأنّها متزوجة أم لا، وسواء دخل بها أم لا، وقدرها المتيقّن إذا كانت المرأة عالمة بأنّ لها زوجاً، أمّا مع جهلها فشمول الرواية ربّما يتوقف فيه، فليتأمّل</w:t>
      </w:r>
      <w:r>
        <w:rPr>
          <w:rFonts w:eastAsia="Amiri" w:cs="Amiri" w:ascii="Amiri" w:hAnsi="Amiri"/>
          <w:color w:val="111111"/>
          <w:sz w:val="28"/>
          <w:szCs w:val="28"/>
          <w:rtl w:val="true"/>
          <w:lang w:bidi="ar-SA"/>
        </w:rPr>
        <w:t>.</w:t>
      </w:r>
    </w:p>
    <w:p>
      <w:pPr>
        <w:pStyle w:val="Heading6"/>
        <w:numPr>
          <w:ilvl w:val="5"/>
          <w:numId w:val="1"/>
        </w:numPr>
        <w:rPr/>
      </w:pPr>
      <w:bookmarkStart w:id="111" w:name="__RefHeading___Toc3056504_2870459653"/>
      <w:bookmarkStart w:id="112" w:name="_Toc43"/>
      <w:bookmarkEnd w:id="111"/>
      <w:r>
        <w:rPr>
          <w:rtl w:val="true"/>
        </w:rPr>
        <w:t>الرّواية الثّانية</w:t>
      </w:r>
      <w:bookmarkEnd w:id="11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معتبرة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امرأة فقدت زوجها أو نُعي إليها فتزوّجت، ثمّ قدم زوجها بعد ذلك فطلّقها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تعتدّ منهما جميعاً ثلاثة أشهر عدّة واحدة، وليس للأخير أن يتزوّجها أبداً</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وهي معتبرة فإنّ طريق الشيخ إلى ابن أبي عمير في المشيخة</w:t>
      </w:r>
      <w:r>
        <w:rPr>
          <w:rStyle w:val="FootnoteAnchor"/>
          <w:rtl w:val="true"/>
        </w:rPr>
        <w:footnoteReference w:id="195"/>
      </w:r>
      <w:r>
        <w:rPr>
          <w:rFonts w:ascii="Amiri" w:hAnsi="Amiri" w:eastAsia="Amiri" w:cs="Amiri"/>
          <w:color w:val="111111"/>
          <w:sz w:val="28"/>
          <w:sz w:val="28"/>
          <w:szCs w:val="28"/>
          <w:rtl w:val="true"/>
          <w:lang w:bidi="ar-SA"/>
        </w:rPr>
        <w:t xml:space="preserve">وإن كان غير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تثبت وثاقة جعفر بن محمّد العلوي الموسوي الواقع في طريقه؛ لعدم ثبوت وثاقة مشايخ النجاشي، فلا ينفع وصف محمّد بن عثمان شيخ النجاشي له بالصالح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بعض الطرق في الفهرست</w:t>
      </w:r>
      <w:r>
        <w:rPr>
          <w:rStyle w:val="FootnoteAnchor"/>
          <w:rtl w:val="true"/>
        </w:rPr>
        <w:footnoteReference w:id="196"/>
      </w:r>
      <w:r>
        <w:rPr>
          <w:rFonts w:ascii="Amiri" w:hAnsi="Amiri" w:eastAsia="Amiri" w:cs="Amiri"/>
          <w:color w:val="111111"/>
          <w:sz w:val="28"/>
          <w:sz w:val="28"/>
          <w:szCs w:val="28"/>
          <w:rtl w:val="true"/>
          <w:lang w:bidi="ar-SA"/>
        </w:rPr>
        <w:t>معتبرة، وهذا النحو من التعويض مقبول بعد أن ذكر طريقاً إليه في المشيخة لمكان ما ذكره الشيخ في نهاية المشيخة من الإحالة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وموردها جهل المرأة كما هو واضح، ولكن هل موردها جهل الرجل أيضاً؟</w:t>
      </w:r>
    </w:p>
    <w:p>
      <w:pPr>
        <w:pStyle w:val="BookText"/>
        <w:rPr/>
      </w:pPr>
      <w:r>
        <w:rPr>
          <w:rFonts w:ascii="IRNazanin" w:hAnsi="IRNazanin" w:eastAsia="IRNazanin"/>
          <w:color w:val="111111"/>
          <w:sz w:val="28"/>
          <w:sz w:val="28"/>
          <w:szCs w:val="28"/>
          <w:rtl w:val="true"/>
          <w:lang w:bidi="fa-IR"/>
        </w:rPr>
        <w:t>ثمّ هل موردها الدخول أم الأعمّ؟</w:t>
      </w:r>
    </w:p>
    <w:p>
      <w:pPr>
        <w:pStyle w:val="BookText"/>
        <w:rPr/>
      </w:pPr>
      <w:r>
        <w:rPr>
          <w:rFonts w:ascii="IRNazanin" w:hAnsi="IRNazanin" w:eastAsia="IRNazanin"/>
          <w:color w:val="111111"/>
          <w:sz w:val="28"/>
          <w:sz w:val="28"/>
          <w:szCs w:val="28"/>
          <w:rtl w:val="true"/>
          <w:lang w:bidi="fa-IR"/>
        </w:rPr>
        <w:t xml:space="preserve">أمّا بالنسبة للأوّل فقد ذهب إلى كون موردها جهل الرجل جماعةٌ، منهم السيّد صاحب الرياض وصاحب الجواهر والشيخ الأنصاري والسيّد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وتوقّف فيه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يقرّب الانصراف بأنّ حالة جهل الرجل عند جهل المرأة هي الأكثر، فإنّ أهل الرجل أعلم بحاله من الأجنبي، فهم من يتابع أخباره ويسأل عنه، فإذا كانت أهله جاهلة فمن الطبيعي جهل الأجنبي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لو سلّم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يكون الزوج الآخر على صلة بالأوّل فيكون أكثر معرفة بأحوال سفره وسلوكه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شاهد على أنّه من حاقّ اللفظ فهو بدوي لا يُعبأ به،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يقال بأنّه لو كان الرجل عالماً لبيّن، فإنّه ممّا يحتمل دخالته بالحكم، ولمّا لم يبيّن فالمنظور حالة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أنّه يسأل عن الحكم بغضّ النظر عن حالتي علم الرجل وجهله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التعبير وافٍ بذلك، لا أنّه أراد أن يسأل عن خصوص العالم، وهذا غير 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السّؤال الآخر فقد ذكر غير واحد من الأعلام</w:t>
      </w:r>
      <w:r>
        <w:rPr>
          <w:rStyle w:val="FootnoteAnchor"/>
          <w:rtl w:val="true"/>
        </w:rPr>
        <w:footnoteReference w:id="199"/>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تعتدّ منهما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قرينة على أنّ الآخر قد دخل بها وإلّا فلا معنى للاعتداد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محلّه؛ فغير المدخول بها لا عدّة لها</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الشيخ</w:t>
      </w:r>
      <w:r>
        <w:rPr>
          <w:rStyle w:val="FootnoteAnchor"/>
          <w:rtl w:val="true"/>
        </w:rPr>
        <w:footnoteReference w:id="201"/>
      </w:r>
      <w:r>
        <w:rPr>
          <w:rFonts w:ascii="Amiri" w:hAnsi="Amiri" w:eastAsia="Amiri" w:cs="Amiri"/>
          <w:color w:val="111111"/>
          <w:sz w:val="28"/>
          <w:sz w:val="28"/>
          <w:szCs w:val="28"/>
          <w:rtl w:val="true"/>
          <w:lang w:bidi="ar-SA"/>
        </w:rPr>
        <w:t>في مقام حلّ التعارض مع ما دلّ على أنّ عليها عدّتين من أنّ موردها عدم دخول الثاني ليس في محلّه؛ فالعدّة منوطة بالدخول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التداخل وعدمه فشيء آخر، والتعارض فيه حتى لو استحكم لا يسري إلى أصل الاعتداد، وكيف يتلاءم مع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تبيّن أنّ الظاهر أنّ موردها جهل المرأة مع الدخول، وتعمّ حالتي علم الرجل وجهله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لو أهملنا مناسبات الحكم والموضوع وإلّا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يحتمل ثبوت الحرمة المؤبّدة في فرض جهل المرأة، وعدمها مع فرض علمها؟ فهل يحتمل في العلم أن يكون </w:t>
      </w:r>
      <w:bookmarkStart w:id="113" w:name="pg10913_110478"/>
    </w:p>
    <w:p>
      <w:pPr>
        <w:pStyle w:val="BookText"/>
        <w:rPr/>
      </w:pPr>
      <w:bookmarkEnd w:id="113"/>
      <w:r>
        <w:rPr>
          <w:rFonts w:ascii="Amiri" w:hAnsi="Amiri" w:eastAsia="Amiri" w:cs="Amiri"/>
          <w:color w:val="111111"/>
          <w:sz w:val="28"/>
          <w:sz w:val="28"/>
          <w:szCs w:val="28"/>
          <w:rtl w:val="true"/>
          <w:lang w:bidi="ar-SA"/>
        </w:rPr>
        <w:t>مانعاً من الحرمة أو مقتضياً للحلّيّة؟ أم أنّ المحتمل فيه كونه مانعاً من الحلّيّة ومقتضياً للحرمة؟</w:t>
      </w:r>
    </w:p>
    <w:p>
      <w:pPr>
        <w:pStyle w:val="BookText"/>
        <w:rPr/>
      </w:pPr>
      <w:r>
        <w:rPr>
          <w:rFonts w:ascii="Amiri" w:hAnsi="Amiri" w:eastAsia="Amiri" w:cs="Amiri"/>
          <w:color w:val="111111"/>
          <w:sz w:val="28"/>
          <w:sz w:val="28"/>
          <w:szCs w:val="28"/>
          <w:rtl w:val="true"/>
          <w:lang w:bidi="ar-SA"/>
        </w:rPr>
        <w:t>لم أعثر على مورد في باب النكاح كان الأثر الدنيوي فيه على الجاهل أشدّ منه على العالم، وقد ثبتت الكفارة على من يجامع عمداً دون الجاهل والناسي في باب الحجّ الذي لم تتكرّر فيه الكفارة بتكرّر الصيد من المحرم في الإحرام الواحد على الصيد العمدي بخلاف الصيد جهلاً أو خطأ أو نسياناً، فإنّها تتكرّر بتكرّر الصيد</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يمكن أن يعمّم الحكم لحالة علم الرجل لو تمّ دليل على اختصاص التعبير بالجاهل وفق ما ذُكر من المناسبات، فيكون الحكم في فرض الدخول عامّاً لكلتا حالتي الرجل والمرأة من العلم والجهل</w:t>
      </w:r>
      <w:r>
        <w:rPr>
          <w:rFonts w:eastAsia="Amiri" w:cs="Amiri" w:ascii="Amiri" w:hAnsi="Amiri"/>
          <w:color w:val="111111"/>
          <w:sz w:val="28"/>
          <w:szCs w:val="28"/>
          <w:rtl w:val="true"/>
          <w:lang w:bidi="ar-SA"/>
        </w:rPr>
        <w:t>.</w:t>
      </w:r>
    </w:p>
    <w:p>
      <w:pPr>
        <w:pStyle w:val="Heading6"/>
        <w:numPr>
          <w:ilvl w:val="5"/>
          <w:numId w:val="1"/>
        </w:numPr>
        <w:rPr/>
      </w:pPr>
      <w:bookmarkStart w:id="114" w:name="__RefHeading___Toc3056506_2870459653"/>
      <w:bookmarkStart w:id="115" w:name="_Toc44"/>
      <w:bookmarkEnd w:id="114"/>
      <w:r>
        <w:rPr>
          <w:rtl w:val="true"/>
        </w:rPr>
        <w:t>الرّواية الثّالثة</w:t>
      </w:r>
      <w:bookmarkEnd w:id="115"/>
    </w:p>
    <w:p>
      <w:pPr>
        <w:pStyle w:val="Heading6"/>
        <w:numPr>
          <w:ilvl w:val="5"/>
          <w:numId w:val="1"/>
        </w:numPr>
        <w:rPr/>
      </w:pPr>
      <w:bookmarkStart w:id="116" w:name="__RefHeading___Toc3056508_2870459653"/>
      <w:bookmarkStart w:id="117" w:name="_Toc45"/>
      <w:bookmarkEnd w:id="116"/>
      <w:r>
        <w:rPr>
          <w:rtl w:val="true"/>
        </w:rPr>
        <w:t>اشارة</w:t>
      </w:r>
      <w:bookmarkEnd w:id="117"/>
    </w:p>
    <w:p>
      <w:pPr>
        <w:pStyle w:val="BookText"/>
        <w:rPr/>
      </w:pPr>
      <w:r>
        <w:rPr>
          <w:rFonts w:ascii="IRNazanin" w:hAnsi="IRNazanin" w:eastAsia="IRNazanin"/>
          <w:color w:val="111111"/>
          <w:sz w:val="28"/>
          <w:sz w:val="28"/>
          <w:szCs w:val="28"/>
          <w:rtl w:val="true"/>
          <w:lang w:bidi="fa-IR"/>
        </w:rPr>
        <w:t xml:space="preserve">معتبرة أخرى لزرارة،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نُعي الرجل إلى أهله أو خبّروها أنّه طلّقها فاعتدّت ثمّ تزوّجت، فجاء زوجها بعدُ، فإنّ الأوّل أحقّ بها من هذا الآخر، دخل بها أو لم يدخل بها، ولها من الأخير المهر بما استحلّ من فرجها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للآخر أن يتزوّجها أبداً</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المتن هكذا رواها الكليني في موضع من الكافي، وهي رواية موسى بن بكر</w:t>
      </w:r>
      <w:r>
        <w:rPr>
          <w:rStyle w:val="FootnoteAnchor"/>
          <w:rtl w:val="true"/>
        </w:rPr>
        <w:footnoteReference w:id="204"/>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ورواها في موضع آخر</w:t>
      </w:r>
      <w:r>
        <w:rPr>
          <w:rStyle w:val="FootnoteAnchor"/>
          <w:rtl w:val="true"/>
        </w:rPr>
        <w:footnoteReference w:id="205"/>
      </w:r>
      <w:r>
        <w:rPr>
          <w:rFonts w:ascii="Amiri" w:hAnsi="Amiri" w:eastAsia="Amiri" w:cs="Amiri"/>
          <w:color w:val="111111"/>
          <w:sz w:val="28"/>
          <w:sz w:val="28"/>
          <w:szCs w:val="28"/>
          <w:rtl w:val="true"/>
          <w:lang w:bidi="ar-SA"/>
        </w:rPr>
        <w:t>من نفس الباب برواية عبد الكريم</w:t>
      </w:r>
      <w:r>
        <w:rPr>
          <w:rStyle w:val="FootnoteAnchor"/>
          <w:rtl w:val="true"/>
        </w:rPr>
        <w:footnoteReference w:id="206"/>
      </w:r>
      <w:r>
        <w:rPr>
          <w:rFonts w:ascii="IRNazanin" w:hAnsi="IRNazanin" w:eastAsia="IRNazanin"/>
          <w:color w:val="111111"/>
          <w:sz w:val="28"/>
          <w:sz w:val="28"/>
          <w:szCs w:val="28"/>
          <w:rtl w:val="true"/>
          <w:lang w:bidi="fa-IR"/>
        </w:rPr>
        <w:t xml:space="preserve">عن زرارة، وليس فيها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للآخر أن يتزوّجها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مواضع من الاختلاف اليسير في بعض الألفاظ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ورواها الصدوق في الفقيه</w:t>
      </w:r>
      <w:r>
        <w:rPr>
          <w:rStyle w:val="FootnoteAnchor"/>
          <w:rtl w:val="true"/>
        </w:rPr>
        <w:footnoteReference w:id="207"/>
      </w:r>
      <w:r>
        <w:rPr>
          <w:rFonts w:ascii="IRNazanin" w:hAnsi="IRNazanin" w:eastAsia="IRNazanin"/>
          <w:color w:val="111111"/>
          <w:sz w:val="28"/>
          <w:sz w:val="28"/>
          <w:szCs w:val="28"/>
          <w:rtl w:val="true"/>
          <w:lang w:bidi="fa-IR"/>
        </w:rPr>
        <w:t xml:space="preserve">بالطريقين 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استحلّ من فرجها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عبد الكريم في حديثه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وليس للآخر أن يتزوّجها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زيادة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بها الآخر أو لم يدخل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بها أو لم يدخل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ورواها الشيخ في التهذيب</w:t>
      </w:r>
      <w:r>
        <w:rPr>
          <w:rStyle w:val="FootnoteAnchor"/>
          <w:rtl w:val="true"/>
        </w:rPr>
        <w:footnoteReference w:id="208"/>
      </w:r>
      <w:r>
        <w:rPr>
          <w:rFonts w:ascii="IRNazanin" w:hAnsi="IRNazanin" w:eastAsia="IRNazanin"/>
          <w:color w:val="111111"/>
          <w:sz w:val="28"/>
          <w:sz w:val="28"/>
          <w:szCs w:val="28"/>
          <w:rtl w:val="true"/>
          <w:lang w:bidi="fa-IR"/>
        </w:rPr>
        <w:t>والاستبصار</w:t>
      </w:r>
      <w:r>
        <w:rPr>
          <w:rStyle w:val="FootnoteAnchor"/>
          <w:rtl w:val="true"/>
        </w:rPr>
        <w:footnoteReference w:id="209"/>
      </w:r>
      <w:r>
        <w:rPr>
          <w:rFonts w:ascii="Amiri" w:hAnsi="Amiri" w:eastAsia="Amiri" w:cs="Amiri"/>
          <w:color w:val="111111"/>
          <w:sz w:val="28"/>
          <w:sz w:val="28"/>
          <w:szCs w:val="28"/>
          <w:rtl w:val="true"/>
          <w:lang w:bidi="ar-SA"/>
        </w:rPr>
        <w:t>عن موسى بن بكر عن زرارة، وفيها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بها الأوّل أو لم يدخل بها، وليس للأخير أن يتزوّج بها أبداً ولها المهر بما استحلّ من فرجها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فتقدّمت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للأخير أن يتزوّج بها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ولها من الأخير المهر بما استحلّ من فرجها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لا يضرّ بالمقصود فلا أثر لكيفيّة ترتيب العبارتين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بها الأوّل أو لم يدخل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وتقدّم أنّ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بها الآخر </w:t>
      </w:r>
    </w:p>
    <w:p>
      <w:pPr>
        <w:pStyle w:val="BookText"/>
        <w:rPr/>
      </w:pPr>
      <w:r>
        <w:rPr>
          <w:rFonts w:ascii="Amiri" w:hAnsi="Amiri" w:eastAsia="Amiri" w:cs="Amiri"/>
          <w:color w:val="111111"/>
          <w:sz w:val="28"/>
          <w:sz w:val="28"/>
          <w:szCs w:val="28"/>
          <w:rtl w:val="true"/>
          <w:lang w:bidi="ar-SA"/>
        </w:rPr>
        <w:t>أو لم يدخل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الكافي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التّستري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والظاهر كون زيادتهما من المحشّين لتوضيح المراد من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الفقيه وهم في فهم المراد؛ لأنّ المراد أنّ الأوّل أحقّ بالمرأة ولو بمجرّد عقد</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المراد ذلك يتوقّف على معرفة مرجع الضمير، فقد يقال بأنّ المراد هو كون الأوّل أحقّ بها وإن دخل بها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فالأولى ذكر القرينة الدالّة على أنّه يعود على الأوّل، وهي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ولها من الأخير المهر بما استحلّ من فرجها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تدل على دخول الآخر فلا معنى للترديد قبل ذلك بلحاظه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أصل التصريح بالفاعل قد يكون كما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بملاحظة عدم ذكره في الكافي، والأمر سهل فالمعنى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وقد روى الشيخ بعد هذه الرواية متّصلاً بها في التهذيبين</w:t>
      </w:r>
      <w:r>
        <w:rPr>
          <w:rStyle w:val="FootnoteAnchor"/>
          <w:rtl w:val="true"/>
        </w:rPr>
        <w:footnoteReference w:id="211"/>
      </w:r>
      <w:r>
        <w:rPr>
          <w:rFonts w:ascii="Amiri" w:hAnsi="Amiri" w:eastAsia="Amiri" w:cs="Amiri"/>
          <w:color w:val="111111"/>
          <w:sz w:val="28"/>
          <w:sz w:val="28"/>
          <w:szCs w:val="28"/>
          <w:rtl w:val="true"/>
          <w:lang w:bidi="ar-SA"/>
        </w:rPr>
        <w:t>بطريق معلول</w:t>
      </w:r>
      <w:r>
        <w:rPr>
          <w:rStyle w:val="FootnoteAnchor"/>
          <w:rtl w:val="true"/>
        </w:rPr>
        <w:footnoteReference w:id="212"/>
      </w:r>
      <w:r>
        <w:rPr>
          <w:rFonts w:ascii="IRNazanin" w:hAnsi="IRNazanin" w:eastAsia="IRNazanin"/>
          <w:color w:val="111111"/>
          <w:sz w:val="28"/>
          <w:sz w:val="28"/>
          <w:szCs w:val="28"/>
          <w:rtl w:val="true"/>
          <w:lang w:bidi="fa-IR"/>
        </w:rPr>
        <w:t xml:space="preserve">عن عبد الله بن بكير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مثلها من حيث ترتيب العبارات مع اختلافات يسيرة في بعض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التّستري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خبره الثاني عين خبره الأوّل،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بكير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سنده محرّف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وسقط منه زرارة كما يشهد له اقتصار الفقيه على ذلك السّند، وكيف وابن بكير لم يروِ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أفاده من عدم رواية عبد الله بن بكير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تامّ لا </w:t>
      </w:r>
    </w:p>
    <w:p>
      <w:pPr>
        <w:pStyle w:val="BookText"/>
        <w:rPr/>
      </w:pPr>
      <w:r>
        <w:rPr>
          <w:rFonts w:ascii="IRNazanin" w:hAnsi="IRNazanin" w:eastAsia="IRNazanin"/>
          <w:color w:val="111111"/>
          <w:sz w:val="28"/>
          <w:sz w:val="28"/>
          <w:szCs w:val="28"/>
          <w:rtl w:val="true"/>
          <w:lang w:bidi="fa-IR"/>
        </w:rPr>
        <w:t xml:space="preserve">غبار عليه، فإنّه يروي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عشرات الموارد بالواسطة، ولم ترد روايته بغير واسطة إلّا في مواضع قليلة لا تبلغ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تتبعت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أصابع اليد الواحدة ممّا يوجب الاطمئنان بوجود سقط في الموارد التي وردت بلا واسط، مع أنّه لم يذكره أحد من الرجاليين في طبقة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حديث سقوط زرارة فلو قلنا بعدم التصحيف فهو محتملٌ بدرجة كبيرة فغالبية روايات ابن بكير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زرارة، ولكن كثيرين غيره توسّطوا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فلا وضوح بأنّ الواسطة زرارة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تمّ حديث التصحيف فالأمر يختلف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ليس واضحاً؛ فإنّ الراوي عن موسى في الرواية السابقة علي بن الحكم، وهنا مَن يروي عن عبد الله هو محمّد بن خالد الأصم، فالطريق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واقتصار الصدوق ليس قرينة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الأصم لم يروِ عن موسى أصلاً، فيمكن أن يكون هذا طريقاً آخر للرواية عن زرارة ولا غرابة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الرواية معتبرة بالطرق الأخرى وكان المروي بهذا الطريق ليس مختلفاً بما يخلّ حتى يمكن أن يؤثّر في الوثوق بالمتن، لا أثر لكونها رواية موسى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يلاحظ أنّ ما ذكره الصدوق من أنّ عبد الكريم هو من زاد مخالفٌ لما في الكافي فالأمر فيه على العكس، فرواية موسى هي التي فيها الزيادة دون رواية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التهذيبين موافق للكافي في رواية موسى ولم ترد فيهما رواية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الاختلاف لا أثر له؛ لأنّ الطريقين معتبران، فأصل وجود العبارة ضمن الرواية محرز بطريق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تعيّنه لنا لا يؤثّر في حجّيّته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لا يتوقّف على عدم تعيين المشتملة على العبارة، فإنّ الزيادة مشكوكة الورود؛ لأنّها بالتالي لم ترد في أحد النقلين والرواية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وأصالة </w:t>
      </w:r>
      <w:bookmarkStart w:id="118" w:name="pg10913_110486"/>
    </w:p>
    <w:p>
      <w:pPr>
        <w:pStyle w:val="BookText"/>
        <w:rPr/>
      </w:pPr>
      <w:bookmarkEnd w:id="118"/>
      <w:r>
        <w:rPr>
          <w:rFonts w:ascii="Amiri" w:hAnsi="Amiri" w:eastAsia="Amiri" w:cs="Amiri"/>
          <w:color w:val="111111"/>
          <w:sz w:val="28"/>
          <w:sz w:val="28"/>
          <w:szCs w:val="28"/>
          <w:rtl w:val="true"/>
          <w:lang w:bidi="ar-SA"/>
        </w:rPr>
        <w:t>عدم الاشتباه في جانب الزيادة لا تتقدّم على أصالة عدمها في جانب النقيصة فإنّ ذلك ليس عرفيّاً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يمكن الجواب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يتمّ في غير المطلب المستقل الذي يمكن أن لا ينقله بعضهم لسبب أو لآخر، والمفروض في المقام أنّ الحكم بالحرمة المؤبّدة حكم مستقل لا علاقة له بغيره ممّا ذكر في المعتبرة، فليس هو شرطاً ولا قيداً ولا استثناءً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6"/>
        <w:numPr>
          <w:ilvl w:val="5"/>
          <w:numId w:val="1"/>
        </w:numPr>
        <w:rPr/>
      </w:pPr>
      <w:bookmarkStart w:id="119" w:name="__RefHeading___Toc3056510_2870459653"/>
      <w:bookmarkStart w:id="120" w:name="_Toc46"/>
      <w:bookmarkEnd w:id="119"/>
      <w:r>
        <w:rPr>
          <w:rtl w:val="true"/>
        </w:rPr>
        <w:t>السّند</w:t>
      </w:r>
      <w:bookmarkEnd w:id="120"/>
    </w:p>
    <w:p>
      <w:pPr>
        <w:pStyle w:val="BookText"/>
        <w:rPr/>
      </w:pPr>
      <w:r>
        <w:rPr>
          <w:rFonts w:ascii="Amiri" w:hAnsi="Amiri" w:eastAsia="Amiri" w:cs="Amiri"/>
          <w:color w:val="111111"/>
          <w:sz w:val="28"/>
          <w:sz w:val="28"/>
          <w:szCs w:val="28"/>
          <w:rtl w:val="true"/>
          <w:lang w:bidi="ar-SA"/>
        </w:rPr>
        <w:t xml:space="preserve">والرواية معتبرة في موضعي الكافي؛ لوثاقة موسى بن بكر فإنّه الواسطي، لأنّ اللذين روياها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الحكم وصفوان، وهما من رواة كتاب الواسطي</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والواسطي ثقة، ويكفينا لذلك أن يروي عنه من لا يروون إلّا عن ثقة، فقد روى عنه ابن أبي عمير</w:t>
      </w:r>
      <w:r>
        <w:rPr>
          <w:rStyle w:val="FootnoteAnchor"/>
          <w:rtl w:val="true"/>
        </w:rPr>
        <w:footnoteReference w:id="215"/>
      </w:r>
      <w:r>
        <w:rPr>
          <w:rFonts w:ascii="IRNazanin" w:hAnsi="IRNazanin" w:eastAsia="IRNazanin"/>
          <w:color w:val="111111"/>
          <w:sz w:val="28"/>
          <w:sz w:val="28"/>
          <w:szCs w:val="28"/>
          <w:rtl w:val="true"/>
          <w:lang w:bidi="fa-IR"/>
        </w:rPr>
        <w:t>وصفوان</w:t>
      </w:r>
      <w:r>
        <w:rPr>
          <w:rStyle w:val="FootnoteAnchor"/>
          <w:rtl w:val="true"/>
        </w:rPr>
        <w:footnoteReference w:id="216"/>
      </w:r>
      <w:r>
        <w:rPr>
          <w:rFonts w:ascii="Amiri" w:hAnsi="Amiri" w:eastAsia="Amiri" w:cs="Amiri"/>
          <w:color w:val="111111"/>
          <w:sz w:val="28"/>
          <w:sz w:val="28"/>
          <w:szCs w:val="28"/>
          <w:rtl w:val="true"/>
          <w:lang w:bidi="ar-SA"/>
        </w:rPr>
        <w:t>، بل هما راويا كتابه حسب الفهرست</w:t>
      </w:r>
      <w:r>
        <w:rPr>
          <w:rStyle w:val="FootnoteAnchor"/>
          <w:rtl w:val="true"/>
        </w:rPr>
        <w:footnoteReference w:id="217"/>
      </w:r>
      <w:r>
        <w:rPr>
          <w:rFonts w:ascii="Amiri" w:hAnsi="Amiri" w:eastAsia="Amiri" w:cs="Amiri"/>
          <w:color w:val="111111"/>
          <w:sz w:val="28"/>
          <w:sz w:val="28"/>
          <w:szCs w:val="28"/>
          <w:rtl w:val="true"/>
          <w:lang w:bidi="ar-SA"/>
        </w:rPr>
        <w:t>، ووردت رواية البزنطي عنه في موضعين في طريقهما سهل بن زياد</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الكريم هو ابن عمرو الخثعمي، وهو الثقة</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أنّها معتبرة في الفقيه بأحد طريقيها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عبد الكريم فقد بدأه بالبزنطي، </w:t>
      </w:r>
      <w:bookmarkStart w:id="121" w:name="pg10913_110489"/>
    </w:p>
    <w:p>
      <w:pPr>
        <w:pStyle w:val="BookText"/>
        <w:rPr/>
      </w:pPr>
      <w:bookmarkEnd w:id="121"/>
      <w:r>
        <w:rPr>
          <w:rFonts w:ascii="Amiri" w:hAnsi="Amiri" w:eastAsia="Amiri" w:cs="Amiri"/>
          <w:color w:val="111111"/>
          <w:sz w:val="28"/>
          <w:sz w:val="28"/>
          <w:szCs w:val="28"/>
          <w:rtl w:val="true"/>
          <w:lang w:bidi="ar-SA"/>
        </w:rPr>
        <w:t>وطريقه إليه صحيح</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عن موسى بن بكر فليس تامّاً؛ لأنّه بدأه بموسى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الظاهر وهو ما فهمه الحرّ في الوسائل</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طريقه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في العبارة</w:t>
      </w:r>
      <w:r>
        <w:rPr>
          <w:rStyle w:val="FootnoteAnchor"/>
          <w:rtl w:val="true"/>
        </w:rPr>
        <w:footnoteReference w:id="222"/>
      </w:r>
      <w:r>
        <w:rPr>
          <w:rFonts w:ascii="Amiri" w:hAnsi="Amiri" w:eastAsia="Amiri" w:cs="Amiri"/>
          <w:color w:val="111111"/>
          <w:sz w:val="28"/>
          <w:sz w:val="28"/>
          <w:szCs w:val="28"/>
          <w:rtl w:val="true"/>
          <w:lang w:bidi="ar-SA"/>
        </w:rPr>
        <w:t>أنّ موسى عطف على عبد الكريم فيكون الطريق صحيحاً كالأوّل، وقد وردت رواية البزنطي عن موسى بطريق فيه سهل بن زياد كما أشرنا إليه، لكنّه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عن موسى في التهذيبين معتبر وإن بدأه بعلي بن الحسن بن فضال، فطريقه إليه تامّ على الأقرب</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وتحصّل من جميع ما تقدّم أنّ الرواية معتبرة والاختلاف في المتن لا يؤثّر</w:t>
      </w:r>
      <w:r>
        <w:rPr>
          <w:rFonts w:eastAsia="Amiri" w:cs="Amiri" w:ascii="Amiri" w:hAnsi="Amiri"/>
          <w:color w:val="111111"/>
          <w:sz w:val="28"/>
          <w:szCs w:val="28"/>
          <w:rtl w:val="true"/>
          <w:lang w:bidi="ar-SA"/>
        </w:rPr>
        <w:t>.</w:t>
      </w:r>
    </w:p>
    <w:p>
      <w:pPr>
        <w:pStyle w:val="Heading6"/>
        <w:numPr>
          <w:ilvl w:val="5"/>
          <w:numId w:val="1"/>
        </w:numPr>
        <w:rPr/>
      </w:pPr>
      <w:bookmarkStart w:id="122" w:name="__RefHeading___Toc3056512_2870459653"/>
      <w:bookmarkStart w:id="123" w:name="_Toc47"/>
      <w:bookmarkEnd w:id="122"/>
      <w:r>
        <w:rPr>
          <w:rtl w:val="true"/>
        </w:rPr>
        <w:t>موردها</w:t>
      </w:r>
      <w:bookmarkEnd w:id="123"/>
    </w:p>
    <w:p>
      <w:pPr>
        <w:pStyle w:val="BookText"/>
        <w:rPr/>
      </w:pPr>
      <w:r>
        <w:rPr>
          <w:rFonts w:ascii="Amiri" w:hAnsi="Amiri" w:eastAsia="Amiri" w:cs="Amiri"/>
          <w:color w:val="111111"/>
          <w:sz w:val="28"/>
          <w:sz w:val="28"/>
          <w:szCs w:val="28"/>
          <w:rtl w:val="true"/>
          <w:lang w:bidi="ar-SA"/>
        </w:rPr>
        <w:t>الظاهر منها أنّ موردها كالسابقة وهو جهل المرأة مع الدخول، وتعمّ حالتي علم الرجل وجهله، أمّا جهلها فواضح، وأمّا عمومها لحالتي الرجل من العلم والجهل فكما تقدّم في المعتبرة السابقة، وأمّا الدخول فلما تقدّم وذكره غير واحد من الأعلام</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وظاهر عبارة السيّد الحكيم أنّ استحقاق المهر نفسه هو القرينة بلا دخالة التعليل باستحلال الفرج</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قرينيّة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ولها المهر بما استحلّ من فرجها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ذلك، فإنّ هذا التعبير ظاهر بأنّه واقعها، لا مجرّد أن يبني على حلّيّة مواقعتها أو يمارس ما دون الوطء من الاستمتاعات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والدليل على إناطة الاستحقاق بالاستحلال وأنّه الوطء مجموعة من الروايات في فروض شتى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الرجل يتزوّج إلى قوم فإذا امرأته عوراء ولم يبيّنوا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تردّ، إنّما يرد النكاح من البرص والجذام والجنون والعفل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كان قد دخل بها كيف يصنع بمهرها؟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المهر لها بما استحلّ من فرجها، ويغرم وليّها الذي أنكحها مثل ما ساق إليها</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حرّة تزوّجت عبداً على أنّه حرّ، ثمّ علمت بعد أنّه مملوك؟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أملك بنفسها إن شاءت بعد علمها أقرّت به وأقامت معه، وإن شاءت لم تقم، وإن كان العبد دخل بها فلها الصداق بما استحلّ من فرجها، وإن لم يكن دخل بها فالنكاح باطل، فإن أقرّت معه بعد علمها أنّه عبد مملوك فهو أملك بها</w:t>
      </w:r>
      <w:r>
        <w:rPr>
          <w:rFonts w:eastAsia="IRNazanin" w:cs="IRNazanin"/>
          <w:color w:val="111111"/>
          <w:sz w:val="28"/>
          <w:szCs w:val="28"/>
          <w:rtl w:val="true"/>
          <w:lang w:bidi="fa-IR"/>
        </w:rPr>
        <w:t>)</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الحسن بن صالح،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تزوّج امرأة فوجد بها قرناً،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لا تحبل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 على أهلها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ينقبض زوجها عن مجامعتها تردّ على أهلها،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دخل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علم بها قبل أن يجامعها ثمّ جامعها فقد رضي بها وإن لم يعلم إلّا بعد ما جامعها فإن شاء بعد أمسكها وإن شاء سرّحها إلى أهلها، ولها ما أخذت منه بما استحلّ من فرجها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محمّد بن مسلم أنّه سأل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تزوّج إلى قوم امرأة فوجدها عوراء ولم يبيّنوا أَ له أن يردها؟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يردّها، إنّما يردّ النكاح من الجنون والجذام والبرص،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دخل بها كيف يصنع؟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المهر بما استحلّ من فرجها، ويغرم وليها الذي أنكحها مثل ما ساقه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اعتبار طريق الصدوق إلى محمّد بن مسلم بتقريب للسيّد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قبسات من علم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 w:name="pg10913_110492"/>
    </w:p>
    <w:p>
      <w:pPr>
        <w:pStyle w:val="BookText"/>
        <w:rPr/>
      </w:pPr>
      <w:bookmarkEnd w:id="124"/>
      <w:r>
        <w:rPr>
          <w:rFonts w:ascii="Amiri" w:hAnsi="Amiri" w:eastAsia="Amiri" w:cs="Amiri"/>
          <w:color w:val="111111"/>
          <w:sz w:val="28"/>
          <w:sz w:val="28"/>
          <w:szCs w:val="28"/>
          <w:rtl w:val="true"/>
          <w:lang w:bidi="ar-SA"/>
        </w:rPr>
        <w:t>وحديث المناسبات المتقدّم يأتي هنا، فيمكن القول بشمول الحكم في فرض الدخول لكلتا حالتي الرجل والمرأة من العلم والجهل</w:t>
      </w:r>
      <w:r>
        <w:rPr>
          <w:rFonts w:eastAsia="Amiri" w:cs="Amiri" w:ascii="Amiri" w:hAnsi="Amiri"/>
          <w:color w:val="111111"/>
          <w:sz w:val="28"/>
          <w:szCs w:val="28"/>
          <w:rtl w:val="true"/>
          <w:lang w:bidi="ar-SA"/>
        </w:rPr>
        <w:t>.</w:t>
      </w:r>
    </w:p>
    <w:p>
      <w:pPr>
        <w:pStyle w:val="Heading6"/>
        <w:numPr>
          <w:ilvl w:val="5"/>
          <w:numId w:val="1"/>
        </w:numPr>
        <w:rPr/>
      </w:pPr>
      <w:bookmarkStart w:id="125" w:name="__RefHeading___Toc3056514_2870459653"/>
      <w:bookmarkStart w:id="126" w:name="_Toc48"/>
      <w:bookmarkEnd w:id="125"/>
      <w:r>
        <w:rPr>
          <w:rtl w:val="true"/>
        </w:rPr>
        <w:t>الرّواية الرّابعة</w:t>
      </w:r>
      <w:bookmarkEnd w:id="126"/>
    </w:p>
    <w:p>
      <w:pPr>
        <w:pStyle w:val="BookText"/>
        <w:rPr/>
      </w:pPr>
      <w:r>
        <w:rPr>
          <w:rFonts w:ascii="Amiri" w:hAnsi="Amiri" w:eastAsia="Amiri" w:cs="Amiri"/>
          <w:color w:val="111111"/>
          <w:sz w:val="28"/>
          <w:sz w:val="28"/>
          <w:szCs w:val="28"/>
          <w:rtl w:val="true"/>
          <w:lang w:bidi="ar-SA"/>
        </w:rPr>
        <w:t>مرفوعة أحمد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الرجل إذا تزوّج المرأة، وعلم أنّ لها زوجاً، فرّق بينهما ولم تحلّ له أبداً</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بمنطوقها تدلّ على الحرمة المؤبّدة في حالة علم الزوج سواءً علمت المرأة ببقاء علقتها مع الأوّل أو جهلت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هي ناظرة إلى فرض الدخول أم لا؟ يأتي ما تقدّم في معتبرة أديم من قرينيّة التفريق بينهما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وبمفهومها تدلّ على عدم الحرمة لو لم يعلم الزوج</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يثبت التفريق والحرمة المؤبّدة بمقتضى المنطوق أمّا عند انتفاء العلم فلا يثبت بالمفهوم إلّا عدم المجموع المركّب منهما، وهو الذي يقتضيه الانتفاء عند الانتفاء وليس أزيد من ذلك، وعليه لا تثبت بالمفهوم الحلّيّة في فرض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w:t>
      </w:r>
      <w:bookmarkStart w:id="127" w:name="pg10913_110494"/>
    </w:p>
    <w:p>
      <w:pPr>
        <w:pStyle w:val="BookText"/>
        <w:rPr/>
      </w:pPr>
      <w:bookmarkEnd w:id="127"/>
      <w:r>
        <w:rPr>
          <w:rFonts w:ascii="Amiri" w:hAnsi="Amiri" w:eastAsia="Amiri" w:cs="Amiri"/>
          <w:color w:val="111111"/>
          <w:sz w:val="28"/>
          <w:sz w:val="28"/>
          <w:szCs w:val="28"/>
          <w:rtl w:val="true"/>
          <w:lang w:bidi="ar-SA"/>
        </w:rPr>
        <w:t>المرفوع خصوص التفريق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يحتمل أن لا يفرّق بينهما، وهل تجمع بين زوجين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احتمال أحقّيّة الآخر قائمة فلا يلزم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منفي بما تقدّم من المعتبرتين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كون المراد أنّ الرجل كان جاهلاً بكونها متزوّجة ثمّ علم بذلك، فلو أريد أنّه عند التزويج كان عالماً لعبّر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الواو لا تدلّ على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البعيد أن يكون للعلم بعد الجهل دخالة بحيث لو بقي جاهلاً إلى فترة انفراط عقدها مع الأوّل بموت أو غيره لكانت حلالاً، ولكنّه لمّا علم قبل الانفراط حرمت عليه مؤبّداً، وليس من الضروري أن يكون الكلام على أتمّ وجه في البيان والوضوح، بل المهم أن يكون ظاهراً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وموردها يعمّ ما إذا كانت الزوجة عالمة أو جاهلة، ويعمّ فرضي الدخول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ولكنّها مخدوشة سنداً</w:t>
      </w:r>
      <w:r>
        <w:rPr>
          <w:rFonts w:eastAsia="Amiri" w:cs="Amiri" w:ascii="Amiri" w:hAnsi="Amiri"/>
          <w:color w:val="111111"/>
          <w:sz w:val="28"/>
          <w:szCs w:val="28"/>
          <w:rtl w:val="true"/>
          <w:lang w:bidi="ar-SA"/>
        </w:rPr>
        <w:t>.</w:t>
      </w:r>
    </w:p>
    <w:p>
      <w:pPr>
        <w:pStyle w:val="Heading6"/>
        <w:numPr>
          <w:ilvl w:val="5"/>
          <w:numId w:val="1"/>
        </w:numPr>
        <w:rPr/>
      </w:pPr>
      <w:bookmarkStart w:id="128" w:name="__RefHeading___Toc3056516_2870459653"/>
      <w:bookmarkStart w:id="129" w:name="_Toc49"/>
      <w:bookmarkEnd w:id="128"/>
      <w:r>
        <w:rPr>
          <w:rtl w:val="true"/>
        </w:rPr>
        <w:t>الرّواية الخامسة</w:t>
      </w:r>
      <w:bookmarkEnd w:id="129"/>
    </w:p>
    <w:p>
      <w:pPr>
        <w:pStyle w:val="BookText"/>
        <w:rPr/>
      </w:pPr>
      <w:r>
        <w:rPr>
          <w:rFonts w:ascii="Amiri" w:hAnsi="Amiri" w:eastAsia="Amiri" w:cs="Amiri"/>
          <w:color w:val="111111"/>
          <w:sz w:val="28"/>
          <w:sz w:val="28"/>
          <w:szCs w:val="28"/>
          <w:rtl w:val="true"/>
          <w:lang w:bidi="ar-SA"/>
        </w:rPr>
        <w:t>رواية علي بن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امرأة بلغها أنّ زوجها توفّي فاعتدّت سنة وتزوّجت، فبلغها بعدُ أنّ زوجها حيّ، هل تحلّ للآخر؟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رواها الحميري في قرب الإسناد، ووردت مع اختلاف يسير في مسائل علي بن جعفر</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يمكن التغلّب على المشكلة السندية بحصول الوثوق بالصدور، فإنّه ربّما </w:t>
      </w:r>
    </w:p>
    <w:p>
      <w:pPr>
        <w:pStyle w:val="BookText"/>
        <w:rPr/>
      </w:pPr>
      <w:r>
        <w:rPr>
          <w:rFonts w:ascii="Amiri" w:hAnsi="Amiri" w:eastAsia="Amiri" w:cs="Amiri"/>
          <w:color w:val="111111"/>
          <w:sz w:val="28"/>
          <w:sz w:val="28"/>
          <w:szCs w:val="28"/>
          <w:rtl w:val="true"/>
          <w:lang w:bidi="ar-SA"/>
        </w:rPr>
        <w:t xml:space="preserve">يحصل لتوفّر نسختين من كتاب علي بن جعفر عليها، كما أشار إليه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تقريب الاستدلال بها على الحرمة المؤبّدة فبوجهين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السؤال إنّما هو عن الحرمة المؤبّدة وإلّا فهل يَحتمل مسلم أن تحلّ المرأة لرجلٍ وهي في عصمة آخر حتى يكون منشأ لسؤال مثل علي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في معتبرة أبي عبيدة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كانت جاهلة بما صنعت؟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هي في دار الهجرة؟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 امرأة اليوم من نساء المسلمين إلّا وهي تعلم أنّ المرأة المسلمة لا يحلّ لها أن تتزوّج زوجين</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يزيد الكناسي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أرأيت إن كان ذلك منها بجهالة؟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امرأة اليوم من نساء المسلمين إلّا وهي تعلم أنّ عليها عدّة في طلاق أو موت، ولقد كنّ نساء الجاهلية يعرفن ذلك</w:t>
      </w:r>
      <w:r>
        <w:rPr>
          <w:rFonts w:eastAsia="IRNazanin" w:cs="IRNazanin"/>
          <w:color w:val="111111"/>
          <w:sz w:val="28"/>
          <w:szCs w:val="28"/>
          <w:rtl w:val="true"/>
          <w:lang w:bidi="fa-IR"/>
        </w:rPr>
        <w:t>)</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تعلم أنّ عليها عدّة من زوجها لا تقرب فيها الرجال فكيف تجهل أن يحلّ لها الزواج وهي في ذمّة رجل آخر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الكلام ليس في أن تجمع المرأة بين الزوجين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احتمال أن يبطل زواج الأوّل مثلاً فتحلّ للثاني، ولعلّ هذا لم يكن بيّن الخطأ بحيث يستبعد السؤال عنه من </w:t>
      </w:r>
    </w:p>
    <w:p>
      <w:pPr>
        <w:pStyle w:val="BookText"/>
        <w:rPr/>
      </w:pPr>
      <w:r>
        <w:rPr>
          <w:rFonts w:ascii="IRNazanin" w:hAnsi="IRNazanin" w:eastAsia="IRNazanin"/>
          <w:color w:val="111111"/>
          <w:sz w:val="28"/>
          <w:sz w:val="28"/>
          <w:szCs w:val="28"/>
          <w:rtl w:val="true"/>
          <w:lang w:bidi="fa-IR"/>
        </w:rPr>
        <w:t>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نجد بعض الموارد يُبيَّن فيها أنّها تكون زوجة لأيٍّ منهما كما في معتبرة محمّد ابن قيس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قضى في رجل ظنّ أهله أنّه قد مات أو قتل فنكحت امرأته أو تزوّجت سريّته فولدت كلُّ واحدة منهما من زوجها، ثمّ جاء الزوج الأوّل أو جاء مولى السريّة،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فقضى في ذلك أن يأخذ الأوّل امرأته فهو أحقّ بها، ويأخذ السيّد سريّته وولدها أو يأخذ رضاه من الثمن ثمن الولد</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وأخرى يُسأل فيها عن التفريق بينهما كما في معتبرة شعيب،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تزوّج امرأة لها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يفرّق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فعليه ضرب؟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له يضرب؟</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في معتبرة زرارة الثانية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الأوّل أحقّ بها من هذا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الحكم الأوّل في المسألة ثمّ أتبعه بالحكمين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أنّه شيء يستحق البيان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 يقيّد بموت الأوّل مثلاً أو طلاقه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ويمكن أن يجاب عن هذا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أجاب عن السؤال معتمداً على كلام السائل ولم يُعد الموضوع، فالمناط في كون الجواب شاملاً لما بعد خروجها عن عصمة الأوّل أو ليس بشاملٍ هو شمول السؤال له وعدمه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يكفي السؤال فإنّه مطلق ويشمل حالة ما بعد خروجها عن عهدة الأوَّل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الحلّيّة قبل الخروج من عصمة الأوّل إنّما هي بمعنى أحقيّة </w:t>
      </w:r>
    </w:p>
    <w:p>
      <w:pPr>
        <w:pStyle w:val="BookText"/>
        <w:rPr/>
      </w:pPr>
      <w:r>
        <w:rPr>
          <w:rFonts w:ascii="Amiri" w:hAnsi="Amiri" w:eastAsia="Amiri" w:cs="Amiri"/>
          <w:color w:val="111111"/>
          <w:sz w:val="28"/>
          <w:sz w:val="28"/>
          <w:szCs w:val="28"/>
          <w:rtl w:val="true"/>
          <w:lang w:bidi="ar-SA"/>
        </w:rPr>
        <w:t>الثاني بها من الأوّل، أو بمعنى سريان مفعول عقد الثاني وعدم بطلانه بالعلم بزواجها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الحلّيّة بعد خروجها عن عصمة الأوّل فهي تعني صحّة العقد الجديد في مقابل الحرمة الأبديّة وبطلان أيّ عقد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كيف يسأل عنهما بلفظ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الكلام غير واضح؛ فالظاهر أنّ المراد من الحلّيّة ما يشمل صحّة العقد استمراراً وصحّة إحداث عقد جديد،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تمّت دلالتها فموردها جهل المرأة، وتعمّ حالتي الدخول وعدمه، وكون موردها جهالة الرجل مبني على تمامية الانصراف المتقدّم، وهو محلّ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 بتماميّتها سنداً ودلالةً ليس بمجازفة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وكيفما كان فهي لا تزيد على معتبرتي زرارة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وصلّى الله على سيدنا محمَّد وآله الطيبين الطاهرين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10913_110504"/>
      <w:bookmarkStart w:id="131" w:name="pg10913_110504"/>
      <w:bookmarkEnd w:id="131"/>
    </w:p>
    <w:p>
      <w:pPr>
        <w:pStyle w:val="Heading2"/>
        <w:numPr>
          <w:ilvl w:val="1"/>
          <w:numId w:val="1"/>
        </w:numPr>
        <w:rPr/>
      </w:pPr>
      <w:bookmarkStart w:id="132" w:name="pg10913_110504"/>
      <w:bookmarkStart w:id="133" w:name="__RefHeading___Toc3056518_2870459653"/>
      <w:bookmarkStart w:id="134" w:name="_Toc50"/>
      <w:bookmarkEnd w:id="132"/>
      <w:bookmarkEnd w:id="133"/>
      <w:r>
        <w:rPr>
          <w:rtl w:val="true"/>
        </w:rPr>
        <w:t xml:space="preserve">رباعيّة المسافر في المواضع الأربعة </w:t>
      </w:r>
      <w:r>
        <w:rPr>
          <w:rtl w:val="true"/>
        </w:rPr>
        <w:t>(</w:t>
      </w:r>
      <w:r>
        <w:rPr>
          <w:rtl w:val="true"/>
        </w:rPr>
        <w:t>الحلقة الثانية</w:t>
      </w:r>
      <w:r>
        <w:rPr>
          <w:rtl w:val="true"/>
        </w:rPr>
        <w:t xml:space="preserve">) - </w:t>
      </w:r>
      <w:r>
        <w:rPr>
          <w:rtl w:val="true"/>
        </w:rPr>
        <w:t xml:space="preserve">الشيخ جاسم الفهدي </w:t>
      </w:r>
      <w:r>
        <w:rPr>
          <w:rtl w:val="true"/>
        </w:rPr>
        <w:t>(</w:t>
      </w:r>
      <w:r>
        <w:rPr>
          <w:rtl w:val="true"/>
        </w:rPr>
        <w:t>دام عزه</w:t>
      </w:r>
      <w:r>
        <w:rPr>
          <w:rtl w:val="true"/>
        </w:rPr>
        <w:t>)</w:t>
      </w:r>
      <w:bookmarkEnd w:id="134"/>
    </w:p>
    <w:p>
      <w:pPr>
        <w:pStyle w:val="Heading3"/>
        <w:numPr>
          <w:ilvl w:val="2"/>
          <w:numId w:val="1"/>
        </w:numPr>
        <w:rPr/>
      </w:pPr>
      <w:bookmarkStart w:id="135" w:name="__RefHeading___Toc3056520_2870459653"/>
      <w:bookmarkStart w:id="136" w:name="_Toc51"/>
      <w:bookmarkEnd w:id="135"/>
      <w:r>
        <w:rPr>
          <w:rtl w:val="true"/>
        </w:rPr>
        <w:t>اشارة</w:t>
      </w:r>
      <w:bookmarkEnd w:id="136"/>
    </w:p>
    <w:p>
      <w:pPr>
        <w:pStyle w:val="BookText"/>
        <w:rPr/>
      </w:pPr>
      <w:r>
        <w:rPr>
          <w:rFonts w:ascii="Amiri" w:hAnsi="Amiri" w:eastAsia="Amiri" w:cs="Amiri"/>
          <w:color w:val="111111"/>
          <w:sz w:val="28"/>
          <w:sz w:val="28"/>
          <w:szCs w:val="28"/>
          <w:rtl w:val="true"/>
          <w:lang w:bidi="ar-SA"/>
        </w:rPr>
        <w:t>للمواضع الأربعة التي حكم بالتخيير في فرائضها الرباعيّة خصوصيات فريدة تميّزت فيها عن سائر البقاع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بيان حدود هذه المواضع وما يترتّب عليها من الأحكام اختلفت كلمات الأعلام تبعاً لاختلاف الروايات</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الورقات محاولة في تأمّل وجوه الروايات، ولملمة شتات هذه الكلمات لمعرفة حدود هذه المواضع، والنظر في إمكان شمول أحكامها إلى سائر مشاهد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البحث في صلاة المسافر واحد من أهمّ الأبحاث التي اهتمّ بها الفقهاء لحاجة المكلّف إلى مسائله وصوره، ومنها مسألة صلاة المسافر إلى المواضع الأربعة،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المكرّمة، والمدينة المنوّرة، والكوفة، وحرم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تقدّم الكلام في المقام الأوَّل من حكم الصلاة الرباعيّة للمسافر إلى المواضع الأربعة، واستعراض الأقوال الثلاثة فيها،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إليه المشهور من التخيير بين القصر والتمام وأفضلية التمام، وما اختاره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تعيّن القصر، وما نسب للسيّد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تعيّن التمام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 ظهر بعد استعراض أدلّة هذه المواقف أنّ الصحيح هو ما ذهب إليه المشهور، اعتماداً على الجمع بين الروايات الدالّة على التخيير والروايات الظاهرة في تعيّن التمام، وحمل الروايات الدالّة على تعيّن القصر حملاً جهتيّاً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البحث في المقام الثاني،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حدود المواضع الأربعة التي حُكم بالتخيير فيها، وهل يختصّ الحكم في المساجد الثلاثة والحائر، أو يعمّ البلدان الثلاثة والحائر، أو يشمل البلدان الأربعة؟ وسوف نستعرض الأقوال فيها، وبيان الأدلّة عليها من خلال أربعة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حدود مكّة المكرّمة، والمدينة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حدود الكوفة، وهل يشمل الحكم مدينة النّجف الأشرف؟</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الحائر الحسيني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دعوى شمول الحكم لجميع مشاهد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137" w:name="pg10913_110510"/>
    </w:p>
    <w:p>
      <w:pPr>
        <w:pStyle w:val="Heading3"/>
        <w:numPr>
          <w:ilvl w:val="2"/>
          <w:numId w:val="1"/>
        </w:numPr>
        <w:rPr/>
      </w:pPr>
      <w:bookmarkStart w:id="138" w:name="__RefHeading___Toc3056522_2870459653"/>
      <w:bookmarkStart w:id="139" w:name="_Toc52"/>
      <w:bookmarkEnd w:id="137"/>
      <w:bookmarkEnd w:id="138"/>
      <w:r>
        <w:rPr>
          <w:rtl w:val="true"/>
        </w:rPr>
        <w:t>المقام الثَّاني</w:t>
      </w:r>
      <w:r>
        <w:rPr>
          <w:rtl w:val="true"/>
        </w:rPr>
        <w:t xml:space="preserve">: </w:t>
      </w:r>
      <w:r>
        <w:rPr>
          <w:rtl w:val="true"/>
        </w:rPr>
        <w:t>في بيان حدود الأماكن الأربعة</w:t>
      </w:r>
      <w:bookmarkEnd w:id="139"/>
    </w:p>
    <w:p>
      <w:pPr>
        <w:pStyle w:val="Heading4"/>
        <w:numPr>
          <w:ilvl w:val="3"/>
          <w:numId w:val="1"/>
        </w:numPr>
        <w:rPr/>
      </w:pPr>
      <w:bookmarkStart w:id="140" w:name="__RefHeading___Toc3056524_2870459653"/>
      <w:bookmarkStart w:id="141" w:name="_Toc53"/>
      <w:bookmarkEnd w:id="140"/>
      <w:r>
        <w:rPr>
          <w:rtl w:val="true"/>
        </w:rPr>
        <w:t>اشارة</w:t>
      </w:r>
      <w:bookmarkEnd w:id="141"/>
    </w:p>
    <w:p>
      <w:pPr>
        <w:pStyle w:val="BookText"/>
        <w:rPr/>
      </w:pPr>
      <w:r>
        <w:rPr>
          <w:rFonts w:ascii="Amiri" w:hAnsi="Amiri" w:eastAsia="Amiri" w:cs="Amiri"/>
          <w:color w:val="111111"/>
          <w:sz w:val="28"/>
          <w:sz w:val="28"/>
          <w:szCs w:val="28"/>
          <w:rtl w:val="true"/>
          <w:lang w:bidi="ar-SA"/>
        </w:rPr>
        <w:t>وقع الخلاف بين الأعلام في حدودها؛ لما ورد من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استُظهر اختصاص الحكم بالحرمين وعدم ثبوته في الكوفة وقبر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 المحقّق الشيخ حسن في المنتقى؛ لعدم تعرّضه لأخبارهما، كما نبّه عليه في مفتاح الكرامة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يتعرّض لمسجد الكوفة والحائر الشريف في المنتقى، ولعلّه لعدم صحّة أخبارهما عنده، فليتأمّل فيه</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 النظر إلى ما ذُكر في منتقى الجمان من بعض الأخبار الصحاح والحسان في حكم التخيير في الحرمين حيث علّق عليها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الذي يتحصّل من هذه الأخبار وما سيجيء بمعناها هو ثبوت التخيير بين التقصير والإتمام في الحرمين</w:t>
      </w:r>
      <w:r>
        <w:rPr>
          <w:rFonts w:eastAsia="Amiri" w:cs="Amiri" w:ascii="Amiri" w:hAnsi="Amiri"/>
          <w:color w:val="111111"/>
          <w:sz w:val="28"/>
          <w:szCs w:val="28"/>
          <w:rtl w:val="true"/>
          <w:lang w:bidi="ar-SA"/>
        </w:rPr>
        <w:t>)</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ذكر في موضع آخر من نفس الباب صحيحة حمّاد بن عيسى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مخزون علم الله الإتمام في أربعة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الله، وحرم رسوله، وحرم أمير المؤمنين، وحرم الحسين بن علي</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الصحيحة أهمّ الروايات التي يتمسّك بها لإثبات الحكم في الكوفة والحائر الشريف كما سيأتي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ونتطرّق في هذا المقام إلى الأخبار التي دلّت على حكم الصلاة في المواطن الأربعة، وما قيل فيها لمعرفة حدودها التي جاز فيها التخيير في الصلاة</w:t>
      </w:r>
      <w:r>
        <w:rPr>
          <w:rFonts w:eastAsia="Amiri" w:cs="Amiri" w:ascii="Amiri" w:hAnsi="Amiri"/>
          <w:color w:val="111111"/>
          <w:sz w:val="28"/>
          <w:szCs w:val="28"/>
          <w:rtl w:val="true"/>
          <w:lang w:bidi="ar-SA"/>
        </w:rPr>
        <w:t xml:space="preserve">. </w:t>
      </w:r>
      <w:bookmarkStart w:id="142" w:name="pg10913_110512"/>
    </w:p>
    <w:p>
      <w:pPr>
        <w:pStyle w:val="BookText"/>
        <w:rPr/>
      </w:pPr>
      <w:bookmarkEnd w:id="142"/>
      <w:r>
        <w:rPr>
          <w:rFonts w:ascii="Amiri" w:hAnsi="Amiri" w:eastAsia="Amiri" w:cs="Amiri"/>
          <w:color w:val="111111"/>
          <w:sz w:val="28"/>
          <w:sz w:val="28"/>
          <w:szCs w:val="28"/>
          <w:rtl w:val="true"/>
          <w:lang w:bidi="ar-SA"/>
        </w:rPr>
        <w:t>ويقع الكلام في مواضع</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3056526_2870459653"/>
      <w:bookmarkStart w:id="144" w:name="_Toc54"/>
      <w:bookmarkEnd w:id="143"/>
      <w:r>
        <w:rPr>
          <w:rtl w:val="true"/>
        </w:rPr>
        <w:t>الموضع الأوَّل</w:t>
      </w:r>
      <w:r>
        <w:rPr>
          <w:rtl w:val="true"/>
        </w:rPr>
        <w:t xml:space="preserve">: </w:t>
      </w:r>
      <w:r>
        <w:rPr>
          <w:rtl w:val="true"/>
        </w:rPr>
        <w:t>في الحرمين</w:t>
      </w:r>
      <w:r>
        <w:rPr>
          <w:rtl w:val="true"/>
        </w:rPr>
        <w:t xml:space="preserve">: </w:t>
      </w:r>
      <w:r>
        <w:rPr>
          <w:rtl w:val="true"/>
        </w:rPr>
        <w:t>مكّة المكرمة والمدينة المنوّرة</w:t>
      </w:r>
      <w:bookmarkEnd w:id="144"/>
    </w:p>
    <w:p>
      <w:pPr>
        <w:pStyle w:val="Heading5"/>
        <w:numPr>
          <w:ilvl w:val="4"/>
          <w:numId w:val="1"/>
        </w:numPr>
        <w:rPr/>
      </w:pPr>
      <w:bookmarkStart w:id="145" w:name="__RefHeading___Toc3056528_2870459653"/>
      <w:bookmarkStart w:id="146" w:name="_Toc55"/>
      <w:bookmarkEnd w:id="145"/>
      <w:r>
        <w:rPr>
          <w:rtl w:val="true"/>
        </w:rPr>
        <w:t>اشارة</w:t>
      </w:r>
      <w:bookmarkEnd w:id="146"/>
    </w:p>
    <w:p>
      <w:pPr>
        <w:pStyle w:val="BookText"/>
        <w:rPr/>
      </w:pPr>
      <w:r>
        <w:rPr>
          <w:rFonts w:ascii="Amiri" w:hAnsi="Amiri" w:eastAsia="Amiri" w:cs="Amiri"/>
          <w:color w:val="111111"/>
          <w:sz w:val="28"/>
          <w:sz w:val="28"/>
          <w:szCs w:val="28"/>
          <w:rtl w:val="true"/>
          <w:lang w:bidi="ar-SA"/>
        </w:rPr>
        <w:t>وفيه عدّة أقوال</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3056530_2870459653"/>
      <w:bookmarkStart w:id="148" w:name="_Toc56"/>
      <w:bookmarkEnd w:id="147"/>
      <w:r>
        <w:rPr/>
        <w:t>1</w:t>
      </w:r>
      <w:r>
        <w:rPr>
          <w:rtl w:val="true"/>
        </w:rPr>
        <w:t xml:space="preserve">. </w:t>
      </w:r>
      <w:r>
        <w:rPr>
          <w:rtl w:val="true"/>
        </w:rPr>
        <w:t>شمول الحكم لمكّة والمدينة، وعدم الاختصاص بالمسجدين</w:t>
      </w:r>
      <w:bookmarkEnd w:id="148"/>
    </w:p>
    <w:p>
      <w:pPr>
        <w:pStyle w:val="BookText"/>
        <w:rPr/>
      </w:pPr>
      <w:r>
        <w:rPr>
          <w:rFonts w:ascii="IRNazanin" w:hAnsi="IRNazanin" w:eastAsia="IRNazanin"/>
          <w:color w:val="111111"/>
          <w:sz w:val="28"/>
          <w:sz w:val="28"/>
          <w:szCs w:val="28"/>
          <w:rtl w:val="true"/>
          <w:lang w:bidi="fa-IR"/>
        </w:rPr>
        <w:t xml:space="preserve">وهو مختار الشيخ في الخلاف والمبسوط والنهاية، ومختار المحقّق في جميع كتبه، ومختار العلّامة في المنتهى والتحرير، ومختار مجمع الفائدة والبرهان، والذخيرة، والحدائق، وكذلك مختار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وصِف في الحدائق بأنّه المشهور، وفي الرياض بالأشهر</w:t>
      </w:r>
      <w:r>
        <w:rPr>
          <w:rFonts w:eastAsia="IRNazanin" w:cs="IRNazanin"/>
          <w:color w:val="111111"/>
          <w:sz w:val="28"/>
          <w:szCs w:val="28"/>
          <w:rtl w:val="true"/>
          <w:lang w:bidi="fa-IR"/>
        </w:rPr>
        <w:t>.</w:t>
      </w:r>
    </w:p>
    <w:p>
      <w:pPr>
        <w:pStyle w:val="Heading5"/>
        <w:numPr>
          <w:ilvl w:val="4"/>
          <w:numId w:val="1"/>
        </w:numPr>
        <w:rPr/>
      </w:pPr>
      <w:bookmarkStart w:id="149" w:name="__RefHeading___Toc3056532_2870459653"/>
      <w:bookmarkStart w:id="150" w:name="_Toc57"/>
      <w:bookmarkEnd w:id="149"/>
      <w:r>
        <w:rPr/>
        <w:t>2</w:t>
      </w:r>
      <w:r>
        <w:rPr>
          <w:rtl w:val="true"/>
        </w:rPr>
        <w:t xml:space="preserve">. </w:t>
      </w:r>
      <w:r>
        <w:rPr>
          <w:rtl w:val="true"/>
        </w:rPr>
        <w:t>اختصاص الحكم بالمسجدين</w:t>
      </w:r>
      <w:bookmarkEnd w:id="150"/>
    </w:p>
    <w:p>
      <w:pPr>
        <w:pStyle w:val="BookText"/>
        <w:rPr/>
      </w:pPr>
      <w:r>
        <w:rPr>
          <w:rFonts w:ascii="Amiri" w:hAnsi="Amiri" w:eastAsia="Amiri" w:cs="Amiri"/>
          <w:color w:val="111111"/>
          <w:sz w:val="28"/>
          <w:sz w:val="28"/>
          <w:szCs w:val="28"/>
          <w:rtl w:val="true"/>
          <w:lang w:bidi="ar-SA"/>
        </w:rPr>
        <w:t>وهو ما ذهب إليه ابن إدريس، والعلّامة في القواعد والمختلف والتذكرة والنهاية، وكذلك الشهيد الأوّل في الذكرى والدروس واللمعة، والشهيد الثاني في الروض والروضة، وقال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المشهور هنا الاقتصار في الحرمين على المسجدين منه</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 w:name="__RefHeading___Toc3056534_2870459653"/>
      <w:bookmarkStart w:id="152" w:name="_Toc58"/>
      <w:bookmarkEnd w:id="151"/>
      <w:r>
        <w:rPr/>
        <w:t>3</w:t>
      </w:r>
      <w:r>
        <w:rPr>
          <w:rtl w:val="true"/>
        </w:rPr>
        <w:t xml:space="preserve">. </w:t>
      </w:r>
      <w:r>
        <w:rPr>
          <w:rtl w:val="true"/>
        </w:rPr>
        <w:t>اختصاص الحكم بالحرمين</w:t>
      </w:r>
      <w:bookmarkEnd w:id="15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أعمّ من المسجدين ويساوق البلد والمدينة، وأمّا مكّة فبينها وبين الحرم سابقاً عموم مطلق؛ لأنّ من الحرم ما هو خارج عن مكّة، ولكن كلّ مكّة كانت حرماً إلّا أنّها توسّعت لاحقاً فكان بعضها من الحرم دون بعض</w:t>
      </w:r>
      <w:r>
        <w:rPr>
          <w:rFonts w:eastAsia="Amiri" w:cs="Amiri" w:ascii="Amiri" w:hAnsi="Amiri"/>
          <w:color w:val="111111"/>
          <w:sz w:val="28"/>
          <w:szCs w:val="28"/>
          <w:rtl w:val="true"/>
          <w:lang w:bidi="ar-SA"/>
        </w:rPr>
        <w:t xml:space="preserve">. </w:t>
      </w:r>
      <w:bookmarkStart w:id="153" w:name="pg10913_110514"/>
    </w:p>
    <w:p>
      <w:pPr>
        <w:pStyle w:val="BookText"/>
        <w:rPr/>
      </w:pPr>
      <w:bookmarkEnd w:id="153"/>
      <w:r>
        <w:rPr>
          <w:rFonts w:ascii="Amiri" w:hAnsi="Amiri" w:eastAsia="Amiri" w:cs="Amiri"/>
          <w:color w:val="111111"/>
          <w:sz w:val="28"/>
          <w:sz w:val="28"/>
          <w:szCs w:val="28"/>
          <w:rtl w:val="true"/>
          <w:lang w:bidi="ar-SA"/>
        </w:rPr>
        <w:t>وقد عُبّر بالحرمين في التلخيص، والإرشاد، والتبصرة، والمنتقى</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استظهره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كصاحب 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كلمات الشيخ في التهذيب،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إتمام الصلوات في الحرمين؛ فإنّ فيه فضلاً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حصل بعرفات فلا يجوز له الإتمام على حال</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أُشكل بأنّ هذا ليس قولاً في قبال الأقوال الأُخر، بل المراد بالحرمين هو بلدة مكّة والمدينة كما فسّره الشهيد الثاني في روض الجنان</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 w:name="__RefHeading___Toc3056536_2870459653"/>
      <w:bookmarkStart w:id="155" w:name="_Toc59"/>
      <w:bookmarkEnd w:id="154"/>
      <w:r>
        <w:rPr/>
        <w:t>4</w:t>
      </w:r>
      <w:r>
        <w:rPr>
          <w:rtl w:val="true"/>
        </w:rPr>
        <w:t xml:space="preserve">. </w:t>
      </w:r>
      <w:r>
        <w:rPr>
          <w:rtl w:val="true"/>
        </w:rPr>
        <w:t>شمول الحكم لجميع مكّة واختصاصه بالمسجد النبوي في المدينة</w:t>
      </w:r>
      <w:bookmarkEnd w:id="155"/>
    </w:p>
    <w:p>
      <w:pPr>
        <w:pStyle w:val="Heading6"/>
        <w:numPr>
          <w:ilvl w:val="5"/>
          <w:numId w:val="1"/>
        </w:numPr>
        <w:rPr/>
      </w:pPr>
      <w:bookmarkStart w:id="156" w:name="__RefHeading___Toc3056538_2870459653"/>
      <w:bookmarkStart w:id="157" w:name="_Toc60"/>
      <w:bookmarkEnd w:id="156"/>
      <w:r>
        <w:rPr>
          <w:rtl w:val="true"/>
        </w:rPr>
        <w:t>اشارة</w:t>
      </w:r>
      <w:bookmarkEnd w:id="157"/>
    </w:p>
    <w:p>
      <w:pPr>
        <w:pStyle w:val="BookText"/>
        <w:rPr/>
      </w:pPr>
      <w:r>
        <w:rPr>
          <w:rFonts w:ascii="IRNazanin" w:hAnsi="IRNazanin" w:eastAsia="IRNazanin"/>
          <w:color w:val="111111"/>
          <w:sz w:val="28"/>
          <w:sz w:val="28"/>
          <w:szCs w:val="28"/>
          <w:rtl w:val="true"/>
          <w:lang w:bidi="fa-IR"/>
        </w:rPr>
        <w:t>وهو ظاهر السيّد المرتضى،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تقصير في مكّة، ومسجد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،ومسجد الكوفة، ومشاهد الأئمّة القائمين مقامه</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والكلام يقع تارة في 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الأصل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في الأخبار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مقتضى القاعدة فهو تعيّن القصر من جهة الأدلّة العامّة التي دلّت على وجوب القصر على المسافر فيخرج عنه بمقدار ما تفي به الأخبار الخاصّة المتقدّمة الدالة على وجوب التمام أو التخيير، فإن وَفَت بالشمول لما يزيد على المسجد أخذ بذلك، وإلّا تعيّن الاقتصار على المسجد؛ لأنّه المتيقّن فيتمسّك بالأصل فيما شكّ فيه، وهو وجوب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إلى هذا في الرياض والجواهر</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bookmarkStart w:id="158" w:name="pg10913_110516"/>
    </w:p>
    <w:p>
      <w:pPr>
        <w:pStyle w:val="BookText"/>
        <w:rPr/>
      </w:pPr>
      <w:bookmarkEnd w:id="158"/>
      <w:r>
        <w:rPr>
          <w:rFonts w:ascii="Amiri" w:hAnsi="Amiri" w:eastAsia="Amiri" w:cs="Amiri"/>
          <w:color w:val="111111"/>
          <w:sz w:val="28"/>
          <w:sz w:val="28"/>
          <w:szCs w:val="28"/>
          <w:rtl w:val="true"/>
          <w:lang w:bidi="ar-SA"/>
        </w:rPr>
        <w:t>وأمّا الأخبار فهي على طوائف أربع وفق الأقوال الأربعة</w:t>
      </w:r>
      <w:r>
        <w:rPr>
          <w:rFonts w:eastAsia="Amiri" w:cs="Amiri" w:ascii="Amiri" w:hAnsi="Amiri"/>
          <w:color w:val="111111"/>
          <w:sz w:val="28"/>
          <w:szCs w:val="28"/>
          <w:rtl w:val="true"/>
          <w:lang w:bidi="ar-SA"/>
        </w:rPr>
        <w:t>:</w:t>
      </w:r>
    </w:p>
    <w:p>
      <w:pPr>
        <w:pStyle w:val="Heading6"/>
        <w:numPr>
          <w:ilvl w:val="5"/>
          <w:numId w:val="1"/>
        </w:numPr>
        <w:rPr/>
      </w:pPr>
      <w:bookmarkStart w:id="159" w:name="__RefHeading___Toc3056540_2870459653"/>
      <w:bookmarkStart w:id="160" w:name="_Toc61"/>
      <w:bookmarkEnd w:id="159"/>
      <w:r>
        <w:rPr>
          <w:rtl w:val="true"/>
        </w:rPr>
        <w:t>الطّائفة الأولى</w:t>
      </w:r>
      <w:r>
        <w:rPr>
          <w:rtl w:val="true"/>
        </w:rPr>
        <w:t xml:space="preserve">: </w:t>
      </w:r>
      <w:r>
        <w:rPr>
          <w:rtl w:val="true"/>
        </w:rPr>
        <w:t>ما دلّ على شمول الحكم لتمام البلدتين</w:t>
      </w:r>
      <w:bookmarkEnd w:id="160"/>
    </w:p>
    <w:p>
      <w:pPr>
        <w:pStyle w:val="BookText"/>
        <w:rPr/>
      </w:pPr>
      <w:r>
        <w:rPr>
          <w:rFonts w:ascii="Amiri" w:hAnsi="Amiri" w:eastAsia="Amiri" w:cs="Amiri"/>
          <w:color w:val="111111"/>
          <w:sz w:val="28"/>
          <w:sz w:val="28"/>
          <w:szCs w:val="28"/>
          <w:rtl w:val="true"/>
          <w:lang w:bidi="ar-SA"/>
        </w:rPr>
        <w:t>وهي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فيه ذكر المدينة على لسان السائل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فيه ذكر المدينة في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القسم الأوّل فهو روايات 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الشيخ بإسناده عن محمّد بن علي بن محبوب، عن محمّد بن عبد الجبار، عن صفوان، عن عبد الرحمن بن الحجّاج،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التمام بمكّة والمدينة؟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 وإن لم تصلِّ فيهما إلَّا صلاة واحدة</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ومثلها الرواية الأولى والرابعة والخامسة من الطائفة الأولى، والرواية السابعة من الطائفة الثانية، والرواية الثانية من الطائفة الثالثة من الطوائف المتقدّمة في أصل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ذكر المدينة فيه على لسان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الشيخ بإسناده عن محمّد بن الحسين بن أبي الخطاب، عن صفوان، عن مسمع،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دخلت مكّة فأتم يوم تدخل</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الخامسة، والسادسة، والتاسعة عشرة، والعشرون من الطائفة الثانية المتقدّمة في أصل المسألة</w:t>
      </w:r>
      <w:r>
        <w:rPr>
          <w:rFonts w:eastAsia="Amiri" w:cs="Amiri" w:ascii="Amiri" w:hAnsi="Amiri"/>
          <w:color w:val="111111"/>
          <w:sz w:val="28"/>
          <w:szCs w:val="28"/>
          <w:rtl w:val="true"/>
          <w:lang w:bidi="ar-SA"/>
        </w:rPr>
        <w:t>.</w:t>
      </w:r>
    </w:p>
    <w:p>
      <w:pPr>
        <w:pStyle w:val="Heading6"/>
        <w:numPr>
          <w:ilvl w:val="5"/>
          <w:numId w:val="1"/>
        </w:numPr>
        <w:rPr/>
      </w:pPr>
      <w:bookmarkStart w:id="161" w:name="__RefHeading___Toc3056542_2870459653"/>
      <w:bookmarkStart w:id="162" w:name="_Toc62"/>
      <w:bookmarkEnd w:id="161"/>
      <w:r>
        <w:rPr>
          <w:rtl w:val="true"/>
        </w:rPr>
        <w:t>الطّائفة الثَّانية</w:t>
      </w:r>
      <w:r>
        <w:rPr>
          <w:rtl w:val="true"/>
        </w:rPr>
        <w:t xml:space="preserve">: </w:t>
      </w:r>
      <w:r>
        <w:rPr>
          <w:rtl w:val="true"/>
        </w:rPr>
        <w:t>ما دلّ على كون مورد الحكم هو الحرم</w:t>
      </w:r>
      <w:bookmarkEnd w:id="16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روايات كثيرة بل هي </w:t>
      </w:r>
      <w:bookmarkStart w:id="163" w:name="pg10913_110518"/>
    </w:p>
    <w:p>
      <w:pPr>
        <w:pStyle w:val="BookText"/>
        <w:rPr/>
      </w:pPr>
      <w:bookmarkEnd w:id="163"/>
      <w:r>
        <w:rPr>
          <w:rFonts w:ascii="Amiri" w:hAnsi="Amiri" w:eastAsia="Amiri" w:cs="Amiri"/>
          <w:color w:val="111111"/>
          <w:sz w:val="28"/>
          <w:sz w:val="28"/>
          <w:szCs w:val="28"/>
          <w:rtl w:val="true"/>
          <w:lang w:bidi="ar-SA"/>
        </w:rPr>
        <w:t>أكثر روايات الباب الخامس والعشرين من أبواب صلاة المسافر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الشيخ بإسناده عن محمّد بن أحمد بن يحيى، عن الحسن بن علي بن النعمان، عن أبي عبد الله البرقي، عن علي بن مهزيار وأبي علي بن راشد جميعاً، عن حمّاد ابن عيسى،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مخزون علم الله الإتمام في أربعة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الله، وحرم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،وحرم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،وحرم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الثانية، والثامنة، والتاسعة، والثالثة عشرة، والرابعة عشرة، والخامسة عشرة، والسادسة عشرة من الطائفة الثانية، والرواية الأولى من الطائفة الثالثة</w:t>
      </w:r>
      <w:r>
        <w:rPr>
          <w:rFonts w:eastAsia="Amiri" w:cs="Amiri" w:ascii="Amiri" w:hAnsi="Amiri"/>
          <w:color w:val="111111"/>
          <w:sz w:val="28"/>
          <w:szCs w:val="28"/>
          <w:rtl w:val="true"/>
          <w:lang w:bidi="ar-SA"/>
        </w:rPr>
        <w:t>.</w:t>
      </w:r>
    </w:p>
    <w:p>
      <w:pPr>
        <w:pStyle w:val="Heading6"/>
        <w:numPr>
          <w:ilvl w:val="5"/>
          <w:numId w:val="1"/>
        </w:numPr>
        <w:rPr/>
      </w:pPr>
      <w:bookmarkStart w:id="164" w:name="__RefHeading___Toc3056544_2870459653"/>
      <w:bookmarkStart w:id="165" w:name="_Toc63"/>
      <w:bookmarkEnd w:id="164"/>
      <w:r>
        <w:rPr>
          <w:rtl w:val="true"/>
        </w:rPr>
        <w:t>الطائفة الثَّالثة</w:t>
      </w:r>
      <w:r>
        <w:rPr>
          <w:rtl w:val="true"/>
        </w:rPr>
        <w:t xml:space="preserve">: </w:t>
      </w:r>
      <w:r>
        <w:rPr>
          <w:rtl w:val="true"/>
        </w:rPr>
        <w:t>ما دلّ على كون مورد الحكم هو المسجد</w:t>
      </w:r>
      <w:bookmarkEnd w:id="165"/>
    </w:p>
    <w:p>
      <w:pPr>
        <w:pStyle w:val="BookText"/>
        <w:rPr/>
      </w:pPr>
      <w:r>
        <w:rPr>
          <w:rFonts w:ascii="Amiri" w:hAnsi="Amiri" w:eastAsia="Amiri" w:cs="Amiri"/>
          <w:color w:val="111111"/>
          <w:sz w:val="28"/>
          <w:sz w:val="28"/>
          <w:szCs w:val="28"/>
          <w:rtl w:val="true"/>
          <w:lang w:bidi="ar-SA"/>
        </w:rPr>
        <w:t>وهي 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الشيخ عن محمّد بن الحسن، عن الصفار، عن محمّد بن الحسين، عن الحسن بن حمّاد بن عديس، عن عمران بن حمران،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أقصّر في المسجد الحرام أو أتم؟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قصّرت فَلَك، وإن أتممت فهو خير، وزيادة الخير خير</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السادسة من الطائفة الأولى، والرواية العاشرة، والسابعة عشرة، والثامنة عشرة من الطائفة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في هذه الطّوائف</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الطّائفة الأولى فهي تدلّ على إتمام الصلاة في المدينتين بتمام أجزائهما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الدلالة تنعقد في القسم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ذُكرت فيه المدينتان في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وجهين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أخذ المدينتين موضوعاً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الحكم لجميع أجزائهما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القسم الأوّل الذي ورد فيه ذكر المدينتين في كلام السائل فلا ينعقد الوجه الأوّل للدلالة بعد عدم ذكر الموضوع في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،ولكن ينعقد الوجه الآخر لعدم تفصيل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الجواب بين أجزاء المدينتين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يشكل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ذكر لا يستفاد منه العموم والشمول لجميع الأجزاء ما دام هناك حالة شائعة وهي الصلاة في المسجدين، وذلك نظير ما ذكره غير واحدٍ في مناقشة دلالة الروايات التي ذكرت هذا الحكم في المساجد على الاختصاص بها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الحكم غالبي؛ لأنّ الغالب في الناس هو إقامة الصلاة في المساجد الثلاثة والحائر المشرّف، فكذلك يقال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حالة غالبة كانت منظورة بين السائل والإمام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الصلاة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فينصرف إليها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يمكن التمسّك بهذا القسم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عن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المطلق لا يختصّ بالفرد الغالب ما لم يتحقّق الانصراف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تعارف الصلاة خارجاً في المسجدين لا يوجب الانصراف إليها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لم يثبت فيمن تواجد في المدينتين أنّ الغالب فيه الإتيان بجميع الصلوات الرباعيّة في المسجدين من الرجال والنساء والشيوخ والعجائز والضعفاء والمرضى الذين وردت لهم تسهيلات في غير موضع من أحكام الحجّ</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دلّت على ثبوت الحكم في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بالحرمين فيها مكّة والمدينة، فتشمل سائر أجزاء مكّة حتى ما كانت خارجة من الحرم دون خصوص المسجدين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ويدلّ على ذلك قسمان من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صريحاً على تفسير الحرمين بمكّة والمدينة كما في صحيحة ابن مهزيار،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كتبت إلى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الرواية قد اختلفت عن آبائك في الإتمام والتقصير للصلاة في الحرمين،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يأمر تُتَمّ الصلاة، ولو صلاة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يأمر تقصّر الصلاة ما لم ينوِ مقام عشرة أيام، ولم أزل على الإتمام فيهما إلى أن صدرنا في حجّنا في عامنا هذا، فإنّ فقهاء أصحابنا أشاروا عليّ بالتقصير إذا كنت لا أنوي مقام عشرة، وقد ضقت بذلك حتى أعرف رأيك؟ فكتب بخطه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يرحمك الله فضل الصلاة في الحرمين على غيرهما، فأنا أحبُّ لك إذا دخلتهما أن لا تقصّر، وتكثر فيهما من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 بعد ذلك بسنتين مشافهة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كتبت إليك بكذا، فأجبت بكذا؟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تعني بالحرمين؟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والمدينة</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ذهب إليه السيّد الحكيم</w:t>
      </w:r>
      <w:r>
        <w:rPr>
          <w:rStyle w:val="FootnoteAnchor"/>
          <w:rtl w:val="true"/>
        </w:rPr>
        <w:footnoteReference w:id="250"/>
      </w:r>
      <w:r>
        <w:rPr>
          <w:rFonts w:ascii="Amiri" w:hAnsi="Amiri" w:eastAsia="Amiri" w:cs="Amiri"/>
          <w:color w:val="111111"/>
          <w:sz w:val="28"/>
          <w:sz w:val="28"/>
          <w:szCs w:val="28"/>
          <w:rtl w:val="true"/>
          <w:lang w:bidi="ar-SA"/>
        </w:rPr>
        <w:t xml:space="preserve">، والسيّد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وفسّر ذلك في صحيحة ابن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الشارحة لبقية الأخبار بمكّة والمدينة، فبمقتضى هذه الصحيحة المفسِّرة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التخيير ثابتاً في تمام البلدين الشريفين</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ذكر مكّة والمدينة ثمّ توصيفهما بحرم الله وحرم رسوله، مثل صحيحة حسّان بن مهران،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مكّة حرم الله، والمدينة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،والكوفة حرمي، لا يريدها جبّار بحادثة إلَّا قصمه الله</w:t>
      </w:r>
      <w:r>
        <w:rPr>
          <w:rFonts w:eastAsia="IRNazanin" w:cs="IRNazanin"/>
          <w:color w:val="111111"/>
          <w:sz w:val="28"/>
          <w:szCs w:val="28"/>
          <w:rtl w:val="true"/>
          <w:lang w:bidi="fa-IR"/>
        </w:rPr>
        <w:t>)</w:t>
      </w:r>
      <w:r>
        <w:rPr>
          <w:rStyle w:val="FootnoteAnchor"/>
          <w:rtl w:val="true"/>
        </w:rPr>
        <w:footnoteReference w:id="252"/>
      </w:r>
      <w:r>
        <w:rPr>
          <w:rFonts w:ascii="Amiri" w:hAnsi="Amiri" w:eastAsia="Amiri" w:cs="Amiri"/>
          <w:color w:val="111111"/>
          <w:sz w:val="28"/>
          <w:sz w:val="28"/>
          <w:szCs w:val="28"/>
          <w:rtl w:val="true"/>
          <w:lang w:bidi="ar-SA"/>
        </w:rPr>
        <w:t>، ومثلها رواية خالد القلانسي</w:t>
      </w:r>
      <w:r>
        <w:rPr>
          <w:rStyle w:val="FootnoteAnchor"/>
          <w:rtl w:val="true"/>
        </w:rPr>
        <w:footnoteReference w:id="253"/>
      </w:r>
      <w:r>
        <w:rPr>
          <w:rFonts w:ascii="Amiri" w:hAnsi="Amiri" w:eastAsia="Amiri" w:cs="Amiri"/>
          <w:color w:val="111111"/>
          <w:sz w:val="28"/>
          <w:sz w:val="28"/>
          <w:szCs w:val="28"/>
          <w:rtl w:val="true"/>
          <w:lang w:bidi="ar-SA"/>
        </w:rPr>
        <w:t>، وصحيحة معاوية بن عمار</w:t>
      </w:r>
      <w:r>
        <w:rPr>
          <w:rStyle w:val="FootnoteAnchor"/>
          <w:rtl w:val="true"/>
        </w:rPr>
        <w:footnoteReference w:id="254"/>
      </w:r>
      <w:r>
        <w:rPr>
          <w:rFonts w:ascii="Amiri" w:hAnsi="Amiri" w:eastAsia="Amiri" w:cs="Amiri"/>
          <w:color w:val="111111"/>
          <w:sz w:val="28"/>
          <w:sz w:val="28"/>
          <w:szCs w:val="28"/>
          <w:rtl w:val="true"/>
          <w:lang w:bidi="ar-SA"/>
        </w:rPr>
        <w:t>، فإنّ ذلك يبيّن لنا أنّ المراد من الروايات المطلقة لمكّة والمدينة هو الحرمين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الطّائفة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المتضمّنة لذكر الإتمام في المسجدين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يستدلّ بها على أنّ المراد بها تخصيص الحكم بهما،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الطائفة من الروايات قد قيّدت الحكم بالمسجد دون سائر البلد فتكون أخصّ من الروايات السابقة، فتخصّصها وفق قاعدة حمل المطلق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فيختصّ الحكم بالتمام في المسجد، ولا يشمل سائر أجزاء البلدين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قاعدة حمل المطلق على المقيّد إنّما تجري حال ثبوت التعارض بين المطلق والمقيّد، ولا تتمّ حال كونهما مثبتين</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وقع كلام بين علماء الأصول فيما هو الأساس في حمل المطلق على المقيّد في حال توافقهما في الكيف كالمثبتين؟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 أنّ المطلق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شموليّاً كما في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بدليّاً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 مؤمنة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المقيّد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يوافق المطلق في الكيف كما في الأمثلة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يخالفه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العالم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شكّ في حمل المطلق على المقيّد في حال اختلافهما في الكيف من جهة وضوح التنافي بينهما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العالم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المشهور حمل المطلق على المقيّد إذا كانا مثبتين وبدليلين،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وقع البحث في حال كونهما مثبتين شموليين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التعبير عن المقيّد بمفهوم وحداني كما في المقام، حيث إنّ ما دلّ على الإتمام في المسجدين لم يُذكر فيه المسجدان على سبيل التقييد للبلدين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تماماً في البلدين عند دخول المسجدين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جاء ذكر المسجدين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عندهم عدم ثبوت المفهوم في هذه الحالة لعدم ثبوت مفهوم اللقب فيُؤخذ بكلٍّ من المطلق والمقيّد المثبتين لعدم تنافيهما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التعبير بالمقيّد بمفهوم تركيبي مؤلّفٍ من ذاتٍ وقيدٍ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لعلماء الأصول قولان،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المطلق على المقيّد، وقول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بالأخذ بالمطلق وحمل المقيّد على أغلب الأفراد أو أفضلها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المطلق على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تقريبات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يبنى على القول بدلالة الجملة الوصفية على المفهوم، فيحصل التنافي بين مفهوم القيد ومنطوق المطلق، وعليه فلا بُدَّ من حمل المطلق على المقيّد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التّقريب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التنافي بينهما على أساس ظهور القيد في الاحتراز، وهذا ما ذهب إليه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مجرّد غلبة القيد لا يوجب رفع اليد عن ظهوره في كونه للتقييد؛ فإنّ الأصل في التقييد أن يكون للاحتراز، إلَّا إذا عُلم من </w:t>
      </w:r>
    </w:p>
    <w:p>
      <w:pPr>
        <w:pStyle w:val="BookText"/>
        <w:rPr/>
      </w:pPr>
      <w:r>
        <w:rPr>
          <w:rFonts w:ascii="Amiri" w:hAnsi="Amiri" w:eastAsia="Amiri" w:cs="Amiri"/>
          <w:color w:val="111111"/>
          <w:sz w:val="28"/>
          <w:sz w:val="28"/>
          <w:szCs w:val="28"/>
          <w:rtl w:val="true"/>
          <w:lang w:bidi="ar-SA"/>
        </w:rPr>
        <w:t>الدليل أو من الخارج ورود القيد مورد الغالب بحيث كان ذكره لمجرّد الغلبة لا للاحتراز به، كما في الآية المباركة</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هذين التقريبين قد يصحّ حمل الأخبار المتضمّنة للإتمام في البلدين على الأخبار المتضمّنة للإتمام في المسجدين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 الأساس في حمل المطلق على المقيّد هو أن يعدّ المقيّد قرينة عرفيّة في التصرّف في المطلق، فإنّ العرف إذا كان يرى المقيّد قرينة على التصرّف في المطلق حَمَله عليه، وإلَّا فلا</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والملاحَظ أنّ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بنى على دلالة الوصف على المفهوم بنحو جزئي وعدم كون موضوعه الطبيعي إلَّا أنّه مع ذلك بنى في حمل المطلق على المقيّد على أنّه يحتاج إلى فرض قرينيّة المقيّد على التصرّف في المطلق عرفاً، وعليه فإذا وجدت نكتة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قرينة 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تمنع من هذا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التقريب يمكن منع حمل المطلق على المقيّد في المقام بدعوى عدم تماميّة القرينة فيه لأحد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الغلبة؛ وذلك لأنّ الغالب في مَن يقدم البلدين أن يقوم بإيقاع الصلاة في المسجدين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مزية في المذكور من حيث فضيلة الصلاة في المسجد، وربمّا لهذا ذكر في مجمع الفائدة والبرهان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المسجد لفضيلة ونحوها</w:t>
      </w:r>
      <w:r>
        <w:rPr>
          <w:rStyle w:val="FootnoteAnchor"/>
          <w:rtl w:val="true"/>
        </w:rPr>
        <w:footnoteReference w:id="258"/>
      </w:r>
      <w:r>
        <w:rPr>
          <w:rFonts w:ascii="Amiri" w:hAnsi="Amiri" w:eastAsia="Amiri" w:cs="Amiri"/>
          <w:color w:val="111111"/>
          <w:sz w:val="28"/>
          <w:sz w:val="28"/>
          <w:szCs w:val="28"/>
          <w:rtl w:val="true"/>
          <w:lang w:bidi="ar-SA"/>
        </w:rPr>
        <w:t>، وفي الحدائق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لمزيد </w:t>
      </w:r>
    </w:p>
    <w:p>
      <w:pPr>
        <w:pStyle w:val="BookText"/>
        <w:rPr/>
      </w:pPr>
      <w:r>
        <w:rPr>
          <w:rFonts w:ascii="IRNazanin" w:hAnsi="IRNazanin" w:eastAsia="IRNazanin"/>
          <w:color w:val="111111"/>
          <w:sz w:val="28"/>
          <w:sz w:val="28"/>
          <w:szCs w:val="28"/>
          <w:rtl w:val="true"/>
          <w:lang w:bidi="fa-IR"/>
        </w:rPr>
        <w:t>الشرف</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يجاب عن هذا بجوابين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الأقرب حمل الحرمين والبلدين على المسجدين كما ورد الإتمام في الكوفة والحائر؛ فإنّ الظاهر وجوب الاقتصار فيهما</w:t>
      </w:r>
    </w:p>
    <w:p>
      <w:pPr>
        <w:pStyle w:val="BookText"/>
        <w:rPr/>
      </w:pPr>
      <w:r>
        <w:rPr>
          <w:rFonts w:ascii="IRNazanin" w:hAnsi="IRNazanin" w:eastAsia="IRNazanin"/>
          <w:color w:val="111111"/>
          <w:sz w:val="28"/>
          <w:sz w:val="28"/>
          <w:szCs w:val="28"/>
          <w:rtl w:val="true"/>
          <w:lang w:bidi="fa-IR"/>
        </w:rPr>
        <w:t xml:space="preserve">على المسجدين منهما وإن ورد بلفظ الحرم في بعض النصوص، إلَّا أنّه يُنزّل على خصوص ذلك كما عن المحقّق الحلّي الاعتراف به بالنسبة إلى حرم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جواب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وإن وردت بلفظ الحرم أو بلفظ مكّة والمدينة إلَّا أنّ المراد الجدّي منها هو خصوص المسجدين لا مطلق المدينة والحرم؛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أن يُطلق على من صلّى فيهما أنّه صلّى في مكّة والمدينة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ذكر العموم صريحاً، كما يُنزّل ما ورد من الإتمام في حرم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مسجد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صحّة الروايات الواردة بالإتمام في المسجدين، وإمكان الاعتماد عليها؛ لانجبارها بالشهرة أمكن حمل المطلق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 من أنّ الحكم في الموردين لا تنافي بينهما فيبقى المطلق على إطلاقه، ويحمل المقيّد على التأكيد والتنصيص فإنّه وإن كان وارداً بمقتضى الصناعة ولكن الأقرب إرادة المسجدين من ذكر الحرمين والبلدين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المطلق على المقيّد فيما نحن فيه بعيدٌ من 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أنّ حكم التخيير في الكوفة لا يختصّ بمسجدها، بل يشمل تمام البلد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ورد في بعض الروايات التفريق بين الكوفة وبين مكّة والمدينة، وذُكر في الكوفة مسجدها بينما ذكر فيهما المدينتان كما ورد في مرسلة حمّاد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الأمر المذخور إتمام الصلاة في أربعة مواطن بمكة والمدينة ومسجد الكوفة والحائر</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 وكذلك مرسلة الفقيه</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العدول عن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على اختلاف متعلّق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المخالف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كلمتان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هاتين الكلمتين على خصوص المسجد 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صحيحة ابن مهزيار وارد في مقام تفسير الحرمين، ولو أراد المسجدين لفسّرهما بهما دون البلدين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الكوفة فلم يرد فيها تفسير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التي ورد فيها ذكر المسجدين 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قد ورد ذكرهما في السؤال، أو في الجواب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والأوّل لا دلالة فيه بالنظر إلى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مطابقاً لكلام السائل إلَّا أنّه لا يفيد تخصيص الحكم في مورد سؤال السائل، كما تحدّد في بعض الروايات السابقة</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ورد فيها التقييد بالمسجدية في كلامهم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فرواياته جميعاً </w:t>
      </w:r>
    </w:p>
    <w:p>
      <w:pPr>
        <w:pStyle w:val="BookText"/>
        <w:rPr/>
      </w:pPr>
      <w:r>
        <w:rPr>
          <w:rFonts w:ascii="Amiri" w:hAnsi="Amiri" w:eastAsia="Amiri" w:cs="Amiri"/>
          <w:color w:val="111111"/>
          <w:sz w:val="28"/>
          <w:sz w:val="28"/>
          <w:szCs w:val="28"/>
          <w:rtl w:val="true"/>
          <w:lang w:bidi="ar-SA"/>
        </w:rPr>
        <w:t>ضعيفة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الرواية الأولى فهي ضعيفة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ورد في إسناد الشيخ في 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يرد ذكره في كتاب الكافي، ولكن الذي يظهر هو وجود سقط في سنده لعدم رواية الحسين بن سعيد عن عبد الملك القمّي مباشرة، بل يروي عنه دائماً بواسطة ابن سنان كما ورد في مائة وعشرين مورداً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الرواية الثانية فهي مرسلة؛ فقد ورد فيها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الوسائل</w:t>
      </w:r>
      <w:r>
        <w:rPr>
          <w:rStyle w:val="FootnoteAnchor"/>
          <w:rtl w:val="true"/>
        </w:rPr>
        <w:footnoteReference w:id="264"/>
      </w:r>
      <w:r>
        <w:rPr>
          <w:rFonts w:ascii="Amiri" w:hAnsi="Amiri" w:eastAsia="Amiri" w:cs="Amiri"/>
          <w:color w:val="111111"/>
          <w:sz w:val="28"/>
          <w:sz w:val="28"/>
          <w:szCs w:val="28"/>
          <w:rtl w:val="true"/>
          <w:lang w:bidi="ar-SA"/>
        </w:rPr>
        <w:t xml:space="preserve">، وفي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 حسين</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xml:space="preserve">، وفي كامل الزيارات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المراد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يبقى احتمالاً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الرواية الثالثة فضعيفة 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أرسلها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حذيفة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سمع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الرواية الرابعة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يناقش في 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الأخبار وإن كانت ضعيفة إلَّا أنّها منجبرة بالشهرة، وقد قيل إنّ المشهور هنا الاقتصار في الحرمين على المسجدين منه بل الأصليين منهما دون الزيادة الحادثة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من الانجبار غير تامّ، ولم نجد من ادّعى هذا، بل على العكس فإنّ الشهرة قائمة على خلافه، كما تقدّم</w:t>
      </w:r>
      <w:r>
        <w:rPr>
          <w:rFonts w:eastAsia="Amiri" w:cs="Amiri" w:ascii="Amiri" w:hAnsi="Amiri"/>
          <w:color w:val="111111"/>
          <w:sz w:val="28"/>
          <w:szCs w:val="28"/>
          <w:rtl w:val="true"/>
          <w:lang w:bidi="ar-SA"/>
        </w:rPr>
        <w:t xml:space="preserve">. </w:t>
      </w:r>
      <w:bookmarkStart w:id="166" w:name="pg10913_110536"/>
    </w:p>
    <w:p>
      <w:pPr>
        <w:pStyle w:val="Heading4"/>
        <w:numPr>
          <w:ilvl w:val="3"/>
          <w:numId w:val="1"/>
        </w:numPr>
        <w:rPr/>
      </w:pPr>
      <w:bookmarkStart w:id="167" w:name="__RefHeading___Toc3056546_2870459653"/>
      <w:bookmarkStart w:id="168" w:name="_Toc64"/>
      <w:bookmarkEnd w:id="166"/>
      <w:bookmarkEnd w:id="167"/>
      <w:r>
        <w:rPr>
          <w:rtl w:val="true"/>
        </w:rPr>
        <w:t>الموضع الثَّاني</w:t>
      </w:r>
      <w:r>
        <w:rPr>
          <w:rtl w:val="true"/>
        </w:rPr>
        <w:t xml:space="preserve">: </w:t>
      </w:r>
      <w:r>
        <w:rPr>
          <w:rtl w:val="true"/>
        </w:rPr>
        <w:t>الكوفة</w:t>
      </w:r>
      <w:bookmarkEnd w:id="168"/>
    </w:p>
    <w:p>
      <w:pPr>
        <w:pStyle w:val="Heading5"/>
        <w:numPr>
          <w:ilvl w:val="4"/>
          <w:numId w:val="1"/>
        </w:numPr>
        <w:rPr/>
      </w:pPr>
      <w:bookmarkStart w:id="169" w:name="__RefHeading___Toc3056548_2870459653"/>
      <w:bookmarkStart w:id="170" w:name="_Toc65"/>
      <w:bookmarkEnd w:id="169"/>
      <w:r>
        <w:rPr>
          <w:rtl w:val="true"/>
        </w:rPr>
        <w:t>اشارة</w:t>
      </w:r>
      <w:bookmarkEnd w:id="170"/>
    </w:p>
    <w:p>
      <w:pPr>
        <w:pStyle w:val="BookText"/>
        <w:rPr/>
      </w:pPr>
      <w:r>
        <w:rPr>
          <w:rFonts w:ascii="Amiri" w:hAnsi="Amiri" w:eastAsia="Amiri" w:cs="Amiri"/>
          <w:color w:val="111111"/>
          <w:sz w:val="28"/>
          <w:sz w:val="28"/>
          <w:szCs w:val="28"/>
          <w:rtl w:val="true"/>
          <w:lang w:bidi="ar-SA"/>
        </w:rPr>
        <w:t>فهل يشمل الحكم تمام مدينة الكوفة أم يختصّ بمسجدها أو يشمل مدينة النجف؟</w:t>
      </w:r>
    </w:p>
    <w:p>
      <w:pPr>
        <w:pStyle w:val="BookText"/>
        <w:rPr/>
      </w:pPr>
      <w:r>
        <w:rPr>
          <w:rFonts w:ascii="IRNazanin" w:hAnsi="IRNazanin" w:eastAsia="IRNazanin"/>
          <w:color w:val="111111"/>
          <w:sz w:val="28"/>
          <w:sz w:val="28"/>
          <w:szCs w:val="28"/>
          <w:rtl w:val="true"/>
          <w:lang w:bidi="fa-IR"/>
        </w:rPr>
        <w:t>أقوال</w:t>
      </w:r>
      <w:r>
        <w:rPr>
          <w:rFonts w:eastAsia="IRNazanin" w:cs="IRNazanin"/>
          <w:color w:val="111111"/>
          <w:sz w:val="28"/>
          <w:szCs w:val="28"/>
          <w:rtl w:val="true"/>
          <w:lang w:bidi="fa-IR"/>
        </w:rPr>
        <w:t>:</w:t>
      </w:r>
    </w:p>
    <w:p>
      <w:pPr>
        <w:pStyle w:val="Heading5"/>
        <w:numPr>
          <w:ilvl w:val="4"/>
          <w:numId w:val="1"/>
        </w:numPr>
        <w:rPr/>
      </w:pPr>
      <w:bookmarkStart w:id="171" w:name="__RefHeading___Toc3056550_2870459653"/>
      <w:bookmarkStart w:id="172" w:name="_Toc66"/>
      <w:bookmarkEnd w:id="171"/>
      <w:r>
        <w:rPr>
          <w:rtl w:val="true"/>
        </w:rPr>
        <w:t>القول الأوَّل</w:t>
      </w:r>
      <w:r>
        <w:rPr>
          <w:rtl w:val="true"/>
        </w:rPr>
        <w:t xml:space="preserve">: </w:t>
      </w:r>
      <w:r>
        <w:rPr>
          <w:rtl w:val="true"/>
        </w:rPr>
        <w:t>هو الشمول لتمام البلدة</w:t>
      </w:r>
      <w:bookmarkEnd w:id="172"/>
    </w:p>
    <w:p>
      <w:pPr>
        <w:pStyle w:val="BookText"/>
        <w:rPr/>
      </w:pPr>
      <w:r>
        <w:rPr>
          <w:rFonts w:ascii="Amiri" w:hAnsi="Amiri" w:eastAsia="Amiri" w:cs="Amiri"/>
          <w:color w:val="111111"/>
          <w:sz w:val="28"/>
          <w:sz w:val="28"/>
          <w:szCs w:val="28"/>
          <w:rtl w:val="true"/>
          <w:lang w:bidi="ar-SA"/>
        </w:rPr>
        <w:t xml:space="preserve">وهو مختار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 تعميمه للحرمين ليشمل تمام البلدة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ويحيى بن سعيد</w:t>
      </w:r>
      <w:r>
        <w:rPr>
          <w:rStyle w:val="FootnoteAnchor"/>
          <w:rtl w:val="true"/>
        </w:rPr>
        <w:footnoteReference w:id="267"/>
      </w:r>
      <w:r>
        <w:rPr>
          <w:rFonts w:ascii="Amiri" w:hAnsi="Amiri" w:eastAsia="Amiri" w:cs="Amiri"/>
          <w:color w:val="111111"/>
          <w:sz w:val="28"/>
          <w:sz w:val="28"/>
          <w:szCs w:val="28"/>
          <w:rtl w:val="true"/>
          <w:lang w:bidi="ar-SA"/>
        </w:rPr>
        <w:t>والمحقّق الأردبيلي وصاحب الحدائق، وفي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حكى الشهيد في الذكرى عن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حكم في كتاب له في السفر بالتخيير في البلدان الأربعة حتى في الحائر المقدّس</w:t>
      </w:r>
      <w:r>
        <w:rPr>
          <w:rFonts w:eastAsia="Amiri" w:cs="Amiri" w:ascii="Amiri" w:hAnsi="Amiri"/>
          <w:color w:val="111111"/>
          <w:sz w:val="28"/>
          <w:szCs w:val="28"/>
          <w:rtl w:val="true"/>
          <w:lang w:bidi="ar-SA"/>
        </w:rPr>
        <w:t>...)</w:t>
      </w:r>
      <w:r>
        <w:rPr>
          <w:rStyle w:val="FootnoteAnchor"/>
          <w:rtl w:val="true"/>
        </w:rPr>
        <w:footnoteReference w:id="268"/>
      </w:r>
      <w:r>
        <w:rPr>
          <w:rFonts w:ascii="IRNazanin" w:hAnsi="IRNazanin" w:eastAsia="IRNazanin"/>
          <w:color w:val="111111"/>
          <w:sz w:val="28"/>
          <w:sz w:val="28"/>
          <w:szCs w:val="28"/>
          <w:rtl w:val="true"/>
          <w:lang w:bidi="fa-IR"/>
        </w:rPr>
        <w:t>، لكن الموجود في الذكرى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والشيخ نجيب الدين يحيى ابن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السفر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بالتخيير في البلدان الأربعة حتى في الحائر المقدّس، لورود الحديث بحرم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بعض مَن اختار هذا القول احتاط في المسجد باختيار الإتمام كالمحقّق الأردبيلي،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الأفضل والأحوط هو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ومسجد الكوفة</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 وكذلك صاحب الحدائق</w:t>
      </w:r>
      <w:r>
        <w:rPr>
          <w:rStyle w:val="FootnoteAnchor"/>
          <w:rtl w:val="true"/>
        </w:rPr>
        <w:footnoteReference w:id="271"/>
      </w:r>
      <w:r>
        <w:rPr>
          <w:rFonts w:ascii="Amiri" w:hAnsi="Amiri" w:eastAsia="Amiri" w:cs="Amiri"/>
          <w:color w:val="111111"/>
          <w:sz w:val="28"/>
          <w:sz w:val="28"/>
          <w:szCs w:val="28"/>
          <w:rtl w:val="true"/>
          <w:lang w:bidi="ar-SA"/>
        </w:rPr>
        <w:t xml:space="preserve">، وتبعهم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تعليقته على العروة</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3056552_2870459653"/>
      <w:bookmarkStart w:id="174" w:name="_Toc67"/>
      <w:bookmarkEnd w:id="173"/>
      <w:r>
        <w:rPr>
          <w:rtl w:val="true"/>
        </w:rPr>
        <w:t>القول الثَّاني</w:t>
      </w:r>
      <w:r>
        <w:rPr>
          <w:rtl w:val="true"/>
        </w:rPr>
        <w:t xml:space="preserve">: </w:t>
      </w:r>
      <w:r>
        <w:rPr>
          <w:rtl w:val="true"/>
        </w:rPr>
        <w:t>الاختصاص بالمسجد</w:t>
      </w:r>
      <w:bookmarkEnd w:id="17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مختار ابن إدريس والمحقّق في المعتبر،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وينبغي أن ينزّل الخبر </w:t>
      </w:r>
      <w:bookmarkStart w:id="175" w:name="pg10913_110538"/>
    </w:p>
    <w:p>
      <w:pPr>
        <w:pStyle w:val="BookText"/>
        <w:rPr/>
      </w:pPr>
      <w:bookmarkEnd w:id="175"/>
      <w:r>
        <w:rPr>
          <w:rFonts w:ascii="IRNazanin" w:hAnsi="IRNazanin" w:eastAsia="IRNazanin"/>
          <w:color w:val="111111"/>
          <w:sz w:val="28"/>
          <w:sz w:val="28"/>
          <w:szCs w:val="28"/>
          <w:rtl w:val="true"/>
          <w:lang w:bidi="fa-IR"/>
        </w:rPr>
        <w:t xml:space="preserve">المتضمّن لحرم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مسجد الكوفة أخذاً بالمتيقّن، أمّا الإتمام بمكّة والمدينة فلا يختصّ بمسجدها</w:t>
      </w:r>
      <w:r>
        <w:rPr>
          <w:rFonts w:eastAsia="IRNazanin" w:cs="IRNazanin"/>
          <w:color w:val="111111"/>
          <w:sz w:val="28"/>
          <w:szCs w:val="28"/>
          <w:rtl w:val="true"/>
          <w:lang w:bidi="fa-IR"/>
        </w:rPr>
        <w:t>)</w:t>
      </w:r>
      <w:r>
        <w:rPr>
          <w:rStyle w:val="FootnoteAnchor"/>
          <w:rtl w:val="true"/>
        </w:rPr>
        <w:footnoteReference w:id="272"/>
      </w:r>
      <w:r>
        <w:rPr>
          <w:rFonts w:ascii="Amiri" w:hAnsi="Amiri" w:eastAsia="Amiri" w:cs="Amiri"/>
          <w:color w:val="111111"/>
          <w:sz w:val="28"/>
          <w:sz w:val="28"/>
          <w:szCs w:val="28"/>
          <w:rtl w:val="true"/>
          <w:lang w:bidi="ar-SA"/>
        </w:rPr>
        <w:t xml:space="preserve">، وكذلك مختار العلّامة في القواعد والمنتهى، وفي المختلف نقل الشهرة فيه، وهو مختار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ومقتضى الأصل فيه اختصاص الحكم بالقدر المتيقن وهو المسجد؛ لاندراج ما سواه في أدلّة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ما ورد فيه ذكر الحرمين فقط، كما في معتبرة مسمع عن أبي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أبي يرى لهذين الحرمين ما لا يراه لغيرهما</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3056554_2870459653"/>
      <w:bookmarkStart w:id="177" w:name="_Toc68"/>
      <w:bookmarkEnd w:id="176"/>
      <w:r>
        <w:rPr>
          <w:rtl w:val="true"/>
        </w:rPr>
        <w:t>القول الثَّالث</w:t>
      </w:r>
      <w:r>
        <w:rPr>
          <w:rtl w:val="true"/>
        </w:rPr>
        <w:t xml:space="preserve">: </w:t>
      </w:r>
      <w:r>
        <w:rPr>
          <w:rtl w:val="true"/>
        </w:rPr>
        <w:t>تعدية حكم التمام من الكوفة إلى النجف</w:t>
      </w:r>
      <w:bookmarkEnd w:id="177"/>
    </w:p>
    <w:p>
      <w:pPr>
        <w:pStyle w:val="BookText"/>
        <w:rPr/>
      </w:pPr>
      <w:r>
        <w:rPr>
          <w:rFonts w:ascii="Amiri" w:hAnsi="Amiri" w:eastAsia="Amiri" w:cs="Amiri"/>
          <w:color w:val="111111"/>
          <w:sz w:val="28"/>
          <w:sz w:val="28"/>
          <w:szCs w:val="28"/>
          <w:rtl w:val="true"/>
          <w:lang w:bidi="ar-SA"/>
        </w:rPr>
        <w:t xml:space="preserve">وهو ما يحتمل من الشيخ المفيد حيث ذكر باباً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فضل إتمام الصلاة في الحرمين وفي المشهدين على ساكنهما السّلام</w:t>
      </w:r>
      <w:r>
        <w:rPr>
          <w:rFonts w:eastAsia="Amiri" w:cs="Amiri" w:ascii="Amiri" w:hAnsi="Amiri"/>
          <w:color w:val="111111"/>
          <w:sz w:val="28"/>
          <w:szCs w:val="28"/>
          <w:rtl w:val="true"/>
          <w:lang w:bidi="ar-SA"/>
        </w:rPr>
        <w:t>)</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والمشهدان هما حرما أمير المؤمنين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الشيخ في المبسوط تعدية الحكم إلى النجف أيضاً،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ويستحب الإتمام في أربعة مواطن في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بمكّة والمدينة ومسجد الكوفة والحائر على ساكنه السّلام، وقد روي الإتمام في حرم الله وحرم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،فعلى هذه الرواية يجوز الإتمام خارج المسجد بالكوفة وبالنجف</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الإتمام في مسجد الكوفة، وفي الحائر على ساكنه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رويت رواية أخرى في الإتمام في حرم حجّة الله على خلقه </w:t>
      </w:r>
    </w:p>
    <w:p>
      <w:pPr>
        <w:pStyle w:val="BookText"/>
        <w:rPr/>
      </w:pP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،فعلى هذه الرواية يجوز الإتمام في نفس المشهد بالنجف وخارج الحائر، إلَّا أن الأحوط ما قدّمناه</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في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دلالة لفظ الحرم على البقعة المباركة التي وقع فيها ضريحه، كما نلاحظ إطلاقه في عرف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 مناقشة هذه الرواية وإثبات دلالتها على الشمول لبلدة الكوفة من دون التعدية إلى النجف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والشيخ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كلام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وكأنّه نظر إلى أنّ حرم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محترماً بسببه، واحترام الغري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من غيره، ولا يخلو من وجه، ويومئ إليه بعض الأخبار، والأحوط في غير المسجد اختيار القصر</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وسوف تأتي في الموضع الرابع المناقشة في دعوى كون الاحترام والتقديس مناطاً للإتمام،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وسبب الاختلاف بين هذه الأقوال هو اختلاف الأخبار؛ فإنّها على طوائف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تضمّنت إثبات الحكم لمدينة الكوفة</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تضمّنت إثبات الحكم لحرم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تضمّنت ذكر المسجد</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أمّا الطّائفة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التي عمّمت الحكم إلى تمام البلدة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رواية زياد القندي المتقدّمة وفيها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أتمّ الصلاة في الحرمين وبالكوفة وعند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إسنادها بطريقيها ضعف برجلين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مالك الضعيف،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حمدان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الطّائفة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ما تضمّنت إثبات الحكم لحرم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فهي روايتان،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حمّاد بن عيسى المتقدّمة، وفيها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مخزون علم الله الإتمام في أربعة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أنّه قد يناقش في صحّة هذه الرواية لمكان الحسن بن علي بن النعمان الذي قال النجاشي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مولى بني هاشم، أبوه علي بن النعمان الأعلم ثقة ثبت</w:t>
      </w:r>
      <w:r>
        <w:rPr>
          <w:rFonts w:eastAsia="Amiri" w:cs="Amiri" w:ascii="Amiri" w:hAnsi="Amiri"/>
          <w:color w:val="111111"/>
          <w:sz w:val="28"/>
          <w:szCs w:val="28"/>
          <w:rtl w:val="true"/>
          <w:lang w:bidi="ar-SA"/>
        </w:rPr>
        <w:t>)</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الخلاصة</w:t>
      </w:r>
      <w:r>
        <w:rPr>
          <w:rStyle w:val="FootnoteAnchor"/>
          <w:rtl w:val="true"/>
        </w:rPr>
        <w:footnoteReference w:id="283"/>
      </w:r>
      <w:r>
        <w:rPr>
          <w:rFonts w:ascii="Amiri" w:hAnsi="Amiri" w:eastAsia="Amiri" w:cs="Amiri"/>
          <w:color w:val="111111"/>
          <w:sz w:val="28"/>
          <w:sz w:val="28"/>
          <w:szCs w:val="28"/>
          <w:rtl w:val="true"/>
          <w:lang w:bidi="ar-SA"/>
        </w:rPr>
        <w:t>باحتمال رجوع المدح إلى أبيه دونه بقرينة ما ذكره النجاشي في ترجمة علي بن النعمان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النعمان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وأخوه داود أعلى منه، وابنه الحسن بن علي وابنه أحمد رويا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ثقة وجهاً ثبتاً صحيحاً له كتاب</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النجاشي لا يذكر التوثيق لرجل مرّتين سواء ذُكر فيه بالأصالة أو بالتبع،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في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ترجمته</w:t>
      </w:r>
      <w:r>
        <w:rPr>
          <w:rStyle w:val="FootnoteAnchor"/>
          <w:rtl w:val="true"/>
        </w:rPr>
        <w:footnoteReference w:id="285"/>
      </w:r>
      <w:r>
        <w:rPr>
          <w:rFonts w:ascii="Amiri" w:hAnsi="Amiri" w:eastAsia="Amiri" w:cs="Amiri"/>
          <w:color w:val="111111"/>
          <w:sz w:val="28"/>
          <w:sz w:val="28"/>
          <w:szCs w:val="28"/>
          <w:rtl w:val="true"/>
          <w:lang w:bidi="ar-SA"/>
        </w:rPr>
        <w:t xml:space="preserve">، وأنّ التأسيس خير من التأكيد لاسيَّما في كلام النجاشي فإنّه في نهاية الوجازة والبلاغة، فالمقصود </w:t>
      </w:r>
    </w:p>
    <w:p>
      <w:pPr>
        <w:pStyle w:val="BookText"/>
        <w:rPr/>
      </w:pPr>
      <w:r>
        <w:rPr>
          <w:rFonts w:ascii="Amiri" w:hAnsi="Amiri" w:eastAsia="Amiri" w:cs="Amiri"/>
          <w:color w:val="111111"/>
          <w:sz w:val="28"/>
          <w:sz w:val="28"/>
          <w:szCs w:val="28"/>
          <w:rtl w:val="true"/>
          <w:lang w:bidi="ar-SA"/>
        </w:rPr>
        <w:t xml:space="preserve">بالذكر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فيقتضي عود التوثيق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الجواب تامّ بالنظر إلى ما ذُكر من أنّ المقصود بالذكر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فيقتضي عود التوثيق إليه؛ لأنّ الكلام مسوق لترجمة صاحب العنوان، فالظاهر عود الوصف إليه ما لم تقم قرينة خاصّة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 من أولوية التأسيس من التأكيد ضعيف؛ لأنّه على تقدير تماميته إنّما يتمّ في المتّصل من الكلام دون المنفصل منه كما في المقام؛ لوضوح كون كلّ ترجمةٍ منفصلةً عن غيرها في سياق الكلام، فذكر الوصف في ترجمة غيره يكون من المنفصل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ذُكر من عدم تعرّض النجاشي لتوثيق رجل مرّتين غير تامّ أيضاً، فقد ورد عن النجاشي تكرار الأوصاف لمن ذكرهم</w:t>
      </w:r>
    </w:p>
    <w:p>
      <w:pPr>
        <w:pStyle w:val="BookText"/>
        <w:rPr/>
      </w:pPr>
      <w:r>
        <w:rPr>
          <w:rFonts w:ascii="Amiri" w:hAnsi="Amiri" w:eastAsia="Amiri" w:cs="Amiri"/>
          <w:color w:val="111111"/>
          <w:sz w:val="28"/>
          <w:sz w:val="28"/>
          <w:szCs w:val="28"/>
          <w:rtl w:val="true"/>
          <w:lang w:bidi="ar-SA"/>
        </w:rPr>
        <w:t>بالأصالة، 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حفص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له في باب الحاء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ولّاد الحنّاط، وقال 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 بن يونس مخزومي، 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لا بأس به</w:t>
      </w:r>
      <w:r>
        <w:rPr>
          <w:rFonts w:eastAsia="IRNazanin" w:cs="IRNazanin"/>
          <w:color w:val="111111"/>
          <w:sz w:val="28"/>
          <w:szCs w:val="28"/>
          <w:rtl w:val="true"/>
          <w:lang w:bidi="fa-IR"/>
        </w:rPr>
        <w:t>..)</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له توثيقاً آخر بالتبع في ترجمة أخيه عمر بن سالم صاحب السابري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كوفي، وأخوه حفص، ثقتان، رويا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عمر بن أبي شعبة الحلبي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له النجاشي في باب الألف،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ثقة، روى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أبيه من قبل</w:t>
      </w:r>
      <w:r>
        <w:rPr>
          <w:rFonts w:eastAsia="IRNazanin" w:cs="IRNazanin"/>
          <w:color w:val="111111"/>
          <w:sz w:val="28"/>
          <w:szCs w:val="28"/>
          <w:rtl w:val="true"/>
          <w:lang w:bidi="fa-IR"/>
        </w:rPr>
        <w:t>)</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توثيقاً عامّاً لآل أبي شعبة في ترجمة عبيد الله بن علي بن أبي شعبة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وآل أبي شعبة بالكوفة بيت مذكور من أصحابنا، وروى جدهم أبو شعبة عن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جميعاً </w:t>
      </w:r>
    </w:p>
    <w:p>
      <w:pPr>
        <w:pStyle w:val="BookText"/>
        <w:rPr/>
      </w:pPr>
      <w:r>
        <w:rPr>
          <w:rFonts w:ascii="Amiri" w:hAnsi="Amiri" w:eastAsia="Amiri" w:cs="Amiri"/>
          <w:color w:val="111111"/>
          <w:sz w:val="28"/>
          <w:sz w:val="28"/>
          <w:szCs w:val="28"/>
          <w:rtl w:val="true"/>
          <w:lang w:bidi="ar-SA"/>
        </w:rPr>
        <w:t>ثقات، مرجوعاً إلى ما يقولون</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بن علي بن أبي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له النجاشي في باب العين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وكانوا جميعاً ثقات، مرجوعاً إلى ما يقولون، وكان عبيد الله كبيرهم، ووجههم</w:t>
      </w:r>
      <w:r>
        <w:rPr>
          <w:rFonts w:eastAsia="Amiri" w:cs="Amiri" w:ascii="Amiri" w:hAnsi="Amiri"/>
          <w:color w:val="111111"/>
          <w:sz w:val="28"/>
          <w:szCs w:val="28"/>
          <w:rtl w:val="true"/>
          <w:lang w:bidi="ar-SA"/>
        </w:rPr>
        <w:t>...)</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له توثيقاً آخر في ترجمة ابن عمّه أحمد بن عمر بن أبي شعبة،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عمّ عبيد الله، وعبد الأعلى، وعمران، ومحمّد الحلبيين، روى أبوهم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،وكانوا ثقات</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له النجاشي في الأسماء،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الحلبي، أبو جعفر، وجه أصحابنا، وفقيههم، والثقة الذي لا يطعن عليه، هو وإخوته عبيد الله، وعمران، وعبد الأعلى</w:t>
      </w:r>
      <w:r>
        <w:rPr>
          <w:rFonts w:eastAsia="Amiri" w:cs="Amiri" w:ascii="Amiri" w:hAnsi="Amiri"/>
          <w:color w:val="111111"/>
          <w:sz w:val="28"/>
          <w:szCs w:val="28"/>
          <w:rtl w:val="true"/>
          <w:lang w:bidi="ar-SA"/>
        </w:rPr>
        <w:t>)</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ممّا تقدّم توثيقه في ترجمة عبيد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عبد الله بن عمران الميموني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 ترجم له النجاشي مستقلّا ً في الأسماء،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فاسد المذهب والرواية، وكان عارفاً بالفقه</w:t>
      </w:r>
      <w:r>
        <w:rPr>
          <w:rFonts w:eastAsia="Amiri" w:cs="Amiri" w:ascii="Amiri" w:hAnsi="Amiri"/>
          <w:color w:val="111111"/>
          <w:sz w:val="28"/>
          <w:szCs w:val="28"/>
          <w:rtl w:val="true"/>
          <w:lang w:bidi="ar-SA"/>
        </w:rPr>
        <w:t>)</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تعرّض إلى ذكره مستقلّا ً أيضاً في الكنى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مضطرب جداً</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استدل به السيّد التفرشي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عود التوثيق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ما ذكر في ترجمة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في توجيهه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المذكور في ترجمة علي بن النعمان الأعلم </w:t>
      </w:r>
    </w:p>
    <w:p>
      <w:pPr>
        <w:pStyle w:val="BookText"/>
        <w:rPr/>
      </w:pPr>
      <w:r>
        <w:rPr>
          <w:rFonts w:ascii="Amiri" w:hAnsi="Amiri" w:eastAsia="Amiri" w:cs="Amiri"/>
          <w:color w:val="111111"/>
          <w:sz w:val="28"/>
          <w:sz w:val="28"/>
          <w:szCs w:val="28"/>
          <w:rtl w:val="true"/>
          <w:lang w:bidi="ar-SA"/>
        </w:rPr>
        <w:t>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الفصل لرفع اشتباه عود الوصف إلى المذكور أخيراً، بخلافه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يذكر هذه العبارة بعد الفصل، وهذا يدلّ على أنّ المدح لا بدّ أن لا يفصل عن الممدوح، فيكون المدح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أخيراً وهو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أمثال ذلك لا يورث الظن، فالفرق بين الفاصلين بيِّن، بل الفصل هاهنا غير متحقّق، بل هو صفة بعد صفة، وهو في حكم المضاف إليه، فيكون مع موصوفه كالكلمة الواحدة، بخلاف ما ذُكر في ترجمة علي بن النعمان، فإنّه جملة معترضة أطال الكلام بفصلها، فلذا استأنف الكلام، ويؤيّد عود الوصف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العلّامة لهذه الرواية بالصحّة في المختلف</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الرَّواية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الشيخ في المصباح،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حرم الله وحرم رسوله وحرم أمير المؤمنين وحرم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يحرز كونها رواية مغايرة مع صحيحة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الطّائفة الثَّالثة فجميع الروايات فيها ضعيفة، وهي عدّة 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عبد الحميد الخادم،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تتمّ الصلاة في أربعة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ومسجد الكوفة</w:t>
      </w:r>
      <w:r>
        <w:rPr>
          <w:rFonts w:eastAsia="Amiri" w:cs="Amiri" w:ascii="Amiri" w:hAnsi="Amiri"/>
          <w:color w:val="111111"/>
          <w:sz w:val="28"/>
          <w:szCs w:val="28"/>
          <w:rtl w:val="true"/>
          <w:lang w:bidi="ar-SA"/>
        </w:rPr>
        <w:t>...)</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سندها محمّد بن سنان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مرسلة حذيفة بن منصور،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تتمّ الصلاة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ومسجد الكوفة</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سندها أيضاً محمّد بن سنان فضلاً عن الإرسال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أبي بصير،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تتمّ الصلاة في أربعة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ومسجد الكوفة</w:t>
      </w:r>
      <w:r>
        <w:rPr>
          <w:rFonts w:eastAsia="Amiri" w:cs="Amiri" w:ascii="Amiri" w:hAnsi="Amiri"/>
          <w:color w:val="111111"/>
          <w:sz w:val="28"/>
          <w:szCs w:val="28"/>
          <w:rtl w:val="true"/>
          <w:lang w:bidi="ar-SA"/>
        </w:rPr>
        <w:t>...)</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أيضاً محمّد بن سنان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مرسلة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الأمر المذخور إتمام الصلاة في أربعة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ومسجد الكوفة</w:t>
      </w:r>
      <w:r>
        <w:rPr>
          <w:rFonts w:eastAsia="IRNazanin" w:cs="IRNazanin"/>
          <w:color w:val="111111"/>
          <w:sz w:val="28"/>
          <w:szCs w:val="28"/>
          <w:rtl w:val="true"/>
          <w:lang w:bidi="fa-IR"/>
        </w:rPr>
        <w:t>...)</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ضعيفة بالإرسال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ذهب جمع من الأعلام إلى تصحيح مراسيل الصدوق في الفقيه، إلَّا أنّهم اختلفوا على قولين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حجّيّة جميع مراسيل الصدوق في الفقيه، وهو مختار الشيخ البهائي حيث قال في شرح الفقيه عند قول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ماء طاهر حتّى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مراسيل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كثيرة في هذا الكتاب، تزيد على ثلث الأحاديث الموردة فيه، وينبغي أن لا يقصر الاعتماد عليها من الاعتماد على مسانيده، من حيث تشريكه بين النوعين في كونه ممّا يفتي به ويحكم بصحّته، ويعتقد أنّه حجّة بينه وبين الله 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ذهب جماعة من الأصوليين إلى ترجيح مراسيل العدل على مسانيده محتجّين بأنّ قول العدل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يشعر بإذعانه بمضمون الخبر، بخلاف ما 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فلان، عن فلان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جعل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مراسيل ابن أبي 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كمسانيده في الاعتماد عليها، لما علموا من عادته أنّه لا يرسل إلّا عن ثقة</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القول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حجّيّة خصوص مراسيله التي أسندها إلى المعصوم بصيغة جزمية كما ورد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مختار غير واحد من العلماء منهم المحقّق الداماد في رواشحه، حيث أفاد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يتمّ إذا ما كان الإرسال بالإسقاط رأساً والإسناد جزماً، كما لو قال المرسل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وذلك مثل قول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الفقيه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يطهِّر ولا يطهَّر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مفاده الجزم أو الظن بصدور الحديث عن المعصوم، فيجب أن تكون الوسائط عدولاً في ظنّه، وإلَّا كان الحكم الجازم بالإسناد هادماً لجلالته وعدالته</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كلا القولين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الأوَّل فيرد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تمّ الاستناد إلى كلام الصدوق فمقتضاه اعتبار عموم ما في الفقيه حتى ما كان مسنداً، والأظهر خلافه، بل هو لا يقول به، فلم يثبت اعتبار ما أرسله الصدوق بإبهام الواسطة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بادّعاء الفرق بين المسانيد والمراسيل؛ فإنّ المسانيد لا يصحّ العمل بها إلَّا إذا كان جميع رجال السند ثقات يصحّ التعويل على نقلهم، ولا يكفي العمل لمجرّد الوثوق به عند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الإسناد عنهم لا يكفي لتوثيقهم كما ثبت في محلّه، بخلاف المراسيل فيمكن أن يشكّل أمارة على الاطمئنان بصدورها والاعتماد عليها، وهذا الاعتماد من أمثال الصدوق يحقّق لنا الوثوق بصدور الخبر،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معاملة مراسيل الصدوق معاملة مراسيل ابن أبي عمير غير واضحة، والتزامه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حجّيّتها بينه وبين ربّه لا يقتضي اتّصالها بالعدول لتكون من باب الصحيح، بل غاية ما يقتضيه الالتزام أن تكون ممّا يجوز العمل به عنده والاعتماد عليه، وهذا أمر وراء وصف الحديث بالصحّة؛ لجواز تأدّي اجتهاده في العمل بالمراسيل والضعاف لقرائن لا تفيد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اطّلعنا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الآخر فيمكن بيانه من خلال تقريبين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التّقريب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نسبة الحديث إلى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إلَّا في حالتين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يعلم وجداناً بصدوره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تقوم الحجّة عنده على 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البعيد حصول العلم الوجداني له في هذا الكمّ الكبير من الأخبار، فيتعيّن أن يكون الخبر منقولاً له بوسائط ثقات، وهذا يكفي لاعتبار الخبر المرسل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ويجاب عن هذا التقريب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أسباب حصول العلم التعبّدي بالصدور يمكن أن تحصل بواسطة قرائن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وثاقة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الاعتماد عليها لتصحيح الرواية، مثل ورودها في أحد الكتب المعروضة على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شهرتها وغير ذلك، ومثل هذا الخبر يصحّ أن يعبّر عنه بالصحيح بلسان المتقدّمين من الأصحاب، وعليه فإذا حكم الشيخ الصدوق على رواية بالصحّة والاعتبار فلا يكشف عن وثاقة رواتها لعدم انحصار الاعتبار بوثاقة الرواة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التّقريب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مبني على ما هو المعروف من أنّ مناط الحجّية هو الوثوق بالصدور لا وثاقة الراوي، وإسناد الصدوق رواية بصورة جزمية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نصّ في ديباجته على أنّ ما فيه مستخرَج من الأصول المعتمدة والكتب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w:t>
      </w:r>
    </w:p>
    <w:p>
      <w:pPr>
        <w:pStyle w:val="BookText"/>
        <w:rPr/>
      </w:pPr>
      <w:r>
        <w:rPr>
          <w:rFonts w:ascii="Amiri" w:hAnsi="Amiri" w:eastAsia="Amiri" w:cs="Amiri"/>
          <w:color w:val="111111"/>
          <w:sz w:val="28"/>
          <w:sz w:val="28"/>
          <w:szCs w:val="28"/>
          <w:rtl w:val="true"/>
          <w:lang w:bidi="ar-SA"/>
        </w:rPr>
        <w:t>كون الرواية في غاية الاعتبار عنده، ومثل هذا يحقّق لنا الوثوق بالصدور وإن لم تثبت لنا وثاقة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التقريب مبني على حصول الوثوق، وهو أوّل الكلام؛ لاحتمال اعتماد الصدوق في التصحيح مستنداً إلى مقدّمات حدسيّة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مع احتمال أن تكون نظرية خفيّة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الاعتماد عليها، بالإضافة إلى ما هو المعروف عنه من اتّباع شيخه ابن الوليد في تصحيح الروايات كما صرّح 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لم يصحّحه ذلك الشيخ قدّس الله روحه ولم يحكم بصحّته من الأخبار فهو عندنا متروك غير صحيح</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مرسلة حمّاد بن عيسى عن بعض أصحابنا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الأمر المذخور إتمام الصلاة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ومسجد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ضعيفة بالإرسال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سقوط الطائفتين الأولى والثالثة لضعف السند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والمهم النظر في مدلول صحيحة حمّاد بن عيسى المذكورة في الطائفة الثانية المتضمّنة لذكر حرم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مواطن الإتمام فإن أمكن استظهار شمول الحرم فيها لغير المسجد ثبت التعميم وإلَّا وجب الاقتصار على مسجدها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يمكن أن يقال في بيان التعميم تقريبات أربعة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التّقريب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بعد ثبوت كون الكوفة كلّها حرماً يكون مقتضى إطلاق الحرم شمولها بتمامها؛ لأنّ المسجد ليس معنىً آخر للكلمة حتّى يوجب الإجمال فيحتاج إلى قرينة إضافيّة، بل هو من باب إطلاق الحرم على بعض الحرم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التّقريب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يدّعى دلالتها على شمولها لتمام البلدة بمقتضى ورودها في سياق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الله وحرم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الشاملين لتمام البلدين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يورد عليه بإيرادين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أصل صلاحيّة وحدة السياق للقرينيّة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وحدة السياق هي من القرائن التي اعتمد عليها العرف في محاوراتهم، وتصلح لأن تكون مفسّرة لمرادهم فيما إذا شكّ فيه وكان في ضمن كلام عُلِم المراد منه، فهي قرينة تصاحب الكلام وتؤثّر في ظهوره ويمكن الاعتماد عليها في بيان المراد الاستعمالي للفظ إذا اقترن بما هو معلوم الظهور وكانا في سياق واحد، كورود العامّ في سياق جملة من المخصّصات، أو ورود المطلق في سياق جملة من المقيّدات، أو ورود الواجب في سياق جملة من 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للسياق دلالة مكتسبة من الألفاظ فهو بمثابة ظلّ لها يصحّ للمتكلّم الاعتماد عليه في بيان مراده الاستعمالي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يشترط في المعنى الذي يكون قرينة على المعنى المشكوك أن يكون واضحاً بواسطة قرينة متّصلة بالكلام وأن لا يستند إلى قرينة خارجيّة منفصلة، ومن ثَمَّ إذا وردت عمومات متعدّدة في سياق واحد وخصّص بعضها بمخصّص منفصل فإنّه لا يسري التخصيص منه إلى غيره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المعنى ممّا تنبّه له غير واحد من الأعلام منهم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وحدة السياق إنّما تقتضي المساواة في الخصوص إذا استُند إلى قرينة في نفس الكلام، لا ما إذا استنُد إلى قرينة خارجية</w:t>
      </w:r>
      <w:r>
        <w:rPr>
          <w:rFonts w:eastAsia="Amiri" w:cs="Amiri" w:ascii="Amiri" w:hAnsi="Amiri"/>
          <w:color w:val="111111"/>
          <w:sz w:val="28"/>
          <w:szCs w:val="28"/>
          <w:rtl w:val="true"/>
          <w:lang w:bidi="ar-SA"/>
        </w:rPr>
        <w:t>)</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وجرى عليه السيّد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حيث </w:t>
      </w:r>
    </w:p>
    <w:p>
      <w:pPr>
        <w:pStyle w:val="BookText"/>
        <w:rPr/>
      </w:pPr>
      <w:r>
        <w:rPr>
          <w:rFonts w:ascii="Amiri" w:hAnsi="Amiri" w:eastAsia="Amiri" w:cs="Amiri"/>
          <w:color w:val="111111"/>
          <w:sz w:val="28"/>
          <w:sz w:val="28"/>
          <w:szCs w:val="28"/>
          <w:rtl w:val="true"/>
          <w:lang w:bidi="ar-SA"/>
        </w:rPr>
        <w:t>أفاد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وحدة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 كونها سبباً للظهور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إنّما تسلم فيما إذا استفيد تقييد أحد الموضوعين المذكورين في دليل واحد من قرينة في نفس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في حديث الرفع وأنّ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الشبهة الموضوعيّة بقرينة أخواتها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استُفيد ذلك من دليل خارجي يكشف عن تقييد المراد الجدّي، فلا معنى لدعوى وحدة السياق</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الاشتراط يمكن أن يناقش في الاعتماد على وحدة السياق فيما نحن فيه لاستكشاف المراد؛ لأنّها إنّما تنفع في بيان المراد الاستعمالي، ولا شكّ في المستعمل فيه في الرواية، والشكّ حاصل في المراد الجدّي منه فيها؛ لأنّ الشمول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الله وحرم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لتمام المدينة إنّما استُفيد من القرائن الخارجيّة والروايات المفسّرة الأخرى كصحيح ابن مهزيار،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التّقريب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يُستظهر التعميم بمناسبة الحكم والموضوع حيث كانت مدينة الكوفة هي عاصمة الدولة الإسلامية في عهد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كانت المدينة المنوّرة عاصمتها في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يساعد على تعميم الحكم لمدينة الكوفة وعدم الاختصاص بمسجدها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المناسبات غايتها الإشعار دون الدلالة</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فالرواية مجملة يحتمل أن يراد منها تمام البلدة أو خصوص المسجد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التّقريب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الرواية مفسَّرة ببعض الروايات التي ورد فيها أنّ الكوفة حرم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حسان بن مهران،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حرم الله، والمدينة حرم رسول الله، والكوفة حرمي لا يريدها جبار بحادثة إلَّا قصمه الله</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خلّاد القلانسي، وقد رواها علي بن إبراهيم وغيره، عن أبيه، عن خلّاد القلانسي،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مكّة حرم الله وحرم رسوله وحرم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فيها بمائة ألف صلاة، والدرهم فيها بمائة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والمدينة حرم الله وحرم رسوله وحرم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فيها بعشرة آلاف صلاة، والدرهم فيها بعشرة آلاف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والكوفة حرم الله وحرم رسوله وحرم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فيها بألف صلاة، والدرهم فيها بألف درهم</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يشكل هذا الإسناد من جهة أنّ خلّاد القلانسي غير معهود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أنّ هذا العنوان محرَّف، والصواب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خالد بن ماد القلانسي،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خلّاد السندي، وهو وإن لم يُذكر بتوثيق في كتب الرجال إلَّا أنّ رواية ابن أبي عمير تكفي في وثاقته لما هو الصحيح من وثاقة مشايخ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فيمكن القول بصحّة الرواية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يشكل بأنّ الظاهر كون الرواية مرسلة لأنّ خالد القلانسي وخلّاد السندي من الطبقة الخامسة، وإبراهيم بن هاشم من الطبقة السابعة فلا تصحّ روايته عنه مباشرة فتسقط الرواية بالإرسال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إلَّا أن يقال بترجيح كون الرجل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السندي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يرجح سقوط ابن أبي عمير من السند؛ لتكرر رواية إبراهيم بن هاشم بتوسطه عن خلّاد السندي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بلوغ كلا الترجيحين إلى درجة الوثوق محلّ نظر، بل منع، بل الترجيح الأوّل غير وارد؛ لأنّ تحريف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من تحريف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القلانسي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تبنّى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التقريب، وقال عن صحيحة حسّان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المقطوع أنّها مفسِّرة ووردت في مقام الشرح والتفسير، وكذلك رواية خالد القلانسي المتقدّمة، وبناءً على هذه الدعوى يكون المراد من الحرم هو تمام البلدة</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يناقش في كلام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بمناقشتين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نفي مفسّريتها وقال إنّها مجرّد تطبيق؛ لأنّ التفسير المجدي في المقام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أمير المؤمنين هو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والتطبيق إنّما يجدي في الحكم لموضوع عامّ، لا ما إذا أريد من العامّ فرد مخصوص وقد أُجمل</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يكون نظره الشريف إلى 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الحكومة التفسيرية هي التي يذكر فيها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بالأداة مثل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بمثابتهما من الجملة التفسيرية، ومقتضاه أن يقال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حرمي هو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لم يرد في الحديث، وإنّما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والكوفة حرمي</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يلاحظ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وجه لاشتراط التفسير الصريح في الحكومة، بل يكفي فيها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في محلّه من علم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وعليه فيُستبعد أن يكون </w:t>
      </w:r>
    </w:p>
    <w:p>
      <w:pPr>
        <w:pStyle w:val="BookText"/>
        <w:rPr/>
      </w:pPr>
      <w:r>
        <w:rPr>
          <w:rFonts w:ascii="IRNazanin" w:hAnsi="IRNazanin" w:eastAsia="IRNazanin"/>
          <w:color w:val="111111"/>
          <w:sz w:val="28"/>
          <w:sz w:val="28"/>
          <w:szCs w:val="28"/>
          <w:rtl w:val="true"/>
          <w:lang w:bidi="fa-IR"/>
        </w:rPr>
        <w:t xml:space="preserve">نظره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هذا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لسان التفسير يقتضي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حرمي هو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العكس، كما ورد في الصحيحتين ففرق بين الجملتين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فالرواية ليست في مقام التفسير بل في مقام التطبيق؛ بمعنى أنّ الحرم قد طُبّق في الصحيحتين على المدينة، ولكن هذا التطبيق غير مجد في مقامنا؛ لأنّ الحكم وإن ثبت للحرم إلَّا أنّه ليس من باب ثبوت حكم لموضوع عام كما لو ثبت التخيير لكلِّ حرم حتى يصحّ التطبيق، بل إنّ الموضوع في مقامنا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منه فرد ولم يعرف فهو مجمل، ومعه فلا يسري الحكم إلى ما عدا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مجرّد التطبيق لا يجدي في المقام لو لم تكن تلك الروايات مفسِّرة صحيح؛ لأنّ التطبيق إنّما يجري في حال ثبوت حكم لموضوع عامّ وطُبِّق الموضوع العامّ على بعض الأفراد، وفي المقام حيث إنّ الحرم الذي هو موضوع حكمنا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 فالمراد به يدور بين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يجدي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من الروايتين هو التفسير فإنّه لا فرق معتدّ به عرفاً في فهم التفسير بين اللسانين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وعليه فالأظهر ثبوت الحكم لتمام الكوفة بتعميم الروايات التي ذكرت أنّ الكوفة حرم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الروايات التي ذكرت الحكم للمسجد فتقدّم أنّها ضعيفة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النسبة بين رواية الحرم المفسَّرة بالبلدة وروايات المسجد نسبة المطلق إلى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مفهوم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المثبتين فلا تعارض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كون المقيَّد من قبيل الوصف المعتمد </w:t>
      </w:r>
      <w:bookmarkStart w:id="178" w:name="pg10913_110565"/>
    </w:p>
    <w:p>
      <w:pPr>
        <w:pStyle w:val="BookText"/>
        <w:rPr/>
      </w:pPr>
      <w:bookmarkEnd w:id="178"/>
      <w:r>
        <w:rPr>
          <w:rFonts w:ascii="Amiri" w:hAnsi="Amiri" w:eastAsia="Amiri" w:cs="Amiri"/>
          <w:color w:val="111111"/>
          <w:sz w:val="28"/>
          <w:sz w:val="28"/>
          <w:szCs w:val="28"/>
          <w:rtl w:val="true"/>
          <w:lang w:bidi="ar-SA"/>
        </w:rPr>
        <w:t>على الموصوف الذي يكون له مفهوم أو ظهور في الاحتراز تعيّن حمله بقرينة الرواية المفسِّرة على الأشرفيّة أو التأكيد أو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لم نبنِ على التفسير وبقي الإجمال في لفظ الحرم وتردّد بين المسجد والبلدة فالمرجع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أصل وجوب القصر ما لم يُتيقّن الخروج عنه، والمقدار المتيقّن في الخروج عنه هو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يؤيَّد بمرسلة الصدوق</w:t>
      </w:r>
      <w:r>
        <w:rPr>
          <w:rStyle w:val="FootnoteAnchor"/>
          <w:rtl w:val="true"/>
        </w:rPr>
        <w:footnoteReference w:id="311"/>
      </w:r>
      <w:r>
        <w:rPr>
          <w:rFonts w:ascii="Amiri" w:hAnsi="Amiri" w:eastAsia="Amiri" w:cs="Amiri"/>
          <w:color w:val="111111"/>
          <w:sz w:val="28"/>
          <w:sz w:val="28"/>
          <w:szCs w:val="28"/>
          <w:rtl w:val="true"/>
          <w:lang w:bidi="ar-SA"/>
        </w:rPr>
        <w:t>ومرسلة حمّاد</w:t>
      </w:r>
      <w:r>
        <w:rPr>
          <w:rStyle w:val="FootnoteAnchor"/>
          <w:rtl w:val="true"/>
        </w:rPr>
        <w:footnoteReference w:id="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المناقشة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ورد في ذيل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يريدها جبّار بحادثة إلَّا قصمه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إنّ الحكم المنظور فيها هو الحفظ، فهي حرم من هذه الجهة لا من سائر الآثار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الأثر والحكم إنّما ثبت للحرم من جهة أنّه حرم، فهو وصف دخيل في العلّيّة، فالكوفة إنّما حُفظت ودُفع عنها الجبّار؛ لأنّها حرمه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،وليست هي حرمه من جهة دفع الجبّار عنها، فمفاد العبارة إخبار عن أنّها حرمه وقد تشرّفت البلدة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أخبر عن أثر يترتّب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ويساعد على ذلك ورودها في سياق مكّة والمدينة، ومن الثابت أنّ الحرمة ثابتة للمدينة</w:t>
      </w:r>
      <w:r>
        <w:rPr>
          <w:rFonts w:eastAsia="IRNazanin" w:cs="IRNazanin"/>
          <w:color w:val="111111"/>
          <w:sz w:val="28"/>
          <w:szCs w:val="28"/>
          <w:rtl w:val="true"/>
          <w:lang w:bidi="fa-IR"/>
        </w:rPr>
        <w:t>.</w:t>
      </w:r>
    </w:p>
    <w:p>
      <w:pPr>
        <w:pStyle w:val="Heading4"/>
        <w:numPr>
          <w:ilvl w:val="3"/>
          <w:numId w:val="1"/>
        </w:numPr>
        <w:rPr/>
      </w:pPr>
      <w:bookmarkStart w:id="179" w:name="__RefHeading___Toc3056556_2870459653"/>
      <w:bookmarkStart w:id="180" w:name="_Toc69"/>
      <w:bookmarkEnd w:id="179"/>
      <w:r>
        <w:rPr>
          <w:rtl w:val="true"/>
        </w:rPr>
        <w:t>الموضع الثَّالث</w:t>
      </w:r>
      <w:r>
        <w:rPr>
          <w:rtl w:val="true"/>
        </w:rPr>
        <w:t xml:space="preserve">: </w:t>
      </w:r>
      <w:r>
        <w:rPr>
          <w:rtl w:val="true"/>
        </w:rPr>
        <w:t xml:space="preserve">حرم الحسين </w:t>
      </w:r>
      <w:r>
        <w:rPr>
          <w:rtl w:val="true"/>
        </w:rPr>
        <w:t>(</w:t>
      </w:r>
      <w:r>
        <w:rPr>
          <w:rtl w:val="true"/>
        </w:rPr>
        <w:t>علیه السلام</w:t>
      </w:r>
      <w:r>
        <w:rPr>
          <w:rtl w:val="true"/>
        </w:rPr>
        <w:t>)</w:t>
      </w:r>
      <w:bookmarkEnd w:id="180"/>
    </w:p>
    <w:p>
      <w:pPr>
        <w:pStyle w:val="Heading5"/>
        <w:numPr>
          <w:ilvl w:val="4"/>
          <w:numId w:val="1"/>
        </w:numPr>
        <w:rPr/>
      </w:pPr>
      <w:bookmarkStart w:id="181" w:name="__RefHeading___Toc3056558_2870459653"/>
      <w:bookmarkStart w:id="182" w:name="_Toc70"/>
      <w:bookmarkEnd w:id="181"/>
      <w:r>
        <w:rPr>
          <w:rtl w:val="true"/>
        </w:rPr>
        <w:t>اشارة</w:t>
      </w:r>
      <w:bookmarkEnd w:id="18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وقع كلام بين الأصحاب في تحديد المراد من حرم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يشمل تمام مدينة كربلاء، أم يختصّ بالحائر، أم أضيق من ذلك بحيث يختصّ بالحرم، أو القبّة السامية؟ على أقوال</w:t>
      </w:r>
      <w:r>
        <w:rPr>
          <w:rFonts w:eastAsia="IRNazanin" w:cs="IRNazanin"/>
          <w:color w:val="111111"/>
          <w:sz w:val="28"/>
          <w:szCs w:val="28"/>
          <w:rtl w:val="true"/>
          <w:lang w:bidi="fa-IR"/>
        </w:rPr>
        <w:t xml:space="preserve">.. </w:t>
      </w:r>
      <w:bookmarkStart w:id="183" w:name="pg10913_110567"/>
    </w:p>
    <w:p>
      <w:pPr>
        <w:pStyle w:val="BookText"/>
        <w:rPr/>
      </w:pPr>
      <w:bookmarkEnd w:id="183"/>
      <w:r>
        <w:rPr>
          <w:rFonts w:ascii="IRNazanin" w:hAnsi="IRNazanin" w:eastAsia="IRNazanin"/>
          <w:color w:val="111111"/>
          <w:sz w:val="28"/>
          <w:sz w:val="28"/>
          <w:szCs w:val="28"/>
          <w:rtl w:val="true"/>
          <w:lang w:bidi="fa-IR"/>
        </w:rPr>
        <w:t>وقد تصدّى صاحب مفتاح الكرامة إلى بيانها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المشهور بين أصحابنا اختصاص الحكم بالحائر، وهو المذكور في عبارات الأصحاب جميعها، وقد سمعت ما نقل عن الشيخ نجيب الدين ابن سعيد، وصاحب البحار بعد أن نقل ذلك عنه نفى عنه البعد، ثمّ نقل شطراً من الأخبار الواردة في تقدير حرمه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إيقاع الصلاة في الحائر، وإذا أوقعها في غيره فالمختار القصر</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هنا أقوال</w:t>
      </w:r>
      <w:r>
        <w:rPr>
          <w:rFonts w:eastAsia="IRNazanin" w:cs="IRNazanin"/>
          <w:color w:val="111111"/>
          <w:sz w:val="28"/>
          <w:szCs w:val="28"/>
          <w:rtl w:val="true"/>
          <w:lang w:bidi="fa-IR"/>
        </w:rPr>
        <w:t>:</w:t>
      </w:r>
    </w:p>
    <w:p>
      <w:pPr>
        <w:pStyle w:val="Heading5"/>
        <w:numPr>
          <w:ilvl w:val="4"/>
          <w:numId w:val="1"/>
        </w:numPr>
        <w:rPr/>
      </w:pPr>
      <w:bookmarkStart w:id="184" w:name="__RefHeading___Toc3056560_2870459653"/>
      <w:bookmarkStart w:id="185" w:name="_Toc71"/>
      <w:bookmarkEnd w:id="184"/>
      <w:r>
        <w:rPr>
          <w:rtl w:val="true"/>
        </w:rPr>
        <w:t>القول الأوَّل</w:t>
      </w:r>
      <w:bookmarkEnd w:id="185"/>
    </w:p>
    <w:p>
      <w:pPr>
        <w:pStyle w:val="BookText"/>
        <w:rPr/>
      </w:pPr>
      <w:r>
        <w:rPr>
          <w:rFonts w:ascii="Amiri" w:hAnsi="Amiri" w:eastAsia="Amiri" w:cs="Amiri"/>
          <w:color w:val="111111"/>
          <w:sz w:val="28"/>
          <w:sz w:val="28"/>
          <w:szCs w:val="28"/>
          <w:rtl w:val="true"/>
          <w:lang w:bidi="ar-SA"/>
        </w:rPr>
        <w:t>اختصاص الحكم بالحائر، وهو المشهور بينهم، وممّن قال به ابن إدريس، والعلّامة في التذكرة ونهاية الإحكام والمختلف، والشهيد في الذكرى والدروس والبيان واللمعة، والشهيد الثّاني في الروضة، وغيرهم</w:t>
      </w:r>
      <w:r>
        <w:rPr>
          <w:rStyle w:val="FootnoteAnchor"/>
          <w:rtl w:val="true"/>
        </w:rPr>
        <w:footnoteReference w:id="314"/>
      </w:r>
      <w:r>
        <w:rPr>
          <w:rFonts w:ascii="Amiri" w:hAnsi="Amiri" w:eastAsia="Amiri" w:cs="Amiri"/>
          <w:color w:val="111111"/>
          <w:sz w:val="28"/>
          <w:sz w:val="28"/>
          <w:szCs w:val="28"/>
          <w:rtl w:val="true"/>
          <w:lang w:bidi="ar-SA"/>
        </w:rPr>
        <w:t>، وقد اختاره الأردبيلي</w:t>
      </w:r>
      <w:r>
        <w:rPr>
          <w:rStyle w:val="FootnoteAnchor"/>
          <w:rtl w:val="true"/>
        </w:rPr>
        <w:footnoteReference w:id="315"/>
      </w:r>
      <w:r>
        <w:rPr>
          <w:rFonts w:ascii="IRNazanin" w:hAnsi="IRNazanin" w:eastAsia="IRNazanin"/>
          <w:color w:val="111111"/>
          <w:sz w:val="28"/>
          <w:sz w:val="28"/>
          <w:szCs w:val="28"/>
          <w:rtl w:val="true"/>
          <w:lang w:bidi="fa-IR"/>
        </w:rPr>
        <w:t>وصاحب الحدائق</w:t>
      </w:r>
      <w:r>
        <w:rPr>
          <w:rStyle w:val="FootnoteAnchor"/>
          <w:rtl w:val="true"/>
        </w:rPr>
        <w:footnoteReference w:id="316"/>
      </w:r>
      <w:r>
        <w:rPr>
          <w:rFonts w:ascii="Amiri" w:hAnsi="Amiri" w:eastAsia="Amiri" w:cs="Amiri"/>
          <w:color w:val="111111"/>
          <w:sz w:val="28"/>
          <w:sz w:val="28"/>
          <w:szCs w:val="28"/>
          <w:rtl w:val="true"/>
          <w:lang w:bidi="ar-SA"/>
        </w:rPr>
        <w:t>، وقد ادّعى عليه الشهرة في المختلف</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 w:name="__RefHeading___Toc3056562_2870459653"/>
      <w:bookmarkStart w:id="187" w:name="_Toc72"/>
      <w:bookmarkEnd w:id="186"/>
      <w:r>
        <w:rPr>
          <w:rtl w:val="true"/>
        </w:rPr>
        <w:t>القول الثَّاني</w:t>
      </w:r>
      <w:bookmarkEnd w:id="187"/>
    </w:p>
    <w:p>
      <w:pPr>
        <w:pStyle w:val="BookText"/>
        <w:rPr/>
      </w:pPr>
      <w:r>
        <w:rPr>
          <w:rFonts w:ascii="Amiri" w:hAnsi="Amiri" w:eastAsia="Amiri" w:cs="Amiri"/>
          <w:color w:val="111111"/>
          <w:sz w:val="28"/>
          <w:sz w:val="28"/>
          <w:szCs w:val="28"/>
          <w:rtl w:val="true"/>
          <w:lang w:bidi="ar-SA"/>
        </w:rPr>
        <w:t>الشمول لتمام البلدة، وهو ما تبنّاه صاحب المستند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 يظهر جواز الإتمام في تمام بلدة كربلاء</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 w:name="__RefHeading___Toc3056564_2870459653"/>
      <w:bookmarkStart w:id="189" w:name="_Toc73"/>
      <w:bookmarkEnd w:id="188"/>
      <w:r>
        <w:rPr>
          <w:rtl w:val="true"/>
        </w:rPr>
        <w:t>القول الثَّالث</w:t>
      </w:r>
      <w:bookmarkEnd w:id="18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دار عليه سور الحرم، وهو ما تبناه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المستند</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bookmarkStart w:id="190" w:name="pg10913_110569"/>
    </w:p>
    <w:p>
      <w:pPr>
        <w:pStyle w:val="Heading5"/>
        <w:numPr>
          <w:ilvl w:val="4"/>
          <w:numId w:val="1"/>
        </w:numPr>
        <w:rPr/>
      </w:pPr>
      <w:bookmarkStart w:id="191" w:name="__RefHeading___Toc3056566_2870459653"/>
      <w:bookmarkStart w:id="192" w:name="_Toc74"/>
      <w:bookmarkEnd w:id="190"/>
      <w:bookmarkEnd w:id="191"/>
      <w:r>
        <w:rPr>
          <w:rtl w:val="true"/>
        </w:rPr>
        <w:t>القول الرَّابع</w:t>
      </w:r>
      <w:bookmarkEnd w:id="192"/>
    </w:p>
    <w:p>
      <w:pPr>
        <w:pStyle w:val="BookText"/>
        <w:rPr/>
      </w:pPr>
      <w:r>
        <w:rPr>
          <w:rFonts w:ascii="Amiri" w:hAnsi="Amiri" w:eastAsia="Amiri" w:cs="Amiri"/>
          <w:color w:val="111111"/>
          <w:sz w:val="28"/>
          <w:sz w:val="28"/>
          <w:szCs w:val="28"/>
          <w:rtl w:val="true"/>
          <w:lang w:bidi="ar-SA"/>
        </w:rPr>
        <w:t>ما يقارب الضريح المقدّس، وهو ما تبناه السيّد الحكيم في المستمسك</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الأخبار فقد وردت بألسنة مختلفة،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بلسان الحرم،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بلسان الحائر،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القبر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إذاً طوائف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الطّائفة الأولى التي وردت بلسان حرم الحسين فهي عدّة 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صحيحة حمّاد بن عيسى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مخزون علم الله الإتمام في أربعة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وحرم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رواية عبد الحميد، وفيها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تتمّ الصلاة في أربعة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ضعيفة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سنان وعبد الملك القمّي وعبد الحميد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مرسلة حذيفة بن منصور، وفيها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تتمّ الصلاة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ضعيفة بابن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الإرسال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أبي بصير</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سندها أيضاً محمّد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وردت بلسان الحائر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مرسلة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الأمر المذخور إتمام الصلاة في أربعة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والمدينة، ومسجد الكوفة، وحائر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مرسلة حمّاد بن عيسى عن بعض أصحابنا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الأمر المذخور إتمام الصلاة في أربعة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يمكن تصحيحها بأحد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 الاحتمالات بالنسبة لمن أرسل عنه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جابريّة الشهرة المدّعاة لو كانت بين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نُصّ على كون الإتمام ثابتاً في الحائر في 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بنى السيّد حسن الصدر وغيره على أنّه كتاب التكليف للشلمغاني</w:t>
      </w:r>
      <w:r>
        <w:rPr>
          <w:rStyle w:val="FootnoteAnchor"/>
          <w:rtl w:val="true"/>
        </w:rPr>
        <w:footnoteReference w:id="325"/>
      </w:r>
      <w:r>
        <w:rPr>
          <w:rFonts w:ascii="Amiri" w:hAnsi="Amiri" w:eastAsia="Amiri" w:cs="Amiri"/>
          <w:color w:val="111111"/>
          <w:sz w:val="28"/>
          <w:sz w:val="28"/>
          <w:szCs w:val="28"/>
          <w:rtl w:val="true"/>
          <w:lang w:bidi="ar-SA"/>
        </w:rPr>
        <w:t>، وليس نصّاً روائيّاً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 من روايات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يمكن جبرها بالشهرة على القول بكون الشهرة جابرة في ما لو كانت الشهرة المدّعاة بين المتقدّمين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الطّائفة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وردت بلسان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فهي ثلاث روايات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رواية أبي شبل،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أزور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زر الطيّب وأتمّ الصلاة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أصحابنا يرى التقصير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يفعل ذلك الضَعَفَة</w:t>
      </w:r>
      <w:r>
        <w:rPr>
          <w:rFonts w:eastAsia="IRNazanin" w:cs="IRNazanin"/>
          <w:color w:val="111111"/>
          <w:sz w:val="28"/>
          <w:szCs w:val="28"/>
          <w:rtl w:val="true"/>
          <w:lang w:bidi="fa-IR"/>
        </w:rPr>
        <w:t>)</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الرواية صالح بن عقبة المشترك الذي اُستظهر أنّه ابن قيس، وقد ضعّفه ابن الغضائري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رواية زياد القندي،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زياد أحبّ لك ما أحبّ لنفسي، </w:t>
      </w:r>
    </w:p>
    <w:p>
      <w:pPr>
        <w:pStyle w:val="BookText"/>
        <w:rPr/>
      </w:pPr>
      <w:r>
        <w:rPr>
          <w:rFonts w:ascii="IRNazanin" w:hAnsi="IRNazanin" w:eastAsia="IRNazanin"/>
          <w:color w:val="111111"/>
          <w:sz w:val="28"/>
          <w:sz w:val="28"/>
          <w:szCs w:val="28"/>
          <w:rtl w:val="true"/>
          <w:lang w:bidi="fa-IR"/>
        </w:rPr>
        <w:t xml:space="preserve">وأكره لك ما أكره لنفسي، أتمّ الصلاة في الحرمين وبالكوفة وعند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ضعيفة بجهالة محمّد بن حمدان وجعفر بن محمّد بن 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مرسلة إبراهيم بن أبي البلاد،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تتمّ الصلاة في ثلاثة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المسجد الحرام، ومسجد الرسول، وعند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والحاصل من جميع روايات 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يقال إنّ المعتمد منها هي صحيحة حمّاد التي دلّت على استحباب الإتمام في حرم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هذا اللفظ مجمل ومردّد بين عدّة أفراد ولا بُدَّ من الاقتصار على القدر المتيقّن، وفي هذا عدّة أقوال ذكرها صاحب مفتاح الكرامة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تحديد الحائر الشريف ففي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ما دار سور المشهد والمسجد عليه دون ما دار سور البلد عليه؛ لأنّ ذلك هو الحائر حقيقة؛ لأنّ الحائر في لسان العرب الموضع المطمأن الذي يحار فيه الماء، قد ذكر ذلك المفيد في الإرشاد في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ذكر من قتل معه من أهله،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الحائر محيط بهم إلَّا العباس رحمه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قتل على المسنّاة فتحقّق ما قلناه والاحتياط يقتضي ما بيّناه؛ لأنّه مجمع عليه وما عداه غير مجمع عليه، انتهى ما في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نقله عن المفيد في إرشاده فهو كما نقل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الشهيد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والمحقّق الثاني وتلميذه بعد نقل كلام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هذا الموضع حار الماء لما أمر المتوكّل لعنه الله تعالى بإطلاقه على قبر الحسين ليعفيه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الحائر ما دار عليه حائط المشهد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الإحكام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دار عليه سور المشهد،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التذكرة وفوائد الشرائع وكشف الالتباس وتعليق النافع </w:t>
      </w:r>
    </w:p>
    <w:p>
      <w:pPr>
        <w:pStyle w:val="BookText"/>
        <w:rPr/>
      </w:pPr>
      <w:r>
        <w:rPr>
          <w:rFonts w:ascii="Amiri" w:hAnsi="Amiri" w:eastAsia="Amiri" w:cs="Amiri"/>
          <w:color w:val="111111"/>
          <w:sz w:val="28"/>
          <w:sz w:val="28"/>
          <w:szCs w:val="28"/>
          <w:rtl w:val="true"/>
          <w:lang w:bidi="ar-SA"/>
        </w:rPr>
        <w:t>والغريّة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دار سور المشهد والمسجد عليه دون ما دار عليه سور البلد، فذكروا عين ما 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 والموجز الحاوي والكركيّة والميسيّة والمسالك والروضة والروض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دار عليه سور الحضرة الشريفة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بمعلوم إطلاق حرم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غير الحائر وهو ما دار عليه سور المشهد والحضرة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 عليه السور، ولعلّ مراده سور الحضرة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بالمشهد كما ستسمع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نقل ما في السرائر أنّ بعضهم ذهب إلى أنّ الحائر مجموع الصحن المقدّس، وبعضهم إلى أنّه القبّة السامية، وبعضهم إلى أنّه الروضة المقدّسة وما أحاط بها من العمارات القديمة من الرواق والمقتل والخزانة وغيرها،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والأظهر عندي أنّه مجموع الصحن القديم لا ما تجدّد في الدولة الصفويّة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ظهر لي من القرائن وسمعته من مشايخ تلك البلاد الشريفة أنّه لم يتغيّر الصحن من جهة القبلة ولا من اليمين ولا من الشمال، بل إنّما زيد من خلاف جهة القبلة، وكلّما انخفض من الصحن وما دخل فيه من العمارات فهو الصحن القديم وما ارتفع منه فهو خارج عنه، ولعلّهم إنّما تركوه كذلك ليمتاز القديم عن الجديد، والتعليل المنقول عن ابن إدريس رحمه الله تعالى ينطبق على هذا، وفي شموله حجرات الصحن من الجهات الثلاث إشكال</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ومقتضى الأصل في الموضوع في حال الشكّ في المقدار الذي يقع فيه التخيير هو التمسّك بالقدر المتيقّن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وقد وردت عدّة روايات حدّدت جوانب القبر الطاهر والحرم</w:t>
      </w:r>
      <w:r>
        <w:rPr>
          <w:rStyle w:val="FootnoteAnchor"/>
          <w:rtl w:val="true"/>
        </w:rPr>
        <w:footnoteReference w:id="329"/>
      </w:r>
      <w:r>
        <w:rPr>
          <w:rFonts w:ascii="Amiri" w:hAnsi="Amiri" w:eastAsia="Amiri" w:cs="Amiri"/>
          <w:color w:val="111111"/>
          <w:sz w:val="28"/>
          <w:sz w:val="28"/>
          <w:szCs w:val="28"/>
          <w:rtl w:val="true"/>
          <w:lang w:bidi="ar-SA"/>
        </w:rPr>
        <w:t>، ولكنّها مختلفة على وجوه خمسة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فبعضها حدّده بخمسة فراسخ كما في روايةٍ عن منصور بن العباس رفعه الى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فراسخ من أربع جوانبه</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وبعضها بفرسخ كما في مرسلة إسماعيل البصري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في فرسخ من أربع جوانب القبر</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وبعضها بسبعين ذراعاً كما في مرسلة سليمان بن عمر السراج، عن بعض أصحابه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يؤخذ طين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القبر على سبعين ذراعاً</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وبعضها بخمسة وعشرين ذراعاً، كما في رواية الشيخ في التهذيب عن أبي القاسم جعفر بن محمّد، عن محمّد بن جعفر الرزّاز، عن محمّد بن الحسين بن أبي الخطّاب، عن الحسن بن محبوب، عن إسحاق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لموضع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معروفة مَن عرفها واستجار بها أُجير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 لي موضعها جعلت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امسح من موضع قبره اليوم خمسة وعشرين ذراعاً من قدّامه، وخمسة وعشرين ذراعاً من عند رأسه، وخمسة وعشرين ذراعاً من ناحية رجليه، وخمسة وعشرين ذراعاً من خلفه، وموضع قبره من يوم دفن روضة من رياض الجنّة، ومنه معراج يعرج فيه بأعمال زواره إلى السماء فليس ملك في السماء ولا في الأرض إلَّا </w:t>
      </w:r>
    </w:p>
    <w:p>
      <w:pPr>
        <w:pStyle w:val="BookText"/>
        <w:rPr/>
      </w:pPr>
      <w:r>
        <w:rPr>
          <w:rFonts w:ascii="IRNazanin" w:hAnsi="IRNazanin" w:eastAsia="IRNazanin"/>
          <w:color w:val="111111"/>
          <w:sz w:val="28"/>
          <w:sz w:val="28"/>
          <w:szCs w:val="28"/>
          <w:rtl w:val="true"/>
          <w:lang w:bidi="fa-IR"/>
        </w:rPr>
        <w:t xml:space="preserve">وهم يسألون الله في زيارة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ففوج ينزل وفوج يعرج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الحرّ العاملي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ورواه ابن قولويه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وكذا كلّ ما قبله إلَّا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حديث 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سبعين باعاً في سبعين باعاً</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الإسناد صحيح؛ إذ لا توجد فيه شائبة إلَّا من جهة محمّد بن جعفر الرزّاز وهو خال أبي غالب الزراري، لكن مدحه أبو غالب في رسالته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أحد رواة الحديث ومشايخ الشيعة</w:t>
      </w:r>
      <w:r>
        <w:rPr>
          <w:rFonts w:eastAsia="Amiri" w:cs="Amiri" w:ascii="Amiri" w:hAnsi="Amiri"/>
          <w:color w:val="111111"/>
          <w:sz w:val="28"/>
          <w:szCs w:val="28"/>
          <w:rtl w:val="true"/>
          <w:lang w:bidi="ar-SA"/>
        </w:rPr>
        <w:t>)</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يكفي في الاعتماد عليه، كما أنّه قد ورد في إسناد كامل الزيارات وتفسير القمّي فتصحّ على بعض المباني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أيضاً رواها الكليني بطريق معتبر عن عدّة من أصحابنا، عن سهل ابن زياد وأحمد بن محمّد جميعاً، عن الحسن بن محبوب، عن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 الصدوق في ثواب الأعمال صحيح، وهو ما رواه عن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أحمد بن محمّد، عن الحسن بن محبوب، عن إسحاق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محمّد بن موسى المتوكّل فقد ترحّم عليه الصدوق وترضّى عليه وهو آية الوثاقة عند البعض، ولم يشكّك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جعفر قد وثّقه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بن محمّد هو ابن عيسى الثقة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وبعضها عشرون ذراعاً، كما في صحيحة عبد الله بن سنان الواردة في كامل الزيارات بثلاثة أسانيد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عن محمّد بن عبد الله الحميري، عن أبيه، عن هارون بن مسلم، عن عبد الرحمن بن الأشعث، عن عبد الله بن حمّاد الأنصاري، عن ابن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حدّثني أبي وجماعة مشايخي رحمهم الله، عن سعد بن عبد الله، عن هارون بن مسلم، عن عبد الرحمن بن الأشعث، عن عبد الله بن حمّاد الأنصاري، 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وهذان الطريقان يشتركان في عبد الرحمن بن الأشعث الذي لم يوثّق في كتب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حدّثني القاسم بن محمّد بن علي بن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محمّد الهمداني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جدّه، عن عبد الله بن حمّاد الأنصاري، 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عشرون ذراعاً في عشرين مكسّراً روضة من رياض الجنة، منه معراج إلى السماء، فليس فيه من ملك مقرّب ولا نبي مرسل إلَّا وهو يسأل الله تعالى أن يزور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،ففوج يهبط، وفوج يصعد</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سند هذا الحديث بحثٌ؛ فقد ذكر النجاشي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إبراهيم</w:t>
      </w:r>
      <w:r>
        <w:rPr>
          <w:rFonts w:eastAsia="Amiri" w:cs="Amiri" w:ascii="Amiri" w:hAnsi="Amiri"/>
          <w:color w:val="111111"/>
          <w:sz w:val="28"/>
          <w:szCs w:val="28"/>
          <w:rtl w:val="true"/>
          <w:lang w:bidi="ar-SA"/>
        </w:rPr>
        <w:t>)</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القاسم وأباه وجدّه من وكلاء الناحية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يضره ما ذكره ابن الغضائري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حديثه يعرف وينكر</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لعدم الملازمة بين وصف الراوي بأنّ حديثه يعرف وينكر ودلالته على ضعفه في نفسه، كما ذهب إليه المحقّق التستري والسيّد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عبد الله بن حمّاد الأنصاري فوثّقه النجاشي، كما أنّ عبد الله بن سنان ثقة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تكون هذه الرواية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روى الشيخ هذه الرواية في التهذيب عن عبد الله بن سنان ولم يذكر له طريقاً في مشيخته، وما ذكر من طريق صحيح في فهرسته لا يمكن الاعتماد عليه؛ لما يظهر من كونها طرق ذكرت لمجرّد إثبات نسبة الكتب لمصنّفيها، ويمكن القول باعتبار الحديث وعدم الاحتياج إلى طريق صحيح لإثباته بعد الاطمئنان برواية عبد الله بن سنان له؛ لما ذكره النجاشي في ترجمته من شهرة كتبه بين الشيعة،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هذه الكتب عنه جماعات من أصحابنا لعظمه في الطائفة وثقته وجلالته</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المعتبرة يمكن أن تكون هي القدر المتيقّن من الحرم وقد حدّدته بعشرين ذراعاً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قلنا بصحّة روايات الحائر فيمكن أن تكون هي القدر المتيقّن من الحرم بناءً على كونه أضيق من ذلك، إلَّا أنّها لم تصحّ،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اعتبار رواية إسحاق بن عمّار التي تضمّنت تحديد الحرم بخمسة وعشرين ذراعاً حول القبر من كلّ جانب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يشكّك في دلالتها على المراد بدعوى أنّها غير واردة في مقام تحديد حرم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تتم به الصلاة، ويشهد له إعراض العلماء عنها في الاستناد واختيارهم لاختصاص الحكم بالحائر</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الحرم أريد منه ما حُرِّم انتهاكه ولا شكّ في حرمة انتهاك القبر الشريف، </w:t>
      </w:r>
      <w:bookmarkStart w:id="193" w:name="pg10913_110585"/>
    </w:p>
    <w:p>
      <w:pPr>
        <w:pStyle w:val="BookText"/>
        <w:rPr/>
      </w:pPr>
      <w:bookmarkEnd w:id="193"/>
      <w:r>
        <w:rPr>
          <w:rFonts w:ascii="IRNazanin" w:hAnsi="IRNazanin" w:eastAsia="IRNazanin"/>
          <w:color w:val="111111"/>
          <w:sz w:val="28"/>
          <w:sz w:val="28"/>
          <w:szCs w:val="28"/>
          <w:rtl w:val="true"/>
          <w:lang w:bidi="fa-IR"/>
        </w:rPr>
        <w:t xml:space="preserve">فروايات تحديد القبر الشريف يظهر منها أنّها في مقام بيان حدود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اكتسب تلك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تترتّب جميع الآثار ومنها استحباب الإتمام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ويوافق ذلك فَهْم العلماء منها، فقد ذكرها الشيخ الطوسي في المصباح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تمام الصلاة في مسجد الكوفة والحائر</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 وتعرّض إلى ما ذكره في التهذيب من روايات تحديد الحرم والقبر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والوجه في هذه الأخبار ترتّب هذه المواضع في الفضل</w:t>
      </w:r>
      <w:r>
        <w:rPr>
          <w:rFonts w:eastAsia="Amiri" w:cs="Amiri" w:ascii="Amiri" w:hAnsi="Amiri"/>
          <w:color w:val="111111"/>
          <w:sz w:val="28"/>
          <w:szCs w:val="28"/>
          <w:rtl w:val="true"/>
          <w:lang w:bidi="ar-SA"/>
        </w:rPr>
        <w:t>)</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فمن الواضح أنّه قد فهم من دلالتها على التحديد أثر استحباب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الشهيد الأوَّل في الدروس ذكر الروايات التي تعرّضت للتحديد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وكلّه على الترتيب في الفضل</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فالمتحصّل بعد الاعتماد على رواية إسحاق بن عمّار تحديد مشروعيّة التمام بخمسة وعشرين ذراعاً حول القبر المطهّر من كلّ جانب</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3056568_2870459653"/>
      <w:bookmarkStart w:id="195" w:name="_Toc75"/>
      <w:bookmarkEnd w:id="194"/>
      <w:r>
        <w:rPr>
          <w:rtl w:val="true"/>
        </w:rPr>
        <w:t>الموضع الرَّابع</w:t>
      </w:r>
      <w:r>
        <w:rPr>
          <w:rtl w:val="true"/>
        </w:rPr>
        <w:t xml:space="preserve">: </w:t>
      </w:r>
      <w:r>
        <w:rPr>
          <w:rtl w:val="true"/>
        </w:rPr>
        <w:t xml:space="preserve">صلاة المسافر في مشاهد المعصومين </w:t>
      </w:r>
      <w:r>
        <w:rPr>
          <w:rtl w:val="true"/>
        </w:rPr>
        <w:t>(</w:t>
      </w:r>
      <w:r>
        <w:rPr>
          <w:rtl w:val="true"/>
        </w:rPr>
        <w:t>علیهم السلام</w:t>
      </w:r>
      <w:r>
        <w:rPr>
          <w:rtl w:val="true"/>
        </w:rPr>
        <w:t>)</w:t>
      </w:r>
      <w:bookmarkEnd w:id="195"/>
    </w:p>
    <w:p>
      <w:pPr>
        <w:pStyle w:val="Heading5"/>
        <w:numPr>
          <w:ilvl w:val="4"/>
          <w:numId w:val="1"/>
        </w:numPr>
        <w:rPr/>
      </w:pPr>
      <w:bookmarkStart w:id="196" w:name="__RefHeading___Toc3056570_2870459653"/>
      <w:bookmarkStart w:id="197" w:name="_Toc76"/>
      <w:bookmarkEnd w:id="196"/>
      <w:r>
        <w:rPr>
          <w:rtl w:val="true"/>
        </w:rPr>
        <w:t>اشارة</w:t>
      </w:r>
      <w:bookmarkEnd w:id="197"/>
    </w:p>
    <w:p>
      <w:pPr>
        <w:pStyle w:val="BookText"/>
        <w:rPr/>
      </w:pPr>
      <w:r>
        <w:rPr>
          <w:rFonts w:ascii="IRNazanin" w:hAnsi="IRNazanin" w:eastAsia="IRNazanin"/>
          <w:color w:val="111111"/>
          <w:sz w:val="28"/>
          <w:sz w:val="28"/>
          <w:szCs w:val="28"/>
          <w:rtl w:val="true"/>
          <w:lang w:bidi="fa-IR"/>
        </w:rPr>
        <w:t xml:space="preserve">اختار بعض علمائنا إتمام الصلاة في مشاهد سائر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الفقه الرضوي فيما نسبه إليه غير واحد</w:t>
      </w:r>
      <w:r>
        <w:rPr>
          <w:rStyle w:val="FootnoteAnchor"/>
          <w:rtl w:val="true"/>
        </w:rPr>
        <w:footnoteReference w:id="344"/>
      </w:r>
      <w:r>
        <w:rPr>
          <w:rFonts w:ascii="Amiri" w:hAnsi="Amiri" w:eastAsia="Amiri" w:cs="Amiri"/>
          <w:color w:val="111111"/>
          <w:sz w:val="28"/>
          <w:sz w:val="28"/>
          <w:szCs w:val="28"/>
          <w:rtl w:val="true"/>
          <w:lang w:bidi="ar-SA"/>
        </w:rPr>
        <w:t>لما ورد في صدر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بلغت موضع قصدك من الحجّ والزيارة والمشاهد وغير ذلك ممّا قد بيّنته لك فقد سقط عنك السفر ووجب عليك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أروي</w:t>
      </w:r>
      <w:r>
        <w:rPr>
          <w:rStyle w:val="FootnoteAnchor"/>
          <w:rtl w:val="true"/>
        </w:rPr>
        <w:footnoteReference w:id="345"/>
      </w:r>
      <w:r>
        <w:rPr>
          <w:rFonts w:ascii="IRNazanin" w:hAnsi="IRNazanin" w:eastAsia="IRNazanin"/>
          <w:color w:val="111111"/>
          <w:sz w:val="28"/>
          <w:sz w:val="28"/>
          <w:szCs w:val="28"/>
          <w:rtl w:val="true"/>
          <w:lang w:bidi="fa-IR"/>
        </w:rPr>
        <w:t xml:space="preserve">عن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أربعة مواضع لا يجب أن تقصّر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قصدت مكّة، والمدينة، ومسجد الكوفة، والحيرة</w:t>
      </w:r>
      <w:r>
        <w:rPr>
          <w:rStyle w:val="FootnoteAnchor"/>
          <w:rtl w:val="true"/>
        </w:rPr>
        <w:footnoteReference w:id="346"/>
      </w:r>
      <w:r>
        <w:rPr>
          <w:rFonts w:ascii="Amiri" w:hAnsi="Amiri" w:eastAsia="Amiri" w:cs="Amiri"/>
          <w:color w:val="111111"/>
          <w:sz w:val="28"/>
          <w:sz w:val="28"/>
          <w:szCs w:val="28"/>
          <w:rtl w:val="true"/>
          <w:lang w:bidi="ar-SA"/>
        </w:rPr>
        <w:t>، وسائر الأسفار التي ليس بطاعة، مثل طلب الصيد، والنزهة، ومعاونة الظالم</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دلالة في هذه العبارة على شمول حكم التمام في سائر المشاهد، كما نبّه عليه صاحب المستند</w:t>
      </w:r>
      <w:r>
        <w:rPr>
          <w:rStyle w:val="FootnoteAnchor"/>
          <w:rtl w:val="true"/>
        </w:rPr>
        <w:footnoteReference w:id="348"/>
      </w:r>
      <w:r>
        <w:rPr>
          <w:rFonts w:ascii="Amiri" w:hAnsi="Amiri" w:eastAsia="Amiri" w:cs="Amiri"/>
          <w:color w:val="111111"/>
          <w:sz w:val="28"/>
          <w:sz w:val="28"/>
          <w:szCs w:val="28"/>
          <w:rtl w:val="true"/>
          <w:lang w:bidi="ar-SA"/>
        </w:rPr>
        <w:t>لأنّ الظاهر من بلوغ المقصد هو الذي قصد فيه الإقامة عشرة أيّام حسبما ذكره في عبارة سابقة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عزمت المقام بها حين تدخل مدّة عشرة أيّام، أتممت وقت دخولك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والسفر الذي يجب فيه التقصير في الصوم والصلاة، هو سفر في الطاعة،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والغزو، والزيارة، وقصد الصديق والأخ، وحضور المشاهد، وقصد أخيك لقضاء حقّه، والخروج إلى ضيعتك، أو مال تخاف تلفه، أو متجر لا بُدَّ منه، فإذا سافرت في هذه الوجوه وجب عليك التقصير، وإن كان غير هذه الوجوه وجب عليك الإتمام</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والشاهد على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يقتصر على الحكم بإيجاب التمام في الحجّ وزيارة المشاهد بل أضاف غير ذلك ممّا قد بيّنه، ومراده بغير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سائر موارد سفر الطاعة في العبارة السابقة التي ذكرناها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عدم صحّة التمام فيها ما لم ينوِ الإقامة </w:t>
      </w:r>
    </w:p>
    <w:p>
      <w:pPr>
        <w:pStyle w:val="BookText"/>
        <w:rPr/>
      </w:pPr>
      <w:r>
        <w:rPr>
          <w:rFonts w:ascii="IRNazanin" w:hAnsi="IRNazanin" w:eastAsia="IRNazanin"/>
          <w:color w:val="111111"/>
          <w:sz w:val="28"/>
          <w:sz w:val="28"/>
          <w:szCs w:val="28"/>
          <w:rtl w:val="true"/>
          <w:lang w:bidi="fa-IR"/>
        </w:rPr>
        <w:t xml:space="preserve">عشرة أيّام، وإنّما ذكر حكم التمام في المواطن الأربعة بما رواه عن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فالمذكور فيه خصوص المواضع الأربعة،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الجنيد كما حكي عنه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والمسجد الحرام لا تقصير فيه على أحد، ومكّة عندي يجري مجراه، وكذلك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ومشاهد الأئمّة القائمين مقام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ما عدا مكّة والمشاهد من الحرم فحكمها حكم غيرها من البلدان في التقصير والإتمام</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قولويه فإنّه صرّح بالإتمام في سائر المشاهد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التمام عند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وجميع المشاهد</w:t>
      </w:r>
      <w:r>
        <w:rPr>
          <w:rFonts w:eastAsia="IRNazanin" w:cs="IRNazanin"/>
          <w:color w:val="111111"/>
          <w:sz w:val="28"/>
          <w:szCs w:val="28"/>
          <w:rtl w:val="true"/>
          <w:lang w:bidi="fa-IR"/>
        </w:rPr>
        <w:t>)</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لم يورد إلَّا الروايات التي دلّت على الإتمام في المواضع الأربعة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المرتضى،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تقصير في مكّة ومسجد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،ومسجد الكوفة، ومشاهد الأئمّة القائمين 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ونُسب إلى الكيدري تمايله إلى التعميم</w:t>
      </w:r>
      <w:r>
        <w:rPr>
          <w:rStyle w:val="FootnoteAnchor"/>
          <w:rtl w:val="true"/>
        </w:rPr>
        <w:footnoteReference w:id="353"/>
      </w:r>
      <w:r>
        <w:rPr>
          <w:rFonts w:ascii="IRNazanin" w:hAnsi="IRNazanin" w:eastAsia="IRNazanin"/>
          <w:color w:val="111111"/>
          <w:sz w:val="28"/>
          <w:sz w:val="28"/>
          <w:szCs w:val="28"/>
          <w:rtl w:val="true"/>
          <w:lang w:bidi="fa-IR"/>
        </w:rPr>
        <w:t>،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يستحب الإتمام في السفر في أربعة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والمدينة، ومسجد الكوفة، والحائر، 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حرم الله وحرم الرسول وحرم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،فعلى هذه الرواية يجوز الإتمام خارج المسجد بالكوفة وبالنجف، وعلى الأوّل لا يجوز إلَّا في نفس المسجد، وقال المرتضى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تقصير في مكّة ومسجد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ومشاهد الأئمة القائمين </w:t>
      </w:r>
    </w:p>
    <w:p>
      <w:pPr>
        <w:pStyle w:val="BookText"/>
        <w:rPr/>
      </w:pPr>
      <w:r>
        <w:rPr>
          <w:rFonts w:ascii="IRNazanin" w:hAnsi="IRNazanin" w:eastAsia="IRNazanin"/>
          <w:color w:val="111111"/>
          <w:sz w:val="28"/>
          <w:sz w:val="28"/>
          <w:szCs w:val="28"/>
          <w:rtl w:val="true"/>
          <w:lang w:bidi="fa-IR"/>
        </w:rPr>
        <w:t xml:space="preserve">مقام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منه تخصيص الاستحباب بالمواضع الأربعة كما يظهر من صدر كلامه ومن طريقة المؤلف في نقل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وتعرّضه لكلام السيّد المرتضى إنّما جاء لمجرّد البيان، كما تقدّم منه تعرّضه لقول ابن البراج عندما حَكَمَ بتعيّن التمام لمن سلك الطريق الأبعد في سفره إلى بلد له طريقان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الميرداماد حيث أفاد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والأقرب تخصيص التخيير مع استحباب الإتمام بالمساجد الثلاثة وما دار عليه سور الحضرة الحسينية، وما حوته قبب المشاهد المنوّرة دون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الأصحاب بذلك في البلدان</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حسين العصفوري البحراني في كتابه سداد العباد، قال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شرط تحتّم القصر أن لا يكون بمكّة ولا بالمدينة ولا بالكوفة ولا الحائر الحسيني، بل الحرم له أجمع ومشاهد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الأحوط؛ لأنّه يخيّر في هذه الأمكنة كلّها، والتمام أفضل</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كتاب الفرحة الإنسية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بالتمام في المشاهد كلّها، كما هو ظاهر المرتضى والإسكافي، ويشهد لهما خبر الفقه الرضوي</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استُظهر من كلام المفيد في كتاب المزار تمايله لتعميم الحكم لكلّ مراقد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لروايته حديث أبي علي الحرّاني الذي رواه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مَن أتاه </w:t>
      </w:r>
      <w:bookmarkStart w:id="198" w:name="pg10913_110593"/>
    </w:p>
    <w:p>
      <w:pPr>
        <w:pStyle w:val="BookText"/>
        <w:rPr/>
      </w:pPr>
      <w:bookmarkEnd w:id="198"/>
      <w:r>
        <w:rPr>
          <w:rFonts w:ascii="Amiri" w:hAnsi="Amiri" w:eastAsia="Amiri" w:cs="Amiri"/>
          <w:color w:val="111111"/>
          <w:sz w:val="28"/>
          <w:sz w:val="28"/>
          <w:szCs w:val="28"/>
          <w:rtl w:val="true"/>
          <w:lang w:bidi="ar-SA"/>
        </w:rPr>
        <w:t>وزاره وصلّى عنده ركعتين أو أربع ركعات كُتبت له حجّة وعمرة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في ذيل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وكذلك لكلّ من أتى قبر إمام مفترضة طاعته؟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دلالة ما ورد من الصلاة ركعتين أو أربع على أنّ المراد بها الفريضة، ولكن هذا غير تامّ؛ لما سيأتي من إرادة التطوّع منهما دون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دعوى توقّف المقداد السيوري في الحكم</w:t>
      </w:r>
      <w:r>
        <w:rPr>
          <w:rStyle w:val="FootnoteAnchor"/>
          <w:rtl w:val="true"/>
        </w:rPr>
        <w:footnoteReference w:id="359"/>
      </w:r>
      <w:r>
        <w:rPr>
          <w:rFonts w:ascii="Amiri" w:hAnsi="Amiri" w:eastAsia="Amiri" w:cs="Amiri"/>
          <w:color w:val="111111"/>
          <w:sz w:val="28"/>
          <w:sz w:val="28"/>
          <w:szCs w:val="28"/>
          <w:rtl w:val="true"/>
          <w:lang w:bidi="ar-SA"/>
        </w:rPr>
        <w:t>استظهاراً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الأقوى قول الأصحاب؛ لأنّها أماكن شريفة فناسب كثرة الطاعات فيها، ولروايات كثيرة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السيّد وابن الجنيد جعلا مجموع المشاهد داخلة في الحكم، والفتوى على خلافه</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لما هو واضح من تبنّيه لقول المشهور وتقويته 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الأقوى قول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علّق على ما حكاه عن السيّد وابن الجنيد بأنّه خلاف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اتّضح ممّا تقدّم أنّ المشهور ذهب إلى اختصاص التخيير بالمشاهد الأربعة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يستدلّ على قولهم بأدلّة ثلاث</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3056572_2870459653"/>
      <w:bookmarkStart w:id="200" w:name="_Toc77"/>
      <w:bookmarkEnd w:id="199"/>
      <w:r>
        <w:rPr>
          <w:rtl w:val="true"/>
        </w:rPr>
        <w:t>الدّليل الأوَّل</w:t>
      </w:r>
      <w:bookmarkEnd w:id="200"/>
    </w:p>
    <w:p>
      <w:pPr>
        <w:pStyle w:val="BookText"/>
        <w:rPr/>
      </w:pPr>
      <w:r>
        <w:rPr>
          <w:rFonts w:ascii="Amiri" w:hAnsi="Amiri" w:eastAsia="Amiri" w:cs="Amiri"/>
          <w:color w:val="111111"/>
          <w:sz w:val="28"/>
          <w:sz w:val="28"/>
          <w:szCs w:val="28"/>
          <w:rtl w:val="true"/>
          <w:lang w:bidi="ar-SA"/>
        </w:rPr>
        <w:t>أنّه مقتضى الأصل بعد عدم قيام دليل خاصّ على 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أنّه مقتضى الأصل فلعمومات أدلّة وجوب التقصير على المسافر، خرج عنها المشاهد الأربعة، والباقي داخل تحت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قيام دليل خاصّ على التعدّي فسيظهر لاحقاً</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3056574_2870459653"/>
      <w:bookmarkStart w:id="202" w:name="_Toc78"/>
      <w:bookmarkEnd w:id="201"/>
      <w:r>
        <w:rPr>
          <w:rtl w:val="true"/>
        </w:rPr>
        <w:t>الدّليل الثَّاني</w:t>
      </w:r>
      <w:bookmarkEnd w:id="20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الإجماع، وقد ادّعاه غير واحد من علمائنا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وابن </w:t>
      </w:r>
      <w:bookmarkStart w:id="203" w:name="pg10913_110595"/>
    </w:p>
    <w:p>
      <w:pPr>
        <w:pStyle w:val="BookText"/>
        <w:rPr/>
      </w:pPr>
      <w:bookmarkEnd w:id="203"/>
      <w:r>
        <w:rPr>
          <w:rFonts w:ascii="Amiri" w:hAnsi="Amiri" w:eastAsia="Amiri" w:cs="Amiri"/>
          <w:color w:val="111111"/>
          <w:sz w:val="28"/>
          <w:sz w:val="28"/>
          <w:szCs w:val="28"/>
          <w:rtl w:val="true"/>
          <w:lang w:bidi="ar-SA"/>
        </w:rPr>
        <w:t>إدريس الحلّيّ</w:t>
      </w:r>
      <w:r>
        <w:rPr>
          <w:rStyle w:val="FootnoteAnchor"/>
          <w:rtl w:val="true"/>
        </w:rPr>
        <w:footnoteReference w:id="361"/>
      </w:r>
      <w:r>
        <w:rPr>
          <w:rFonts w:ascii="Amiri" w:hAnsi="Amiri" w:eastAsia="Amiri" w:cs="Amiri"/>
          <w:color w:val="111111"/>
          <w:sz w:val="28"/>
          <w:sz w:val="28"/>
          <w:szCs w:val="28"/>
          <w:rtl w:val="true"/>
          <w:lang w:bidi="ar-SA"/>
        </w:rPr>
        <w:t>، وظاهر الحرّ العامليّ، والوحيد، والسيّد الطباطبائيّ</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عدم إمكان الاعتماد عليه بعد الخلاف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إجماع منقول يحتمل مدركيّته بعد ورود النصوص الكثيرة المشهورة في المذهب المعمول بها عند الأصحاب</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3056576_2870459653"/>
      <w:bookmarkStart w:id="205" w:name="_Toc79"/>
      <w:bookmarkEnd w:id="204"/>
      <w:r>
        <w:rPr>
          <w:rtl w:val="true"/>
        </w:rPr>
        <w:t>الدّليل الثَّالث</w:t>
      </w:r>
      <w:bookmarkEnd w:id="205"/>
    </w:p>
    <w:p>
      <w:pPr>
        <w:pStyle w:val="BookText"/>
        <w:rPr/>
      </w:pPr>
      <w:r>
        <w:rPr>
          <w:rFonts w:ascii="Amiri" w:hAnsi="Amiri" w:eastAsia="Amiri" w:cs="Amiri"/>
          <w:color w:val="111111"/>
          <w:sz w:val="28"/>
          <w:sz w:val="28"/>
          <w:szCs w:val="28"/>
          <w:rtl w:val="true"/>
          <w:lang w:bidi="ar-SA"/>
        </w:rPr>
        <w:t>الأخبار الكثيرة المعتضدة بالشهرة القريبة من الإجماع الدالّة على الحصر بالأربعة، كما في صحيحة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مخزون علم الله الإتمام في أربعة مواطن</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 ومرسلة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الأمر المذخور إتمام الصلاة في أربعة مواطن</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 فلا يمكن التعدية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الروايات متعدّدة الألسنة في موضوع الإتمام، فبعضٌ اقتصر على ذكر الحرم، وبعضٌ اقتصر على ذكر الحرمين، مع أنّ لسانها يوهم الحصر في الاثنين دون غيرهما، ومع ذلك رفعت اليد عنها بدلالة ما دلّ على غيره، ومنه نرفع اليد عن الأربع بما دلّ على عموم الموضوع لكلّ موضع مقدّس بدلالة الشرع عليه استحب فيه إكثار الصلاة</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مبنيٌّ على فرض عموم الموضوع لكلّ مكان مقدّس ورد فيه الفضل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وستأتي مناقشة هذا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لم يرد الحصر في جميع الروايات، وإنّما ورد التعيين من سؤال السائل فأجابه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ما يلوح من معتبرة مسمع عن أبي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ورد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أبي يرى لهذين الحرمين ما لا يراه لغيرهما</w:t>
      </w:r>
      <w:r>
        <w:rPr>
          <w:rFonts w:eastAsia="IRNazanin" w:cs="IRNazanin"/>
          <w:color w:val="111111"/>
          <w:sz w:val="28"/>
          <w:szCs w:val="28"/>
          <w:rtl w:val="true"/>
          <w:lang w:bidi="fa-IR"/>
        </w:rPr>
        <w:t>)</w:t>
      </w:r>
      <w:r>
        <w:rPr>
          <w:rStyle w:val="FootnoteAnchor"/>
          <w:rtl w:val="true"/>
        </w:rPr>
        <w:footnoteReference w:id="366"/>
      </w:r>
      <w:r>
        <w:rPr>
          <w:rFonts w:ascii="Amiri" w:hAnsi="Amiri" w:eastAsia="Amiri" w:cs="Amiri"/>
          <w:color w:val="111111"/>
          <w:sz w:val="28"/>
          <w:sz w:val="28"/>
          <w:szCs w:val="28"/>
          <w:rtl w:val="true"/>
          <w:lang w:bidi="ar-SA"/>
        </w:rPr>
        <w:t>، إلَّا أنّها ظاهرة في الحصر الإضافي بالقياس إلى المشاهد الموجودة في مكّة والمدينة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على القول بتعميم حكم التّمام لسائر المشاهد ببعض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الوارد حكمه من الروايات؛ إذ يظهر منه تعلّق الحكم بهذه المواطن لما ورد من فضل الصلاة فيها فيتعدّى إلى سائر المشاهد لما دلّ من فضيلة إكثار الصلاة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ورد في صحيحة ابن مهزيار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علمت يرحمك الله فضل الصلاة في الحرمين على غيرهما، فأنا أحبّ لك إذا دخلتهما أن لا تقصّر، وتكثر فيهما من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عبّر عنه الوحيد بأنّه قياس منصوص العلّة؛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 يرحمك الله فضل الصلاة في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التعليل للإتمام في الحرمين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الدلالة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منها استحباب الإتمام فيهما من جهة رجحان كثرة الصلاة فيهما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دلالتها على كون ذلك علّة تامّة في الحكم، بتقريب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العلّة المنصوصة هي التي يكون الحكم دائراً مدارها وجوداً وعدماً ويتعدّى فيها عن مورد الحكم إلى كلّ ما تتحقّق فيه الواسطة المذكورة، ويكون مرجع التعليل إلى كبرى كلّيّة مطّردة ومنعكسة، كما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علّة في ثبوت حرمة الخمر المسكر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يظهر من الرواية المذكورة علّيّة فضل الصلاة في استحباب الإتمام لأمرين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كون فضل الصلاة في الحرمين هو علّة لخصوص حكم الإتمام فيهما دون غيرهما بقرينة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بدعوى دلالته على وجود خصوصيّة للصلاة فيهما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أن تكون علّة الحكم هي خصوص العلّة المضافة للمورد دون غيرها ممّا يضاف إلى الموارد الأخرى؛ أي أنّ علّة استحباب الإتمام هو خصوص الفضل المضاف للحرمين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الفضل علّة مستنبطة؛ لأنّها ثابتة في تمام أفراد ذلك الموضوع الذي لحقه الحكم بواسطتها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إمكان تسرية الحكم إلى غير الموارد المنصوصة إلَّا بعد إثبات عدم الخصوصيّة للمورد وتنقيح المناط القطعيّ، ومثل هذا غير متحقّق في المقام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دلالة الرواية على أنّ الموضوع للإتمام هو قدسيّة الموضع الموجبة لتضاعف ثواب الصلاة فيه، بدعوى استفادته من صدر الرواية، 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لك إذا دخلتهما أن لا تقصّر وتكثر فيهما من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بيان لتلازم إكثار الصلاة مع الإتمام في الموضوع، وهو كلّ موضع شريف مقدّس</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ويجاب عنه بجوابين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ظهور الرواية في هذا المعنى البناء على التمام في كلّ موضع للصلاة فيه فضل كبيت المقدس ومسجد الخيف ومسجد قبا؛ لما ورد من الفضل الكثير في الصلاة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المعنى غير مقصود بالكلام يقيناً، ولم يلتزم به أحد حتى القائل بالتوسعة إلى عموم المشاهد، وهذه قرينة متّصلة مفهمة على نفي إرادة عموم الأمر بالإتمام في كلّ محلّ يكون للصلاة فيه فضيلة خاصّة،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الأمر كذلك لما ناسب ما ورد من أنّ الإتمام في المواضع الأربعة من الأمر المذخور، أو كونه من مخزون علم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قد يعمّم الحكم إلى مسجد براثا لما رواه الشيخ في أماليه عن حميد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فنصب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الصخرة وصلّى إليها وأقام هناك أربعة أيّام يتمّ الصلاة، وجعل الحرم في خيمة من الموضع على دعوة،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براثا هذا بيت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الموضع المقدّس صلّى فيه الأنبياء</w:t>
      </w:r>
      <w:r>
        <w:rPr>
          <w:rFonts w:eastAsia="IRNazanin" w:cs="IRNazanin"/>
          <w:color w:val="111111"/>
          <w:sz w:val="28"/>
          <w:szCs w:val="28"/>
          <w:rtl w:val="true"/>
          <w:lang w:bidi="fa-IR"/>
        </w:rPr>
        <w:t>)</w:t>
      </w:r>
      <w:r>
        <w:rPr>
          <w:rStyle w:val="FootnoteAnchor"/>
          <w:rtl w:val="true"/>
        </w:rPr>
        <w:footnoteReference w:id="368"/>
      </w:r>
      <w:r>
        <w:rPr>
          <w:rFonts w:ascii="Amiri" w:hAnsi="Amiri" w:eastAsia="Amiri" w:cs="Amiri"/>
          <w:color w:val="111111"/>
          <w:sz w:val="28"/>
          <w:sz w:val="28"/>
          <w:szCs w:val="28"/>
          <w:rtl w:val="true"/>
          <w:lang w:bidi="ar-SA"/>
        </w:rPr>
        <w:t>، حيث حكم بالإتمام فيه لكون الموضع مقدّساً؛ وذلك لصلاة الأنبياء فيه</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 هذه الرواية ضعيفة السند والدلالة لعدم ظهور كون الموضوع لإتمام الصلاة هو صلاة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سيأتي في الدليل الثالث</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والصحيح أنّ ذكر فضل الصلاة في هذه المواضع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يحدس به الناظر في مجموع أحاديث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لتقريب هذا الحكم إلى ذهن السائل حيث كانت هذه الخصوصيّة محلّ استبعاد جماعة من الأصحاب كما عرفت، ومن ثَمَّ ورد أنّ الإتمام فيها من الأمر </w:t>
      </w:r>
    </w:p>
    <w:p>
      <w:pPr>
        <w:pStyle w:val="BookText"/>
        <w:rPr/>
      </w:pPr>
      <w:r>
        <w:rPr>
          <w:rFonts w:ascii="Amiri" w:hAnsi="Amiri" w:eastAsia="Amiri" w:cs="Amiri"/>
          <w:color w:val="111111"/>
          <w:sz w:val="28"/>
          <w:sz w:val="28"/>
          <w:szCs w:val="28"/>
          <w:rtl w:val="true"/>
          <w:lang w:bidi="ar-SA"/>
        </w:rPr>
        <w:t>المذخور، وكان جماعة من أجلّاء الأصحاب يقصّرون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دلالة الرواية على ذلك، فقد وردت جملة كبيرة من الروايات على فضيلة العبادة في مشاهد الأنبياء والأوصياء وبعض الأماكن الأخرى، وجعلت لها خصوصيّة على سائر الأماكن وشرّفتها ببعض الأجساد، لكن كل هذا لا يدلّ على إمكان سراية الاستحباب إلى إتمام الفرائض للمسافر إليها وإنّما تندب للسفر لها والإقامة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الموضوع لحكم الإتمام هو قدسيّة المكان في رواية ابن مهزيار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الظهور؛ إذ الظاهر منها هو أنّ الإمام بيّن حكم الصلاة ورجحان الإتمام، حيث إنّه رغّب السائل بترك التقصير والإتيان بصلاة تامّة فكانت مصداقاً للإكثار الموجب لمضاعفة الثواب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معتبرة إبراهيم بن أبي شيبة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 إكثار الصلاة في الحرمين، فأكثر فيهما وأتمّ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صريحة الدلالة على أنّ موضوع الإتمام هو الموضع الذي يستحبّ فيه إكثار الصلاة لعظم فضيلة الثواب فيه، فعطف الإتمام في الحرمين على ذلك كالتفريع وابتدأ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السؤال بتقديم بيان الموضوع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إكثار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تبياناً لكون هذا العنوان هو أصل الموضوع</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هذا التقريب نظر؛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وضوح بيان ترغيب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السائل في الإكثار من الصلاة في الحرمين، وكون الإتمام مصداقاً له كما هو الحال في التطوّع والقضاء، فلو </w:t>
      </w:r>
    </w:p>
    <w:p>
      <w:pPr>
        <w:pStyle w:val="BookText"/>
        <w:rPr/>
      </w:pPr>
      <w:r>
        <w:rPr>
          <w:rFonts w:ascii="Amiri" w:hAnsi="Amiri" w:eastAsia="Amiri" w:cs="Amiri"/>
          <w:color w:val="111111"/>
          <w:sz w:val="28"/>
          <w:sz w:val="28"/>
          <w:szCs w:val="28"/>
          <w:rtl w:val="true"/>
          <w:lang w:bidi="ar-SA"/>
        </w:rPr>
        <w:t>سلّمنا ذلك كيف يمكن التعدية إلى غيرها بعد احتمال ثبوت الخصوصيّة؟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استدل على كون المناط في الإتمام قداسة المكان برواية أبي شبل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أزور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الطيّب، وأتمّ الصلاة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يرى التقصير؟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يفعل ذلك الضَعَفَة</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دلالة الرواية على أنّ موضوع التمام هو قداسة المكان بقداسة المكين</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ويلاحظ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الدعوى في غاية البعد؛ لعدم دلالة الرواية عليه لا من بعيد ولا من قريب؛ لوضوح دلالتها على كون الإمام في مقام بيان حكم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وبيان وظيفته في الصلاة؛ لكونها من المواضع التي ورد فيها الحكم بالإتمام، فاقتضى التنبيه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في لسان بعض الروايات من أنّ الأمر بإتمام الصلاة في هذه المواضع لكونها زيادة خير، كما في رواية عمران بن حمران، فقد ورد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أقصّر في المسجد الحرام أو أتمّ؟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قصّرتَ فَلك، وإن أتممت فهو خير وزيادة الخير خير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غيرها، حيث تضمّنت التعليل بأنّ الإتمام في المواطن الأربعة زيادة خير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هذا أنّ علّة الاستحباب كون الإتمام في هذه المواضع يكون خيراً، فيمكن تسرية الحكم وثبوت الاستحباب في جميع المشاهد</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والجواب عن هذا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دلالة في الرواية على أنّ خيريّة الإتمام لأجل استحباب كثرة الصلاة فيها حتّى يمكن تعميم الحكم إلى المشاهد، بل لا يزيد مفادها على أنّ إثبات خيريّة الإتمام ممّا يدل على المشروعيّة بطبيعة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في مفاد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خيريّة الإتمام إنّما هو لتقريب الحكم إلى ذهن الرواة، كما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وقد يدّعى كون مفاد هذه الروايات هو أنّ كون كثرة الصلاة خيراً هو الموجب للأمر بالإتمام بقرينة ما ورد من الأمر بالتطوّع والتنفّل في المواضع والمشاهد موصوفاً بأنّه خير، كما ورد في صحيحة ابن أبي عمير،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التطوّع عند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وبمكّة والمدينة وأنا مقصّر؟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تطوّع عنده وأنت مقصّر ما شئت، وفي المسجد الحرام، وفي مسجد الرسول، وفي مشاهد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خير</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وتشبه هذه الرواية ما رواه ابن قولويه بإسناده عن إسحاق بن عمار، التي ورد فيها ذكر مشاهد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مقترناً بقبر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والحرمين في سؤال السائل،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التطوّع عند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ومشاهد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والحرمين والتطوّع فيهن بالصلاة ونحن مقصّرون؟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تطوّع ما قدرت عليه، هو خير</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عن هذه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دلالة الرواية على كون الأمر بالإتمام في المواضع الأربعة لمجرّد خيريّة كثرة الصلاة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ومجرّد الترغيب في التنفّل معلّلاً بأنّه خير لا يقتضي أنّ هناك مناطاً مشتركاً وهو </w:t>
      </w:r>
    </w:p>
    <w:p>
      <w:pPr>
        <w:pStyle w:val="BookText"/>
        <w:rPr/>
      </w:pPr>
      <w:r>
        <w:rPr>
          <w:rFonts w:ascii="Amiri" w:hAnsi="Amiri" w:eastAsia="Amiri" w:cs="Amiri"/>
          <w:color w:val="111111"/>
          <w:sz w:val="28"/>
          <w:sz w:val="28"/>
          <w:szCs w:val="28"/>
          <w:rtl w:val="true"/>
          <w:lang w:bidi="ar-SA"/>
        </w:rPr>
        <w:t>كون الصلاة خير لاسيَّما بعد ما عرفت من ترجيح أنْ يكون ذكر الخيريّة لتقريب الحكم بالإتمام في هذه المواضع إلى ذهن 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الدعوى تبتني على فرض عدم سقوط النوافل النهارية للمسافر إلى هذه المشاهد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وقع الخلاف بين فقهائنا في إمكان التنفّل في المواضع الأربعة للمسافر إلى عدّة أقوال، ولم يحكم أحدهم بالشمول لغير هذه الأربعة، وقد اختار جمع منهم سقوطها مطلقاً كما في الشرائع للمحقّق وغيره</w:t>
      </w:r>
      <w:r>
        <w:rPr>
          <w:rStyle w:val="FootnoteAnchor"/>
          <w:rtl w:val="true"/>
        </w:rPr>
        <w:footnoteReference w:id="376"/>
      </w:r>
      <w:r>
        <w:rPr>
          <w:rFonts w:ascii="Amiri" w:hAnsi="Amiri" w:eastAsia="Amiri" w:cs="Amiri"/>
          <w:color w:val="111111"/>
          <w:sz w:val="28"/>
          <w:sz w:val="28"/>
          <w:szCs w:val="28"/>
          <w:rtl w:val="true"/>
          <w:lang w:bidi="ar-SA"/>
        </w:rPr>
        <w:t>، واختار آخر عدم سقوطها مطلقاً كما حكى ذلك الشيخ ابن نما عن شيخه ابن إدريس</w:t>
      </w:r>
      <w:r>
        <w:rPr>
          <w:rStyle w:val="FootnoteAnchor"/>
          <w:rtl w:val="true"/>
        </w:rPr>
        <w:footnoteReference w:id="377"/>
      </w:r>
      <w:r>
        <w:rPr>
          <w:rFonts w:ascii="Amiri" w:hAnsi="Amiri" w:eastAsia="Amiri" w:cs="Amiri"/>
          <w:color w:val="111111"/>
          <w:sz w:val="28"/>
          <w:sz w:val="28"/>
          <w:szCs w:val="28"/>
          <w:rtl w:val="true"/>
          <w:lang w:bidi="ar-SA"/>
        </w:rPr>
        <w:t>، واختار ثالث أنّ النوافل تابعة للفرائض</w:t>
      </w:r>
      <w:r>
        <w:rPr>
          <w:rStyle w:val="FootnoteAnchor"/>
          <w:rtl w:val="true"/>
        </w:rPr>
        <w:footnoteReference w:id="378"/>
      </w:r>
      <w:r>
        <w:rPr>
          <w:rFonts w:ascii="Amiri" w:hAnsi="Amiri" w:eastAsia="Amiri" w:cs="Amiri"/>
          <w:color w:val="111111"/>
          <w:sz w:val="28"/>
          <w:sz w:val="28"/>
          <w:szCs w:val="28"/>
          <w:rtl w:val="true"/>
          <w:lang w:bidi="ar-SA"/>
        </w:rPr>
        <w:t>، ومن الواضح عدم جريان هذه الدعوى بناءً على القول الأوّل وكذلك على القول الثّالث؛ لما يظهر من توقف ثبوت استحباب الإتيان بالنوافل على ثبوت استحباب الإتمام فيها، وهو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الثَّاني فقد خصّ الاستحباب بهذه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 من الخبرين فسيأتي الحديث عنهما في الدليل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الملازمة بين مشروعيّة الإتيان بالنافلة مع إتمام الفريضة، وقد دلّت بعض الأحاديث على استحباب الإتيان بالنافلة في غير المواضع الأربعة فيمكن استفادة التعميم لكلّ مشهد ورد فيه فضل التطوّع وإكثار الصلاة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الدليل يبتني على مقدّمتين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المقدّمة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الملازمة، وقد يستدلّ لها برواية أبي يحيى الحنّاط،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صلاة النافلة بالنهار في السفر؟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لو صلحت النافلة في السفر تمّت الفريضة</w:t>
      </w:r>
      <w:r>
        <w:rPr>
          <w:rFonts w:eastAsia="IRNazanin" w:cs="IRNazanin"/>
          <w:color w:val="111111"/>
          <w:sz w:val="28"/>
          <w:szCs w:val="28"/>
          <w:rtl w:val="true"/>
          <w:lang w:bidi="fa-IR"/>
        </w:rPr>
        <w:t>)</w:t>
      </w:r>
      <w:r>
        <w:rPr>
          <w:rStyle w:val="FootnoteAnchor"/>
          <w:rtl w:val="true"/>
        </w:rPr>
        <w:footnoteReference w:id="379"/>
      </w:r>
      <w:r>
        <w:rPr>
          <w:rFonts w:ascii="Amiri" w:hAnsi="Amiri" w:eastAsia="Amiri" w:cs="Amiri"/>
          <w:color w:val="111111"/>
          <w:sz w:val="28"/>
          <w:sz w:val="28"/>
          <w:szCs w:val="28"/>
          <w:rtl w:val="true"/>
          <w:lang w:bidi="ar-SA"/>
        </w:rPr>
        <w:t>، بدعوى ثبوت التلازم الموضوعي بين التطوّع النهاري والإتمام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التطوّع في غير المواضع الأربعة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والوجه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ثبت جواز التطوّع النهاري في مشاهد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صحيحة ابن أبي عمير،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التطوّع عند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وبمكّة والمدينة وأنا مقصّر؟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تطوّع عنده وأنت مقصّر ما شئت، وفي المسجد الحرام، وفي مسجد الرسول، وفي مشاهد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خير</w:t>
      </w:r>
      <w:r>
        <w:rPr>
          <w:rFonts w:eastAsia="IRNazanin" w:cs="IRNazanin"/>
          <w:color w:val="111111"/>
          <w:sz w:val="28"/>
          <w:szCs w:val="28"/>
          <w:rtl w:val="true"/>
          <w:lang w:bidi="fa-IR"/>
        </w:rPr>
        <w:t>)</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إسحاق بن عمّار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التطوّع عند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ومشاهد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والحرمين، والتطوّع فيهن بالصلاة ونحن مقصّرون؟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تطوّع ما قدرت عليه، هو خير</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وعليه فحيث ثبت استحباب التنفّل في مشاهد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إثبات استحباب الإتمام فيها، وكذلك يسري الحكم في جميع المشاهد المشرّفة لثبوت استحباب التطوّع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هذا الاستدلال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في المقدّمة الأولى؛ إذ يلاحظ عليها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ضعف رواية أبي يحيى الحناط سنداً من جهة عدم ثبوت وثاقة أبي يحيى المذكور</w:t>
      </w:r>
    </w:p>
    <w:p>
      <w:pPr>
        <w:pStyle w:val="BookText"/>
        <w:rPr/>
      </w:pPr>
      <w:r>
        <w:rPr>
          <w:rFonts w:ascii="Amiri" w:hAnsi="Amiri" w:eastAsia="Amiri" w:cs="Amiri"/>
          <w:color w:val="111111"/>
          <w:sz w:val="28"/>
          <w:sz w:val="28"/>
          <w:szCs w:val="28"/>
          <w:rtl w:val="true"/>
          <w:lang w:bidi="ar-SA"/>
        </w:rPr>
        <w:t>فقد تعرّض لذكره النجاشي والشيخ ولم يوثّقاه</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تمامية دلالتها؛ إذ الظاهر عدم قصد إثبات هذه الملازمة بنحوٍ جدّيّ في الرواية بقرينة مشروعية النوافل الليلّية مع عدم إتمام الفريضة الرباعيّة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صلاة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فالظاهر أنّ ذكر هذه الملازمة إنّما هو لمجرّد تقريب الحكم إلى ذهن المخاطب من جهة استبعاده سقوط النوافل النهارية،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في المقدّمة الثّانية؛ لعدم ثبوت مشروعيّة النوافل النهارية في الأماكن التي يستحبّ الإكثار من الصلاة تطوّعاً فيها، واستحباب التطوّع فيها غير استحباب التنفّل فيها؛ فإنّ المراد بالتنفّل هو الإتيان بالنوافل الراتبة دون مطلق التطوّع من قبيل صلاة تحية المسجد مثلاً أو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دلّت جملة من الأخبار على منع التنفّل في السفر كما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فرض الله على المسافر ركعتين لا قبلهما ولا بعدهما شيء إلَّا صلاة الليل</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 وكما في رواية صفوان،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التطوّع بالنهار وأنا في السفر؟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تقضي صلاة الليل بالنهار وأنت في سفر</w:t>
      </w:r>
      <w:r>
        <w:rPr>
          <w:rFonts w:eastAsia="IRNazanin" w:cs="IRNazanin"/>
          <w:color w:val="111111"/>
          <w:sz w:val="28"/>
          <w:szCs w:val="28"/>
          <w:rtl w:val="true"/>
          <w:lang w:bidi="fa-IR"/>
        </w:rPr>
        <w:t>)</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شمولها للأماكن التي يستحبّ إكثار الصلاة فيها كالمشاهد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فدعوى الملازمة بين استحباب التطوّع وتمام الفريضة غير تامّة؛ لظهور أنّ غاية ما يستفاد من رواية الحنّاط هو تلازم النوافل الراتبة مع تمام الفريضة، لا مطلق التطوّع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بالتطوّع هنا ما يشمل النوافل بقرينة ما ثبت من استحبابها في مشاهد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تقدّم في رواية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فيكون المراد به في شأن غير 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المذكورات معها هو الأعم من جهة وحدة السياق، وبذلك يمكن الحكم بثبوت مشروعية إتمام الفريضة فيها، كما في صحيحة ابن أبي عمير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شمول التطوّع للنوافل في هذه الروايات تأمّلاً؛ فيحتمل أن يكون النظر فيها إلى ثبوت استحباب التطوّع بعنوانه في هذه الموارد لمن وظيفته قصر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نظر السائل في الروايتين بذكر كونه مقصّراً في الصلاة الإشارة إلى سقوط النوافل النهاريّة، ولكن هل تستحبّ الصلاة تطوّعاً لمزيّة المكان أو لا؟</w:t>
      </w:r>
    </w:p>
    <w:p>
      <w:pPr>
        <w:pStyle w:val="BookText"/>
        <w:rPr/>
      </w:pPr>
      <w:r>
        <w:rPr>
          <w:rFonts w:ascii="IRNazanin" w:hAnsi="IRNazanin" w:eastAsia="IRNazanin"/>
          <w:color w:val="111111"/>
          <w:sz w:val="28"/>
          <w:sz w:val="28"/>
          <w:szCs w:val="28"/>
          <w:rtl w:val="true"/>
          <w:lang w:bidi="fa-IR"/>
        </w:rPr>
        <w:t xml:space="preserve">وقد يساعد عليه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قدرت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منه عدم وجود حدّ لآخره المناسب للتطوّع من غير النوافل المنصوصة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يساعد عليه أيضاً أنّه لو كان النظر في الرواية إلى إثبات مشروعيّة النافلة لنبّه على رجحان الإتمام في الفريضة حيث ذكر الراوي أنّه يقصّر الصلاة فيها،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الدّليل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استدلّ به على سراية استحباب الإتمام إلى سائر المشاهد المشرّفة بعض الروايات التي ورد فيها الحثّ على الصلاة ركعتين، أو أربع ركعات في هذه المشاهد؛ بدعوى أنّ المراد منها الإشارة للفريضة، وهي رواية أبي علي الحرّاني،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 قبر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أتاه وزاره وصلّى عنده ركعتين، أو أربع ركعات كتبت له حجّة وعمرة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جعلت فداك، وكذلك لكلّ من أتى قبر إمامٍ مفترض طاعته؟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لكلّ من أتى قبر إمام مفترض طاعته</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بدلالة الرواية على أنّ المراد بهذا الترديد بيان التخيير في صلاة الفريضة </w:t>
      </w:r>
    </w:p>
    <w:p>
      <w:pPr>
        <w:pStyle w:val="BookText"/>
        <w:rPr/>
      </w:pPr>
      <w:r>
        <w:rPr>
          <w:rFonts w:ascii="IRNazanin" w:hAnsi="IRNazanin" w:eastAsia="IRNazanin"/>
          <w:color w:val="111111"/>
          <w:sz w:val="28"/>
          <w:sz w:val="28"/>
          <w:szCs w:val="28"/>
          <w:rtl w:val="true"/>
          <w:lang w:bidi="fa-IR"/>
        </w:rPr>
        <w:t xml:space="preserve">وكونها مخيّرة بين الركعتين والأربع ركعات، فتكون نصّاً في المطلوب وهو التخيير في جميع مراقد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لذلك بعض الروايات الأُخَر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قولويه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حدّثني جعفر بن محمّد بن إبراهيم الموسوي، عن عبيد الله بن نهيك، عن ابن أبي عمير، عن رجلٍ،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فلان ما يمنعك إذا عرضت لك حاجة أن تأتي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فتصلّي عنده أربع ركعات ثمّ تسأل حاجتك؟ فإنّ الصلاة الفريضة عنده تعدل حجّة، والصلاة النافلة عنده تعدل عمرة</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أنّها نصّ في إرادة الإتمام في الفريضة من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رواية الحرّاني، وأنّ الترديد بين الاثنين والأربع هو التخيير بين القصر والتمام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شبل المتقدّمة</w:t>
      </w:r>
      <w:r>
        <w:rPr>
          <w:rStyle w:val="FootnoteAnchor"/>
          <w:rtl w:val="true"/>
        </w:rPr>
        <w:footnoteReference w:id="387"/>
      </w:r>
      <w:r>
        <w:rPr>
          <w:rFonts w:ascii="Amiri" w:hAnsi="Amiri" w:eastAsia="Amiri" w:cs="Amiri"/>
          <w:color w:val="111111"/>
          <w:sz w:val="28"/>
          <w:sz w:val="28"/>
          <w:szCs w:val="28"/>
          <w:rtl w:val="true"/>
          <w:lang w:bidi="ar-SA"/>
        </w:rPr>
        <w:t>حيث ورد فيها الأمر بالزيارة وإتمام الصلاة وذكر أنّ التقصير فيها إنّما هو من فعل الضعفة، فهي صريحةٌ في النظر إلى الفريضة، فيكون الظاهر من الإتيان بالأربع ركعات أو الاثنين في رواية الحرّاني هو الفريضة؛ نظراً لعظم فضيلتها بإقامتها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هذا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رواية الحرّاني ظاهرةٌ في دلالتها على أنّ المراد بالصلاة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بدلالة العطف،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أتاه وزاره وصلّى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ثواب الحج والعمرة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ورد في رواية ابن أبي عمير إنّما هو لبيان فضل الصلاة عنده، وبيَّن فضل صلاة </w:t>
      </w:r>
    </w:p>
    <w:p>
      <w:pPr>
        <w:pStyle w:val="BookText"/>
        <w:rPr/>
      </w:pPr>
      <w:r>
        <w:rPr>
          <w:rFonts w:ascii="Amiri" w:hAnsi="Amiri" w:eastAsia="Amiri" w:cs="Amiri"/>
          <w:color w:val="111111"/>
          <w:sz w:val="28"/>
          <w:sz w:val="28"/>
          <w:szCs w:val="28"/>
          <w:rtl w:val="true"/>
          <w:lang w:bidi="ar-SA"/>
        </w:rPr>
        <w:t>النافلة وفضل صلاة الفريضة، ولا قرينة على اختصاصها ببيان فضل الفريضة، ولو كان المراد بها هو خصوص الفريضة فلماذا خصّها بالأربع لإمكان ثبوت الفضل بإتيانها مقصورة أيضاً، فتنصيصه على خصوص الأربع يظهر منه إرادة التطوّع؛ إذ لو كان المراد بالأربع الفريضة لأمكن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 عنده ثمّ تسأل حاجتك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وعليه فالظاهر أنّ المراد بالركعات الأربع هو صلاة قضاء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إقامتها في هذا المكان لشرفيّته التي بيَّنها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،وبيان عظم ثواب الصلاة فيه له دور في تحقّق المراد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يناسب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جملة من الروايات تدلّ على أنّ صلاة الحاجة أربع ركعات</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الشيخ الكليني عن علي بن إبراهيم، عن أبيه، عن بعض أصحابه، عن ابن أبي حمزة،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من أصابه منكم مصيبة أو نزلت به نازلة فليتوضّأ وليسبغ الوضوء ثمّ يصلّي ركعتين، أو أربع ركعات ثمّ يقول في آخرهن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موضع كلّ شكوى، ويا سامع كلّ نجوى، وشاهد كلّ ملاء، وعالم كلّ خفيّة، ويا دافع ما يشاء من بليّة، ويا خليل إبراهيم، ويا نجي موسى، ويا مصطفي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أدعوك دعاء من اشتدّت فاقته، وقلّت حيلته، وضعفت قوّته، دعاء الغريق الغريب المضطرّ الذي لا يجد لكشف ما هو فيه إلَّا أنت يا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يدعو به أحد إلَّا كشف الله عنه إن شاء الله</w:t>
      </w:r>
      <w:r>
        <w:rPr>
          <w:rFonts w:eastAsia="IRNazanin" w:cs="IRNazanin"/>
          <w:color w:val="111111"/>
          <w:sz w:val="28"/>
          <w:szCs w:val="28"/>
          <w:rtl w:val="true"/>
          <w:lang w:bidi="fa-IR"/>
        </w:rPr>
        <w:t>)</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كثير</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وقد يُحتمل أن يكون المراد بالأربع في رواية ابن أبي عمير صلاة الزيارة أيضاً كما استظهرناه من رواية الحرّاني من جهة استبعاد عدم ذكر صلاة الزيارة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مأخذ صحيح للقول بتعميم التخيير إلى سائر المشاهد، بل 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جمهور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خواصّ المواطن الأربعة المشرّفة وميزة حَفّها الله سبحانه وتعالى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يتمّ القول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اتّفق الفراغ منها في ليلة التاسع من ذي الحجّة الحرام لعام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وصلّى الله على أشرف بريته محمّد وآله الطاهرين</w:t>
      </w:r>
      <w:r>
        <w:rPr>
          <w:rFonts w:eastAsia="Amiri" w:cs="Amiri" w:ascii="Amiri" w:hAnsi="Amiri"/>
          <w:color w:val="111111"/>
          <w:sz w:val="28"/>
          <w:szCs w:val="28"/>
          <w:rtl w:val="true"/>
          <w:lang w:bidi="ar-SA"/>
        </w:rPr>
        <w:t>.</w:t>
      </w:r>
      <w:bookmarkStart w:id="206" w:name="pg10913_110621"/>
    </w:p>
    <w:p>
      <w:pPr>
        <w:pStyle w:val="Heading3"/>
        <w:numPr>
          <w:ilvl w:val="2"/>
          <w:numId w:val="1"/>
        </w:numPr>
        <w:rPr/>
      </w:pPr>
      <w:bookmarkStart w:id="207" w:name="__RefHeading___Toc3056578_2870459653"/>
      <w:bookmarkStart w:id="208" w:name="_Toc80"/>
      <w:bookmarkEnd w:id="206"/>
      <w:bookmarkEnd w:id="207"/>
      <w:r>
        <w:rPr>
          <w:rtl w:val="true"/>
        </w:rPr>
        <w:t>المصادر</w:t>
      </w:r>
      <w:bookmarkEnd w:id="2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إتمام المسافر في مشاهد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 بحث الشيخ محمّد السند، 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نخبة من الفضلاء،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وزارة الثقافة والإرشاد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إصباح الشيعة بمصباح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قطب الدين البيهقي الكيدري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ق</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إبراهيم البهادري،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أبحاث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محمود الهاشمي،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دائرة المعارف الفقه الإسلاميّ،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بداية المجتهد ونهاية المقتصد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رشد الحفيد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 العالمي للتقريب بين المذاهب،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البدر الزاهر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بحث السيّد حسين الطباطبائي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المنتظري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تصحيح اعتقادات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محمّد بن النعمان المعروف بالشيخ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درگاهي،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للطباعة والنشر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تعارض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الحسيني السيستاني، نسخة محدودة التداول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تفصيل وسائل الشيعة إلى تحصيل مسائل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 في شرح المقنعة للشيخ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ابن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أكبر الغفاري،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الكلام في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القوجاني،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خورشيد،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محمّد باقر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لإحياء التراث،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الحدائق الناضرة في أحكام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علي 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أكبر الغفاري،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الدروس الشرعية في 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جمال الدين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ذخيرة المعاد في شرح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محمّد باقر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الطبعة الحجرية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بن علي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موسى الشبيري الزنجاني،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رسائل 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الرواشح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الحسيني الأسترآبادي المعروف بالمحقّق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المتّقين في شرح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المسائل في بيان أحكام الشرع بالدلائل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ابن السيّد محمّد ابن السيّد علي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لإحياء التراث،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جعفر محمّد بن علي 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بحر العلوم، نشر وطبع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الفقه المنسوب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والمشتهر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فوائد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حسين الغرويّ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الشيخ محمّد علي الكاظمي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آغا ضياء الدين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الحائرية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الفكر الإسلامي، مطبعة باقري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جعفر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 للطباعة والنشر،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بن محمّد بن قولويه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جواد القيّومي،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نشر الفقاهة،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المبسوط في 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تقي الكشفي،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المرتضوية لإحياء الآثار الجعفرية،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الفائدة والبرهان في شرح إرشاد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المقدّس أحمد بن محمّد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آغا مجتبى العراقي، الشيخ علي بناه الاشتهاردي، الحاج آغا حسين اليزديّ الأصفهانيّ،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محاضرات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أبحاث السيّد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إسحاق الفياض،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مختلف الشيعة في أحكام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منصور الحسن بن يوسف الأسديّ الحلّيّ المعروف بالعلّامة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مدارك الأحكام في شرح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بن عليّ الموسويّ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المقدسة،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المرتقى إلى الفقه الأرقى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أبحاث السيّد محمّد الحسيني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تأليف السيّد عبد الصاحب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مولود الكعبة،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محمّد بن النعمان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الأبطحي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مستمسك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الطباطبائي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الشيعة في أحكام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أحمد بن محمّد مهدي النراقيّ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المقدّسة،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مستند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بحث السيّد أبو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p>
    <w:p>
      <w:pPr>
        <w:pStyle w:val="BookText"/>
        <w:rPr/>
      </w:pP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مرتضى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إحياء آثار الإمام الخوئي،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مصابيح الظلام في شرح مفاتيح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العلّامة المجدّد الوحيد البهبهاني،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رضا بن محمّد هادي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التاريخ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فقه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رجال الحديث وتفصيل طبقات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موفّق الدين أبو محمّد عبد الله 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للنشر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مفاتيح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المجاهد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الكرامة في شرح قواعد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جواد الحسيني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الخالصيّ، نشر وطبع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عليّ 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p>
    <w:p>
      <w:pPr>
        <w:pStyle w:val="BookText"/>
        <w:rPr/>
      </w:pP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أكبر الغفاري،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منتقى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أبحاث السيّد محمّد الحسينيّ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الصاحب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عبد العزيز بن البراج الطرابلسيّ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سيّد الشهداء العلميّة،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bookmarkStart w:id="209" w:name="pg10913_110635"/>
    </w:p>
    <w:p>
      <w:pPr>
        <w:pStyle w:val="Heading2"/>
        <w:numPr>
          <w:ilvl w:val="1"/>
          <w:numId w:val="1"/>
        </w:numPr>
        <w:rPr/>
      </w:pPr>
      <w:bookmarkStart w:id="210" w:name="__RefHeading___Toc3056580_2870459653"/>
      <w:bookmarkStart w:id="211" w:name="_Toc81"/>
      <w:bookmarkEnd w:id="209"/>
      <w:bookmarkEnd w:id="210"/>
      <w:r>
        <w:rPr>
          <w:rtl w:val="true"/>
        </w:rPr>
        <w:t>دراسات فقهيّة مقارنة بين قانون الأحوال الشّخصيّة العراقيّ ومشروع قانون الأحوال الشّخصيّة الجعفريّ</w:t>
      </w:r>
      <w:r>
        <w:rPr>
          <w:rtl w:val="true"/>
        </w:rPr>
        <w:t>: (</w:t>
      </w:r>
      <w:r>
        <w:rPr>
          <w:rtl w:val="true"/>
        </w:rPr>
        <w:t>الأحكام العامّة والزّواج أنموذجا</w:t>
      </w:r>
      <w:r>
        <w:rPr>
          <w:rtl w:val="true"/>
        </w:rPr>
        <w:t>) (</w:t>
      </w:r>
      <w:r>
        <w:rPr>
          <w:rtl w:val="true"/>
        </w:rPr>
        <w:t>الحلقة الثانية</w:t>
      </w:r>
      <w:r>
        <w:rPr>
          <w:rtl w:val="true"/>
        </w:rPr>
        <w:t xml:space="preserve">) - </w:t>
      </w:r>
      <w:r>
        <w:rPr>
          <w:rtl w:val="true"/>
        </w:rPr>
        <w:t xml:space="preserve">الشيخ يحيى السعداوي </w:t>
      </w:r>
      <w:r>
        <w:rPr>
          <w:rtl w:val="true"/>
        </w:rPr>
        <w:t>(</w:t>
      </w:r>
      <w:r>
        <w:rPr>
          <w:rtl w:val="true"/>
        </w:rPr>
        <w:t>دام عزه</w:t>
      </w:r>
      <w:r>
        <w:rPr>
          <w:rtl w:val="true"/>
        </w:rPr>
        <w:t>)</w:t>
      </w:r>
      <w:bookmarkEnd w:id="211"/>
    </w:p>
    <w:p>
      <w:pPr>
        <w:pStyle w:val="Heading3"/>
        <w:numPr>
          <w:ilvl w:val="2"/>
          <w:numId w:val="1"/>
        </w:numPr>
        <w:rPr/>
      </w:pPr>
      <w:bookmarkStart w:id="212" w:name="__RefHeading___Toc3056582_2870459653"/>
      <w:bookmarkStart w:id="213" w:name="_Toc82"/>
      <w:bookmarkEnd w:id="212"/>
      <w:r>
        <w:rPr>
          <w:rtl w:val="true"/>
        </w:rPr>
        <w:t>اشارة</w:t>
      </w:r>
      <w:bookmarkEnd w:id="21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دراسات فقهيّة مقارنة بين مصطلحات وتعريفات وموادّ قانون الأحوال الشّخصيّة العراقي ومشروع قانون الأحوال الشّخصيّة الجعفري في بعض فقرات باب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وأيّهما أصحّ أو أدق أو أولى بالاتّباع وأيّ منهما موافق للمادّة الدّستورية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نصّ عليها الدّستور الدّائم، وعدم مخالفته للشريعة الإسلامية وتطبيق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تخصّ الأحوال الشّخصيّة من دون إرجاع المجتمع العراقي إلى عدّة قوانين في الأحوال الشخصيّة وعدم فرض القوانين المخالفة لدينه ومذهبه</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تعرّضنا في 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الحلقة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تاريخ قانون الأحوال الشخصيّة العراقي، وأسباب نشوئه، وإلى الأسس والمباني العامّة لقانونيّ الأحوال الشخصيّة العراقي ومشروع القانون الجعفري بدراسة فقهيّة مقارنة، كما تناولنا فيه أسباب تدوين القوانين في الدولة الإسلاميّة، والمانع الفقهيّ من تقنين الأحكام الشرعيّة، وكيفيّة معالجته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ونتعرّض في هذه الحلقة إلى المبحث الثاني الذي يتناول دراسة فقهيّة تحليليّة مقارنة لعنوانيّ البابين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وتعريفهما، وتعدّد الزوجات في ضمن موادّ القانونين العراقي ومشروع القانون الجعفري في مطلبين وخاتمة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مقصدان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فقهيّة لعنوان الباب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قانون الأحوال الشخصيّة العراقي، وما يقابله من مشروع القانون الجعفري الباب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وترجيح الأصحّ والأصدق والأدقّ والأولى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فقهيّة للمادّة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ف</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الزّواج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قانون الأحوال العراقي، وما يقابلها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مشروع القانون الجعفري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فقهيّة للمادّة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ف</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تعدّد الزوجات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قانون الأحوال الشخصيّة العراقي، وما يقابلها المادّتان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مشروع القانون الجعفري</w:t>
      </w:r>
      <w:r>
        <w:rPr>
          <w:rFonts w:eastAsia="Amiri" w:cs="Amiri" w:ascii="Amiri" w:hAnsi="Amiri"/>
          <w:color w:val="111111"/>
          <w:sz w:val="28"/>
          <w:szCs w:val="28"/>
          <w:rtl w:val="true"/>
          <w:lang w:bidi="ar-SA"/>
        </w:rPr>
        <w:t xml:space="preserve">. </w:t>
      </w:r>
      <w:bookmarkStart w:id="214" w:name="pg10913_110641"/>
    </w:p>
    <w:p>
      <w:pPr>
        <w:pStyle w:val="BookText"/>
        <w:rPr/>
      </w:pPr>
      <w:bookmarkEnd w:id="214"/>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نتائج البحث والمقترحات</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3056584_2870459653"/>
      <w:bookmarkStart w:id="216" w:name="_Toc83"/>
      <w:bookmarkEnd w:id="215"/>
      <w:r>
        <w:rPr>
          <w:rtl w:val="true"/>
        </w:rPr>
        <w:t>المطلب الأوّل</w:t>
      </w:r>
      <w:bookmarkEnd w:id="216"/>
    </w:p>
    <w:p>
      <w:pPr>
        <w:pStyle w:val="Heading4"/>
        <w:numPr>
          <w:ilvl w:val="3"/>
          <w:numId w:val="1"/>
        </w:numPr>
        <w:rPr/>
      </w:pPr>
      <w:bookmarkStart w:id="217" w:name="__RefHeading___Toc3056586_2870459653"/>
      <w:bookmarkStart w:id="218" w:name="_Toc84"/>
      <w:bookmarkEnd w:id="217"/>
      <w:r>
        <w:rPr>
          <w:rtl w:val="true"/>
        </w:rPr>
        <w:t>المقصد الأوّل</w:t>
      </w:r>
      <w:r>
        <w:rPr>
          <w:rtl w:val="true"/>
        </w:rPr>
        <w:t xml:space="preserve">: </w:t>
      </w:r>
      <w:r>
        <w:rPr>
          <w:rtl w:val="true"/>
        </w:rPr>
        <w:t>دراسة فقهيّة لعنوانيّ البابين من القانونين، وترجيح الأصحّ والأصدق والأدقّ والأولى منهما</w:t>
      </w:r>
      <w:bookmarkEnd w:id="218"/>
    </w:p>
    <w:p>
      <w:pPr>
        <w:pStyle w:val="Heading5"/>
        <w:numPr>
          <w:ilvl w:val="4"/>
          <w:numId w:val="1"/>
        </w:numPr>
        <w:rPr/>
      </w:pPr>
      <w:bookmarkStart w:id="219" w:name="__RefHeading___Toc3056588_2870459653"/>
      <w:bookmarkStart w:id="220" w:name="_Toc85"/>
      <w:bookmarkEnd w:id="219"/>
      <w:r>
        <w:rPr>
          <w:rtl w:val="true"/>
        </w:rPr>
        <w:t>اشارة</w:t>
      </w:r>
      <w:bookmarkEnd w:id="220"/>
    </w:p>
    <w:p>
      <w:pPr>
        <w:pStyle w:val="BookText"/>
        <w:rPr/>
      </w:pPr>
      <w:r>
        <w:rPr>
          <w:rFonts w:ascii="Amiri" w:hAnsi="Amiri" w:eastAsia="Amiri" w:cs="Amiri"/>
          <w:color w:val="111111"/>
          <w:sz w:val="28"/>
          <w:sz w:val="28"/>
          <w:szCs w:val="28"/>
          <w:rtl w:val="true"/>
          <w:lang w:bidi="ar-SA"/>
        </w:rPr>
        <w:t>ذَكَر المشرّع العراقي في بداية القانون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الباب الأوّل</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 والخطبة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أبدل مشرّع القانون الجعفري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يتّضح أيّ الكلمتين أصحّ وأصدق وأدقّ وأبلغ وأولى نبحثهما في اللّغة والاصطلاح</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3056590_2870459653"/>
      <w:bookmarkStart w:id="222" w:name="_Toc86"/>
      <w:bookmarkEnd w:id="221"/>
      <w:r>
        <w:rPr>
          <w:rtl w:val="true"/>
        </w:rPr>
        <w:t>أوّلاً</w:t>
      </w:r>
      <w:r>
        <w:rPr>
          <w:rtl w:val="true"/>
        </w:rPr>
        <w:t xml:space="preserve">: </w:t>
      </w:r>
      <w:r>
        <w:rPr>
          <w:rtl w:val="true"/>
        </w:rPr>
        <w:t>الزّواج والنّكاح لغةً</w:t>
      </w:r>
      <w:bookmarkEnd w:id="222"/>
    </w:p>
    <w:p>
      <w:pPr>
        <w:pStyle w:val="Heading6"/>
        <w:numPr>
          <w:ilvl w:val="5"/>
          <w:numId w:val="1"/>
        </w:numPr>
        <w:rPr/>
      </w:pPr>
      <w:bookmarkStart w:id="223" w:name="__RefHeading___Toc3056592_2870459653"/>
      <w:bookmarkStart w:id="224" w:name="_Toc87"/>
      <w:bookmarkEnd w:id="223"/>
      <w:r>
        <w:rPr/>
        <w:t>1</w:t>
      </w:r>
      <w:r>
        <w:rPr>
          <w:rtl w:val="true"/>
        </w:rPr>
        <w:t xml:space="preserve">. </w:t>
      </w:r>
      <w:r>
        <w:rPr>
          <w:rtl w:val="true"/>
        </w:rPr>
        <w:t>الزّواج لغةً</w:t>
      </w:r>
      <w:bookmarkEnd w:id="22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الزاء والواو والجيم أصل يدلّ على مقارنة شيء لشيء، من ذلك الزوج زوج المرأة، والمرأة زوج بعلها وهو الفصيح</w:t>
      </w:r>
      <w:r>
        <w:rPr>
          <w:rStyle w:val="FootnoteAnchor"/>
          <w:rtl w:val="true"/>
        </w:rPr>
        <w:footnoteReference w:id="391"/>
      </w:r>
      <w:r>
        <w:rPr>
          <w:rFonts w:ascii="Amiri" w:hAnsi="Amiri" w:eastAsia="Amiri" w:cs="Amiri"/>
          <w:color w:val="111111"/>
          <w:sz w:val="28"/>
          <w:sz w:val="28"/>
          <w:szCs w:val="28"/>
          <w:rtl w:val="true"/>
          <w:lang w:bidi="ar-SA"/>
        </w:rPr>
        <w:t>، ويجمع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الفرد،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أو فرد، وزوج المرأة بعلُها، وزوج الرجل امرأتُه</w:t>
      </w:r>
      <w:r>
        <w:rPr>
          <w:rStyle w:val="FootnoteAnchor"/>
          <w:rtl w:val="true"/>
        </w:rPr>
        <w:footnoteReference w:id="392"/>
      </w:r>
      <w:r>
        <w:rPr>
          <w:rFonts w:ascii="Amiri" w:hAnsi="Amiri" w:eastAsia="Amiri" w:cs="Amiri"/>
          <w:color w:val="111111"/>
          <w:sz w:val="28"/>
          <w:sz w:val="28"/>
          <w:szCs w:val="28"/>
          <w:rtl w:val="true"/>
          <w:lang w:bidi="ar-SA"/>
        </w:rPr>
        <w:t xml:space="preserve">، قال تعالى مخاطباً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اسْكُنْ أَنتَ وَزَوْجُكَ الْجَنَّةَ</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bookmarkStart w:id="225" w:name="pg10913_110643"/>
    </w:p>
    <w:p>
      <w:pPr>
        <w:pStyle w:val="BookText"/>
        <w:rPr/>
      </w:pPr>
      <w:bookmarkEnd w:id="225"/>
      <w:r>
        <w:rPr>
          <w:rFonts w:ascii="Amiri" w:hAnsi="Amiri" w:eastAsia="Amiri" w:cs="Amiri"/>
          <w:color w:val="111111"/>
          <w:sz w:val="28"/>
          <w:sz w:val="28"/>
          <w:szCs w:val="28"/>
          <w:rtl w:val="true"/>
          <w:lang w:bidi="ar-SA"/>
        </w:rPr>
        <w:t xml:space="preserve">والزَّوَاج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التَّزويجِ كالسَّلامِ من التَّسليم، والكسرُ فيه لغة، كالنِّكاح وَزْناً ومعنىً، وحَمَلُوه على المُفَاعَلَة</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الاقتران، وزوّج الأشياء تزويجاً وزواجاً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بعضها ببعض</w:t>
      </w:r>
      <w:r>
        <w:rPr>
          <w:rStyle w:val="FootnoteAnchor"/>
          <w:rtl w:val="true"/>
        </w:rPr>
        <w:footnoteReference w:id="395"/>
      </w:r>
      <w:r>
        <w:rPr>
          <w:rFonts w:ascii="Amiri" w:hAnsi="Amiri" w:eastAsia="Amiri" w:cs="Amiri"/>
          <w:color w:val="111111"/>
          <w:sz w:val="28"/>
          <w:sz w:val="28"/>
          <w:szCs w:val="28"/>
          <w:rtl w:val="true"/>
          <w:lang w:bidi="ar-SA"/>
        </w:rPr>
        <w:t>،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وَزَوَّجْنَاهُم بِحُورٍ عِينٍ</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أي قرّناهم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يختصّ الزوج بالإنسان بل يعمّ غيره أيضاً،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زوجا نعالٍ، وزوجا حمامٍ، وأنت تعني ذكراً وأنثى</w:t>
      </w:r>
      <w:r>
        <w:rPr>
          <w:rStyle w:val="FootnoteAnchor"/>
          <w:rtl w:val="true"/>
        </w:rPr>
        <w:footnoteReference w:id="397"/>
      </w:r>
      <w:r>
        <w:rPr>
          <w:rFonts w:ascii="Amiri" w:hAnsi="Amiri" w:eastAsia="Amiri" w:cs="Amiri"/>
          <w:color w:val="111111"/>
          <w:sz w:val="28"/>
          <w:sz w:val="28"/>
          <w:szCs w:val="28"/>
          <w:rtl w:val="true"/>
          <w:lang w:bidi="ar-SA"/>
        </w:rPr>
        <w:t>، كما لا يختصّ بالعلاقة الزوجية أيضاً</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6" w:name="__RefHeading___Toc3056594_2870459653"/>
      <w:bookmarkStart w:id="227" w:name="_Toc88"/>
      <w:bookmarkEnd w:id="226"/>
      <w:r>
        <w:rPr/>
        <w:t>2</w:t>
      </w:r>
      <w:r>
        <w:rPr>
          <w:rtl w:val="true"/>
        </w:rPr>
        <w:t xml:space="preserve">. </w:t>
      </w:r>
      <w:r>
        <w:rPr>
          <w:rtl w:val="true"/>
        </w:rPr>
        <w:t>النِّكَاح لغةً</w:t>
      </w:r>
      <w:bookmarkEnd w:id="227"/>
    </w:p>
    <w:p>
      <w:pPr>
        <w:pStyle w:val="Heading6"/>
        <w:numPr>
          <w:ilvl w:val="5"/>
          <w:numId w:val="1"/>
        </w:numPr>
        <w:rPr/>
      </w:pPr>
      <w:bookmarkStart w:id="228" w:name="__RefHeading___Toc3056596_2870459653"/>
      <w:bookmarkStart w:id="229" w:name="_Toc89"/>
      <w:bookmarkEnd w:id="228"/>
      <w:r>
        <w:rPr>
          <w:rtl w:val="true"/>
        </w:rPr>
        <w:t>اشارة</w:t>
      </w:r>
      <w:bookmarkEnd w:id="22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النون والكاف والحاء أصل واحد وهو البضاع</w:t>
      </w:r>
      <w:r>
        <w:rPr>
          <w:rStyle w:val="FootnoteAnchor"/>
          <w:rtl w:val="true"/>
        </w:rPr>
        <w:footnoteReference w:id="399"/>
      </w:r>
      <w:r>
        <w:rPr>
          <w:rFonts w:ascii="Amiri" w:hAnsi="Amiri" w:eastAsia="Amiri" w:cs="Amiri"/>
          <w:color w:val="111111"/>
          <w:sz w:val="28"/>
          <w:sz w:val="28"/>
          <w:szCs w:val="28"/>
          <w:rtl w:val="true"/>
          <w:lang w:bidi="ar-SA"/>
        </w:rPr>
        <w:t>، ونكح ينكح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والنّكاح يكون العقد دون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نكحت تزوجت وأنكحت غيري</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 وقال الخليل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ونَكَحَها يَنْكِحُها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باضعها أَيضاً، وقال الأَعشى في نَكَحَ بمعنى تزوج، وامرأة ناكح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ذات زوج، وأنكَحه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 إيّاها، وأنكحها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w:t>
      </w:r>
      <w:r>
        <w:rPr>
          <w:rStyle w:val="FootnoteAnchor"/>
          <w:rtl w:val="true"/>
        </w:rPr>
        <w:footnoteReference w:id="401"/>
      </w:r>
      <w:r>
        <w:rPr>
          <w:rFonts w:ascii="IRNazanin" w:hAnsi="IRNazanin" w:eastAsia="IRNazanin"/>
          <w:color w:val="111111"/>
          <w:sz w:val="28"/>
          <w:sz w:val="28"/>
          <w:szCs w:val="28"/>
          <w:rtl w:val="true"/>
          <w:lang w:bidi="fa-IR"/>
        </w:rPr>
        <w:t xml:space="preserve">، </w:t>
      </w:r>
      <w:bookmarkStart w:id="230" w:name="pg10913_110645"/>
    </w:p>
    <w:p>
      <w:pPr>
        <w:pStyle w:val="BookText"/>
        <w:rPr/>
      </w:pPr>
      <w:bookmarkEnd w:id="230"/>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النُكح والنَّكح، وهما لغتان، وكانت العرب تتزوج بها</w:t>
      </w:r>
      <w:r>
        <w:rPr>
          <w:rStyle w:val="FootnoteAnchor"/>
          <w:rtl w:val="true"/>
        </w:rPr>
        <w:footnoteReference w:id="402"/>
      </w:r>
      <w:r>
        <w:rPr>
          <w:rFonts w:ascii="Amiri" w:hAnsi="Amiri" w:eastAsia="Amiri" w:cs="Amiri"/>
          <w:color w:val="111111"/>
          <w:sz w:val="28"/>
          <w:sz w:val="28"/>
          <w:szCs w:val="28"/>
          <w:rtl w:val="true"/>
          <w:lang w:bidi="ar-SA"/>
        </w:rPr>
        <w:t>، والنّكاح إنّما يكون للإنسان خاصّة،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نكَحَ الإنْسانُ، كَامَ الفَرَس، بَاكَ الحِمَارُ، قَاعَ الجَمَلُ، نَزَا التَّيْسُ والسَّبُعُ، عَاظَلَ الكَلْبُ، سَفَدَ الطَّائِرُ، قَمَطَ الدِّيكُ</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ويطلق النّكاح على الخطبة أيضاً،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خِطْب فُلاَنَةَ، فيقولُ المَخْطُوب إليه نِكْحٌ</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واختلفوا في حقيقة النّكاح على أربعة أقوال</w:t>
      </w:r>
      <w:r>
        <w:rPr>
          <w:rFonts w:eastAsia="Amiri" w:cs="Amiri" w:ascii="Amiri" w:hAnsi="Amiri"/>
          <w:color w:val="111111"/>
          <w:sz w:val="28"/>
          <w:szCs w:val="28"/>
          <w:rtl w:val="true"/>
          <w:lang w:bidi="ar-SA"/>
        </w:rPr>
        <w:t>:</w:t>
      </w:r>
    </w:p>
    <w:p>
      <w:pPr>
        <w:pStyle w:val="Heading6"/>
        <w:numPr>
          <w:ilvl w:val="5"/>
          <w:numId w:val="1"/>
        </w:numPr>
        <w:rPr/>
      </w:pPr>
      <w:bookmarkStart w:id="231" w:name="__RefHeading___Toc3056598_2870459653"/>
      <w:bookmarkStart w:id="232" w:name="_Toc90"/>
      <w:bookmarkEnd w:id="231"/>
      <w:r>
        <w:rPr>
          <w:rtl w:val="true"/>
        </w:rPr>
        <w:t>القول الأوَّل</w:t>
      </w:r>
      <w:bookmarkEnd w:id="232"/>
    </w:p>
    <w:p>
      <w:pPr>
        <w:pStyle w:val="BookText"/>
        <w:rPr/>
      </w:pPr>
      <w:r>
        <w:rPr>
          <w:rFonts w:ascii="Amiri" w:hAnsi="Amiri" w:eastAsia="Amiri" w:cs="Amiri"/>
          <w:color w:val="111111"/>
          <w:sz w:val="28"/>
          <w:sz w:val="28"/>
          <w:szCs w:val="28"/>
          <w:rtl w:val="true"/>
          <w:lang w:bidi="ar-SA"/>
        </w:rPr>
        <w:t>الاشتراك اللفظي بين العقد والوطء، وهو قول الخليل، وظاهر الجوهري وغيرهما</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بعض الفقهاء لهذا المعنى بما نُقل عن أبي القاسم الزَّجَّاجي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النِّكاح في كلام العرب بمعنى الوطء والعقد جميعاً</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وتوجيه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تحقُّق الاستعمال في اللغة في كلٍّ منهما، والأصل في الاستعمال الحقيقة</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التوجيه غير مقبول عند الكثير؛ لأنّ الاستعمال أعمّ من الحقيقة</w:t>
      </w:r>
      <w:r>
        <w:rPr>
          <w:rFonts w:eastAsia="Amiri" w:cs="Amiri" w:ascii="Amiri" w:hAnsi="Amiri"/>
          <w:color w:val="111111"/>
          <w:sz w:val="28"/>
          <w:szCs w:val="28"/>
          <w:rtl w:val="true"/>
          <w:lang w:bidi="ar-SA"/>
        </w:rPr>
        <w:t>.</w:t>
      </w:r>
    </w:p>
    <w:p>
      <w:pPr>
        <w:pStyle w:val="Heading6"/>
        <w:numPr>
          <w:ilvl w:val="5"/>
          <w:numId w:val="1"/>
        </w:numPr>
        <w:rPr/>
      </w:pPr>
      <w:bookmarkStart w:id="233" w:name="__RefHeading___Toc3056600_2870459653"/>
      <w:bookmarkStart w:id="234" w:name="_Toc91"/>
      <w:bookmarkEnd w:id="233"/>
      <w:r>
        <w:rPr>
          <w:rtl w:val="true"/>
        </w:rPr>
        <w:t>القول الثَّاني</w:t>
      </w:r>
      <w:bookmarkEnd w:id="23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النّكاح حقيقة في العقد ومجاز في الوطء، وهو قول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والراغب في المفردات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النّكاح للعقد، ثمّ استعير للجماع، </w:t>
      </w:r>
      <w:bookmarkStart w:id="235" w:name="pg10913_110647"/>
    </w:p>
    <w:p>
      <w:pPr>
        <w:pStyle w:val="BookText"/>
        <w:rPr/>
      </w:pPr>
      <w:bookmarkEnd w:id="235"/>
      <w:r>
        <w:rPr>
          <w:rFonts w:ascii="Amiri" w:hAnsi="Amiri" w:eastAsia="Amiri" w:cs="Amiri"/>
          <w:color w:val="111111"/>
          <w:sz w:val="28"/>
          <w:sz w:val="28"/>
          <w:szCs w:val="28"/>
          <w:rtl w:val="true"/>
          <w:lang w:bidi="ar-SA"/>
        </w:rPr>
        <w:t>ومحال أن يكون في الأصل للجماع ثمّ استعير للعقد؛ لأنّ أسماء الجماع كلّها كنايات</w:t>
      </w:r>
      <w:r>
        <w:rPr>
          <w:rFonts w:eastAsia="Amiri" w:cs="Amiri" w:ascii="Amiri" w:hAnsi="Amiri"/>
          <w:color w:val="111111"/>
          <w:sz w:val="28"/>
          <w:szCs w:val="28"/>
          <w:rtl w:val="true"/>
          <w:lang w:bidi="ar-SA"/>
        </w:rPr>
        <w:t>)</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جنِّي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علي الفارسي عن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 العرب فرقاً لطيفاً يعرف به موضع العقد من الوطء، فإذا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نكح فلانة أو بنت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أرادوا تزويجها والعقد عليها، وإذا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نكح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يريدوا إلّا المجامعة؛ لأنّه بذكر امرأته وزوجته تستغنى عن العقد</w:t>
      </w:r>
      <w:r>
        <w:rPr>
          <w:rFonts w:eastAsia="Amiri" w:cs="Amiri" w:ascii="Amiri" w:hAnsi="Amiri"/>
          <w:color w:val="111111"/>
          <w:sz w:val="28"/>
          <w:szCs w:val="28"/>
          <w:rtl w:val="true"/>
          <w:lang w:bidi="ar-SA"/>
        </w:rPr>
        <w:t>)</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خلاف ما نقل ابن منظور عن ابن سيده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البُضْعُ، وذلك في نوع الإِنسان خاصّة، نكح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ينكح نكحاً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البضع</w:t>
      </w:r>
      <w:r>
        <w:rPr>
          <w:rFonts w:eastAsia="Amiri" w:cs="Amiri" w:ascii="Amiri" w:hAnsi="Amiri"/>
          <w:color w:val="111111"/>
          <w:sz w:val="28"/>
          <w:szCs w:val="28"/>
          <w:rtl w:val="true"/>
          <w:lang w:bidi="ar-SA"/>
        </w:rPr>
        <w:t>)</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المعنى أقرب إلى الشرع</w:t>
      </w:r>
      <w:r>
        <w:rPr>
          <w:rStyle w:val="FootnoteAnchor"/>
          <w:rtl w:val="true"/>
        </w:rPr>
        <w:footnoteReference w:id="411"/>
      </w:r>
      <w:r>
        <w:rPr>
          <w:rFonts w:ascii="Amiri" w:hAnsi="Amiri" w:eastAsia="Amiri" w:cs="Amiri"/>
          <w:color w:val="111111"/>
          <w:sz w:val="28"/>
          <w:sz w:val="28"/>
          <w:szCs w:val="28"/>
          <w:rtl w:val="true"/>
          <w:lang w:bidi="ar-SA"/>
        </w:rPr>
        <w:t>، كما سيأتي</w:t>
      </w:r>
      <w:r>
        <w:rPr>
          <w:rFonts w:eastAsia="Amiri" w:cs="Amiri" w:ascii="Amiri" w:hAnsi="Amiri"/>
          <w:color w:val="111111"/>
          <w:sz w:val="28"/>
          <w:szCs w:val="28"/>
          <w:rtl w:val="true"/>
          <w:lang w:bidi="ar-SA"/>
        </w:rPr>
        <w:t>.</w:t>
      </w:r>
    </w:p>
    <w:p>
      <w:pPr>
        <w:pStyle w:val="Heading6"/>
        <w:numPr>
          <w:ilvl w:val="5"/>
          <w:numId w:val="1"/>
        </w:numPr>
        <w:rPr/>
      </w:pPr>
      <w:bookmarkStart w:id="236" w:name="__RefHeading___Toc3056602_2870459653"/>
      <w:bookmarkStart w:id="237" w:name="_Toc92"/>
      <w:bookmarkEnd w:id="236"/>
      <w:r>
        <w:rPr>
          <w:rtl w:val="true"/>
        </w:rPr>
        <w:t>القول الثَّالث</w:t>
      </w:r>
      <w:bookmarkEnd w:id="237"/>
    </w:p>
    <w:p>
      <w:pPr>
        <w:pStyle w:val="BookText"/>
        <w:rPr/>
      </w:pPr>
      <w:r>
        <w:rPr>
          <w:rFonts w:ascii="Amiri" w:hAnsi="Amiri" w:eastAsia="Amiri" w:cs="Amiri"/>
          <w:color w:val="111111"/>
          <w:sz w:val="28"/>
          <w:sz w:val="28"/>
          <w:szCs w:val="28"/>
          <w:rtl w:val="true"/>
          <w:lang w:bidi="ar-SA"/>
        </w:rPr>
        <w:t>أنّه حقيقة في الوطء ومجاز في عقد التزويج، وهو مختار الأزهري والفيروزآبادي والزَّبيدي</w:t>
      </w:r>
      <w:r>
        <w:rPr>
          <w:rStyle w:val="FootnoteAnchor"/>
          <w:rtl w:val="true"/>
        </w:rPr>
        <w:footnoteReference w:id="412"/>
      </w:r>
      <w:r>
        <w:rPr>
          <w:rFonts w:ascii="Amiri" w:hAnsi="Amiri" w:eastAsia="Amiri" w:cs="Amiri"/>
          <w:color w:val="111111"/>
          <w:sz w:val="28"/>
          <w:sz w:val="28"/>
          <w:szCs w:val="28"/>
          <w:rtl w:val="true"/>
          <w:lang w:bidi="ar-SA"/>
        </w:rPr>
        <w:t>، حيث ذهبوا إلى أنّ أصل النِّكاح في كلام العرب الوطء، وقد يطلق على التزويج؛ لأنَّه سبب الوطء المباح</w:t>
      </w:r>
      <w:r>
        <w:rPr>
          <w:rFonts w:eastAsia="Amiri" w:cs="Amiri" w:ascii="Amiri" w:hAnsi="Amiri"/>
          <w:color w:val="111111"/>
          <w:sz w:val="28"/>
          <w:szCs w:val="28"/>
          <w:rtl w:val="true"/>
          <w:lang w:bidi="ar-SA"/>
        </w:rPr>
        <w:t>.</w:t>
      </w:r>
    </w:p>
    <w:p>
      <w:pPr>
        <w:pStyle w:val="Heading6"/>
        <w:numPr>
          <w:ilvl w:val="5"/>
          <w:numId w:val="1"/>
        </w:numPr>
        <w:rPr/>
      </w:pPr>
      <w:bookmarkStart w:id="238" w:name="__RefHeading___Toc3056604_2870459653"/>
      <w:bookmarkStart w:id="239" w:name="_Toc93"/>
      <w:bookmarkEnd w:id="238"/>
      <w:r>
        <w:rPr>
          <w:rtl w:val="true"/>
        </w:rPr>
        <w:t>القول الرَّابع</w:t>
      </w:r>
      <w:bookmarkEnd w:id="239"/>
    </w:p>
    <w:p>
      <w:pPr>
        <w:pStyle w:val="BookText"/>
        <w:rPr/>
      </w:pPr>
      <w:r>
        <w:rPr>
          <w:rFonts w:ascii="Amiri" w:hAnsi="Amiri" w:eastAsia="Amiri" w:cs="Amiri"/>
          <w:color w:val="111111"/>
          <w:sz w:val="28"/>
          <w:sz w:val="28"/>
          <w:szCs w:val="28"/>
          <w:rtl w:val="true"/>
          <w:lang w:bidi="ar-SA"/>
        </w:rPr>
        <w:t xml:space="preserve">أنّه مجاز في العقد والوطء وحقيقة في الجمع والضّم والتداخل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الفيّوميّ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فيكون النِّكاح مجازاً في العقد والوطء جميعاً؛ لأنَّه مأخوذ من غيره، ويؤيِّده أنّه لا يفهم العقد إلّا بقرينة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نكح في بني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يفهم الوطء إلّا بقرينة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نكح 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من علامات المجاز</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تاج العروس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الكوفيين والمبرِّد</w:t>
      </w:r>
    </w:p>
    <w:p>
      <w:pPr>
        <w:pStyle w:val="BookText"/>
        <w:rPr/>
      </w:pPr>
      <w:r>
        <w:rPr>
          <w:rFonts w:ascii="Amiri" w:hAnsi="Amiri" w:eastAsia="Amiri" w:cs="Amiri"/>
          <w:color w:val="111111"/>
          <w:sz w:val="28"/>
          <w:sz w:val="28"/>
          <w:szCs w:val="28"/>
          <w:rtl w:val="true"/>
          <w:lang w:bidi="ar-SA"/>
        </w:rPr>
        <w:t>والبصريين أنّه للجمع،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المنكح الثريا سهيلاً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عمرك الله، كيف يجتمعان</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وروده في الضمّ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تناكحت الأشجار إذا انضمّ بعضها إلى بعض</w:t>
      </w:r>
      <w:r>
        <w:rPr>
          <w:rStyle w:val="FootnoteAnchor"/>
          <w:rtl w:val="true"/>
        </w:rPr>
        <w:footnoteReference w:id="415"/>
      </w:r>
      <w:r>
        <w:rPr>
          <w:rFonts w:ascii="Amiri" w:hAnsi="Amiri" w:eastAsia="Amiri" w:cs="Amiri"/>
          <w:color w:val="111111"/>
          <w:sz w:val="28"/>
          <w:sz w:val="28"/>
          <w:szCs w:val="28"/>
          <w:rtl w:val="true"/>
          <w:lang w:bidi="ar-SA"/>
        </w:rPr>
        <w:t>، ومن وروده في الدخول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نكح النومُ عينَه إذا غلبه، ومنه قول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أنكحتْ صمُّ حصاها خُفَّ يَعْمَلَةٍ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تَغَشْمَرَتْ بي إليك السهلَ والجبلا</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ونقل المرداوي عن ابن تيمية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والضمّ على أتمّ الوجوه، فإن كان اجتماعاً بالأبدان فهو الإيلاج الذي ليس بعده غاية في اجتماع البدنين، وإن كان اجتماعاً بالعقود فهو الجمع بينهما على الدَّوام واللزوم، ولهذا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استنكحه المذي إذا لازمه وداومه</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فالنتيجة المستفادة من النظر في المعاني اللُّغوية لكلٍّ من الزّواج والنِّكَاح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الزّواج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يدلّ على مقارنة شيء لشيء، وأمّا النِّكَاح فهو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واحد وهو البضاع، وحقيقة النّكاح العقد دون الوطء عند الأكثر، خلافاً للأزهري والفيروزآبادي والزبيدي حيث ذهبوا إلى أنّ أصل النّكاح في كلام العرب الوطء ويستعمل في العقد لأنّه سببه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 لا يختصّ بالإنسان، بل يعمّ غيره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النّكاح فهو للإنسان دون </w:t>
      </w:r>
      <w:bookmarkStart w:id="240" w:name="pg10913_110651"/>
    </w:p>
    <w:p>
      <w:pPr>
        <w:pStyle w:val="BookText"/>
        <w:rPr/>
      </w:pPr>
      <w:bookmarkEnd w:id="240"/>
      <w:r>
        <w:rPr>
          <w:rFonts w:ascii="Amiri" w:hAnsi="Amiri" w:eastAsia="Amiri" w:cs="Amiri"/>
          <w:color w:val="111111"/>
          <w:sz w:val="28"/>
          <w:sz w:val="28"/>
          <w:szCs w:val="28"/>
          <w:rtl w:val="true"/>
          <w:lang w:bidi="ar-SA"/>
        </w:rPr>
        <w:t>غيره، ويطلق على الخطبة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النِّكاح قد يجري مَجْرَى التَّزْويج كما عن الخليل والجوهري وابن سيده، وهي كلمة كانت العرب تتزوج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التزويج والنّكاح يدلّان على معنى واحد، حيث يطلقان على العقد، بخلاف الزّواج</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3056606_2870459653"/>
      <w:bookmarkStart w:id="242" w:name="_Toc94"/>
      <w:bookmarkEnd w:id="241"/>
      <w:r>
        <w:rPr>
          <w:rtl w:val="true"/>
        </w:rPr>
        <w:t>ثانياً</w:t>
      </w:r>
      <w:r>
        <w:rPr>
          <w:rtl w:val="true"/>
        </w:rPr>
        <w:t xml:space="preserve">: </w:t>
      </w:r>
      <w:r>
        <w:rPr>
          <w:rtl w:val="true"/>
        </w:rPr>
        <w:t>الزّواج والنّكاح اصطلاحاً</w:t>
      </w:r>
      <w:bookmarkEnd w:id="242"/>
    </w:p>
    <w:p>
      <w:pPr>
        <w:pStyle w:val="Heading6"/>
        <w:numPr>
          <w:ilvl w:val="5"/>
          <w:numId w:val="1"/>
        </w:numPr>
        <w:rPr/>
      </w:pPr>
      <w:bookmarkStart w:id="243" w:name="__RefHeading___Toc3056608_2870459653"/>
      <w:bookmarkStart w:id="244" w:name="_Toc95"/>
      <w:bookmarkEnd w:id="243"/>
      <w:r>
        <w:rPr/>
        <w:t>1</w:t>
      </w:r>
      <w:r>
        <w:rPr>
          <w:rtl w:val="true"/>
        </w:rPr>
        <w:t xml:space="preserve">- </w:t>
      </w:r>
      <w:r>
        <w:rPr>
          <w:rtl w:val="true"/>
        </w:rPr>
        <w:t>الزّواج اصطلاحاً</w:t>
      </w:r>
      <w:bookmarkEnd w:id="244"/>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 في القرآن والروايات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يُستعمل لفظ الزّواج في القرآن للدلالة على الزّواج المعروف بين الناس إلّا في موضع واحد فقط، حيث اتّفق المفسّرون على دلالته على الزّواج المعروف بمعنى التزويج،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قَضَى زَيْدٌ مِّنْهَا وَطَراً زَوَّجْنَاكَهَا</w:t>
      </w:r>
      <w:r>
        <w:rPr>
          <w:rFonts w:eastAsia="Amiri" w:cs="Amiri" w:ascii="Amiri" w:hAnsi="Amiri"/>
          <w:color w:val="111111"/>
          <w:sz w:val="28"/>
          <w:szCs w:val="28"/>
          <w:rtl w:val="true"/>
          <w:lang w:bidi="ar-SA"/>
        </w:rPr>
        <w:t>]</w:t>
      </w:r>
      <w:r>
        <w:rPr>
          <w:rStyle w:val="FootnoteAnchor"/>
          <w:rtl w:val="true"/>
        </w:rPr>
        <w:footnoteReference w:id="418"/>
      </w:r>
      <w:r>
        <w:rPr>
          <w:rFonts w:ascii="IRNazanin" w:hAnsi="IRNazanin" w:eastAsia="IRNazanin"/>
          <w:color w:val="111111"/>
          <w:sz w:val="28"/>
          <w:sz w:val="28"/>
          <w:szCs w:val="28"/>
          <w:rtl w:val="true"/>
          <w:lang w:bidi="fa-IR"/>
        </w:rPr>
        <w:t xml:space="preserve">أي 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زينب بنت جحش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التزويج بمعنى النّكاح بالعقد متعدٍ بنفسها</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هناك موضعاً آخر في القرآن بمعنى التزويج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وَزَوَّجْنَاهُم بِحُورٍ عِينٍ</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حيث فسّرها مجاهد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أنكحناهم</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 xml:space="preserve">فهو مخالف لأكثر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ذهبوا إلى أنّه بمعنى الاقتران،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قرنّا هؤلاء المتقين بالحور العين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كالشيخ الطوسي والطبرسي، والفيض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 xml:space="preserve">، وقال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بالتزويج القرن أي قرناهم بهنّ دون النّكاح بالعقد، والدليل عليه تعديه بالباء</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مفسّرو العامّة فقد ذهب ابن الجوزي إلى أنّه بمعنى الاقتران،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وَزَوَّجْنَاهُم بِحُورٍ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قرنّاهم بهنّ، وليس من عقد التزويج</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 وكذا فخر الدين الرازي</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فاستعمال القرآن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بمعنى الاقتران إلّا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قَضَى زَيْدٌ مِّنْهَا وَطَراً زَوَّجْنَاكَهَا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باتّفاق مفسّريّ الإماميّة، وأكثر مفسّريّ العامّة، عدا مجاهد ومَن تبعه، ولذا قال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يجئ في القرآن زوّجناهم حوراً كما يقال زوّجته امرأة تنبيهاً أنّ ذلك لا يكون على حسب المتعارف فيما بيننا من المناكحة</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فقهاء الإماميّة فلم يعنونوا المسائل التي تناولت عقد الزّواج وأحكامه وشروطه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فقهاء العامّة فقد كان استخدام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شيوعاً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القدامى، وعلى العكس من المتأخّرين الذين استخدموا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تناولوه بمعنى واحد</w:t>
      </w:r>
      <w:r>
        <w:rPr>
          <w:rFonts w:eastAsia="Amiri" w:cs="Amiri" w:ascii="Amiri" w:hAnsi="Amiri"/>
          <w:color w:val="111111"/>
          <w:sz w:val="28"/>
          <w:szCs w:val="28"/>
          <w:rtl w:val="true"/>
          <w:lang w:bidi="ar-SA"/>
        </w:rPr>
        <w:t xml:space="preserve">. </w:t>
      </w:r>
      <w:bookmarkStart w:id="245" w:name="pg10913_110655"/>
    </w:p>
    <w:p>
      <w:pPr>
        <w:pStyle w:val="Heading6"/>
        <w:numPr>
          <w:ilvl w:val="5"/>
          <w:numId w:val="1"/>
        </w:numPr>
        <w:rPr/>
      </w:pPr>
      <w:bookmarkStart w:id="246" w:name="__RefHeading___Toc3056610_2870459653"/>
      <w:bookmarkStart w:id="247" w:name="_Toc96"/>
      <w:bookmarkEnd w:id="245"/>
      <w:bookmarkEnd w:id="246"/>
      <w:r>
        <w:rPr/>
        <w:t>2</w:t>
      </w:r>
      <w:r>
        <w:rPr>
          <w:rtl w:val="true"/>
        </w:rPr>
        <w:t xml:space="preserve">. </w:t>
      </w:r>
      <w:r>
        <w:rPr>
          <w:rtl w:val="true"/>
        </w:rPr>
        <w:t>النّكاح اصطلاحاً</w:t>
      </w:r>
      <w:bookmarkEnd w:id="247"/>
    </w:p>
    <w:p>
      <w:pPr>
        <w:pStyle w:val="Heading6"/>
        <w:numPr>
          <w:ilvl w:val="5"/>
          <w:numId w:val="1"/>
        </w:numPr>
        <w:rPr/>
      </w:pPr>
      <w:bookmarkStart w:id="248" w:name="__RefHeading___Toc3056612_2870459653"/>
      <w:bookmarkStart w:id="249" w:name="_Toc97"/>
      <w:bookmarkEnd w:id="248"/>
      <w:r>
        <w:rPr>
          <w:rtl w:val="true"/>
        </w:rPr>
        <w:t>أ</w:t>
      </w:r>
      <w:r>
        <w:rPr>
          <w:rtl w:val="true"/>
        </w:rPr>
        <w:t xml:space="preserve">. </w:t>
      </w:r>
      <w:r>
        <w:rPr>
          <w:rtl w:val="true"/>
        </w:rPr>
        <w:t>في القرآن والروايات</w:t>
      </w:r>
      <w:bookmarkEnd w:id="249"/>
    </w:p>
    <w:p>
      <w:pPr>
        <w:pStyle w:val="BookText"/>
        <w:rPr/>
      </w:pPr>
      <w:r>
        <w:rPr>
          <w:rFonts w:ascii="Amiri" w:hAnsi="Amiri" w:eastAsia="Amiri" w:cs="Amiri"/>
          <w:color w:val="111111"/>
          <w:sz w:val="28"/>
          <w:sz w:val="28"/>
          <w:szCs w:val="28"/>
          <w:rtl w:val="true"/>
          <w:lang w:bidi="ar-SA"/>
        </w:rPr>
        <w:t>المشهور أنّه علقة الزّواج، ويقال أيضاً على سببها وهو العقد المبيح للوطء دخل العاقد أو لم يدخل، وعلى ذلك اتّفاق المسلمين</w:t>
      </w:r>
      <w:r>
        <w:rPr>
          <w:rStyle w:val="FootnoteAnchor"/>
          <w:rtl w:val="true"/>
        </w:rPr>
        <w:footnoteReference w:id="427"/>
      </w:r>
      <w:r>
        <w:rPr>
          <w:rFonts w:ascii="Amiri" w:hAnsi="Amiri" w:eastAsia="Amiri" w:cs="Amiri"/>
          <w:color w:val="111111"/>
          <w:sz w:val="28"/>
          <w:sz w:val="28"/>
          <w:szCs w:val="28"/>
          <w:rtl w:val="true"/>
          <w:lang w:bidi="ar-SA"/>
        </w:rPr>
        <w:t xml:space="preserve">، 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النّكاح يعبّر به عن الوطي، كما يعبّر به عن العقد، فيجب أن يحمل عليهما</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 xml:space="preserve">، وصرّح بذلك أيضاً 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يقع على العقد والوطء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أصله الوطء، ثمّ كثر حتّى قيل للعقد 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نكح ينكح نكاحاً إذا 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وأنكحه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فإنَّ لفظ النِّكاح بمعنى التزويج أكثر استعمالاً في القرآن ولسان أهل العرف وأشهر،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وَأَنْكِحُوا الأَيَامَى مِنْكُمْ وَالصَّالِحِينَ مِنْ عِبَادِكُمْ وَإِمَائِكُمْ</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الْمُشْرِكاتِ حَتَّى 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أطلق النّكاح على عقد الزّواج، وعلى الوطء،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نكح فلانة، أي عقد عليها إن كانت خليّة،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نكح زوجته، أي وطأها، وعليه يكون المراد من النّكاح الزّواج بحقيقته وجميع ملابساته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تَعْزِمُوا عُقْدَةَ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عزماً باتاً قطعياً، أو لا تنشئوا عقد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نَكَحْتُمُ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بالنّكاح هنا عقد الزّواج</w:t>
      </w:r>
      <w:r>
        <w:rPr>
          <w:rFonts w:eastAsia="Amiri" w:cs="Amiri" w:ascii="Amiri" w:hAnsi="Amiri"/>
          <w:color w:val="111111"/>
          <w:sz w:val="28"/>
          <w:szCs w:val="28"/>
          <w:rtl w:val="true"/>
          <w:lang w:bidi="ar-SA"/>
        </w:rPr>
        <w:t xml:space="preserve">. </w:t>
      </w:r>
      <w:bookmarkStart w:id="250" w:name="pg10913_110657"/>
    </w:p>
    <w:p>
      <w:pPr>
        <w:pStyle w:val="BookText"/>
        <w:rPr/>
      </w:pPr>
      <w:bookmarkEnd w:id="250"/>
      <w:r>
        <w:rPr>
          <w:rFonts w:ascii="Amiri" w:hAnsi="Amiri" w:eastAsia="Amiri" w:cs="Amiri"/>
          <w:color w:val="111111"/>
          <w:sz w:val="28"/>
          <w:sz w:val="28"/>
          <w:szCs w:val="28"/>
          <w:rtl w:val="true"/>
          <w:lang w:bidi="ar-SA"/>
        </w:rPr>
        <w:t xml:space="preserve">وأمّا في الروايات فقد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فطرتي فليستن بسُنّتي، ومن سُنّتي النّكاح</w:t>
      </w:r>
      <w:r>
        <w:rPr>
          <w:rFonts w:eastAsia="Amiri" w:cs="Amiri" w:ascii="Amiri" w:hAnsi="Amiri"/>
          <w:color w:val="111111"/>
          <w:sz w:val="28"/>
          <w:szCs w:val="28"/>
          <w:rtl w:val="true"/>
          <w:lang w:bidi="ar-SA"/>
        </w:rPr>
        <w:t>)</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امرأة نَكَحت بغير إذن وليّها فنكاحها باطل باطل باطل فإن أصابها فلها المهر</w:t>
      </w:r>
      <w:r>
        <w:rPr>
          <w:rFonts w:eastAsia="IRNazanin" w:cs="IRNazanin"/>
          <w:color w:val="111111"/>
          <w:sz w:val="28"/>
          <w:szCs w:val="28"/>
          <w:rtl w:val="true"/>
          <w:lang w:bidi="fa-IR"/>
        </w:rPr>
        <w:t>..</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تناكحوا، تكثّروا، فإنّي أباهي بكم الأمم حتّى بالسقط</w:t>
      </w:r>
      <w:r>
        <w:rPr>
          <w:rFonts w:eastAsia="IRNazanin" w:cs="IRNazanin"/>
          <w:color w:val="111111"/>
          <w:sz w:val="28"/>
          <w:szCs w:val="28"/>
          <w:rtl w:val="true"/>
          <w:lang w:bidi="fa-IR"/>
        </w:rPr>
        <w:t>)</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النّكاح والتناكح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العقد</w:t>
      </w:r>
      <w:r>
        <w:rPr>
          <w:rFonts w:eastAsia="IRNazanin" w:cs="IRNazanin"/>
          <w:color w:val="111111"/>
          <w:sz w:val="28"/>
          <w:szCs w:val="28"/>
          <w:rtl w:val="true"/>
          <w:lang w:bidi="fa-IR"/>
        </w:rPr>
        <w:t>.</w:t>
      </w:r>
    </w:p>
    <w:p>
      <w:pPr>
        <w:pStyle w:val="Heading6"/>
        <w:numPr>
          <w:ilvl w:val="5"/>
          <w:numId w:val="1"/>
        </w:numPr>
        <w:rPr/>
      </w:pPr>
      <w:bookmarkStart w:id="251" w:name="__RefHeading___Toc3056614_2870459653"/>
      <w:bookmarkStart w:id="252" w:name="_Toc98"/>
      <w:bookmarkEnd w:id="251"/>
      <w:r>
        <w:rPr>
          <w:rtl w:val="true"/>
        </w:rPr>
        <w:t>ب</w:t>
      </w:r>
      <w:r>
        <w:rPr>
          <w:rtl w:val="true"/>
        </w:rPr>
        <w:t xml:space="preserve">. </w:t>
      </w:r>
      <w:r>
        <w:rPr>
          <w:rtl w:val="true"/>
        </w:rPr>
        <w:t>في الفقه</w:t>
      </w:r>
      <w:bookmarkEnd w:id="252"/>
    </w:p>
    <w:p>
      <w:pPr>
        <w:pStyle w:val="BookText"/>
        <w:rPr/>
      </w:pPr>
      <w:r>
        <w:rPr>
          <w:rFonts w:ascii="Amiri" w:hAnsi="Amiri" w:eastAsia="Amiri" w:cs="Amiri"/>
          <w:color w:val="111111"/>
          <w:sz w:val="28"/>
          <w:sz w:val="28"/>
          <w:szCs w:val="28"/>
          <w:rtl w:val="true"/>
          <w:lang w:bidi="ar-SA"/>
        </w:rPr>
        <w:t xml:space="preserve">أمّا فقهاء الإماميّة فقد ذكر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النّكاح يستعمل بالمعنيين العقد والوطء إلّا أنّ استعماله في العقد أكثر، وقد اختلف الفقهاء في كونه مشتركاً بين المعنيين، نظراً إلى استعماله فيهما، والأصل في الاستعمال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لكثرة الاستعمال فيه فيكون جانب الحقيقة فيه راجحاً حيث يضطر إلى جعل أحدهما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الأجود</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القول مختار السيّد السند في شرح النافع،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حقيقة في العقد، مجاز في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الشيخ أنّه نصّ على أنّ النّكاح في عرف الشرع حقيقة في العقد، مجاز في الوطء، وتبعه ابن إدريس،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خلاف في ذلك</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يطلق ويراد به العقد خاصّة في كلٍّ من عرفيّ الشرع واللغة</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يطلق النّكاح على العقد الموجب لحلّيّة هذا الانضمام والاختلاط بهذا الجامع</w:t>
      </w:r>
      <w:r>
        <w:rPr>
          <w:rStyle w:val="FootnoteAnchor"/>
          <w:rtl w:val="true"/>
        </w:rPr>
        <w:footnoteReference w:id="437"/>
      </w:r>
      <w:r>
        <w:rPr>
          <w:rFonts w:ascii="Amiri" w:hAnsi="Amiri" w:eastAsia="Amiri" w:cs="Amiri"/>
          <w:color w:val="111111"/>
          <w:sz w:val="28"/>
          <w:sz w:val="28"/>
          <w:szCs w:val="28"/>
          <w:rtl w:val="true"/>
          <w:lang w:bidi="ar-SA"/>
        </w:rPr>
        <w:t>أيضاً، فللانضمام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الشأني والخارجي، فلا وجه للمشترك اللفظي، ولا الحقيقة والمجاز، ولا غير ذلك ممّا ذكروه في أمثال المقام</w:t>
      </w:r>
      <w:r>
        <w:rPr>
          <w:rFonts w:eastAsia="Amiri" w:cs="Amiri" w:ascii="Amiri" w:hAnsi="Amiri"/>
          <w:color w:val="111111"/>
          <w:sz w:val="28"/>
          <w:szCs w:val="28"/>
          <w:rtl w:val="true"/>
          <w:lang w:bidi="ar-SA"/>
        </w:rPr>
        <w:t>)</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فالاختلاف في حقيقته كالأقوال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المذاهب الأُخر فقد اختلفوا في حقيقة النّكاح على أقوال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النّكاح حقيقة في العقد دون الوطء، وهو قول الشافعية، والحنابلة، وظاهر صنيع بعض المالكيّة يدل على اعتماده في المذهب</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عليه بالقرآن والسُنّة وعرف الصحابة</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النّكاح حقيقة في الوطء دون العقد، وهو مذهب الحنفية، واختاره بعض الحنابلة، وهو أحد الأوجه عند الشافعية</w:t>
      </w:r>
      <w:r>
        <w:rPr>
          <w:rStyle w:val="FootnoteAnchor"/>
          <w:rtl w:val="true"/>
        </w:rPr>
        <w:footnoteReference w:id="44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تبيين الحقائق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الشرح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الإنصاف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المبدع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النووي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مغني المحتاج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ودليل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استعماله لغة إنَّما هو في الوطء، كما قاله الأزهري وغيره من أهل اللّغة، والأصل عدم النقل</w:t>
      </w:r>
      <w:r>
        <w:rPr>
          <w:rStyle w:val="FootnoteAnchor"/>
          <w:rtl w:val="true"/>
        </w:rPr>
        <w:footnoteReference w:id="442"/>
      </w:r>
      <w:r>
        <w:rPr>
          <w:rFonts w:ascii="IRNazanin" w:hAnsi="IRNazanin" w:eastAsia="IRNazanin"/>
          <w:color w:val="111111"/>
          <w:sz w:val="28"/>
          <w:sz w:val="28"/>
          <w:szCs w:val="28"/>
          <w:rtl w:val="true"/>
          <w:lang w:bidi="fa-IR"/>
        </w:rPr>
        <w:t xml:space="preserve">، وجاءت به السُنّة من قبيل ما ورد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اصنعوا كلّ شيء إلّا النّكاح</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النّكاح مشترك لفظيّ بين العقد والوطء، وهو قول لبعض الحنابلة،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ظاهر ما نُقل عن أحمد ابن حنبل</w:t>
      </w:r>
      <w:r>
        <w:rPr>
          <w:rStyle w:val="FootnoteAnchor"/>
          <w:rtl w:val="true"/>
        </w:rPr>
        <w:footnoteReference w:id="444"/>
      </w:r>
      <w:r>
        <w:rPr>
          <w:rFonts w:ascii="Amiri" w:hAnsi="Amiri" w:eastAsia="Amiri" w:cs="Amiri"/>
          <w:color w:val="111111"/>
          <w:sz w:val="28"/>
          <w:sz w:val="28"/>
          <w:szCs w:val="28"/>
          <w:rtl w:val="true"/>
          <w:lang w:bidi="ar-SA"/>
        </w:rPr>
        <w:t>، وهو أحد الأوجه عند الشافعية</w:t>
      </w:r>
      <w:r>
        <w:rPr>
          <w:rStyle w:val="FootnoteAnchor"/>
          <w:rtl w:val="true"/>
        </w:rPr>
        <w:footnoteReference w:id="445"/>
      </w:r>
      <w:r>
        <w:rPr>
          <w:rFonts w:ascii="Amiri" w:hAnsi="Amiri" w:eastAsia="Amiri" w:cs="Amiri"/>
          <w:color w:val="111111"/>
          <w:sz w:val="28"/>
          <w:sz w:val="28"/>
          <w:szCs w:val="28"/>
          <w:rtl w:val="true"/>
          <w:lang w:bidi="ar-SA"/>
        </w:rPr>
        <w:t>، 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 بالاشتراك على كلٍّ منهما، وبه جزم الزجّاجي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الذي </w:t>
      </w:r>
    </w:p>
    <w:p>
      <w:pPr>
        <w:pStyle w:val="BookText"/>
        <w:rPr/>
      </w:pPr>
      <w:r>
        <w:rPr>
          <w:rFonts w:ascii="Amiri" w:hAnsi="Amiri" w:eastAsia="Amiri" w:cs="Amiri"/>
          <w:color w:val="111111"/>
          <w:sz w:val="28"/>
          <w:sz w:val="28"/>
          <w:szCs w:val="28"/>
          <w:rtl w:val="true"/>
          <w:lang w:bidi="ar-SA"/>
        </w:rPr>
        <w:t>يترجّح في نظري وإن كان أكثر ما يستعمل في العقد</w:t>
      </w:r>
      <w:r>
        <w:rPr>
          <w:rFonts w:eastAsia="Amiri" w:cs="Amiri" w:ascii="Amiri" w:hAnsi="Amiri"/>
          <w:color w:val="111111"/>
          <w:sz w:val="28"/>
          <w:szCs w:val="28"/>
          <w:rtl w:val="true"/>
          <w:lang w:bidi="ar-SA"/>
        </w:rPr>
        <w:t>)</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هذا القول أنَّه ثبت الاستعمال في اللغة والشّرع بمعنى الوطء والعقد، والأصل في الإطلاق الحقيقة</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النّكاح مشترك معنويّ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المرداوي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هو حقيقة فيهما معاً، فلا يقال هو حقيقة على أحدهما بانفراده، بل على مجموعهما فهو من الألفاظ المتواطئة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والأشبه أنّه حقيقة في كل واحد باعتبار مطلق الضمّ؛ لأنّ التواطؤ خير من الاشتراك والمجاز؛ لأنّهما على خلاف الأصل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مالك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حقيقة في العقد والوطء جميعاً وليس أحدهما أخصّ منه بالآخر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المرداوي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أنّ هذا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نقل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 أن يريد به الاشتراك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اللفظي</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فالراجح عند الفقهاء هو أنّ النّكاح هو العقد، ويمكن الاستدلال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الراغب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النِّكاح للعقد ثمّ استعير للجماع، ومُحَال أن يكون في الأصل للجماع ثم استعير للعقد؛ لأنَّ أسماء الجماع كلَّها كنايات؛ لاستقباحهم ذكره كاستقباح تعاطيه، ومحال أن يستعير مَن لا يقصد فحشاً اسم ما يستفظعونه لما يستحسنونه</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يصحّ نفي النِّكاح عن الوطء،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سفاح لا نكاح، وصحّة </w:t>
      </w:r>
    </w:p>
    <w:p>
      <w:pPr>
        <w:pStyle w:val="BookText"/>
        <w:rPr/>
      </w:pPr>
      <w:r>
        <w:rPr>
          <w:rFonts w:ascii="Amiri" w:hAnsi="Amiri" w:eastAsia="Amiri" w:cs="Amiri"/>
          <w:color w:val="111111"/>
          <w:sz w:val="28"/>
          <w:sz w:val="28"/>
          <w:szCs w:val="28"/>
          <w:rtl w:val="true"/>
          <w:lang w:bidi="ar-SA"/>
        </w:rPr>
        <w:t>النفي دليل المجاز</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النِّكاح أحد اللفظين المجمع على صحّة العقد بهما، فكان حقيقة فيه كاللفظ الآخر، وهو لفظ التزويج</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الذهن ينصرف إليه عند الإطلاق ولا يتبادر إلّا إليه، فهو إن لم يكن حقيقة فيه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نقله العرف</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العرف في المفهوم الشرعي الفقهي</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ولذا استعملت كلمة النّكاح وأطلق على مسائله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موسوعات الحديث من الكافي، ومن لا يحضره الفقيه، والاستبصار وغيرها، وكذا في الموسوعات والكتب الفقهية للقدماء والمتأخّرين ومتأخّري المتأخّرين والمعاصرين، إلّا البعض منهم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المذاهب الأُخر فقد كان استعمال لفظ النِّكَاح أكثر شيوعاً عند الفقهاء القدامى من لفظ الزّواج، ولم يعنون الفقهاء في موسوعاتهم الفقهية أحكام الزّواج وأنواعه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الزّواج أو التزويج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عنونوها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عن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تلا الآيات التي وردت في القرآن في النّكاح والتزويج،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فأسمى الله عزّ وجلّ النّكاح اسمين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والتزويج، وذكر آية الهبة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فأبانَ جلّ ثناؤه أنّ الهبة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المؤمنين، قال والهبة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تجمع </w:t>
      </w:r>
    </w:p>
    <w:p>
      <w:pPr>
        <w:pStyle w:val="BookText"/>
        <w:rPr/>
      </w:pPr>
      <w:r>
        <w:rPr>
          <w:rFonts w:ascii="Amiri" w:hAnsi="Amiri" w:eastAsia="Amiri" w:cs="Amiri"/>
          <w:color w:val="111111"/>
          <w:sz w:val="28"/>
          <w:sz w:val="28"/>
          <w:szCs w:val="28"/>
          <w:rtl w:val="true"/>
          <w:lang w:bidi="ar-SA"/>
        </w:rPr>
        <w:t>أن ينعقد له عليها عقدة النّكاح بأن تهب نفسها له بلا مهر، وفي هذا دلالة على أن لا يجوز نكاح إلّا باسم النّكاح أو التزويج</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استعمالاً في الفقه للدلالة على عقد الزّواج وأحكامه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استعمل في الوطء، أو في المعنى الأعمّ وهو الضمّ ونحوه، إلّا أنّه أكثر استعمالاً وأشهر في الدلالة على عقد الزّواج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وكثرة الاستعمال من أقوى أدلَّة حقائق معاني الألفاظ؛ إذ ليس هناك حجَّة أقوى من كثرة الاستعمال وشهرته في أحد المعنيين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وظهوره في عقد التزويج في القرآن والروايات والفقه، ولذا اتفق المسلمون على أنّ النّكاح علقة الزّواج، ويقال أيضاً على سببها، وهو العقد المبيح للوطء دخل العاقد أو لم يدخل؛ ومن أجل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يرد في القرآن بمعنى الوطء إلّا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تَنكِحَ زَوْجًا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هو يطلق على عقد الزّواج، أو على الزّواج بحقيقته وجميع ملابساته، أو على الوطء</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يكون النّكاح هو الأصحّ والأصدق والأبلغ والأولى من الزّواج والموافق للّغة والاصطلاح؛ لأنّه الأصل في العقد عند الأكثر، ويطلق على نكاح الإنسان ولا يشترك غيره معه، ويطلق على الخطبة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النكاح معنى التعبّد ولهذا اختص بلفظ التزويج والإنكاح فأشبه ألفاظ الأذكار في الصلاة والله تعالى أعلم</w:t>
      </w:r>
      <w:r>
        <w:rPr>
          <w:rFonts w:eastAsia="Amiri" w:cs="Amiri" w:ascii="Amiri" w:hAnsi="Amiri"/>
          <w:color w:val="111111"/>
          <w:sz w:val="28"/>
          <w:szCs w:val="28"/>
          <w:rtl w:val="true"/>
          <w:lang w:bidi="ar-SA"/>
        </w:rPr>
        <w:t>)</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فالمشرّع لقانون الأحوال الشخصيّة العراقي لم يكن دقيقاً في اختيار عنوان الباب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والفصل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خالف اللّغة والاستعمال القرآني والفقهي</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أحسن مشرّع قانون الأحوال الشخصيّة الجعفري حين عنون الباب الثاني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فوافق اللغة والاستعمال القرآني والفقهي، ولكنّه جعل الزّواج بين قوسين، ولا أعلم السبب الذي دعاه لذلك، ولعلّه للبيان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هذا السبب هو الذي دعا بعض القوانين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كقانون الأحوال الشخصيّة الأردني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موادّه ومشتقاته وعنون الباب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bookmarkStart w:id="253" w:name="pg10913_110670"/>
    </w:p>
    <w:p>
      <w:pPr>
        <w:pStyle w:val="Heading4"/>
        <w:numPr>
          <w:ilvl w:val="3"/>
          <w:numId w:val="1"/>
        </w:numPr>
        <w:rPr/>
      </w:pPr>
      <w:bookmarkStart w:id="254" w:name="__RefHeading___Toc3056616_2870459653"/>
      <w:bookmarkStart w:id="255" w:name="_Toc99"/>
      <w:bookmarkEnd w:id="253"/>
      <w:bookmarkEnd w:id="254"/>
      <w:r>
        <w:rPr>
          <w:rtl w:val="true"/>
        </w:rPr>
        <w:t>المقصد الثَّاني</w:t>
      </w:r>
      <w:r>
        <w:rPr>
          <w:rtl w:val="true"/>
        </w:rPr>
        <w:t xml:space="preserve">: </w:t>
      </w:r>
      <w:r>
        <w:rPr>
          <w:rtl w:val="true"/>
        </w:rPr>
        <w:t>دراسة فقهيّة مقارنة لتعريف الزّواج والنّكاح في القانونين العراقي والجعفري</w:t>
      </w:r>
      <w:bookmarkEnd w:id="255"/>
    </w:p>
    <w:p>
      <w:pPr>
        <w:pStyle w:val="Heading5"/>
        <w:numPr>
          <w:ilvl w:val="4"/>
          <w:numId w:val="1"/>
        </w:numPr>
        <w:rPr/>
      </w:pPr>
      <w:bookmarkStart w:id="256" w:name="__RefHeading___Toc3056618_2870459653"/>
      <w:bookmarkStart w:id="257" w:name="_Toc100"/>
      <w:bookmarkEnd w:id="256"/>
      <w:r>
        <w:rPr>
          <w:rtl w:val="true"/>
        </w:rPr>
        <w:t>اشارة</w:t>
      </w:r>
      <w:bookmarkEnd w:id="257"/>
    </w:p>
    <w:p>
      <w:pPr>
        <w:pStyle w:val="BookText"/>
        <w:rPr/>
      </w:pPr>
      <w:r>
        <w:rPr>
          <w:rFonts w:ascii="IRNazanin" w:hAnsi="IRNazanin" w:eastAsia="IRNazanin"/>
          <w:color w:val="111111"/>
          <w:sz w:val="28"/>
          <w:sz w:val="28"/>
          <w:szCs w:val="28"/>
          <w:rtl w:val="true"/>
          <w:lang w:bidi="fa-IR"/>
        </w:rPr>
        <w:t>ثمّ التعرّض لنقدهما، فهاهنا أمران</w:t>
      </w:r>
      <w:r>
        <w:rPr>
          <w:rFonts w:eastAsia="IRNazanin" w:cs="IRNazanin"/>
          <w:color w:val="111111"/>
          <w:sz w:val="28"/>
          <w:szCs w:val="28"/>
          <w:rtl w:val="true"/>
          <w:lang w:bidi="fa-IR"/>
        </w:rPr>
        <w:t>:</w:t>
      </w:r>
    </w:p>
    <w:p>
      <w:pPr>
        <w:pStyle w:val="Heading5"/>
        <w:numPr>
          <w:ilvl w:val="4"/>
          <w:numId w:val="1"/>
        </w:numPr>
        <w:rPr/>
      </w:pPr>
      <w:bookmarkStart w:id="258" w:name="__RefHeading___Toc3056620_2870459653"/>
      <w:bookmarkStart w:id="259" w:name="_Toc101"/>
      <w:bookmarkEnd w:id="258"/>
      <w:r>
        <w:rPr>
          <w:rtl w:val="true"/>
        </w:rPr>
        <w:t>الأمر الأوَّل</w:t>
      </w:r>
      <w:bookmarkEnd w:id="259"/>
    </w:p>
    <w:p>
      <w:pPr>
        <w:pStyle w:val="Heading6"/>
        <w:numPr>
          <w:ilvl w:val="5"/>
          <w:numId w:val="1"/>
        </w:numPr>
        <w:rPr/>
      </w:pPr>
      <w:bookmarkStart w:id="260" w:name="__RefHeading___Toc3056622_2870459653"/>
      <w:bookmarkStart w:id="261" w:name="_Toc102"/>
      <w:bookmarkEnd w:id="260"/>
      <w:r>
        <w:rPr>
          <w:rtl w:val="true"/>
        </w:rPr>
        <w:t>اشارة</w:t>
      </w:r>
      <w:bookmarkEnd w:id="261"/>
    </w:p>
    <w:p>
      <w:pPr>
        <w:pStyle w:val="BookText"/>
        <w:rPr/>
      </w:pPr>
      <w:r>
        <w:rPr>
          <w:rFonts w:ascii="Amiri" w:hAnsi="Amiri" w:eastAsia="Amiri" w:cs="Amiri"/>
          <w:color w:val="111111"/>
          <w:sz w:val="28"/>
          <w:sz w:val="28"/>
          <w:szCs w:val="28"/>
          <w:rtl w:val="true"/>
          <w:lang w:bidi="ar-SA"/>
        </w:rPr>
        <w:t xml:space="preserve">دراسة فقهيّة مقارنة لتعريف الزّواج في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ف</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قانون الأحوال الشخصيّة العراقي، وما يقابلها من تعريف النّكاح في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مشروع قانون الأحوال الشخصيّة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المشرّع العراقي في هذا الباب أحكام عقد الزّواج تعريفاً وحكماً وحكمةً وأركاناً وشروطاً وأهليّةً وإثباتاً، في أربعة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وتناول في الفصل الأوّل تعريف الزّواج والخطبة، فنصّ في المادّة الثالثة منه على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بين رجل وامرأة تحلّ له شرعاً غايته إنشاء رابطة للحياة المشتركة والنسل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منقول نصّاً من المادّة الأولى من قانون الأحوال الشخصيّة السوري</w:t>
      </w:r>
      <w:r>
        <w:rPr>
          <w:rStyle w:val="FootnoteAnchor"/>
          <w:rtl w:val="true"/>
        </w:rPr>
        <w:footnoteReference w:id="457"/>
      </w:r>
      <w:r>
        <w:rPr>
          <w:rFonts w:ascii="Amiri" w:hAnsi="Amiri" w:eastAsia="Amiri" w:cs="Amiri"/>
          <w:color w:val="111111"/>
          <w:sz w:val="28"/>
          <w:sz w:val="28"/>
          <w:szCs w:val="28"/>
          <w:rtl w:val="true"/>
          <w:lang w:bidi="ar-SA"/>
        </w:rPr>
        <w:t xml:space="preserve">، مع تغيير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الوجه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 القانون الفلسطيني</w:t>
      </w:r>
      <w:r>
        <w:rPr>
          <w:rStyle w:val="FootnoteAnchor"/>
          <w:rtl w:val="true"/>
        </w:rPr>
        <w:footnoteReference w:id="458"/>
      </w:r>
      <w:r>
        <w:rPr>
          <w:rFonts w:ascii="Amiri" w:hAnsi="Amiri" w:eastAsia="Amiri" w:cs="Amiri"/>
          <w:color w:val="111111"/>
          <w:sz w:val="28"/>
          <w:sz w:val="28"/>
          <w:szCs w:val="28"/>
          <w:rtl w:val="true"/>
          <w:lang w:bidi="ar-SA"/>
        </w:rPr>
        <w:t>والأردني</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المشرّع الجعفري في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 على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رابطة تنشأ بين رجل وامرأة تحلّ له شرعاً</w:t>
      </w:r>
      <w:r>
        <w:rPr>
          <w:rFonts w:eastAsia="Amiri" w:cs="Amiri" w:ascii="Amiri" w:hAnsi="Amiri"/>
          <w:color w:val="111111"/>
          <w:sz w:val="28"/>
          <w:szCs w:val="28"/>
          <w:rtl w:val="true"/>
          <w:lang w:bidi="ar-SA"/>
        </w:rPr>
        <w:t xml:space="preserve">). </w:t>
      </w:r>
      <w:bookmarkStart w:id="262" w:name="pg10913_110672"/>
    </w:p>
    <w:p>
      <w:pPr>
        <w:pStyle w:val="Heading6"/>
        <w:numPr>
          <w:ilvl w:val="5"/>
          <w:numId w:val="1"/>
        </w:numPr>
        <w:rPr/>
      </w:pPr>
      <w:bookmarkStart w:id="263" w:name="__RefHeading___Toc3056624_2870459653"/>
      <w:bookmarkStart w:id="264" w:name="_Toc103"/>
      <w:bookmarkEnd w:id="262"/>
      <w:bookmarkEnd w:id="263"/>
      <w:r>
        <w:rPr>
          <w:rtl w:val="true"/>
        </w:rPr>
        <w:t>دراسة تحليليّة للتعريفين</w:t>
      </w:r>
      <w:bookmarkEnd w:id="264"/>
    </w:p>
    <w:p>
      <w:pPr>
        <w:pStyle w:val="BookText"/>
        <w:rPr/>
      </w:pPr>
      <w:r>
        <w:rPr>
          <w:rFonts w:ascii="Amiri" w:hAnsi="Amiri" w:eastAsia="Amiri" w:cs="Amiri"/>
          <w:color w:val="111111"/>
          <w:sz w:val="28"/>
          <w:sz w:val="28"/>
          <w:szCs w:val="28"/>
          <w:rtl w:val="true"/>
          <w:lang w:bidi="ar-SA"/>
        </w:rPr>
        <w:t>تظهر أهميّة الزّواج من التعاريف التي ذكرت في القوانين سواء العراقي أم الفرنسي أم السوفيتي أم غيرها، بل في كافة المجتمعات؛ لأنّه النّواة والأساس لبناء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والمشرّع العراقي تبعاً لعدّة من الفقهاء عرّف الزّواج بأنّه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 بعض هذه التعريفات الفقهية، وعلى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الشيخ أنّه نصّ على أنّ النّكاح في عرف الشرع حقيقة في العقد وتبعه ابن إدريس،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خلاف في ذلك، كما أنّه مختار السيّد السند في شرح النافع،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حقيقة في العقد</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الشهيد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التزويج حقيقة في العقد</w:t>
      </w:r>
      <w:r>
        <w:rPr>
          <w:rFonts w:eastAsia="Amiri" w:cs="Amiri" w:ascii="Amiri" w:hAnsi="Amiri"/>
          <w:color w:val="111111"/>
          <w:sz w:val="28"/>
          <w:szCs w:val="28"/>
          <w:rtl w:val="true"/>
          <w:lang w:bidi="ar-SA"/>
        </w:rPr>
        <w:t>)</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اختلف الفقهاء في كونه مشتركاً بين المعنيين؛ نظراً إلى استعماله فيهما، والأصل في الاستعمال الحقيقة، أم هو حقيقة في أحدها مجاز في الآخر؛ التفاتاً إلى أنّ المجاز خير من الاشتراك عند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اختلفوا في أنّ أيّ المعنيين الحقيقي؟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الوطء؛ لثبوته لغة بكثرة، فحقيقته لغة لا إشكال فيها فيستصحب؛ لأصالة عدم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لكثرة الاستعمال فيه فيكون جانب الحقيقة فيه راجحاً حيث يضطر إلى جعل أحدهما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الأجود</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الحنفية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 يفيد ملك المتعة</w:t>
      </w:r>
      <w:r>
        <w:rPr>
          <w:rFonts w:eastAsia="Amiri" w:cs="Amiri" w:ascii="Amiri" w:hAnsi="Amiri"/>
          <w:color w:val="111111"/>
          <w:sz w:val="28"/>
          <w:szCs w:val="28"/>
          <w:rtl w:val="true"/>
          <w:lang w:bidi="ar-SA"/>
        </w:rPr>
        <w:t>).</w:t>
      </w:r>
      <w:r>
        <w:rPr>
          <w:rStyle w:val="FootnoteAnchor"/>
          <w:rtl w:val="true"/>
        </w:rPr>
        <w:footnoteReference w:id="463"/>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وعرّفه الغرياني المالكي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عقد بين الرجل والمرأة يبيح استمتاع كلٍّ منهما </w:t>
      </w:r>
      <w:bookmarkStart w:id="265" w:name="pg10913_110675"/>
    </w:p>
    <w:p>
      <w:pPr>
        <w:pStyle w:val="BookText"/>
        <w:rPr/>
      </w:pPr>
      <w:bookmarkEnd w:id="265"/>
      <w:r>
        <w:rPr>
          <w:rFonts w:ascii="Amiri" w:hAnsi="Amiri" w:eastAsia="Amiri" w:cs="Amiri"/>
          <w:color w:val="111111"/>
          <w:sz w:val="28"/>
          <w:sz w:val="28"/>
          <w:szCs w:val="28"/>
          <w:rtl w:val="true"/>
          <w:lang w:bidi="ar-SA"/>
        </w:rPr>
        <w:t>بالآخر ويبيّن ما لكلّ منهما من حقوق وما عليه من واجبات، ويقصد به حفظ النوع الإنساني</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وعرّفه الشافعية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 يتضمّن إباحة وطء بلفظ الإنكاح والتزويج</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وعرّفه الحنابلة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 التزويج</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وعرّفه من المعاصرين محمّد أبو زهرة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عقد يفيد حِلّ العشْرة بين الرجل والمرأة بما يحقّق ما يتقاضاه الطبع الإنساني، وتعاونهما مدى الحياة، ويحدّد ما لكليهما من حقوق وما عليه من واجبات</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6" w:name="__RefHeading___Toc3056626_2870459653"/>
      <w:bookmarkStart w:id="267" w:name="_Toc104"/>
      <w:bookmarkEnd w:id="266"/>
      <w:r>
        <w:rPr>
          <w:rtl w:val="true"/>
        </w:rPr>
        <w:t>توضيح مفردات التعريف</w:t>
      </w:r>
      <w:bookmarkEnd w:id="26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تطابق إرادتين أو أكثر على ترتيب آثار قانونيّة سواء كانت هذه الآثار هي إنشاء الالتزام، أم نقله، أم تعديله، أم إنهاؤه، حسبما عُرّف في فقه 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وعرَّفه المشرّع العراقي في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القانون المدني العراقي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ارتباط الإيجاب الصادر من أحد المتعاقدين بقبول الآخر على وجه يثبت أثره في المعقود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يتّضح أنّ العقد لا يكون إلّا عبارة عن إرادتين متطابقتين لا إرادة واحدة، فالعقد يصدق قانوناً إذا توفّر على شرطين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يكون الاتّفاق بين الطرفين واقعاً في نطاق القانون الخاصّ</w:t>
      </w:r>
      <w:r>
        <w:rPr>
          <w:rFonts w:eastAsia="Amiri" w:cs="Amiri" w:ascii="Amiri" w:hAnsi="Amiri"/>
          <w:color w:val="111111"/>
          <w:sz w:val="28"/>
          <w:szCs w:val="28"/>
          <w:rtl w:val="true"/>
          <w:lang w:bidi="ar-SA"/>
        </w:rPr>
        <w:t>.</w:t>
      </w:r>
      <w:bookmarkStart w:id="268" w:name="pg10913_110677"/>
    </w:p>
    <w:p>
      <w:pPr>
        <w:pStyle w:val="BookText"/>
        <w:rPr/>
      </w:pPr>
      <w:bookmarkEnd w:id="26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في دائرة المعاملات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فالمعاهدة التي تبرم بين دولة وأخرى لا تعدّ عقداً؛ لأنّها تقع في نطاق القانون العامّ، وكذا الزّواج لا يعدّ عقداً؛ لأنّه وإن كان واقعاً في نطاق القانون الخاصّ، إلّا أنّه لا يقع في دائرة المعاملات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والزّواج لا يعدّ عقداً بمعنى أنّه لا يدخل في القانون المدني العراقي، بل يدخل في الأحوال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عرَّف المشرّع العراقي الزّواج في قانون الأحوال الشخصيّة بأنّه عقد لكن لا بمصطلح القانون المدني، وإنّما بالمعنى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مشرّع القانون الجعفري فقد عرّف النّكاح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بهذا التعريف لم يتبنَّ مشهور الفقه الجعفري الذي ذهب إلى أنّ النّكاح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نبحث عن معنى العقد والرابطة ليتّضح أيّهما أدقّ وأبلغ في تعريف الزّواج</w:t>
      </w:r>
      <w:r>
        <w:rPr>
          <w:rFonts w:eastAsia="Amiri" w:cs="Amiri" w:ascii="Amiri" w:hAnsi="Amiri"/>
          <w:color w:val="111111"/>
          <w:sz w:val="28"/>
          <w:szCs w:val="28"/>
          <w:rtl w:val="true"/>
          <w:lang w:bidi="ar-SA"/>
        </w:rPr>
        <w:t>.</w:t>
      </w:r>
    </w:p>
    <w:p>
      <w:pPr>
        <w:pStyle w:val="Heading6"/>
        <w:numPr>
          <w:ilvl w:val="5"/>
          <w:numId w:val="1"/>
        </w:numPr>
        <w:rPr/>
      </w:pPr>
      <w:bookmarkStart w:id="269" w:name="__RefHeading___Toc3056628_2870459653"/>
      <w:bookmarkStart w:id="270" w:name="_Toc105"/>
      <w:bookmarkEnd w:id="269"/>
      <w:r>
        <w:rPr>
          <w:rtl w:val="true"/>
        </w:rPr>
        <w:t>العقد والرابطة بالمعنى اللغوي</w:t>
      </w:r>
      <w:bookmarkEnd w:id="27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والقاف والدال أصل واحد يدلّ على شدّ وشدّة وثوق، وإليه ترجع فروع الباب كلّها، من ذلك عقد البناء، والجمع أعقاد وعقود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أسمع له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وعاقدته مثل عاهدته وهو العقد، والجمع عقود،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والعقد عقد اليمين،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يُؤَاخِذُكُم بِمَا عَقَّدتُّمُ 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وعقدة النّكاح وكل شيء وجوبه وإبرامه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والعقدة في البيع إيجابه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عُقد</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وعقدة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وعقدة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وعقدة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والعقد مثل العهد، عاقدته عقداً مثل عاهدته عهداً</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الزبيدي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صَرَّحَ به أَئِمَّةُ الاشتِقَاقِ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العَقْدِ نَقِيض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عُقْدةُ النِّكَاح</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فمعناها كما ذكر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خلّف فلان بالثغر جيشاً رابطة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وببلد كذا رابطة من الخيل</w:t>
      </w:r>
      <w:r>
        <w:rPr>
          <w:rFonts w:eastAsia="Amiri" w:cs="Amiri" w:ascii="Amiri" w:hAnsi="Amiri"/>
          <w:color w:val="111111"/>
          <w:sz w:val="28"/>
          <w:szCs w:val="28"/>
          <w:rtl w:val="true"/>
          <w:lang w:bidi="ar-SA"/>
        </w:rPr>
        <w:t>)</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بالبلد شحنة من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رابطة</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فارس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الراء والباء والطاء أصل واحد يدلّ على شدّ وثبات، من ذلك ربطت الشيء أربطه ربطاً، والذي يشدّ به رباط</w:t>
      </w:r>
      <w:r>
        <w:rPr>
          <w:rFonts w:eastAsia="Amiri" w:cs="Amiri" w:ascii="Amiri" w:hAnsi="Amiri"/>
          <w:color w:val="111111"/>
          <w:sz w:val="28"/>
          <w:szCs w:val="28"/>
          <w:rtl w:val="true"/>
          <w:lang w:bidi="ar-SA"/>
        </w:rPr>
        <w:t>)</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ربط الدابة شدّها بالرباط والمربط وهو الحبل، وقطعت الدابة رباطها ومربطها والخيل ربطها ومرابطها</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المعاجم الحديثة واللغة العربية المعاصرة فالرابِطة اسم،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رَابِطات وروابِطُ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والوُصْلَةُ بين الشيئين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والجماعة يجمَعُهم أمر يشتركون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رابطة الأُدباء</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bookmarkStart w:id="271" w:name="pg10913_110681"/>
    </w:p>
    <w:p>
      <w:pPr>
        <w:pStyle w:val="Heading6"/>
        <w:numPr>
          <w:ilvl w:val="5"/>
          <w:numId w:val="1"/>
        </w:numPr>
        <w:rPr/>
      </w:pPr>
      <w:bookmarkStart w:id="272" w:name="__RefHeading___Toc3056630_2870459653"/>
      <w:bookmarkStart w:id="273" w:name="_Toc106"/>
      <w:bookmarkEnd w:id="271"/>
      <w:bookmarkEnd w:id="272"/>
      <w:r>
        <w:rPr>
          <w:rtl w:val="true"/>
        </w:rPr>
        <w:t>النتيجة</w:t>
      </w:r>
      <w:bookmarkEnd w:id="273"/>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الشيء بغيره ووصله به، وأصله نقيض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الرابطة فإن كانت مأخوذة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أصل واحد يدلّ على شدّ وثبات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الإبرام والشدّ والربط والوصل والوجوب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فالربط أحد معاني العقد؛ لأنّه يفيد الشدّ والثبات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والرابطة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المجموعة من الخيل أو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هناك تطوّر دلالي في استعمالها فقالوا الرَّابطَةُ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يجمَعُهم أمر يشتركون فيه، وهي مؤنَّث رابط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والرابطة هي العلاقة والوصلة بين الشيئين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طبيعة العقد أن يكون بين طرفين، فإن صدر من واحد فهو عهد وليس عقداً؛ ولذا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الشيء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المجموعة من الخيل أو من الإنسان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فيه معنى التغليظ والإبرام والوجوب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الرابطة فليس فيها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الربط فيه معنى الشدّ والثبات فإذا كانت الرابطة مؤنث الرابط يمكن أن تدلّ على الشدّ والثبات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إضافة العقد إلى النّكاح وغيره من العقود استعارة من المعنى اللغوي، وليس معناه الأصلي؛ لأنّ الألفاظ حسب الاستعمالات الأوّليّة موضوعة للمعاني الحسيّة والأمور المشهودة في بداية تكوّن المجتمعات والشعوب، ثمّ اتّسعت وتجاوزت إلى المعاني الذوقيّة والأمور التخيّليّة الشعريّة والعقليّة العرفانيّة، وذلك بعد حصول الحضارة والتمدّن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اتساع نطاق اللغة،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بواسطة المجاز والاستعارة والكناية وسائر أنحاء المجازات،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على وجه الحقيقة الثانويّة باكتساب اللفظ معنًى حديثاً أو </w:t>
      </w:r>
    </w:p>
    <w:p>
      <w:pPr>
        <w:pStyle w:val="BookText"/>
        <w:rPr/>
      </w:pPr>
      <w:r>
        <w:rPr>
          <w:rFonts w:ascii="Amiri" w:hAnsi="Amiri" w:eastAsia="Amiri" w:cs="Amiri"/>
          <w:color w:val="111111"/>
          <w:sz w:val="28"/>
          <w:sz w:val="28"/>
          <w:szCs w:val="28"/>
          <w:rtl w:val="true"/>
          <w:lang w:bidi="ar-SA"/>
        </w:rPr>
        <w:t>نطاقاً واسعاً من معناه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الرابطة في اللغة العربية المعاصرة فهي إذا أضيفت إلى الزّواج فهي العلاقة الشرعيّة والصحيحة التي تربط الرجل بامرأته بفعل عقد النِّكاح الذي تمَّ حسب الأصول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فالرابطة علاقة تنشأ بسبب العقد الصحيح فكيف نعرّف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إضافة العقد إلى النّكاح وغيره من العقود يُدخل معنى آخر له وهو الوجوب والإلزام، فالإلزام خارج عن ماهية العقد، ولذا عبَّر القرآن عن عقد النّكاح بالميثاق الغليظ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وَأَخَذْنَ مِنْكُمْ مِيثَاقًا غَلِيظًا</w:t>
      </w:r>
      <w:r>
        <w:rPr>
          <w:rFonts w:eastAsia="Amiri" w:cs="Amiri" w:ascii="Amiri" w:hAnsi="Amiri"/>
          <w:color w:val="111111"/>
          <w:sz w:val="28"/>
          <w:szCs w:val="28"/>
          <w:rtl w:val="true"/>
          <w:lang w:bidi="ar-SA"/>
        </w:rPr>
        <w:t>]</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الرابطة فإنّها إذا أضيفت للزواج فالمقصود بها العلاقة الشرعيّة بعد العقد، فهي مسبّبة عن العقد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يتألّف من إيجاب وقبول وهما من أهم أركان العقد، ويتحقّق العقد برضا الطرفين، ولذا نصّ المشرّع العراقي على الأركان والشروط الشكليّة والموضوعيّة لعقد الزّواج في الموادّ التالية للتعريف، والعقد سبب الزّواج، والمقصود بالعقد اتّفاق بين 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أدقّ وأبلغ، بل وأصحّ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الزّواج، والعقد حقيقة فيه، فالمشرّع العراقي وإن كان موفّقاً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بالالتزام تدلّ على التغليظ إلّا أنّه لم يظهرها صراحة كما أظهرها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المشرّع الجعفري فلم يكن موفّقاً بكلمة الرابطة لأنّها ليست حقيقة في النّكاح، وإنَّما هي مسبّبة عن العقد الصحيح</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رجل وامرأة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القيد مشترك بين التعريفين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العراقي والجعفري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يبيّن أنّ طرفي العقد يجب أن يكونا مختلفين بالجنس أي رجل وامرأة، فلا يصحّ بين رجلين أو امرأتين، كزواج المثليين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الذكر البالغ، فلا يصحّ العقد إذا كان طرف العقد صبياً ذكراً غير 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الأنثى البالغة؛ فلا يصحّ العقد إذا كان طرف العقد أنثى غير بالغة، ونصّ المشرّع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الأهليّة بالعقل، وإكمال الثامنة عشرة في فقرات أُخر، فليس البلوغ وحده كافياً في تولّي طرفي العقد، بل لا بُدَّ من الأهليّة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تحلّ له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قيد مشترك أيضاً بين التعريفين، وهو وارد على المرأة، بمعنى أن لا تكون المرأة محرّمةً شرعاً على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طرف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نوع من أنواع التحريم النسبي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 والأخت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كالرضاعة حيث تُحرم المرضعة وبناتها وغيرهما ممّا تنشره الرضاعة من الحرمة، والمصاهرة فتحرم أم الزوجة وأختها جمعاً وغيرهن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والطلاق ثلاثاً؛ فالزوجة إذا طلقت ثلاث مرات لا تحلّ على الزوج الأوَّل إلّا بالمحلّل، والزنا بالمحصنة حيث تحرم عليه مؤبّداً عند أكثر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غايته إنشاء رابطة للحياة المشتركة والنسل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الغاية في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مدى كلّ شيء وقصاره</w:t>
      </w:r>
      <w:r>
        <w:rPr>
          <w:rFonts w:eastAsia="Amiri" w:cs="Amiri" w:ascii="Amiri" w:hAnsi="Amiri"/>
          <w:color w:val="111111"/>
          <w:sz w:val="28"/>
          <w:szCs w:val="28"/>
          <w:rtl w:val="true"/>
          <w:lang w:bidi="ar-SA"/>
        </w:rPr>
        <w:t>)</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الأنباري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الشيء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منتهى هذا الجنس في الجودة، أُخذ من غاية 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الغاية من الأشياء هو منتهى الجودة</w:t>
      </w:r>
      <w:r>
        <w:rPr>
          <w:rFonts w:eastAsia="Amiri" w:cs="Amiri" w:ascii="Amiri" w:hAnsi="Amiri"/>
          <w:color w:val="111111"/>
          <w:sz w:val="28"/>
          <w:szCs w:val="28"/>
          <w:rtl w:val="true"/>
          <w:lang w:bidi="ar-SA"/>
        </w:rPr>
        <w:t>)</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الشيء، والجمع غاي، مثل ساعة وساع</w:t>
      </w:r>
      <w:r>
        <w:rPr>
          <w:rFonts w:eastAsia="Amiri" w:cs="Amiri" w:ascii="Amiri" w:hAnsi="Amiri"/>
          <w:color w:val="111111"/>
          <w:sz w:val="28"/>
          <w:szCs w:val="28"/>
          <w:rtl w:val="true"/>
          <w:lang w:bidi="ar-SA"/>
        </w:rPr>
        <w:t>)</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الغاية فهي الراية وسميت بذلك؛ لأنّها تظل من تحتها </w:t>
      </w:r>
      <w:bookmarkStart w:id="274" w:name="pg10913_110687"/>
    </w:p>
    <w:p>
      <w:pPr>
        <w:pStyle w:val="BookText"/>
        <w:rPr/>
      </w:pPr>
      <w:bookmarkEnd w:id="27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سميّت نهاية الشيء غاية، وهذا من المحمول على غيره، إنّما سميّت غاية بغاية الحرب وهي الراية؛ لأنّه ينتهى إليها كما يرجع القوم إلى رايتهم في الحرب</w:t>
      </w:r>
      <w:r>
        <w:rPr>
          <w:rFonts w:eastAsia="Amiri" w:cs="Amiri" w:ascii="Amiri" w:hAnsi="Amiri"/>
          <w:color w:val="111111"/>
          <w:sz w:val="28"/>
          <w:szCs w:val="28"/>
          <w:rtl w:val="true"/>
          <w:lang w:bidi="ar-SA"/>
        </w:rPr>
        <w:t>)</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الجواليقي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وغاية الشيء منتهاه</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المقصود من الغاية في تعريف الزّواج هو نهايته أو منتهاه، بل أنّ عقد الزّواج يعقد لأجل أن تكون حياة مشتركة ولأجل النسل؛ لأنّ الغاية من الفاعل ومن الفعل، فالغاية من الفاعل ما لأجله 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الفاعل يتحرّك لغاية في نفسه يريد تحقيقها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والغاية من الفعل ما ينتهي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كالبذرة تصبح 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بالغاية هنا سبب تشريعه وعلّته، فإنّ عقد الزّواج عقد من الطرفين لغاية في نفسيهما، وهي تحقيق حياة مشتركة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أَنْ خَلَقَ لَكُمْ مِنْ أَنْفُسِكُمْ أَزْواجاً لِتَسْكُنُوا إِلَيْها وجَعَلَ بَيْنَكُمْ مَوَدَّةً ورَحْمَةً</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وتحصيل النسل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لَكُمْ مِنْ أَزْواجِكُمْ بَنِينَ وحَفَدَةً</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من شكّ أنّ الزّواج بقصد الإنسانية والتعاون على الخير ينتج النماء والزكاة في الرزق، والطهر في الخلق، والعفة في العِرض، والنجاح في 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ساء القصد والمعشر فعاقبته الفقر والفسق والبلاء والشقاء في حياة الآباء والأبناء</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3056632_2870459653"/>
      <w:bookmarkStart w:id="276" w:name="_Toc107"/>
      <w:bookmarkEnd w:id="275"/>
      <w:r>
        <w:rPr>
          <w:rtl w:val="true"/>
        </w:rPr>
        <w:t>الأمر الثَّاني</w:t>
      </w:r>
      <w:bookmarkEnd w:id="276"/>
    </w:p>
    <w:p>
      <w:pPr>
        <w:pStyle w:val="Heading6"/>
        <w:numPr>
          <w:ilvl w:val="5"/>
          <w:numId w:val="1"/>
        </w:numPr>
        <w:rPr/>
      </w:pPr>
      <w:bookmarkStart w:id="277" w:name="__RefHeading___Toc3056634_2870459653"/>
      <w:bookmarkStart w:id="278" w:name="_Toc108"/>
      <w:bookmarkEnd w:id="277"/>
      <w:r>
        <w:rPr>
          <w:rtl w:val="true"/>
        </w:rPr>
        <w:t>اشارة</w:t>
      </w:r>
      <w:bookmarkEnd w:id="27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نقد نصّ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ف</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تعريف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قانون الأحوال العراقي وما يقابلها من تعريف النّكاح في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مشروع قانون الأحوال </w:t>
      </w:r>
      <w:bookmarkStart w:id="279" w:name="pg10913_110690"/>
    </w:p>
    <w:p>
      <w:pPr>
        <w:pStyle w:val="BookText"/>
        <w:rPr/>
      </w:pPr>
      <w:bookmarkEnd w:id="279"/>
      <w:r>
        <w:rPr>
          <w:rFonts w:ascii="Amiri" w:hAnsi="Amiri" w:eastAsia="Amiri" w:cs="Amiri"/>
          <w:color w:val="111111"/>
          <w:sz w:val="28"/>
          <w:sz w:val="28"/>
          <w:szCs w:val="28"/>
          <w:rtl w:val="true"/>
          <w:lang w:bidi="ar-SA"/>
        </w:rPr>
        <w:t>الشخصيّة الجعفري</w:t>
      </w:r>
      <w:r>
        <w:rPr>
          <w:rFonts w:eastAsia="Amiri" w:cs="Amiri" w:ascii="Amiri" w:hAnsi="Amiri"/>
          <w:color w:val="111111"/>
          <w:sz w:val="28"/>
          <w:szCs w:val="28"/>
          <w:rtl w:val="true"/>
          <w:lang w:bidi="ar-SA"/>
        </w:rPr>
        <w:t>.</w:t>
      </w:r>
    </w:p>
    <w:p>
      <w:pPr>
        <w:pStyle w:val="Heading6"/>
        <w:numPr>
          <w:ilvl w:val="5"/>
          <w:numId w:val="1"/>
        </w:numPr>
        <w:rPr/>
      </w:pPr>
      <w:bookmarkStart w:id="280" w:name="__RefHeading___Toc3056636_2870459653"/>
      <w:bookmarkStart w:id="281" w:name="_Toc109"/>
      <w:bookmarkEnd w:id="280"/>
      <w:r>
        <w:rPr>
          <w:rtl w:val="true"/>
        </w:rPr>
        <w:t>أوَّلاً</w:t>
      </w:r>
      <w:r>
        <w:rPr>
          <w:rtl w:val="true"/>
        </w:rPr>
        <w:t xml:space="preserve">: </w:t>
      </w:r>
      <w:r>
        <w:rPr>
          <w:rtl w:val="true"/>
        </w:rPr>
        <w:t>إيجاباً</w:t>
      </w:r>
      <w:bookmarkEnd w:id="2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النّكاح قضية حيوية هامة جدُّ سامية يجب أن تكون الغريزة الجنسيّة في خدمتها أيضاً، ألا وهو بقاء النوع البشري، وحفظه من التلوث والانحراف واختلاط الأنساب؛ ولذا ضمّن المشرّع العراقي في تعريفه الغاية من الزّواج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حياة مشتركة والنسل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يمكن أن تكون مستفادة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جَعَلَ لَكُمْ مِنْ أَنْفُسِكُمْ أَزْواجاً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أي من جنسكم، لا من جنس أدنى أو أرفع، ليتمّ الأُنس للجانبين، ويحصل التعاون والمشاركة في الحياة من كلّ الجهات، وأوضح تفسير لهذه الجملة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أَنْ خَلَقَ لَكُمْ مِنْ أَنْفُسِكُمْ أَزْواجاً لِتَسْكُنُوا إِلَيْها وجَعَلَ بَيْنَكُمْ مَوَدَّةً ورَحْمَةً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لتسكنوا من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فتح الله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لتطمئنوا إليها، وتميلوا إليها، وتألفوا بها، ويستأنس بعضكم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إليه إذا مال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مستفادة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لَكُمْ مِنْ أَزْواجِكُمْ بَنِينَ وحَفَدَةً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سبحانه وتعالى نعمة الزّواج والحياة المشتركة ذكر نعمة النسل بالأولاد من البنين والحفدة، وهم كالأموال زينة الحياة الدنيا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فالمشرّع العراقي كان موفّقاً في تعريف الزّواج بأنّه عقد؛ لأنّه وافق المذاهب الفقهيّة الإسلاميّة وأكثر القوانين العربية، وأنّه يدلّ على التغليظ بالالتزام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نصّه على غاية الزّواج في التعريف موافق لما ذكره المفسّرون من الآيات القرآنية بخصوص الزّواج، </w:t>
      </w:r>
      <w:bookmarkStart w:id="282" w:name="pg10913_110691"/>
    </w:p>
    <w:p>
      <w:pPr>
        <w:pStyle w:val="BookText"/>
        <w:rPr/>
      </w:pPr>
      <w:bookmarkEnd w:id="282"/>
      <w:r>
        <w:rPr>
          <w:rFonts w:ascii="Amiri" w:hAnsi="Amiri" w:eastAsia="Amiri" w:cs="Amiri"/>
          <w:color w:val="111111"/>
          <w:sz w:val="28"/>
          <w:sz w:val="28"/>
          <w:szCs w:val="28"/>
          <w:rtl w:val="true"/>
          <w:lang w:bidi="ar-SA"/>
        </w:rPr>
        <w:t>بخلاف مشرّع مشروع القانون الجعفري إذ لم يكن موفّقاً ولا دقيقاً في تعريفه للنكاح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فخالف مشهور الفقه الجعفري الذي ادّعى أنّه يمثّله، والمذاهب الفقهيّة الأُخر، وانفرد عن القوانين العربية التي عرّفت الزّواج بأنّه عقد، أو ميثاق، أو ارتباط كما عرّفه القانون المصري واليمني، وهو أقرب 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والارتباط داخل في تعريف العقد في القانون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فالعقد هو الأصحّ؛ لأنّه الأصل في النّكاح، ودالّ على التغليظ لغةً، وهو حقيقة في النّكاح في مشهور الفقه كما ثبت في البحوث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الرابطة فهي مسبّبة عن العقد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المشرّع العراقي أبرز الشروط الموضوعيّة والشكليّة في تعريف العقد</w:t>
      </w:r>
      <w:r>
        <w:rPr>
          <w:rFonts w:eastAsia="Amiri" w:cs="Amiri" w:ascii="Amiri" w:hAnsi="Amiri"/>
          <w:color w:val="111111"/>
          <w:sz w:val="28"/>
          <w:szCs w:val="28"/>
          <w:rtl w:val="true"/>
          <w:lang w:bidi="ar-SA"/>
        </w:rPr>
        <w:t>.</w:t>
      </w:r>
    </w:p>
    <w:p>
      <w:pPr>
        <w:pStyle w:val="Heading6"/>
        <w:numPr>
          <w:ilvl w:val="5"/>
          <w:numId w:val="1"/>
        </w:numPr>
        <w:rPr/>
      </w:pPr>
      <w:bookmarkStart w:id="283" w:name="__RefHeading___Toc3056638_2870459653"/>
      <w:bookmarkStart w:id="284" w:name="_Toc110"/>
      <w:bookmarkEnd w:id="283"/>
      <w:r>
        <w:rPr>
          <w:rtl w:val="true"/>
        </w:rPr>
        <w:t>ثانياً</w:t>
      </w:r>
      <w:r>
        <w:rPr>
          <w:rtl w:val="true"/>
        </w:rPr>
        <w:t xml:space="preserve">: </w:t>
      </w:r>
      <w:r>
        <w:rPr>
          <w:rtl w:val="true"/>
        </w:rPr>
        <w:t>سلباً</w:t>
      </w:r>
      <w:bookmarkEnd w:id="2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المشرّع العراقي في تعريفه لم يُبيّن صراحة عمق العلاقة الزوجيّة وعظمتها وقدسيتها التي أظهرها ربُّ العزّة والجلال في القرآن الكريم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وأَخَذْنَ مِنْكُمْ مِيثاقاً غَلِيظاً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وإن دلّت عليها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التزاماً لغة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الشيخ مغنية في وصف هذه العلاقة الحميمة التي ذكرها جلّ جلاله في كتابه المجيد بقوله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لِتَسْكُنُوا إِلَيْها وجَعَلَ بَيْنَكُمْ مَوَدَّةً ورَحْمَةً</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لِبَاسٌ لَّكُمْ وَأَنتُمْ لِبَاسٌ لَّهُنَّ</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أوجب الوقوف عندها، والتعبّد بها تماماً كألفاظ العبادة، وأضفى على عقد الزّواج من القداسة ما أبعده عن كل </w:t>
      </w:r>
    </w:p>
    <w:p>
      <w:pPr>
        <w:pStyle w:val="BookText"/>
        <w:rPr/>
      </w:pPr>
      <w:r>
        <w:rPr>
          <w:rFonts w:ascii="IRNazanin" w:hAnsi="IRNazanin" w:eastAsia="IRNazanin"/>
          <w:color w:val="111111"/>
          <w:sz w:val="28"/>
          <w:sz w:val="28"/>
          <w:szCs w:val="28"/>
          <w:rtl w:val="true"/>
          <w:lang w:bidi="fa-IR"/>
        </w:rPr>
        <w:t>العقود، كعقد البيع والإجارة وما إليهما؛ لأنّ البيع مبادلة مال بمال، أمّا الزّواج فكأنّه مبادلة روح بروح، وعقده عقد رحمة ومودَّة وسكون، لا عقد تمليك للجسم بدلاً عن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قال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عقد الزّواج أقرب إلى العبادات منه إلى عقود المعاملات والمعاوضات؛ لأنّه استحباب مؤكّد، ومن أجل هذا يجرونه على اسم اللَّه، وكتاب اللَّه، وسُنّة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الشيخ محمود شلتوت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تنبّهنا إلى أنّ كلمة ميثاق لم ترد في القرآن الكريم إلّا تعبيراً عمّا بين اللَّه وعباده من موجبات التوحيد، والتزام الأحكام، وعمّا بين الدولة والدولة من الشؤون العامّة الخطيرة، علمنا مقدار المكانة التي سما القرآن بعقد الزّواج إليها، وإذا تنبّهنا مرّة أخرى إلى أنّ وصف الميثاق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بالغليظ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يرد في موضع من مواضعه إلّا في عقد الزّواج تضاعف لدينا سمو هذه المكانة التي رفع القرآن إليها هذه الرابطة السامية عن كل ما أطلق عليه كلمة ميثاق</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وصف الميثاق بالغليظ وارد في غير الزّواج،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وَرَفَعْنَا فَوْقَهُمُ الطُّورَ بِمِيثَاقِهِمْ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وَأَخَذْنَا مِنْهُم مِّيثَاقًا غَلِيظًا</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أَخَذْنَا مِنَ النَّبِيِّينَ مِيثَاقَهُمْ وَمِنكَ وَمِن نُّوحٍ وَإِبْرَاهِيمَ وَمُوسَىٰ وَعِيسَى ابْنِ مَرْيَمَ ۖ وَأَخَذْنَا مِنْهُم مِّيثَاقًا غَلِيظًا</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 فعجباً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يرد في موضع من مواضعه إلّا في عقد الزّواج</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ضوء ذلك لم نجد هذا التعظيم والتقييم لعقد الزّواج في تعريف المشرّع العراقي، وأسوء منه تعريف مشرّع مشروع القانون الجعفري في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والمشرّع </w:t>
      </w:r>
    </w:p>
    <w:p>
      <w:pPr>
        <w:pStyle w:val="BookText"/>
        <w:rPr/>
      </w:pPr>
      <w:r>
        <w:rPr>
          <w:rFonts w:ascii="Amiri" w:hAnsi="Amiri" w:eastAsia="Amiri" w:cs="Amiri"/>
          <w:color w:val="111111"/>
          <w:sz w:val="28"/>
          <w:sz w:val="28"/>
          <w:szCs w:val="28"/>
          <w:rtl w:val="true"/>
          <w:lang w:bidi="ar-SA"/>
        </w:rPr>
        <w:t>الفرنسي كان أكثر إنصافاً منهما في تعريفه للزواج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اتّحاد متين بين رجل وامرأة</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التعريف لا يصدق على الخنثى إذا تزوجت؛ لأنّها لا رجل ولا أنثى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التعريف لا يصدق على زواج غير البالغ؛ 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على الذكر البالغ،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على الأنثى البالغة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التعريف يصدق على عقد المجنون من الطرفين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الأَوْلى تقديم الخطبة والوعد بالزّواج على عقد الزّواج؛ لأنّهما من مقدّماته، وأنَّ الخطبة تبع العقد فإن كان العقد جائزاً فهي كذلك، وإن كان العقد غير جائز فالخطبة كذلك، كخطبة المعتدّة الرجعية، وهي فترة يمكن التراجع فيها من دون ملزم، ولها أحكام ذكرت في محلّها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وكيفما كان فلا تجب الخطبة إجماعاً أو ضرورة، وإنّما هي مستحبة</w:t>
      </w:r>
      <w:r>
        <w:rPr>
          <w:rFonts w:eastAsia="Amiri" w:cs="Amiri" w:ascii="Amiri" w:hAnsi="Amiri"/>
          <w:color w:val="111111"/>
          <w:sz w:val="28"/>
          <w:szCs w:val="28"/>
          <w:rtl w:val="true"/>
          <w:lang w:bidi="ar-SA"/>
        </w:rPr>
        <w:t xml:space="preserve">. </w:t>
      </w:r>
      <w:bookmarkStart w:id="285" w:name="pg10913_110698"/>
    </w:p>
    <w:p>
      <w:pPr>
        <w:pStyle w:val="Heading3"/>
        <w:numPr>
          <w:ilvl w:val="2"/>
          <w:numId w:val="1"/>
        </w:numPr>
        <w:rPr/>
      </w:pPr>
      <w:bookmarkStart w:id="286" w:name="__RefHeading___Toc3056640_2870459653"/>
      <w:bookmarkStart w:id="287" w:name="_Toc111"/>
      <w:bookmarkEnd w:id="285"/>
      <w:bookmarkEnd w:id="286"/>
      <w:r>
        <w:rPr>
          <w:rtl w:val="true"/>
        </w:rPr>
        <w:t>المطلب الثَّاني</w:t>
      </w:r>
      <w:bookmarkEnd w:id="287"/>
    </w:p>
    <w:p>
      <w:pPr>
        <w:pStyle w:val="Heading4"/>
        <w:numPr>
          <w:ilvl w:val="3"/>
          <w:numId w:val="1"/>
        </w:numPr>
        <w:rPr/>
      </w:pPr>
      <w:bookmarkStart w:id="288" w:name="__RefHeading___Toc3056642_2870459653"/>
      <w:bookmarkStart w:id="289" w:name="_Toc112"/>
      <w:bookmarkEnd w:id="288"/>
      <w:r>
        <w:rPr>
          <w:rtl w:val="true"/>
        </w:rPr>
        <w:t>اشارة</w:t>
      </w:r>
      <w:bookmarkEnd w:id="289"/>
    </w:p>
    <w:p>
      <w:pPr>
        <w:pStyle w:val="BookText"/>
        <w:rPr/>
      </w:pPr>
      <w:r>
        <w:rPr>
          <w:rFonts w:ascii="Amiri" w:hAnsi="Amiri" w:eastAsia="Amiri" w:cs="Amiri"/>
          <w:color w:val="111111"/>
          <w:sz w:val="28"/>
          <w:sz w:val="28"/>
          <w:szCs w:val="28"/>
          <w:rtl w:val="true"/>
          <w:lang w:bidi="ar-SA"/>
        </w:rPr>
        <w:t>وفيه مقصدان</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3056644_2870459653"/>
      <w:bookmarkStart w:id="291" w:name="_Toc113"/>
      <w:bookmarkEnd w:id="290"/>
      <w:r>
        <w:rPr>
          <w:rtl w:val="true"/>
        </w:rPr>
        <w:t>المقصد الأوَّل</w:t>
      </w:r>
      <w:r>
        <w:rPr>
          <w:rtl w:val="true"/>
        </w:rPr>
        <w:t xml:space="preserve">: </w:t>
      </w:r>
      <w:r>
        <w:rPr>
          <w:rtl w:val="true"/>
        </w:rPr>
        <w:t xml:space="preserve">دراسة فقهيّة للمادّة الثالثة </w:t>
      </w:r>
      <w:r>
        <w:rPr>
          <w:rtl w:val="true"/>
        </w:rPr>
        <w:t>(</w:t>
      </w:r>
      <w:r>
        <w:rPr>
          <w:rtl w:val="true"/>
        </w:rPr>
        <w:t>ف</w:t>
      </w:r>
      <w:r>
        <w:rPr/>
        <w:t>4</w:t>
      </w:r>
      <w:r>
        <w:rPr>
          <w:rtl w:val="true"/>
        </w:rPr>
        <w:t>)</w:t>
      </w:r>
      <w:bookmarkEnd w:id="291"/>
    </w:p>
    <w:p>
      <w:pPr>
        <w:pStyle w:val="Heading5"/>
        <w:numPr>
          <w:ilvl w:val="4"/>
          <w:numId w:val="1"/>
        </w:numPr>
        <w:rPr/>
      </w:pPr>
      <w:bookmarkStart w:id="292" w:name="__RefHeading___Toc3056646_2870459653"/>
      <w:bookmarkStart w:id="293" w:name="_Toc114"/>
      <w:bookmarkEnd w:id="292"/>
      <w:r>
        <w:rPr>
          <w:rtl w:val="true"/>
        </w:rPr>
        <w:t>اشارة</w:t>
      </w:r>
      <w:bookmarkEnd w:id="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تعدّد الزوجات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قانون الأحوال الشخصيّة العراقي، وما يقابلها من المادّتين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مشروع قانون الأحوال الشخصيّة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 المشرّع العراقي في المادّة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الزّواج بأكثر من واحدة إلّا بإذن القاضي ويشترط لإعطاء الإذن تحقّق الشرطين التاليين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للزوج كفاية مالية لإعالة أكثر من زوجة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هناك مصلحة 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ويقابلها في مشروع الأحوال الشخصيّة الجعفري الفصل الرابع، الفرع الثاني،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الزوجة على الزوج أن ينفق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للزوج أكثر من زوجة واحدة فحقّ المبيت يكون كالآتي</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3056648_2870459653"/>
      <w:bookmarkStart w:id="295" w:name="_Toc115"/>
      <w:bookmarkEnd w:id="294"/>
      <w:r>
        <w:rPr>
          <w:rtl w:val="true"/>
        </w:rPr>
        <w:t>دراسة المادّتين</w:t>
      </w:r>
      <w:bookmarkEnd w:id="295"/>
    </w:p>
    <w:p>
      <w:pPr>
        <w:pStyle w:val="Heading6"/>
        <w:numPr>
          <w:ilvl w:val="5"/>
          <w:numId w:val="1"/>
        </w:numPr>
        <w:rPr/>
      </w:pPr>
      <w:bookmarkStart w:id="296" w:name="__RefHeading___Toc3056650_2870459653"/>
      <w:bookmarkStart w:id="297" w:name="_Toc116"/>
      <w:bookmarkEnd w:id="296"/>
      <w:r>
        <w:rPr>
          <w:rtl w:val="true"/>
        </w:rPr>
        <w:t>اشارة</w:t>
      </w:r>
      <w:bookmarkEnd w:id="297"/>
    </w:p>
    <w:p>
      <w:pPr>
        <w:pStyle w:val="BookText"/>
        <w:rPr/>
      </w:pPr>
      <w:r>
        <w:rPr>
          <w:rFonts w:ascii="Amiri" w:hAnsi="Amiri" w:eastAsia="Amiri" w:cs="Amiri"/>
          <w:color w:val="111111"/>
          <w:sz w:val="28"/>
          <w:sz w:val="28"/>
          <w:szCs w:val="28"/>
          <w:rtl w:val="true"/>
          <w:lang w:bidi="ar-SA"/>
        </w:rPr>
        <w:t>لم يجز المشرّع العراقي تعدّد الزوجات لأكثر من واحدة، وأعطى الولاية للقاضي في الجواز واشترط عليه تحقّق المبرّر للتعدّد، وحدّد شرطين للإذن بالتعدّد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الكفاية الماليّة، والمصلحة المشروعة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مشرّع القانون الجعفري فالجواز عنده أمر مسلّم، ولكنّه لم ينصّ عليه خلافاً لكتب الفقه الجعفري والرسائل العمليّة التي نصّت على عدم جواز الزيادة على الأربع </w:t>
      </w:r>
    </w:p>
    <w:p>
      <w:pPr>
        <w:pStyle w:val="BookText"/>
        <w:rPr/>
      </w:pPr>
      <w:r>
        <w:rPr>
          <w:rFonts w:ascii="Amiri" w:hAnsi="Amiri" w:eastAsia="Amiri" w:cs="Amiri"/>
          <w:color w:val="111111"/>
          <w:sz w:val="28"/>
          <w:sz w:val="28"/>
          <w:szCs w:val="28"/>
          <w:rtl w:val="true"/>
          <w:lang w:bidi="ar-SA"/>
        </w:rPr>
        <w:t>في العقد الدائم</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نصّ على حقوق الزوجات على الرجل من جهة تقسيم الليالي؛ لوجوبه في التعدّد كما ذكره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فبات عند إحداهن ليلة يجب عليه أن يبيت عند غيرها أيضاً</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النفقة فقد نصّ عليها في 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الفرع الثاني في الموادّ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العدالة بين الزوجات لاستحبابها، فالمشهور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تستحب التسوية بين الزوجات في الإنفاق والالتفات وطلاقة الوجه والمواقعة، وأن يكون في صبيحة كل ليلة عند صاحبتها</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والجاهلية قبل الإسلام لم تقيّد تعدّد الزوجات بأيّ قيد، وأمّا الشريعة الإسلاميّة فقد جوّزت تعدّد الزوجات، ولكن قيّدته بالأربع بنصّ القرآن الكريم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 مَثْنَى وَثُلَاثَ وَرُبَاعَ فَإِنْ خِفْتُمْ أَلَّا تَعْدِلُوا فَوَاحِدَةً أَوْ مَا مَلَكَتْ أَيْمَانُكُمْ ذَلِكَ أَدْنَى أَلَّا تَعُولُوا</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النصّ نكتتان ينبغي توضيحهما قبل الولوج في تفسيره</w:t>
      </w:r>
      <w:r>
        <w:rPr>
          <w:rFonts w:eastAsia="Amiri" w:cs="Amiri" w:ascii="Amiri" w:hAnsi="Amiri"/>
          <w:color w:val="111111"/>
          <w:sz w:val="28"/>
          <w:szCs w:val="28"/>
          <w:rtl w:val="true"/>
          <w:lang w:bidi="ar-SA"/>
        </w:rPr>
        <w:t xml:space="preserve">: </w:t>
      </w:r>
      <w:bookmarkStart w:id="298" w:name="pg10913_110702"/>
    </w:p>
    <w:p>
      <w:pPr>
        <w:pStyle w:val="Heading6"/>
        <w:numPr>
          <w:ilvl w:val="5"/>
          <w:numId w:val="1"/>
        </w:numPr>
        <w:rPr/>
      </w:pPr>
      <w:bookmarkStart w:id="299" w:name="__RefHeading___Toc3056652_2870459653"/>
      <w:bookmarkStart w:id="300" w:name="_Toc117"/>
      <w:bookmarkEnd w:id="298"/>
      <w:bookmarkEnd w:id="299"/>
      <w:r>
        <w:rPr>
          <w:rtl w:val="true"/>
        </w:rPr>
        <w:t>النّكتة الأولى</w:t>
      </w:r>
      <w:bookmarkEnd w:id="300"/>
    </w:p>
    <w:p>
      <w:pPr>
        <w:pStyle w:val="BookText"/>
        <w:rPr/>
      </w:pPr>
      <w:r>
        <w:rPr>
          <w:rFonts w:ascii="Amiri" w:hAnsi="Amiri" w:eastAsia="Amiri" w:cs="Amiri"/>
          <w:color w:val="111111"/>
          <w:sz w:val="28"/>
          <w:sz w:val="28"/>
          <w:szCs w:val="28"/>
          <w:rtl w:val="true"/>
          <w:lang w:bidi="ar-SA"/>
        </w:rPr>
        <w:t xml:space="preserve">هل تدلّ صيغة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التعدّد أو استحبابه فيكون المشرّع العراقي خالف الشريعة في ذلك؛ إذ لم يجزه؟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ظهور الأمر الأوّلي وإن كان في الوجوب إلّا أنّ تعليق الحكم على رغبة المكلّف يصرفه عن ظهوره الأوّلي ويعطيه ظهوراً في الإباحة</w:t>
      </w:r>
      <w:r>
        <w:rPr>
          <w:rStyle w:val="FootnoteAnchor"/>
          <w:rtl w:val="true"/>
        </w:rPr>
        <w:footnoteReference w:id="494"/>
      </w:r>
      <w:r>
        <w:rPr>
          <w:rFonts w:ascii="Amiri" w:hAnsi="Amiri" w:eastAsia="Amiri" w:cs="Amiri"/>
          <w:color w:val="111111"/>
          <w:sz w:val="28"/>
          <w:sz w:val="28"/>
          <w:szCs w:val="28"/>
          <w:rtl w:val="true"/>
          <w:lang w:bidi="ar-SA"/>
        </w:rPr>
        <w:t xml:space="preserve">، أو الاستحباب كما نُقل عن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استحباب تعدّد الزوجات</w:t>
      </w:r>
      <w:r>
        <w:rPr>
          <w:rFonts w:eastAsia="Amiri" w:cs="Amiri" w:ascii="Amiri" w:hAnsi="Amiri"/>
          <w:color w:val="111111"/>
          <w:sz w:val="28"/>
          <w:szCs w:val="28"/>
          <w:rtl w:val="true"/>
          <w:lang w:bidi="ar-SA"/>
        </w:rPr>
        <w:t>)</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عند علمائنا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علماء العامّة فإنّ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مخرجه مخرج الأمر، لكنّه بمعنى الدلالة على النهي عن نكاح ما خاف الناكح الجور فيه من عدد النساء، لا بمعنى الأمر بالنّكاح</w:t>
      </w:r>
      <w:r>
        <w:rPr>
          <w:rStyle w:val="FootnoteAnchor"/>
          <w:rtl w:val="true"/>
        </w:rPr>
        <w:footnoteReference w:id="496"/>
      </w:r>
      <w:r>
        <w:rPr>
          <w:rFonts w:ascii="Amiri" w:hAnsi="Amiri" w:eastAsia="Amiri" w:cs="Amiri"/>
          <w:color w:val="111111"/>
          <w:sz w:val="28"/>
          <w:sz w:val="28"/>
          <w:szCs w:val="28"/>
          <w:rtl w:val="true"/>
          <w:lang w:bidi="ar-SA"/>
        </w:rPr>
        <w:t>ولذا فإنّ المشرّع العراقي تبعاً لهم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فنهى عن تعدّد الزوجات، وأخذ بمفهوم النصّ لا بظاهره، وبمذهبٍ دون آخر</w:t>
      </w:r>
      <w:r>
        <w:rPr>
          <w:rFonts w:eastAsia="Amiri" w:cs="Amiri" w:ascii="Amiri" w:hAnsi="Amiri"/>
          <w:color w:val="111111"/>
          <w:sz w:val="28"/>
          <w:szCs w:val="28"/>
          <w:rtl w:val="true"/>
          <w:lang w:bidi="ar-SA"/>
        </w:rPr>
        <w:t>.</w:t>
      </w:r>
    </w:p>
    <w:p>
      <w:pPr>
        <w:pStyle w:val="Heading6"/>
        <w:numPr>
          <w:ilvl w:val="5"/>
          <w:numId w:val="1"/>
        </w:numPr>
        <w:rPr/>
      </w:pPr>
      <w:bookmarkStart w:id="301" w:name="__RefHeading___Toc3056654_2870459653"/>
      <w:bookmarkStart w:id="302" w:name="_Toc118"/>
      <w:bookmarkEnd w:id="301"/>
      <w:r>
        <w:rPr>
          <w:rtl w:val="true"/>
        </w:rPr>
        <w:t>النّكتة الثّانية</w:t>
      </w:r>
      <w:bookmarkEnd w:id="302"/>
    </w:p>
    <w:p>
      <w:pPr>
        <w:pStyle w:val="Heading6"/>
        <w:numPr>
          <w:ilvl w:val="5"/>
          <w:numId w:val="1"/>
        </w:numPr>
        <w:rPr/>
      </w:pPr>
      <w:bookmarkStart w:id="303" w:name="__RefHeading___Toc3056656_2870459653"/>
      <w:bookmarkStart w:id="304" w:name="_Toc119"/>
      <w:bookmarkEnd w:id="303"/>
      <w:r>
        <w:rPr>
          <w:rtl w:val="true"/>
        </w:rPr>
        <w:t>اشارة</w:t>
      </w:r>
      <w:bookmarkEnd w:id="304"/>
    </w:p>
    <w:p>
      <w:pPr>
        <w:pStyle w:val="BookText"/>
        <w:rPr/>
      </w:pPr>
      <w:r>
        <w:rPr>
          <w:rFonts w:ascii="Amiri" w:hAnsi="Amiri" w:eastAsia="Amiri" w:cs="Amiri"/>
          <w:color w:val="111111"/>
          <w:sz w:val="28"/>
          <w:sz w:val="28"/>
          <w:szCs w:val="28"/>
          <w:rtl w:val="true"/>
          <w:lang w:bidi="ar-SA"/>
        </w:rPr>
        <w:t>وفيها أمران</w:t>
      </w:r>
      <w:r>
        <w:rPr>
          <w:rFonts w:eastAsia="Amiri" w:cs="Amiri" w:ascii="Amiri" w:hAnsi="Amiri"/>
          <w:color w:val="111111"/>
          <w:sz w:val="28"/>
          <w:szCs w:val="28"/>
          <w:rtl w:val="true"/>
          <w:lang w:bidi="ar-SA"/>
        </w:rPr>
        <w:t>:</w:t>
      </w:r>
    </w:p>
    <w:p>
      <w:pPr>
        <w:pStyle w:val="Heading6"/>
        <w:numPr>
          <w:ilvl w:val="5"/>
          <w:numId w:val="1"/>
        </w:numPr>
        <w:rPr/>
      </w:pPr>
      <w:bookmarkStart w:id="305" w:name="__RefHeading___Toc3056658_2870459653"/>
      <w:bookmarkStart w:id="306" w:name="_Toc120"/>
      <w:bookmarkEnd w:id="305"/>
      <w:r>
        <w:rPr>
          <w:rtl w:val="true"/>
        </w:rPr>
        <w:t>الأمر الأوَّل</w:t>
      </w:r>
      <w:bookmarkEnd w:id="306"/>
    </w:p>
    <w:p>
      <w:pPr>
        <w:pStyle w:val="BookText"/>
        <w:rPr/>
      </w:pPr>
      <w:r>
        <w:rPr>
          <w:rFonts w:ascii="Amiri" w:hAnsi="Amiri" w:eastAsia="Amiri" w:cs="Amiri"/>
          <w:color w:val="111111"/>
          <w:sz w:val="28"/>
          <w:sz w:val="28"/>
          <w:szCs w:val="28"/>
          <w:rtl w:val="true"/>
          <w:lang w:bidi="ar-SA"/>
        </w:rPr>
        <w:t>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خِفْتُمْ أَلَّا تَعْدِلُوا فَوَاحِدَةً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بانضمامه إلى ذيل الآية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من سورة النساء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تَمِيلُوا كُلَّ الْمَيْلِ فَتَذَرُوهَا كَالْمُعَلَّقَةِ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الدليل على أنّ 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تَسْتَطِيعُوا أَن تَعْدِلُوا بَيْنَ النِّسَاءِ وَلَوْ حَرَصْتُمْ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مطلق العدل وينتج إلغاء تعدّد الأزواج في الإسلام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هذا القول ليس صحيحاً؛ لأنّ الذيل يدلّ على أنّ المنفي هو العدل الحقيقي الواقعي من غير تطرّف أصلاً بلزوم حاقّ الوسط حقيقة، وأنّ المشرَّع هو العدل التقريبي عملاً من غير تحرّج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السُنّة النبوية ورواج الأمر بمرأى ومسمع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307" w:name="pg10913_110704"/>
    </w:p>
    <w:p>
      <w:pPr>
        <w:pStyle w:val="BookText"/>
        <w:rPr/>
      </w:pPr>
      <w:bookmarkEnd w:id="307"/>
      <w:r>
        <w:rPr>
          <w:rFonts w:ascii="Amiri" w:hAnsi="Amiri" w:eastAsia="Amiri" w:cs="Amiri"/>
          <w:color w:val="111111"/>
          <w:sz w:val="28"/>
          <w:sz w:val="28"/>
          <w:szCs w:val="28"/>
          <w:rtl w:val="true"/>
          <w:lang w:bidi="ar-SA"/>
        </w:rPr>
        <w:t>والسيرة المتصلة بين المسلمين يدفع هذا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صَرْف قوله تعالى في أوّل آية تعدّد الأزواج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 مَثْنَى وَثُلَاثَ وَرُبَاعَ</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إلى مجرد الفرض العقلي الخالي عن المصداق ليس إلّا تعمية يجلّ عنها كلامه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تُصْلِحُوا وَتَتَّقُوا فَإِنَّ اللَّهَ كَانَ غَفُورًا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وترغيب للرجال في الإصلاح عند بروز أمارات الكراهة والخلاف، ببيان أنّه من التقوى، والتقوى تستتبع المغفرة والرحمة وهذا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وَالصُّلْحُ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تُحْسِنُوا وَتَتَّقُوا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على تأكيد</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8" w:name="__RefHeading___Toc3056660_2870459653"/>
      <w:bookmarkStart w:id="309" w:name="_Toc121"/>
      <w:bookmarkEnd w:id="308"/>
      <w:r>
        <w:rPr>
          <w:rtl w:val="true"/>
        </w:rPr>
        <w:t>الأمر الثَّاني</w:t>
      </w:r>
      <w:bookmarkEnd w:id="30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الآيتين بينهما فرق؛ إذ ورد في الكافي في روايةٍ لهشام بن الحكم وقد سأله ابن أبي العوجاء عن الفرق بين آيتي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فَانْكِحُوا مَا طَابَ لَكُمْ مِنَ النِّسَاءِ مَثْنَى وَثُلَاثَ وَرُبَاعَ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تَسْتَطِيعُوا أَن تَعْدِلُوا بَيْنَ النِّسَاءِ وَلَوْ حَرَصْتُمْ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هشام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 مَثْنَى وَثُلَاثَ وَرُبَاعَ فَإِنْ خِفْتُمْ أَلَّا تَعْدِلُوا فَوَاحِدَةً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تَسْتَطِيعُوا أَن تَعْدِلُوا بَيْنَ النِّسَاءِ وَلَوْ حَرَصْتُمْ فَلَا تَمِيلُوا كُلَّ الْمَيْلِ فَتَذَرُوهَا كَالْمُعَلَّقَةِ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المودة</w:t>
      </w:r>
      <w:r>
        <w:rPr>
          <w:rFonts w:eastAsia="Amiri" w:cs="Amiri" w:ascii="Amiri" w:hAnsi="Amiri"/>
          <w:color w:val="111111"/>
          <w:sz w:val="28"/>
          <w:szCs w:val="28"/>
          <w:rtl w:val="true"/>
          <w:lang w:bidi="ar-SA"/>
        </w:rPr>
        <w:t>)</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صاحب التفسير، عن أبيه، عن نوح بن شعيب، عن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عبّر عنه أكثر الفقهاء </w:t>
      </w:r>
      <w:bookmarkStart w:id="310" w:name="pg10913_110707"/>
    </w:p>
    <w:p>
      <w:pPr>
        <w:pStyle w:val="BookText"/>
        <w:rPr/>
      </w:pPr>
      <w:bookmarkEnd w:id="310"/>
      <w:r>
        <w:rPr>
          <w:rFonts w:ascii="Amiri" w:hAnsi="Amiri" w:eastAsia="Amiri" w:cs="Amiri"/>
          <w:color w:val="111111"/>
          <w:sz w:val="28"/>
          <w:sz w:val="28"/>
          <w:szCs w:val="28"/>
          <w:rtl w:val="true"/>
          <w:lang w:bidi="ar-SA"/>
        </w:rPr>
        <w:t>بالحسن، ومنهم من عبّر عنه بأنّه قوي حسن كالصحيح</w:t>
      </w:r>
      <w:r>
        <w:rPr>
          <w:rStyle w:val="FootnoteAnchor"/>
          <w:rtl w:val="true"/>
        </w:rPr>
        <w:footnoteReference w:id="500"/>
      </w:r>
      <w:r>
        <w:rPr>
          <w:rFonts w:ascii="Amiri" w:hAnsi="Amiri" w:eastAsia="Amiri" w:cs="Amiri"/>
          <w:color w:val="111111"/>
          <w:sz w:val="28"/>
          <w:sz w:val="28"/>
          <w:szCs w:val="28"/>
          <w:rtl w:val="true"/>
          <w:lang w:bidi="ar-SA"/>
        </w:rPr>
        <w:t>، 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أو الحسن</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واحتجّ بهذه الرواية أغلب مفسّري الشيعة</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استند جملة من الفقهاء إلى هذه الرواية، فقد نُقل عن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يتيّسر له الإنفاق على الأزيد فالأولى، بل الأحوط الاقتصار على الأقل</w:t>
      </w:r>
      <w:r>
        <w:rPr>
          <w:rFonts w:eastAsia="Amiri" w:cs="Amiri" w:ascii="Amiri" w:hAnsi="Amiri"/>
          <w:color w:val="111111"/>
          <w:sz w:val="28"/>
          <w:szCs w:val="28"/>
          <w:rtl w:val="true"/>
          <w:lang w:bidi="ar-SA"/>
        </w:rPr>
        <w:t>)</w:t>
      </w:r>
      <w:r>
        <w:rPr>
          <w:rStyle w:val="FootnoteAnchor"/>
          <w:rtl w:val="true"/>
        </w:rPr>
        <w:footnoteReference w:id="503"/>
      </w:r>
      <w:r>
        <w:rPr>
          <w:rFonts w:ascii="Amiri" w:hAnsi="Amiri" w:eastAsia="Amiri" w:cs="Amiri"/>
          <w:color w:val="111111"/>
          <w:sz w:val="28"/>
          <w:sz w:val="28"/>
          <w:szCs w:val="28"/>
          <w:rtl w:val="true"/>
          <w:lang w:bidi="ar-SA"/>
        </w:rPr>
        <w:t xml:space="preserve">، وصرّح به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تستحب التسوية بين الزوجات في الإنفاق</w:t>
      </w:r>
      <w:r>
        <w:rPr>
          <w:rFonts w:eastAsia="Amiri" w:cs="Amiri" w:ascii="Amiri" w:hAnsi="Amiri"/>
          <w:color w:val="111111"/>
          <w:sz w:val="28"/>
          <w:szCs w:val="28"/>
          <w:rtl w:val="true"/>
          <w:lang w:bidi="ar-SA"/>
        </w:rPr>
        <w:t>)</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القسمة في الليالي فيجب عليه القسم بينهنّ في كلّ أربع ليالٍ</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أقوال مفسّري العامّة فانحصرت في النفقة والقسمة والحبّ</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1" w:name="__RefHeading___Toc3056662_2870459653"/>
      <w:bookmarkStart w:id="312" w:name="_Toc122"/>
      <w:bookmarkEnd w:id="311"/>
      <w:r>
        <w:rPr>
          <w:rtl w:val="true"/>
        </w:rPr>
        <w:t>المقصد الثَّاني</w:t>
      </w:r>
      <w:r>
        <w:rPr>
          <w:rtl w:val="true"/>
        </w:rPr>
        <w:t xml:space="preserve">: </w:t>
      </w:r>
      <w:r>
        <w:rPr>
          <w:rtl w:val="true"/>
        </w:rPr>
        <w:t>النّقد</w:t>
      </w:r>
      <w:bookmarkEnd w:id="3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 المادّة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تعدّد الزوجات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قانون الأحوال العراقي مخالفٌ لظاهر القرآن؛ لأنّه أخذ مفهوم الآية حسب تفسير بعض علماء العامّة وهو النهي، ولم يأخذ بظاهرها وهو الجواز عند الأكثر؛ وقد اتّفق علماء الشيعة وأغلب علماء العامّة على</w:t>
      </w:r>
    </w:p>
    <w:p>
      <w:pPr>
        <w:pStyle w:val="BookText"/>
        <w:rPr/>
      </w:pPr>
      <w:r>
        <w:rPr>
          <w:rFonts w:ascii="Amiri" w:hAnsi="Amiri" w:eastAsia="Amiri" w:cs="Amiri"/>
          <w:color w:val="111111"/>
          <w:sz w:val="28"/>
          <w:sz w:val="28"/>
          <w:szCs w:val="28"/>
          <w:rtl w:val="true"/>
          <w:lang w:bidi="ar-SA"/>
        </w:rPr>
        <w:t>جواز التعدّد، والشرط هو القسم بين الزوجات في الليالي والنفقة، والعيلولة هي المدار عند العامّة في العدالة بين الزوجات على اختلاف الرأي في القسم والنفقة، ولكنّ الشيعة لا تعدّه شرطاً في الصحّة خلافاً لعلماء العامّة، فالزّواج مع عدم القدرة الماليّة صحيح عند الشيعة الإمامية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يُحدِّد العدد المسموح به من النساء والذي حدّدته الشريعة الإسلاميّة بالأربع، فعدم النصّ على عدد الزوجات المسموح به يعدّ نقصاً في القانونين العراقي ومشروع القانون الجعفري، ومخالفة لظاهر القرآن، ومشهور الفقه الجعفري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خالف المشرّع العراقي الفقه الإسلامي في إعطاء الولاية للقاضي في الإذن وعدمه، والمفروض أن يكون ذلك للحاكم الشرعي؛ لأنّه القاضي والمأذون حقيقة </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وإعطاء الصلاحيات للقاضي إنّما يصحّ إذا كان جامعاً للشرائط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القاضي المنصوب من الجائر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الفاقد للشرائط أو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فإعطاؤه الولاية بهذه السعة اتّباع للهوى، ودليل على عدم علمه بالآثار المترتبة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مشرّع مشروع قانون الأحوال الشخصيّة الجعفري فعدم نصّه على جواز تعدّد الزوجات، والعدد المسموح به، والتسوية بينهن، والعدالة، نقصٌ في القانون وإن نصّ في موادّه على قسمة الليالي والنفقة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أغلب موادّ مشروع قانون الأحوال الجعفري هي بيان لتكليف الزوج شرعاً كالرسائل العمليّة، وليست صياغة قانونيّة</w:t>
      </w:r>
      <w:r>
        <w:rPr>
          <w:rFonts w:eastAsia="Amiri" w:cs="Amiri" w:ascii="Amiri" w:hAnsi="Amiri"/>
          <w:color w:val="111111"/>
          <w:sz w:val="28"/>
          <w:szCs w:val="28"/>
          <w:rtl w:val="true"/>
          <w:lang w:bidi="ar-SA"/>
        </w:rPr>
        <w:t>.</w:t>
      </w:r>
      <w:bookmarkStart w:id="313" w:name="pg10913_110713"/>
    </w:p>
    <w:p>
      <w:pPr>
        <w:pStyle w:val="Heading3"/>
        <w:numPr>
          <w:ilvl w:val="2"/>
          <w:numId w:val="1"/>
        </w:numPr>
        <w:rPr/>
      </w:pPr>
      <w:bookmarkStart w:id="314" w:name="__RefHeading___Toc3056664_2870459653"/>
      <w:bookmarkStart w:id="315" w:name="_Toc123"/>
      <w:bookmarkEnd w:id="313"/>
      <w:bookmarkEnd w:id="314"/>
      <w:r>
        <w:rPr>
          <w:rtl w:val="true"/>
        </w:rPr>
        <w:t>الخاتمة</w:t>
      </w:r>
      <w:r>
        <w:rPr>
          <w:rtl w:val="true"/>
        </w:rPr>
        <w:t xml:space="preserve">: </w:t>
      </w:r>
      <w:r>
        <w:rPr>
          <w:rtl w:val="true"/>
        </w:rPr>
        <w:t>في النّتائج والمقترحات</w:t>
      </w:r>
      <w:bookmarkEnd w:id="315"/>
    </w:p>
    <w:p>
      <w:pPr>
        <w:pStyle w:val="Heading4"/>
        <w:numPr>
          <w:ilvl w:val="3"/>
          <w:numId w:val="1"/>
        </w:numPr>
        <w:rPr/>
      </w:pPr>
      <w:bookmarkStart w:id="316" w:name="__RefHeading___Toc3056666_2870459653"/>
      <w:bookmarkStart w:id="317" w:name="_Toc124"/>
      <w:bookmarkEnd w:id="316"/>
      <w:r>
        <w:rPr>
          <w:rtl w:val="true"/>
        </w:rPr>
        <w:t>أوَّلاً</w:t>
      </w:r>
      <w:r>
        <w:rPr>
          <w:rtl w:val="true"/>
        </w:rPr>
        <w:t xml:space="preserve">: </w:t>
      </w:r>
      <w:r>
        <w:rPr>
          <w:rtl w:val="true"/>
        </w:rPr>
        <w:t>النّتائج</w:t>
      </w:r>
      <w:bookmarkEnd w:id="317"/>
    </w:p>
    <w:p>
      <w:pPr>
        <w:pStyle w:val="Heading5"/>
        <w:numPr>
          <w:ilvl w:val="4"/>
          <w:numId w:val="1"/>
        </w:numPr>
        <w:rPr/>
      </w:pPr>
      <w:bookmarkStart w:id="318" w:name="__RefHeading___Toc3056668_2870459653"/>
      <w:bookmarkStart w:id="319" w:name="_Toc125"/>
      <w:bookmarkEnd w:id="318"/>
      <w:r>
        <w:rPr>
          <w:rtl w:val="true"/>
        </w:rPr>
        <w:t>اشارة</w:t>
      </w:r>
      <w:bookmarkEnd w:id="3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حال الشخص في اللغة يطلق على زواجه وطلاقه وإرثه وغيرها ممّا ذكر في قانون الأحوال الشخصيّة 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الأعزب إذا تزوج تحوّل عن حالة العزوبيّة إلى حالة الزوجيّة، وإذا طلق انتقل إلى حالة أخرى وهكذا يتحوّل من حال إلى أخرى من أحواله، فيصدق لغة عليها حال الشخص؛ لأنّ كلّ متحوّل عن حاله يطلق عليه حال الشخص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الزّواج تغيّر في نفس الإنسان وكذا الطلاق، وأمّا الإرث فتغيّر في قنية الإنسان، فيطلق عليها أحوال؛ لما ذكر عن الراغب أنّ الحال ما يَختَصُّ به الإنسانُ وغيرُه من الأمورِ المتغيِّرة في نَفسِه وبَدَنِه وقُنْيَتِه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مصطلح الأحوال الشخصيّة غير دقيق وغير بليغ في إطلاقه على النّكاح والطلاق والإرث وغيرها من شؤون الإنسان، وأنّ إطلاق الشؤون الشخصيّة أو شؤون الأشخاص عليها أدقّ وأبلغ في صدقها عليها؛ لما ذكرنا في الحلقة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الفتاوى من الرسائل العمليّة ونحوها لا تعدّ قوانين تشريعيّة بالمصطلح الحديث، وإنّما هي تدوين للأحكام الشرعيّة وإن نظمّت علاقات الإنسان؛ لعدم الإلزام بها، وعدم الجزاء على المخالفة من جهة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المطابقة اللفظيّة بين نصّ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ف</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قانون الأحوال الشخصيّة العراقي ونصّ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مشروع قانون الأحوال الشخصيّة الجعفري، والمعنى واحد فيهما ولا أثر لإضافة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مشروع قانون الأحوال الشخصيّة الجعفري، وإنّما نقلت من دون دراسة تحليليّة وفقهيّة متأنية، </w:t>
      </w:r>
    </w:p>
    <w:p>
      <w:pPr>
        <w:pStyle w:val="BookText"/>
        <w:rPr/>
      </w:pPr>
      <w:r>
        <w:rPr>
          <w:rFonts w:ascii="Amiri" w:hAnsi="Amiri" w:eastAsia="Amiri" w:cs="Amiri"/>
          <w:color w:val="111111"/>
          <w:sz w:val="28"/>
          <w:sz w:val="28"/>
          <w:szCs w:val="28"/>
          <w:rtl w:val="true"/>
          <w:lang w:bidi="ar-SA"/>
        </w:rPr>
        <w:t xml:space="preserve">ويرد عليها كلّ ما ورد من إيجابيات وسلبيات، وخصوصاً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لفظها وفحواها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السبب في تدوين الأحكام الشرعيّة في الدولة الإسلاميّة استبدال القضاة المجتهدين بالمقلِّدين، والتقييد بمذهب معيّن والتشريع لهم حسب المصالح والأهواء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اقتضته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والشرع خلافه بكل مذاهبه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التقنين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تدوين الأحكام الشرعيّة وصياغتها في موادّ قانونيّة حديثة في زماننا وفي دولنا الإسلاميّة أمر راجح ثبوتاً عقلاً وواقعاً، وما ذكر من إشكالات عليه يمكن معالجتها وتحاشيها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تدوين الأحكام الشرعيّة ثابت شرعاً؛ لأنّه من السُنّة وهي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وفِعْله وفِعْل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والصحابة، ولا دليل على منعه سوى منع عمر من تدوين الحديث وهو أعمّ من تدوين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استدلوا به على حرمة التقنين بالقرآن والسُنّة والإجماع، وأنّه خلاف ما عليه الإجماع العملي للقرون المفضّلة، فهو غير دقيق وخلاف التحقيق؛ لذا تمّ الردّ عليه حلاً ونقضاً، ولا يبقى دليل على حرمة التقنين، خصوصاً تدوين الأحكام الشرعية الثابتة والمتواترة والمجمع عليها عند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المختلف فيها على قولين أو أكثر وإن كان لا دليل على حرمة تدوينها إن كانت تستند إلى نقل الصحابة لكن يجب تدوين القولين أو الأكثر وعدم ترجيح أحدهما أو أحدها، وكذا لم يثبت منع تقنين الأحكام الشرعية المختلف فيها والتي استنبطت بالاجتهاد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المانع الفقهي والشرعي من تقنين الأحكام الشرعية هو التقيّد بمذهب معيّن في التشريع والقضاء، والأخذ بالأقوال الراجحة والمشهورة، وهذا ما اختلفت فيه المذاهب الفقهيّة الإسلاميّة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الإجماع على التقيّد بمذهب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التشريع والحكم والقضاء عند الإمامية؛ لأنّه المذهب الحقّ الذي يجب الحكم به، ويشمل استنباط الأحكام الشرعيّة من المجتهدين في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فعل مشرّع مشروع قانون الأحوال الشخصيّة الجعفري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مجهود ومحاولة نثمّنها ونستفيد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لم يوفق في عدة أمور،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القانون لم يكن مدروساً، والمشرّع لم يكن متأنياً كما ينبغي، ولم يظهر لي أنّه مبني على دراسة قانونيّة وفقهيّة متكاملة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موادّه وإنْ صيغت بموادّ قانونيّة إلّا أنّها للتدوين أقرب منه إلى التقنين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تُذكر بعض الأمور الواجب ذكرها، كما أثبتنا ذلك في المبحث الثاني من تحديد العدد المسموح به لنكاح النساء، والعدالة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آراء المذاهب الفقهية الأربعة متّفقة على أنّ المجتهد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أن يعقد تقلّد القضاء على أن يحكم بمذهب بعينه لقوله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فَاحْكُم بَيْنَ النَّاسِ بِالْحَقِّ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والحقّ ما دلّ عليه الدليل، وذلك لا يتعيّن في مذهب بعينه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الطرطوشي عن الباجي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سجلّات قرطبة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يُخرج عن قول ابن القاسم ما 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الحطّاب الرعيني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جهل عظيم منهم، يريد لأنّ الحقّ ليس في شيء معين</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غير المجتهد المطلق ففيه خلاف تقدّم تفصيله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السلفيّة فقالوا بحرمة التقنين والإلزام بالراجح، واستدلّوا بالقرآن والسُنّة والإجماع، وأنّ تقنين الأحكام </w:t>
      </w:r>
    </w:p>
    <w:p>
      <w:pPr>
        <w:pStyle w:val="BookText"/>
        <w:rPr/>
      </w:pPr>
      <w:r>
        <w:rPr>
          <w:rFonts w:ascii="Amiri" w:hAnsi="Amiri" w:eastAsia="Amiri" w:cs="Amiri"/>
          <w:color w:val="111111"/>
          <w:sz w:val="28"/>
          <w:sz w:val="28"/>
          <w:szCs w:val="28"/>
          <w:rtl w:val="true"/>
          <w:lang w:bidi="ar-SA"/>
        </w:rPr>
        <w:t>الشرعيّة وإلزام القضاة بالحكم بها هو خلاف ما عليه الإجماع العملي للقرون المفضّلة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المدار في القضاء الإسلامي هو الحكم بالحقّ، ويتحقّق بتطبيق الموازين التي قرّرها الشارع المقدس للقضاء، والقواعد التي توصّل إليها المجتهدون، وثبت في كلّ مذهب من المذاهب على حسب المدارك الثابتة في الحكم الكلي وفي الموضوعات الخارجية بالبيّنات والأيمان، فالمذهب الذي استنبط قواعد قضائه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وطبّقها على الأحكام القضائية يصدق عليه أنّه حكم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شرعيّة القضاء في زمن الغيبة تنحصر بالمجتهد المطلق الجامع للشرائط، ويجوز تولّي المجتهد المتجزئ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بإذن المجتهد المطلق بوصفه الحاكم الشرعي، أو مع عدم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المقلِّد فمع بعض الشروط يجوز له تولّي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أفهمه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المقلِّد والعاميّ لا يعدّ قاضياً، وإنّما هو قاضي تحكيم أو قاضي ضرورة، وهو الصحيح؛ لعدم قابليته لمنصب القضاء، وإنّما يصحّ تولّيه من الحاكم الشرعي إذا رأى المصلحة في ذلك؛ لذا يجوز للمجتهد المطلق تفويض القضاء إلى المقلِّد أو توكيله والحكم بفتوى المجتهد المطلق؛ لولايته العامّة في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ذهب إليه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جواز تولي القضاء لكلّ مؤمن بشرط الحكم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يحتاجه الواقع المعاصر فعلاً ويعالج مشكلة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الكلام في الحلقة الأولى في عرض أدلته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ومناقشتها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ويضاف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الإجماع المركب بين المجتهد المطلق والمتجزئ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روايات شديدة اللسان في التحذير من التصدّي للقضاء</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تصدى الفاضل 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للجواب عن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ليس المقصود منها ذمّ القضاء مطلقاً، بل المراد بيان اشتماله على المشقة والخطر العظيم؛ لصعوبة شروطه </w:t>
      </w:r>
    </w:p>
    <w:p>
      <w:pPr>
        <w:pStyle w:val="BookText"/>
        <w:rPr/>
      </w:pPr>
      <w:r>
        <w:rPr>
          <w:rFonts w:ascii="Amiri" w:hAnsi="Amiri" w:eastAsia="Amiri" w:cs="Amiri"/>
          <w:color w:val="111111"/>
          <w:sz w:val="28"/>
          <w:sz w:val="28"/>
          <w:szCs w:val="28"/>
          <w:rtl w:val="true"/>
          <w:lang w:bidi="ar-SA"/>
        </w:rPr>
        <w:t>من العلوم والأعمال، فإنّه لا يجوز أن يتعرّض له إلّا مَن كان عالماً بالأحكام الشرعية عن مآخذها التفصيلية، ورعاً عن المحارم، زاهداً في الدنيا، متوفّراً على الأعمال الصالحة، مجتنباً للذنوب كبائرها وصغائرها، شديد الحذر من الهوى، حريصاً على التقوى، ولشدّة هذه الشروط كان السلف يمتنعون منه</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لنا بعد كثرة الروايات المحذّرة من تولي القضاء أن نجيزه لغير العالم بالأحكام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جوّز بعض الحنفية القضاء للعامي والجاهل إن نصّبه السلطان ذو الشوكة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لا يمكن المساعدة عليه 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الفاسق وغير المسلم فلا يجوز توليه القضاء؛ لأنّه خلاف شروط القاضي شرعاً، وتسميته بالقاضي تحكّم ظاهر وتَجَرّي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عصمنا الله وإياكم من منابر أهل الضلال والجور والنار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القول بجواز تصدي المقلِّد للقضاء، تكون الحاجة ماسّة للتقنين وتدوين الأحكام الشرعيّة وصياغتها في قانون ليُحكم على طبقها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يمكن إجراء تعديل لقانون الأحوال الشخصيّة العراقي، لما ذكره الشيخ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مذكرته من مخالفته الشريعة الإسلاميّة في بعض موادّه، وما خلّفه ويخلّفه من الآثار النفسية والاجتماعية في الفرد والمجتمع، ولعدم صياغته على رؤية إسلاميّة متكاملة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إضافة موادّ عليه وحذف موادّ أُخر وتغييرها كما بيّنته في الأطروحة الثانية التي اقترحتها، بناءً على رؤية إسلاميّة متكاملة دون مخالفة الشريعة الإسلاميّة </w:t>
      </w:r>
    </w:p>
    <w:p>
      <w:pPr>
        <w:pStyle w:val="BookText"/>
        <w:rPr/>
      </w:pPr>
      <w:r>
        <w:rPr>
          <w:rFonts w:ascii="Amiri" w:hAnsi="Amiri" w:eastAsia="Amiri" w:cs="Amiri"/>
          <w:color w:val="111111"/>
          <w:sz w:val="28"/>
          <w:sz w:val="28"/>
          <w:szCs w:val="28"/>
          <w:rtl w:val="true"/>
          <w:lang w:bidi="ar-SA"/>
        </w:rPr>
        <w:t xml:space="preserve">وأسس الديمقراطيّة كما نصّ الدستور الدائم في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وتتحقّق فيه المميّزات المذكورة في المطلب الأوّل من المبحث الأوّل، وتطبيق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تخصّ الأحوال الشخصيّة من دون إرجاع المجتمع العراقي إلى عدّة قوانين في الأحوال الشخصيّة كما فعل أصحاب مشروع قانون الأحوال الشخصيّة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فالأفضل إلغاؤه وتشريع قانون إسلامي أو عراقي جديد برؤية إسلاميّة متكاملة وعصرية، وهو أمر راجح عقلاً وواقع في زماننا، خصوصاً إذا كتب بالصيغة الشرعيّة المقترحة، فلا يُعدّ هجراً للشريعة الإسلاميّة، ولا سلباً لمقام فقهاء الأمّة وسلطتهم، بل يحدّد السلطة التشريعيّة والقضائيّة ويفصل بينهما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يحقّ لمن أذن له الله سبحانه وتعالى أن يشرّع ضمن القواعد الكليّة والمنهج العامّ الذي قرّره سبحانه وتعالى، وهم النبيّ والوصيّ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أذنوا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توفّرت فيهم شروط القدرة على الاستنباط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الثابت من الأحكام عن الله والنبي والوصي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الأحكام المتغيّرة حسب الزمان والمكان والظروف المحيطة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يحقّ لغيرهم أن يشرّع القوانين، وما يشرّعه غير المأذون من الله يعدّ من أحكام الجاهلية وحكماً بغير ما أنزل الله، هذا إذا كان في الأحكام الثابتة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الأحكام المتغيّرة وإن كان لا يجوز له تشريعها أيضاً، لكن لو شرّعها فلا يقال لتشريعه أنّه بغير ما أنزل الله تعالى حيث إنّه جلّ وعلا لم ينزّل خلافه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توصّلنا من البحث إلى معالجة التعارض بين المذاهب الفقهيّة الإسلاميّة في تدوين الأحكام الشرعيّة وصياغتها في قوانين والحكم بها بأطروحة إضافة مادّة إلى القانون تجيز المصادقة والتنفيذ لما يصدر من أحكام المؤسسات الدينية المختلفة، والتي يمكن من خلالها ولادة قانون إسلاميّ موحّد يحكم المسلمين ويحلّ مشاكلهم العصرية، </w:t>
      </w:r>
    </w:p>
    <w:p>
      <w:pPr>
        <w:pStyle w:val="BookText"/>
        <w:rPr/>
      </w:pPr>
      <w:r>
        <w:rPr>
          <w:rFonts w:ascii="Amiri" w:hAnsi="Amiri" w:eastAsia="Amiri" w:cs="Amiri"/>
          <w:color w:val="111111"/>
          <w:sz w:val="28"/>
          <w:sz w:val="28"/>
          <w:szCs w:val="28"/>
          <w:rtl w:val="true"/>
          <w:lang w:bidi="ar-SA"/>
        </w:rPr>
        <w:t>ويواكب تطوّرات العصر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يتحقّق القضاء العادل بتطبيق أحكام الله، والحكم بما أنزله سبحانه وتعالى، وهذا يحتاج إلى العارفين به من نبي، أو وصي، أو فقيه أنار الله قلبه بأنوارهما؛ لتحقيق القسط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ذلك من القرآن والسُنّة وأقوال الفقهاء، فلا يجوز لفاقد الشروط أو بعضها التصدّي للقضاء بين الناس وإنْ استطاع الحكم بالقوانين الموافقة لما أنزله الله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العنوان الأصحّ والأبلغ والأصدق والأولى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والموافق للّغة والاصطلاح على عنوان الباب الأوّل؛ لأنّه الأصل في العقد ويطلق على زواج الإنسان فقط دون غيره من الحيوانات والجمادات، وأيضاً يطلق على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يعني الاقتران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فيشترك فيه الإنسان وغيره، وهو لا يطلق على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نرى عدّة من القوانين العربية كقانون الأحوال الشخصيّة الأردني</w:t>
      </w:r>
      <w:r>
        <w:rPr>
          <w:rStyle w:val="FootnoteAnchor"/>
          <w:rtl w:val="true"/>
        </w:rPr>
        <w:footnoteReference w:id="510"/>
      </w:r>
      <w:r>
        <w:rPr>
          <w:rFonts w:ascii="Amiri" w:hAnsi="Amiri" w:eastAsia="Amiri" w:cs="Amiri"/>
          <w:color w:val="111111"/>
          <w:sz w:val="28"/>
          <w:sz w:val="28"/>
          <w:szCs w:val="28"/>
          <w:rtl w:val="true"/>
          <w:lang w:bidi="ar-SA"/>
        </w:rPr>
        <w:t xml:space="preserve">قد استعمل في موادّه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ومشتقاته وعنون الباب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الأصحّ</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والتزويج أولى من إطلاق الزّواج؛ لأنّه مصدر ويأتي بمعنى النّكاح، فالمشرّع لقانون الأحوال الشخصيّة العراقي عنون الباب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والفصل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فخالف اللّغة والاستعمال القرآني والفقهي، ولم يكن دقيقاً في عنونة الفصل الأوّل بالزّواج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أحسن مشرّع قانون الأحوال الشخصيّة الجعفري حين عنون الباب الثاني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فوافق اللغة والاستعمال القرآني والفقهي، ولكنّه جعل الزّواج بين قوسين، ولا أعلم السبب الذي دعاه لذلك، ولعلّه للبيان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القرآن الكريم عظَّم النّكاح والزّواج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وأَخَذْنَ مِنْكُمْ مِيثاقاً غَلِيظاً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نجد هذا التعظيم والتقييم لعقد الزّواج في تعريف المشرّع العراقي للزواج في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ف</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في تعريف المشرّع لمشروع قانون الأحوال الشخصيّة الجعفري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كانت كلمة العقد لغة تتضمّن التغليظ والإبرام والوجوب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قلنا إنّ المشرّع العراقي كان موفّقاً في تعريفه بالقياس إلى تعريف مشرّع مشروع قانون الأحوال الشخصيّة الجعفري الذي عرّفه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يعرّفه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من إظهار التغليظ والإبرام كما أظهره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والمشرّع الفرنسي كان أكثر إنصافاً منهما في تعريفه للزواج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اتّحاد متين بين رجل وامرأة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المشرّع العراقي ظاهر القرآن في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ف</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تعدّد الزوجات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قانون الأحوال الشخصيّة العراقي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إلّا بشرطين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لم يحدّد العدد المسموح به من النساء، ولذا ذكر الشيخ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مذكرته مخالفةَ هذا القانون لنصّ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أيضاً الفقه الإسلامي في إعطاء الولاية للقاضي في الإذن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مشرّع مشروع قانون الأحوال الشخصيّة الجعفري فعدم نصّه على هذه المادّة يعدّ نقصاً في القانون، وإنْ نصّ في موادّه على قسمة الليالي، ولم ينصّ على العدالة بالنفقة أيضاً</w:t>
      </w:r>
      <w:r>
        <w:rPr>
          <w:rFonts w:eastAsia="Amiri" w:cs="Amiri" w:ascii="Amiri" w:hAnsi="Amiri"/>
          <w:color w:val="111111"/>
          <w:sz w:val="28"/>
          <w:szCs w:val="28"/>
          <w:rtl w:val="true"/>
          <w:lang w:bidi="ar-SA"/>
        </w:rPr>
        <w:t xml:space="preserve">. </w:t>
      </w:r>
      <w:bookmarkStart w:id="320" w:name="pg10913_110729"/>
    </w:p>
    <w:p>
      <w:pPr>
        <w:pStyle w:val="Heading5"/>
        <w:numPr>
          <w:ilvl w:val="4"/>
          <w:numId w:val="1"/>
        </w:numPr>
        <w:rPr/>
      </w:pPr>
      <w:bookmarkStart w:id="321" w:name="__RefHeading___Toc3056670_2870459653"/>
      <w:bookmarkStart w:id="322" w:name="_Toc126"/>
      <w:bookmarkEnd w:id="320"/>
      <w:bookmarkEnd w:id="321"/>
      <w:r>
        <w:rPr>
          <w:rtl w:val="true"/>
        </w:rPr>
        <w:t>النّتيجة النّهائيّة للبحث</w:t>
      </w:r>
      <w:bookmarkEnd w:id="3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قانون الأحوال الشخصيّة العراقي فيه إيجابيات وسلبيات، وكذا قانون الأحوال الشخصيّة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قانون الأحوال الشخصيّة العراقي فمن سلبياته أنّه قد خالف ظاهر القرآن وإجماع المسلمين وأخذ بمذهب معيّن أو القول الراجح، فلا شرعية له؛ لأنّ مخالفة تطبيق الشريعة والمعتَقَد له آثاره السلبية على حياة الإنسان واستقراره النفسي والاجتماعي، والمفروض أنّ القانون يشرَّع لاستقرار الإنسان وحصوله على الحياة الحرّة الكريمة، فالمطلوب تشريع قانون أقلّ خللاً، وإيجابياته أكثر من سلبياته، وأن يكون مدروساً دراسة فقهيّة قانونيّة ناشئة من واقع المسلمين، ومطبّقة لشريعتهم، وناظرة إلى مذاهبهم الفقهيّة واختلافها وأن يحلّ مشاكلهم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مشروع قانون الأحوال الشخصيّة الجعفري لا يصح أن يكون أطروحة حديثة لتقنين وتدوين الأحكام الشرعيّة الإسلاميّة؛ لأنّ كلّ مذهب يدوّن الأحكام المشهورة فيه ويلزم القضاة والحكّام بها، وهذا ما يظهر من بعض الروايات في الفقه الجعفري وما التزم به بقية المذاهب</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الذي أفهمه من الروايات هو خصوص ما علمناه من أحكام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وليس الأحكام الاجتهاديّة الظنيّة فما ثبت من أحكامهم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بالأدلة القطعية والذي يطلق عليه الحكم الواقعي وهو المجعول من الشارع بدليل قطعي سواء كان بالعنوان الأولي أو الثانوي كوجوب الحج وحرمة الميتة وحرمة قتل النفس المحترمة، هذا الذي يجب الحكم به والقضاء، ولا يجوز مخالفته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ثبت بالأدلّة الاجتهادية الظنّية كالحكم المجعول من الشارع والذي دلّت عليه </w:t>
      </w:r>
      <w:bookmarkStart w:id="323" w:name="pg10913_110732"/>
    </w:p>
    <w:p>
      <w:pPr>
        <w:pStyle w:val="BookText"/>
        <w:rPr/>
      </w:pPr>
      <w:bookmarkEnd w:id="323"/>
      <w:r>
        <w:rPr>
          <w:rFonts w:ascii="IRNazanin" w:hAnsi="IRNazanin" w:eastAsia="IRNazanin"/>
          <w:color w:val="111111"/>
          <w:sz w:val="28"/>
          <w:sz w:val="28"/>
          <w:szCs w:val="28"/>
          <w:rtl w:val="true"/>
          <w:lang w:bidi="fa-IR"/>
        </w:rPr>
        <w:t xml:space="preserve">الأمارات والطرق الظنّية كالإقامة في الصلاة، والدية وغير ذلك فهذا ليس حكماً واقعياً لعدم القطع بكونه من أحكام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فيجوز مخالفته والحكم والقضاء بضده</w:t>
      </w:r>
      <w:r>
        <w:rPr>
          <w:rFonts w:eastAsia="IRNazanin" w:cs="IRNazanin"/>
          <w:color w:val="111111"/>
          <w:sz w:val="28"/>
          <w:szCs w:val="28"/>
          <w:rtl w:val="true"/>
          <w:lang w:bidi="fa-IR"/>
        </w:rPr>
        <w:t>.</w:t>
      </w:r>
    </w:p>
    <w:p>
      <w:pPr>
        <w:pStyle w:val="Heading4"/>
        <w:numPr>
          <w:ilvl w:val="3"/>
          <w:numId w:val="1"/>
        </w:numPr>
        <w:rPr/>
      </w:pPr>
      <w:bookmarkStart w:id="324" w:name="__RefHeading___Toc3056672_2870459653"/>
      <w:bookmarkStart w:id="325" w:name="_Toc127"/>
      <w:bookmarkEnd w:id="324"/>
      <w:r>
        <w:rPr>
          <w:rtl w:val="true"/>
        </w:rPr>
        <w:t>ثانياً</w:t>
      </w:r>
      <w:r>
        <w:rPr>
          <w:rtl w:val="true"/>
        </w:rPr>
        <w:t xml:space="preserve">: </w:t>
      </w:r>
      <w:r>
        <w:rPr>
          <w:rtl w:val="true"/>
        </w:rPr>
        <w:t>المقترحات</w:t>
      </w:r>
      <w:bookmarkEnd w:id="325"/>
    </w:p>
    <w:p>
      <w:pPr>
        <w:pStyle w:val="Heading5"/>
        <w:numPr>
          <w:ilvl w:val="4"/>
          <w:numId w:val="1"/>
        </w:numPr>
        <w:rPr/>
      </w:pPr>
      <w:bookmarkStart w:id="326" w:name="__RefHeading___Toc3056674_2870459653"/>
      <w:bookmarkStart w:id="327" w:name="_Toc128"/>
      <w:bookmarkEnd w:id="326"/>
      <w:r>
        <w:rPr>
          <w:rtl w:val="true"/>
        </w:rPr>
        <w:t>اشارة</w:t>
      </w:r>
      <w:bookmarkEnd w:id="327"/>
    </w:p>
    <w:p>
      <w:pPr>
        <w:pStyle w:val="BookText"/>
        <w:rPr/>
      </w:pPr>
      <w:r>
        <w:rPr>
          <w:rFonts w:ascii="Amiri" w:hAnsi="Amiri" w:eastAsia="Amiri" w:cs="Amiri"/>
          <w:color w:val="111111"/>
          <w:sz w:val="28"/>
          <w:sz w:val="28"/>
          <w:szCs w:val="28"/>
          <w:rtl w:val="true"/>
          <w:lang w:bidi="ar-SA"/>
        </w:rPr>
        <w:t>المقترح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إبدال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أدقّ وإن صدق على الزّواج والطلاق والإرث والوصية وغيرها أنّها أحوالٌ لغةً؛ لأنّ الحال بمعنى الشأن،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وأدقّ في إطلاقه على الزّواج والطلاق وغيرهما من شؤون ومختصات الإنسان؛ فهي أمور وأحوال عظيمة يصدق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عبّر القرآن عن الزّواج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الميثاق الغليظ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وعبّر الرسول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الطلاق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أبغض الحلال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والفرائض من أهم مسائل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والشؤون مختصّة بالإنسان، والأحوال غير مختصّة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يمكن إبدال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قانون أحوال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الأحوال الشخصيّة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ترد في اللغة لا جمعاً للشخص؛ لأنّ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أشخاص وشخوص وأشخص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اسماً فاسمه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مصدراً فمصدره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اسم مصدر فاسم مصدره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مذكّر له فمذكره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شَخِيصةٌ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فعل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للشخص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الأسد، ولكن لم يذكرها أحد من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استعملت في الكلام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والأحوال جمع يناسبه أنْ يكون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قلّة وهو أشخاص</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أنسب؛ لأنّها مصدر صناعي وهي صفة الأحوال، ولا مانع منها لاشتهارها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إبدال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الأحوال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الشؤون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شؤون الأشخاص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مصطلح الأحوال الشخصيّة هو السائد في الاستعمال، ولكن الأشخاص جمع يناسب الأحوال والشؤون وإن صحّ وصفهما بالشخصيّة وهي مصدر صناعي ولا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المقترح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كتب فتاوى الفقهاء من الرسائل العمليّة تحتاج لجعلها قوانين إلى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ترتيب الآثار القانونيّة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إضافة الجزاء المناسب إليها حسب المخالفة، وحينئذ فلا يبقى مانع لجعلها قوانين يُستند إليها في الحكم والقضاء خصوصاً مع وجود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بواسطتها تطبيق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الدستور التي تنصّ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العراقيون أحرار في الالتزام بأحوالهم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بتشريع قوانين متعدّدة للأحوال الشخصيّة، وإنّما إضافة مادّة إلى قانون الأحوال الشخصيّة تلزم دائرة التنفيذ بما يصدر من قرارات من المؤسسة الدينيّة الخاصّة بكل دين ومذهب وطائفة، وبذلك نكون قد طبّقنا المادّة الدستوريّة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حريّة الإنسان العراقي في الأحوال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المقترح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إبدال الكلمتين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لفظها وفحواها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الواردتين في نصّ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قانون الأحوال الشخصيّة العراقي، والمادّة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مشروع قانون الأحوال الشخصيّة الجعفري</w:t>
      </w:r>
    </w:p>
    <w:p>
      <w:pPr>
        <w:pStyle w:val="BookText"/>
        <w:rPr/>
      </w:pPr>
      <w:r>
        <w:rPr>
          <w:rFonts w:ascii="Amiri" w:hAnsi="Amiri" w:eastAsia="Amiri" w:cs="Amiri"/>
          <w:color w:val="111111"/>
          <w:sz w:val="28"/>
          <w:sz w:val="28"/>
          <w:szCs w:val="28"/>
          <w:rtl w:val="true"/>
          <w:lang w:bidi="ar-SA"/>
        </w:rPr>
        <w:t xml:space="preserve">بالكلمتين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منطوقها ومفهومها الموافق فقط</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المقترح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مذكرة الشيخ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رفعها 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فريدة من نوعها، وفيها إحاطة تامّة بالقانون، ودراسة دقيقة بأسلوب علمي حديث، ولو أخذ بها لكان بحقّ مجدّدَ قانون الأحوال الشخصيّة الإسلامي، وما طرحه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الإشكالات </w:t>
      </w:r>
    </w:p>
    <w:p>
      <w:pPr>
        <w:pStyle w:val="BookText"/>
        <w:rPr/>
      </w:pPr>
      <w:r>
        <w:rPr>
          <w:rFonts w:ascii="Amiri" w:hAnsi="Amiri" w:eastAsia="Amiri" w:cs="Amiri"/>
          <w:color w:val="111111"/>
          <w:sz w:val="28"/>
          <w:sz w:val="28"/>
          <w:szCs w:val="28"/>
          <w:rtl w:val="true"/>
          <w:lang w:bidi="ar-SA"/>
        </w:rPr>
        <w:t>والمخالفات لظاهر القرآن والشريعة والرؤى الإسلامية لا زالت قائمة في هذا القانون، فيجب العمل بملاحظاته وصياغة القانون من جديد بالرؤية العصريّة الإسلاميّة التي طرحها، والنظريّة التكامليّة في معالجة الجرائم وفي المفاهيم والنظريات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تناولتُ ذلك في بحث خاصّ أسميته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محمّد رضا المظفر وتعديل قانون الأحوال الشخصيّة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شاركت فيه في المؤتمر الدولي في التجديد في فكر الشيخ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المقترح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النصوص التشريعيّة وإن كانت حجّة على المسلمين فيما يخصّ الأحكام الثابتة والمجمع عليها بين المذاهب الإسلاميّة، إلّا أنّ الأحكام الخلافيّة ليست حجّة على المجتهد المطلق من القضاة، فالمفروض إضافة فقرة للمادّة في القانون لاستثناء المجتهد المطلق في الأحكام الخلافيّة؛ لأنّ الحقّ ما وصل إليه بالدليل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المقترح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تفعيل العمل لتشريع قانون الأحوال الشخصيّة العراقي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بإضافة مادّة كما ذكرتُ، أو على وفق الأطروحة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تقنين القانون الإسلامي من الأحكام الثابتة والمتّفق عليها بين المذاهب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المختلف فيها فتؤخذ ممّا ثبت من أحكام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أغلب المذاهب الفقهيّة الإسلاميّة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القضايا المستحدثة ممّا اختلفت فيه الأمة الإسلاميّة بمدارسها ومذاهبها واجتهاداتها فيؤخذ ممّا اتّفقت عليه ثلاثة مذاهب أو أكثر بضمنهم المذهب الجعفري ممّن ظهر دليله من القرآن والسُنّة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القضايا المستحدثة فمسؤوليتها ترجع إلى أهل الاستنباط من فقهاء المسلمين لاستنباط الحكم المناسب لها، ويؤخذ بالرأي الذي يحاكي الواقع ويلاحظ تطور العصر ويحلّ مشاكل المسلمين العصريّة، كما فعل المشرّع المصريّ في مسائل الطلاق والغريق </w:t>
      </w:r>
    </w:p>
    <w:p>
      <w:pPr>
        <w:pStyle w:val="BookText"/>
        <w:rPr/>
      </w:pPr>
      <w:r>
        <w:rPr>
          <w:rFonts w:ascii="Amiri" w:hAnsi="Amiri" w:eastAsia="Amiri" w:cs="Amiri"/>
          <w:color w:val="111111"/>
          <w:sz w:val="28"/>
          <w:sz w:val="28"/>
          <w:szCs w:val="28"/>
          <w:rtl w:val="true"/>
          <w:lang w:bidi="ar-SA"/>
        </w:rPr>
        <w:t>وغيرهما حين استند في أحكامهما إلى الفقه الجعفري وحلّ مشاكل كثيرة، كما قيل</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المقترح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إبدال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كعنوان للباب الأوّل والفصل الأوّل من قانون الأحوال الشخصيّة العراقي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لموافقة اللغة والاستعمال القرآني والفقهي، ولأنّ النّكاح يدلّ على عقد التزويج والخطبة، ويختصّ بالإنسان ولا يشترك معه غيره، والزّواج لم يستعمل في العقد، ويشترك به غير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المقترح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إبدال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المنصوص عليه في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ف</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قانون الأحوال الشخصيّة العراقي، وكذا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مشروع قانون الأحوال الشخصيّة الجعفري بما يظهر عمق وعظمة العلاقة الزوجيّة التي أظهرها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في التعريف أن 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ميثاق أو عقد غليظ بين جنسين مختلفين يحلّ شرعاً أحدهما على الآخر؛ لاستقرارهما وسكونهما بحياة كريمة ليجعل الله لهما النسل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الخنثى التي تتزوج إمّا فيها صفات الذكر أو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الخنثى المشكل فهي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المقترح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تعديل النصّ من قانون الأحوال الشخصيّة العراقي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ف</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وإضافته كمادّة في مشروع قانون الأحوال الشخصيّة الجعفري وعلى النحو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النّكاح الدائم بأكثر من واحدة بشرطين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يتجاوز الأربع زوجات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القدرة على العدل بينهن بالقسم والإنفاق</w:t>
      </w:r>
      <w:r>
        <w:rPr>
          <w:rFonts w:eastAsia="Amiri" w:cs="Amiri" w:ascii="Amiri" w:hAnsi="Amiri"/>
          <w:color w:val="111111"/>
          <w:sz w:val="28"/>
          <w:szCs w:val="28"/>
          <w:rtl w:val="true"/>
          <w:lang w:bidi="ar-SA"/>
        </w:rPr>
        <w:t xml:space="preserve">). </w:t>
      </w:r>
      <w:bookmarkStart w:id="328" w:name="pg10913_110739"/>
    </w:p>
    <w:p>
      <w:pPr>
        <w:pStyle w:val="Heading5"/>
        <w:numPr>
          <w:ilvl w:val="4"/>
          <w:numId w:val="1"/>
        </w:numPr>
        <w:rPr/>
      </w:pPr>
      <w:bookmarkStart w:id="329" w:name="__RefHeading___Toc3056676_2870459653"/>
      <w:bookmarkStart w:id="330" w:name="_Toc129"/>
      <w:bookmarkEnd w:id="328"/>
      <w:bookmarkEnd w:id="329"/>
      <w:r>
        <w:rPr>
          <w:rtl w:val="true"/>
        </w:rPr>
        <w:t>المقترح النّهائي للبحث</w:t>
      </w:r>
      <w:bookmarkEnd w:id="3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إنشاء مركز للدراسات القانونيّة في الحوزة العلميّة الهدف منه دراسة القوانين بطريقة الاستدلال الفقهي وتحصيل قوانين مصدرها الرئيس أو الأساس الشريعة الإسلاميّة، وتشريع قوانين أقلّ خللاً وإيجابياتها أكثر من سلبياتها، وأن تكون مدروسة دراسة فقهيّة قانونيّة ناشئة من واقع المسلمين ومطبِقة لشريعتهم، وناظرة إلى مذاهبهم الفقهيّة واختلافها، وأن تَحِلّ مشاكلهم العصريّة، وتواكب تطورات العصر مستفادة من بركة أهل الاستنباط والاجتهاد من مراجعنا العظام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الماضين وأدام ظلّ الباقين وإفاضاتهم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ليكون مَعيناً لا ينضب لتشريع القوانين في دولة العراق، والدول العربيّة والإسلاميّة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تشكيل لجنة من فقهاء الشريعة والقانون لدراسة قانون الأحوال الشخصيّة العراقي وتغيير النصوص القانونيّة بما يتوافق والدستور الدائم، لتدوين الأحكام الشرعيّة الإسلاميّة وصياغتها في موادّ قانونيّة وفق الأطروحة الثانية للبحث أو غيرها تكون نواةً للتوفيق بين المذاهب الفقهيّة الإسلاميّة لتقنين قانون إسلامي مدني وجنائي وأحوال شخصيّة وغيرها؛ لأنّ وجود قانون عصري موحد لكلّ العراقيين في الأحوال الشخصيّة، وبشكل تراعى فيه المواثيق والاتفاقيات الدوليّة، ويحلّ مشاكلهم العصريّة ويواكب تطوّرات العصر وسرعته، يعدّ دفاعاً عن قيم الحضارة والتمدّن ومفهوم المواطنة؛ لأنّه يشكّل أساساً لبناء العائلة العراقيّة ووحدة الشعب العراقي</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أسأل أن يوفقنا لخدمة الدين الحنيف إنّه ولي التوفيق</w:t>
      </w:r>
      <w:r>
        <w:rPr>
          <w:rFonts w:eastAsia="Amiri" w:cs="Amiri" w:ascii="Amiri" w:hAnsi="Amiri"/>
          <w:color w:val="111111"/>
          <w:sz w:val="28"/>
          <w:szCs w:val="28"/>
          <w:rtl w:val="true"/>
          <w:lang w:bidi="ar-SA"/>
        </w:rPr>
        <w:t>.</w:t>
      </w:r>
      <w:bookmarkStart w:id="331" w:name="pg10913_110741"/>
    </w:p>
    <w:p>
      <w:pPr>
        <w:pStyle w:val="Heading3"/>
        <w:numPr>
          <w:ilvl w:val="2"/>
          <w:numId w:val="1"/>
        </w:numPr>
        <w:rPr/>
      </w:pPr>
      <w:bookmarkStart w:id="332" w:name="__RefHeading___Toc3056678_2870459653"/>
      <w:bookmarkStart w:id="333" w:name="_Toc130"/>
      <w:bookmarkEnd w:id="331"/>
      <w:bookmarkEnd w:id="332"/>
      <w:r>
        <w:rPr>
          <w:rtl w:val="true"/>
        </w:rPr>
        <w:t>المصادر والمراجع</w:t>
      </w:r>
      <w:bookmarkEnd w:id="333"/>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الأذهان إلى أحكام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فارس الحسون،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الإنصاف في معرفة الراجح من الخلاف على مذهب أحمد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أبو الحسن علي بن سليمان المرداوي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885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حامد الفقي،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أبحاث هيئة كبار العلماء أصدار</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 تدوين الراجح من أقوال الفقهاء في المعاملات وإلزام القضاة بالحكم به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الأحكام السلطانية والولايات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البغدادي الماوردي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التعاون للنشر والتوزيع عباس أحمد الباز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مكتبة ومطبعة مصطفى البابي الحلبي وأولاده بمصر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الغني عبد الخالق،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القادر عطا،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علي شاهين، </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الأحوال الشخصية في القانون الدولي الخاص العراقي عبد الواحد كريدي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الأحوال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العربي،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إرواء الغليل في تخريج أحاديث منار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ناصر الألباني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الشاويش،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ومطابع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استفتاءات السيد السيستاني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مكتب السيد السيستاني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 في تمييز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عادل أحمد عبد الموجود، الشيخ علي محمد معوض،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أضواء على قانون الأحوال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بحر العلوم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إعانة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البكري الدمياطي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الأمين،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الإفصاح عن معاني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الوطن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الإقناع في حلّ ألفاظ أبي 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الشربيني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977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w:t>
      </w:r>
    </w:p>
    <w:p>
      <w:pPr>
        <w:pStyle w:val="BookText"/>
        <w:rPr/>
      </w:pPr>
      <w:r>
        <w:rPr>
          <w:rFonts w:ascii="Amiri" w:hAnsi="Amiri" w:eastAsia="Amiri" w:cs="Amiri"/>
          <w:color w:val="111111"/>
          <w:sz w:val="28"/>
          <w:sz w:val="28"/>
          <w:szCs w:val="28"/>
          <w:rtl w:val="true"/>
          <w:lang w:bidi="ar-SA"/>
        </w:rPr>
        <w:t>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للطباعة والنشر والتوزيع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آلاء الرحمن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جواد البلاغي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 xml:space="preserve">م، مطبعة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الأمثل في تفسير كتاب الله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ناصر مكارم الشيرازي، معاصر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اللوامع في شرح مفاتيح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آل عصفور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محسن آل عصفور،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في الفقه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الجواهري، معاصر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الذخائر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بدائع الصنائع في ترتيب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الحبيبية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باكستان،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الكبرى في فضائل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فروخ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وتعليق وتقديم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ميرزا محسن كوچه باغي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العروس من جواهر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ديار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حبيب قصير العاملي،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الإعلام الإسلامي،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تحرير الأحكام الشرعية على مذهب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إبراهيم البهادري،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جعفر السبحاني،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ﻫالمطبعة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تدريب الراوي في شرح تقريب النواوي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ﻫالمطبعة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الليث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مطرجي،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صححه وقدّم له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الأعلمي،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عمر 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عبد الرحمن المرعشلي،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للطباعة والنشر والتوزيع،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الله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حامد حفني داود،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مرتضى الرضوي،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طيب الموسوي الجزائري،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الكتاب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جواد مغنية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حسين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مجاهد بن 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الطاهر بن محمد السورتي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 آباد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من المحقّقين الأخصائيين،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مقتنيات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سيد علي الحائري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الآخوندي مدير دار الكتب الإسلامية،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الحيدري بطهران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تنقيح مباني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 والشهادة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جواد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ﻫالمطبعة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الصديقة الشهيدة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الموسوي الخرسان،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خورشيد،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 رسائل 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لطف الله الصافي الكلبايكاني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نسخة مصورة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البيان عن تأويل آي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خليل الميس، ضبط وتوثيق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صدقي جميل العطار،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المقاصد في شرح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الكركي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ﻫ،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جهود تقنين الفقه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وهبة الزحيلي،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الكلام في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حسن النجفي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القوجاني،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رد المحتار على الدر المختار شرح تنوير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البحوث والدراسات،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الحدائق الناضرة في أحكام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المقدسة، </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الحصفكي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البحوث والدراسات،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الدروس الشرعية في 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شمس الدين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آغا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 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القيم الجوزي،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ابن تيمية،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الروضة البهية في شرح 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كلانتر،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جامعة النجف الدينية،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المتقين في شرح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تقي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نمقه وعلّق عليه وأشرف على 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حسين الموسوي الكرماني والشيخ علي پناه الإشتهاردي،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فرهنك إسلامي حاج محمد حسين كوشانپور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زاد المسير في علم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الرحمن عبد الله،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للطباعة والنشر والتوزيع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الزاهر في معاني كلمات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القاسم بن محمد بن بشار ابن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يحيى مراد،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بيضون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السرائر الحاوي في تحرير الفتاوي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ابن إدريس العجلي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وترقيم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للطباعة والنشر والتوزيع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الأشعث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محمد اللحام،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للطباعة والنشر والتوزيع،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عيسى محمد بن عيسى بن سورة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عبد اللطيف،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أدب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موهوب بن أحمد الجواليقي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لصاحبها حسام الدين القدسي بالقاهرة بالأزهر بشارع رقعة القمح، سنة الطبع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الزرقاني على 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الباقي بن يوسف الزرقاني المصري الأزهري،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الإمام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بحث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بقلم الميرزا علي الغروي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إحياء آثار الإمام الخوئي،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تبصرة المتعلمين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ضياء الدين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هادي معرفة،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قانون ا لأحوال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قانون الأحوال الشخصيّة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محمد حسن كشكول والقاضي عباس السعدي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منتهى الإرادات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بن صلاح الدين بن حسن بن إدريس البهوتي الحنبلي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اللغة وصحاح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الغفور العطار،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للطباعة والنشر والتوزيع،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صراط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تعليق الميرزا التبريزي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برگزيده،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ﻫ،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الفارسي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الكريم قاسم وعراقيون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الشواف،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الوراق للنشر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عوالي اللآلئ العزيزية في الأحاديث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جمهور الإحسائي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نحو </w:t>
      </w:r>
      <w:r>
        <w:rPr>
          <w:rFonts w:eastAsia="Amiri" w:cs="Amiri" w:ascii="Amiri" w:hAnsi="Amiri"/>
          <w:color w:val="111111"/>
          <w:sz w:val="28"/>
          <w:szCs w:val="28"/>
          <w:lang w:bidi="ar-SA"/>
        </w:rPr>
        <w:t>880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شهاب الدين النجفي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آقا مجتبى العراقي،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عوائد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والدراسات الإسلامية،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النشر التابع لمكتب الإعلام الإسلامي،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مهدي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إبراهيم السامرائي،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الهجرة،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المراد في شرح نكت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الأبحاث والدراسات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قيصريه ها، المشرف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المختاري،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النشر التابع لمكتب الإعلام الإسلامي،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الفتاوى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عطا،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الفتاوى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الباري 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الفضل شهاب الدين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للطباعة والنشر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الهمام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الوهاب بشرح منهج الطلاب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936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بيضون، دار الكتب العلمية،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تحقيق تراث الشيخ الأعظم،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الفكر الإسلامي،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ﻫ،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الفروق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هلال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العظمى النجفي المرعشي،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اللغة وسرّ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الثعالبي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فائز محمد،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إميل يعقوب،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النوازل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عبد الله أبو زيد،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الفقيه والمتفقه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ثابت الخطيب البغدادي،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العزازي،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ابن الجوزي،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فلسفة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اللاوي الجزائري،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الإسلام </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فهرست أسماء مصنفي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العباس أحمد بن علي بن أحمد بن العباس النجاشي الأسدي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مجد الدين محمد بن يعقوب الفيروزأبادي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قانون الأحوال الشخصية العراقي الضرورة ومتطلبات التطوير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محمود، استهلال تاريخي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القضاء والشهادات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الأعظم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تحقيق تراث الشيخ الأعظم،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المؤتمر العالمي بمناسبة الذكرى المئوية الثانية لميلاد الشيخ الأنصاري،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قواعد الأحكام في معرفة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للطباعة والنشر والتوزيع،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حبيب الله 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p>
    <w:p>
      <w:pPr>
        <w:pStyle w:val="BookText"/>
        <w:rPr/>
      </w:pPr>
      <w:r>
        <w:rPr>
          <w:rFonts w:ascii="Amiri" w:hAnsi="Amiri" w:eastAsia="Amiri" w:cs="Amiri"/>
          <w:color w:val="111111"/>
          <w:sz w:val="28"/>
          <w:sz w:val="28"/>
          <w:szCs w:val="28"/>
          <w:rtl w:val="true"/>
          <w:lang w:bidi="ar-SA"/>
        </w:rPr>
        <w:t>أحمد الحسيني،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القرآن الكريم،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ﻫ،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علي الأراكي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نگار،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كشاف القناع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بن يونس البهوتي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عبد العظيم العناني،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حسن محمد حسن إسماعيل الشافعي،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بيضون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الرموز في شرح المختصر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الفاضل الآبي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علي پناه الإشتهاردي، الحاج آغا حسين اليزدي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اللثام عن قواعد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1137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مرتضى الواعظي الأراكي، نشر وطبع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لائحة الأسباب الموجبة لصدور قانون الأحوال الشخصية المرقم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أدب الحوزة،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مباني تكملة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المبدع في شرح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مفلح برهان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884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طبعة 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للطباعة والنشر والتوزيع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الفائدة والبرهان في شرح إرشاد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الأردبيلي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آغا مجتبى العراقي، الشيخ علي پناه الاشتهاردي، الحاج آغا حسين اليزدي الأصفهاني،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المدرسين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 شرح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الشيخ عبد الرحمن بن قاسم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مختار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بكر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ضبط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شمس الدين،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إسماعيل النحوي اللغوي الأندلسي المعروف ابن سيده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إحياء التراث العربي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المدخل الفقهي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أحمد الزرقاء،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مطابع الأديب،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المدخل لدراسة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الباقي البكري وزهير البشير</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مدونة الفقه المالكي وأدلته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الغرياني، الصادق عبد الرحمن،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الريان، بيروت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مسالك الأفهام إلى تنقيح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علي العاملي،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ﻫ،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عبد الرحمن المرعشلي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الشيعة في أحكام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النراقي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المقدسة،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ﻫ،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مسيرة الفقه الإسلامي المعاصر وملامحه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شويش هزاع علي المحاميد، الناشر، دار 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طبعة 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المصباح المنير في غريب الشرح الكبير للرافعي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المقري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للطباعة والنشر والتوزيع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المبسوط في 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المقدسة،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عني بتحقيق نصوصه وتخريج أحاديثه والتعليق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المحدث حبيب الرحمن الأعظمي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إبراهيم وآخرون،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استانبول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فارس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الإعلام الإسلامي،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مغني المحتاج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الشربيني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للنشر والتوزيع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طبعة بالأوفست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المفردات في 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نشر الكتاب،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آية الله العظمى سماحة السيد السيستاني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إسحاق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w:t>
      </w:r>
    </w:p>
    <w:p>
      <w:pPr>
        <w:pStyle w:val="BookText"/>
        <w:rPr/>
      </w:pPr>
      <w:r>
        <w:rPr>
          <w:rFonts w:ascii="Amiri" w:hAnsi="Amiri" w:eastAsia="Amiri" w:cs="Amiri"/>
          <w:color w:val="111111"/>
          <w:sz w:val="28"/>
          <w:sz w:val="28"/>
          <w:szCs w:val="28"/>
          <w:rtl w:val="true"/>
          <w:lang w:bidi="ar-SA"/>
        </w:rPr>
        <w:t>سماحة الشيخ محمد إسحاق الفياض،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المرعشي،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ﻫ،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مهذب الأحكام في بيان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الأعلى الموسوي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المهذب البارع في شرح 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مجتبى العراقي،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مواهب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الحطّاب الرعيني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ضبطه وخرّج آياته وأحاديثه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زكريا عميرات،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الفقه والقضاء في الأحوال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عزمي البكري، دار النشر والتوزيع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طبقات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اللجنة العلمية في 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السبحاني،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ﻫ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نهاية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أبحاث المحقّق الشيخ آغا ضياء الدين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تقي البروجردي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المحتاج إلى شرح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التاريخ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في غريب الحديث والأثر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 الدين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أحمد الزاوي، محمود محمد الطناحي،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إسماعيليان إيران،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النور الساطع في الفقه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الآداب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هدية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باشا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الفيض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عني بالتحقيق والتصحيح والتعليق عليه والمقابلة مع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ضياء الدين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الأصفهاني،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الإمام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أصفهان،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ﻫ،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أفست نشاط أصفهان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الوجيز في فقه الإمام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معوض وعادل عبد الموجود،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الأرقم بن أبي الأرقم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الشيعة إلى تحصيل مسائل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المشرفة، </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الوسيط في شرح قانون الأحوال الشخصية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فاروق عبد الله كريم، طبع على نفقة جامعة السليمانية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مجلة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التحرير هادي فياض،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شوال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 السنة الخامسة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هناك مفهوم للحكم والسلطة في الفكر الإسلامي؟ نصر حامد أبو زيد، مقالة في مجلة الثقافة الجديدة، 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334" w:name="pg10913_110779"/>
    </w:p>
    <w:p>
      <w:pPr>
        <w:pStyle w:val="Heading2"/>
        <w:numPr>
          <w:ilvl w:val="1"/>
          <w:numId w:val="1"/>
        </w:numPr>
        <w:rPr/>
      </w:pPr>
      <w:bookmarkStart w:id="335" w:name="__RefHeading___Toc3056680_2870459653"/>
      <w:bookmarkStart w:id="336" w:name="_Toc131"/>
      <w:bookmarkEnd w:id="334"/>
      <w:bookmarkEnd w:id="335"/>
      <w:r>
        <w:rPr>
          <w:rtl w:val="true"/>
        </w:rPr>
        <w:t xml:space="preserve">الشّهرة حجّة ومرجحاً وجابراً </w:t>
      </w:r>
      <w:r>
        <w:rPr>
          <w:rtl w:val="true"/>
        </w:rPr>
        <w:t xml:space="preserve">- </w:t>
      </w:r>
      <w:r>
        <w:rPr>
          <w:rtl w:val="true"/>
        </w:rPr>
        <w:t xml:space="preserve">الشيخ حَميد رُمح الحِلي </w:t>
      </w:r>
      <w:r>
        <w:rPr>
          <w:rtl w:val="true"/>
        </w:rPr>
        <w:t>(</w:t>
      </w:r>
      <w:r>
        <w:rPr>
          <w:rtl w:val="true"/>
        </w:rPr>
        <w:t>دام عزه</w:t>
      </w:r>
      <w:r>
        <w:rPr>
          <w:rtl w:val="true"/>
        </w:rPr>
        <w:t>)</w:t>
      </w:r>
      <w:bookmarkEnd w:id="336"/>
    </w:p>
    <w:p>
      <w:pPr>
        <w:pStyle w:val="Heading3"/>
        <w:numPr>
          <w:ilvl w:val="2"/>
          <w:numId w:val="1"/>
        </w:numPr>
        <w:rPr/>
      </w:pPr>
      <w:bookmarkStart w:id="337" w:name="__RefHeading___Toc3056682_2870459653"/>
      <w:bookmarkStart w:id="338" w:name="_Toc132"/>
      <w:bookmarkEnd w:id="337"/>
      <w:r>
        <w:rPr>
          <w:rtl w:val="true"/>
        </w:rPr>
        <w:t>اشارة</w:t>
      </w:r>
      <w:bookmarkEnd w:id="338"/>
    </w:p>
    <w:p>
      <w:pPr>
        <w:pStyle w:val="BookText"/>
        <w:rPr/>
      </w:pPr>
      <w:r>
        <w:rPr>
          <w:rFonts w:ascii="Amiri" w:hAnsi="Amiri" w:eastAsia="Amiri" w:cs="Amiri"/>
          <w:color w:val="111111"/>
          <w:sz w:val="28"/>
          <w:sz w:val="28"/>
          <w:szCs w:val="28"/>
          <w:rtl w:val="true"/>
          <w:lang w:bidi="ar-SA"/>
        </w:rPr>
        <w:t>اهتمّ الفقهاء بمصطلح الشّهرة وحجّيتها؛ لتأثير نتيجة البحث في بعض أقسامه على إضافة وسيلةٍ من وسائل إثبات الأحكام الشّرعية، أو مرجّحٍ لمرجّحات باب التّعارض، أو جابر للضعف السّنديّ</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ما يتكفّل بحثنا هذا ببيانه إثباتاً أو نفياً</w:t>
      </w:r>
      <w:r>
        <w:rPr>
          <w:rFonts w:eastAsia="Amiri" w:cs="Amiri" w:ascii="Amiri" w:hAnsi="Amiri"/>
          <w:color w:val="111111"/>
          <w:sz w:val="28"/>
          <w:szCs w:val="28"/>
          <w:rtl w:val="true"/>
          <w:lang w:bidi="ar-SA"/>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9" w:name="pg10913_110783"/>
      <w:bookmarkStart w:id="340" w:name="pg10913_110783"/>
      <w:bookmarkEnd w:id="340"/>
    </w:p>
    <w:p>
      <w:pPr>
        <w:pStyle w:val="Heading3"/>
        <w:numPr>
          <w:ilvl w:val="2"/>
          <w:numId w:val="1"/>
        </w:numPr>
        <w:rPr/>
      </w:pPr>
      <w:bookmarkStart w:id="341" w:name="pg10913_110783"/>
      <w:bookmarkStart w:id="342" w:name="__RefHeading___Toc3056684_2870459653"/>
      <w:bookmarkStart w:id="343" w:name="_Toc133"/>
      <w:bookmarkEnd w:id="341"/>
      <w:bookmarkEnd w:id="342"/>
      <w:r>
        <w:rPr>
          <w:rtl w:val="true"/>
        </w:rPr>
        <w:t>المقدّمة</w:t>
      </w:r>
      <w:bookmarkEnd w:id="34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خلقه محمَّد وآله الطيّبين الطّاهرين المعصومين، واللّعن الدائم على أعدائهم أجمعين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الشُّهرة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الأمر</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اصطلاح الأصوليين، فتضاف تارةً إلى الرواية، وأخرى إلى الفتوى، لذلك قسّمت إلى قسمين رئيسين</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في الرواية، وهي عبارة عن شيوع نقل الخبر من عدّة رواة على وجه لا يبلغ حدّ التواتر، سواء اشتهر العمل به عند الفقهاء أم لم يشتهر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الشهرة في الفتوى، وهي عبارة عن شيوع الفتوى بحكم شرعيّ عند الفقهاء، وذلك بأن يكثر المفتون به على وجهٍ لا تبلغ معه حدّ الإجماع الموجب للقطع برأي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وتُقسّم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قسمين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الشهرة العمليّة الاستناديّة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ما علم باستنادها إلى خبرٍ خاصٍّ موجودٍ بين أيدينا، وتسمّى شهرةً عمليةً استنادية؛ لاستناد الفقهاء القريب عصرهم من عصر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فتواهم إلى رواية خاصّة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الشهرة الفتوائيّة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اعتبار عدمه، بأن لا يعلم أنّ مستندها أي شيء هو، فتكون شهرةً في الفتوى مجرّدةً، سواء كان هناك خبر على طبق الشهرة ولكن لم يستند إليه المشهور، أو لم يُعلم استنادهم إليه أو لم يكن هنالك خبر أصلاً، وسمّيت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الصورة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بالشهرة الفتوائيّة</w:t>
      </w:r>
      <w:r>
        <w:rPr>
          <w:rStyle w:val="FootnoteAnchor"/>
          <w:rtl w:val="true"/>
        </w:rPr>
        <w:footnoteReference w:id="515"/>
      </w:r>
      <w:r>
        <w:rPr>
          <w:rFonts w:ascii="Amiri" w:hAnsi="Amiri" w:eastAsia="Amiri" w:cs="Amiri"/>
          <w:color w:val="111111"/>
          <w:sz w:val="28"/>
          <w:sz w:val="28"/>
          <w:szCs w:val="28"/>
          <w:rtl w:val="true"/>
          <w:lang w:bidi="ar-SA"/>
        </w:rPr>
        <w:t>المطابقيّة، لمطابقة فتاواهم مع مضمون الرواية من دون استناد إلى روايةٍ معيّنة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المحقّق النائيني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الشهرة تارةً تكون في الرواية، وأخرى في العمل، وثالثة في الفتوى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الشهرة في الرواية، فهي عبارة عن اشتهارها بين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الرواية، بأن يكون الراوي لها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والشهرة العمليّة عبارة عن اشتهار الرواية من حيث العمل، بأن يكون العمل بها كثيراً، ويعلم ذلك من استناد المُفتين إليها في الفتوى، فبين الشهرتين عموم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الشهرة الفتوائيّة فهي عبارة عن اشتهار الفتوى بين أرباب الفتاوى من قدماء الأصحاب، الذين يقرب عصرهم من عصر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عُلم استنادهم في تلك الفتوى إلى رواية فيها أم لا، فبينها وبين الشهرة العمليّة أيضاً عموم من وجه</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فاعلم أنّ الشهرة مطلقاً قد بُحث عنها على ثلاثة مستويات</w:t>
      </w:r>
      <w:r>
        <w:rPr>
          <w:rFonts w:eastAsia="Amiri" w:cs="Amiri" w:ascii="Amiri" w:hAnsi="Amiri"/>
          <w:color w:val="111111"/>
          <w:sz w:val="28"/>
          <w:szCs w:val="28"/>
          <w:rtl w:val="true"/>
          <w:lang w:bidi="ar-SA"/>
        </w:rPr>
        <w:t xml:space="preserve">: </w:t>
      </w:r>
      <w:bookmarkStart w:id="344" w:name="pg10913_110787"/>
    </w:p>
    <w:p>
      <w:pPr>
        <w:pStyle w:val="Heading3"/>
        <w:numPr>
          <w:ilvl w:val="2"/>
          <w:numId w:val="1"/>
        </w:numPr>
        <w:rPr/>
      </w:pPr>
      <w:bookmarkStart w:id="345" w:name="__RefHeading___Toc3056686_2870459653"/>
      <w:bookmarkStart w:id="346" w:name="_Toc134"/>
      <w:bookmarkEnd w:id="344"/>
      <w:bookmarkEnd w:id="345"/>
      <w:r>
        <w:rPr>
          <w:rtl w:val="true"/>
        </w:rPr>
        <w:t>المستوى الأوَّل</w:t>
      </w:r>
      <w:r>
        <w:rPr>
          <w:rtl w:val="true"/>
        </w:rPr>
        <w:t xml:space="preserve">: </w:t>
      </w:r>
      <w:r>
        <w:rPr>
          <w:rtl w:val="true"/>
        </w:rPr>
        <w:t>صلاحيّتها لأنْ تكون حجّةً على الحكم الشَّرعيّ</w:t>
      </w:r>
      <w:bookmarkEnd w:id="346"/>
    </w:p>
    <w:p>
      <w:pPr>
        <w:pStyle w:val="Heading4"/>
        <w:numPr>
          <w:ilvl w:val="3"/>
          <w:numId w:val="1"/>
        </w:numPr>
        <w:rPr/>
      </w:pPr>
      <w:bookmarkStart w:id="347" w:name="__RefHeading___Toc3056688_2870459653"/>
      <w:bookmarkStart w:id="348" w:name="_Toc135"/>
      <w:bookmarkEnd w:id="347"/>
      <w:r>
        <w:rPr>
          <w:rtl w:val="true"/>
        </w:rPr>
        <w:t>اشارة</w:t>
      </w:r>
      <w:bookmarkEnd w:id="348"/>
    </w:p>
    <w:p>
      <w:pPr>
        <w:pStyle w:val="BookText"/>
        <w:rPr/>
      </w:pPr>
      <w:r>
        <w:rPr>
          <w:rFonts w:ascii="Amiri" w:hAnsi="Amiri" w:eastAsia="Amiri" w:cs="Amiri"/>
          <w:color w:val="111111"/>
          <w:sz w:val="28"/>
          <w:sz w:val="28"/>
          <w:szCs w:val="28"/>
          <w:rtl w:val="true"/>
          <w:lang w:bidi="ar-SA"/>
        </w:rPr>
        <w:t>اعلم أنّ الأصوليين ذكروا نوعين من الوسائل لإثبات صدور الدليل الشرعيّ عن الشارع</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3056690_2870459653"/>
      <w:bookmarkStart w:id="350" w:name="_Toc136"/>
      <w:bookmarkEnd w:id="349"/>
      <w:r>
        <w:rPr>
          <w:rtl w:val="true"/>
        </w:rPr>
        <w:t>النّوع الأوَّل</w:t>
      </w:r>
      <w:bookmarkEnd w:id="350"/>
    </w:p>
    <w:p>
      <w:pPr>
        <w:pStyle w:val="BookText"/>
        <w:rPr/>
      </w:pPr>
      <w:r>
        <w:rPr>
          <w:rFonts w:ascii="Amiri" w:hAnsi="Amiri" w:eastAsia="Amiri" w:cs="Amiri"/>
          <w:color w:val="111111"/>
          <w:sz w:val="28"/>
          <w:sz w:val="28"/>
          <w:szCs w:val="28"/>
          <w:rtl w:val="true"/>
          <w:lang w:bidi="ar-SA"/>
        </w:rPr>
        <w:t xml:space="preserve">وسائل الإثبات التعبّدي، وأهمّ ما يذكر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الواحد، وهو كلّ خبر لا يفيد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ولاشكّ في أنّه ليس حجّةً على الإطلاق وفي كلّ الحالات، وقد بحثوا في حجّيّة بعض أقسامه، كخبر الثقة</w:t>
      </w:r>
      <w:r>
        <w:rPr>
          <w:rStyle w:val="FootnoteAnchor"/>
          <w:rtl w:val="true"/>
        </w:rPr>
        <w:footnoteReference w:id="517"/>
      </w:r>
      <w:r>
        <w:rPr>
          <w:rFonts w:ascii="Amiri" w:hAnsi="Amiri" w:eastAsia="Amiri" w:cs="Amiri"/>
          <w:color w:val="111111"/>
          <w:sz w:val="28"/>
          <w:sz w:val="28"/>
          <w:szCs w:val="28"/>
          <w:rtl w:val="true"/>
          <w:lang w:bidi="ar-SA"/>
        </w:rPr>
        <w:t>على مرحلتين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حجّيّته على نحو القضية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دائرة هذه الحجّيّة وشروطها</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3056692_2870459653"/>
      <w:bookmarkStart w:id="352" w:name="_Toc137"/>
      <w:bookmarkEnd w:id="351"/>
      <w:r>
        <w:rPr>
          <w:rtl w:val="true"/>
        </w:rPr>
        <w:t>النّوع الثّاني</w:t>
      </w:r>
      <w:bookmarkEnd w:id="352"/>
    </w:p>
    <w:p>
      <w:pPr>
        <w:pStyle w:val="Heading5"/>
        <w:numPr>
          <w:ilvl w:val="4"/>
          <w:numId w:val="1"/>
        </w:numPr>
        <w:rPr/>
      </w:pPr>
      <w:bookmarkStart w:id="353" w:name="__RefHeading___Toc3056694_2870459653"/>
      <w:bookmarkStart w:id="354" w:name="_Toc138"/>
      <w:bookmarkEnd w:id="353"/>
      <w:r>
        <w:rPr>
          <w:rtl w:val="true"/>
        </w:rPr>
        <w:t>اشارة</w:t>
      </w:r>
      <w:bookmarkEnd w:id="354"/>
    </w:p>
    <w:p>
      <w:pPr>
        <w:pStyle w:val="BookText"/>
        <w:rPr/>
      </w:pPr>
      <w:r>
        <w:rPr>
          <w:rFonts w:ascii="Amiri" w:hAnsi="Amiri" w:eastAsia="Amiri" w:cs="Amiri"/>
          <w:color w:val="111111"/>
          <w:sz w:val="28"/>
          <w:sz w:val="28"/>
          <w:szCs w:val="28"/>
          <w:rtl w:val="true"/>
          <w:lang w:bidi="ar-SA"/>
        </w:rPr>
        <w:t>وسائل الإثبات الوجداني، والمقصود بها كلّ وسيلة تورث اليقين بالدليل الشرعي كالتواتر والإجماع على كلام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بحثوا عن الشهرة الفتوائيّة</w:t>
      </w:r>
      <w:r>
        <w:rPr>
          <w:rStyle w:val="FootnoteAnchor"/>
          <w:rtl w:val="true"/>
        </w:rPr>
        <w:footnoteReference w:id="518"/>
      </w:r>
      <w:r>
        <w:rPr>
          <w:rFonts w:ascii="Amiri" w:hAnsi="Amiri" w:eastAsia="Amiri" w:cs="Amiri"/>
          <w:color w:val="111111"/>
          <w:sz w:val="28"/>
          <w:sz w:val="28"/>
          <w:szCs w:val="28"/>
          <w:rtl w:val="true"/>
          <w:lang w:bidi="ar-SA"/>
        </w:rPr>
        <w:t xml:space="preserve">تارةً كوسيلة إثباتٍ وجدانيّة، وأخرى كوسيلة إثباتٍ تعبّديّة، وممّن بحثها بهذه الطريقة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لم يفصّل البحث بهذه الطريقة، وإنّما بحث عن حجّيّتها مطلقاً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والفارق بين الطريقتين يكمن في فرز أدلّة الحجّيّة إلى أدلّة وجدانيّة تنحصر في نظريّة حساب الاحتمالات التي يتبناها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،والى أدلّة تعبّديّة يشترك في </w:t>
      </w:r>
    </w:p>
    <w:p>
      <w:pPr>
        <w:pStyle w:val="BookText"/>
        <w:rPr/>
      </w:pPr>
      <w:r>
        <w:rPr>
          <w:rFonts w:ascii="Amiri" w:hAnsi="Amiri" w:eastAsia="Amiri" w:cs="Amiri"/>
          <w:color w:val="111111"/>
          <w:sz w:val="28"/>
          <w:sz w:val="28"/>
          <w:szCs w:val="28"/>
          <w:rtl w:val="true"/>
          <w:lang w:bidi="ar-SA"/>
        </w:rPr>
        <w:t>إقامتها جميع القائلين بحجّيتها كما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نستوعب البحث من جميع جهاته سنوقع الكلام عن حجّيّة الشهرة كوسيلة وجدانيّة أوّلاً، ثمّ عنها كوسيلة تعبّديّة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البحث عنها كوسيلة إثبات وجدانيّة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انفرد ببيانه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في نهاية المطاف قد اختار عدم حجّيّتها غالباً كوسيلة وجدانيّة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الاتّفاق على أنّ الشهرة الروائيّة هي تعدّد الرواية بدرجةٍ لا تبلغ معها حدّ التواتر، وأنّ الشهرة في الفتوى هي انتشار الفتوى بدرجةٍ لا تبلغ حدّ الإجماع، فإذا حدّدنا التواتر تحديداً كيفيّاً</w:t>
      </w:r>
      <w:r>
        <w:rPr>
          <w:rStyle w:val="FootnoteAnchor"/>
          <w:rtl w:val="true"/>
        </w:rPr>
        <w:footnoteReference w:id="519"/>
      </w:r>
      <w:r>
        <w:rPr>
          <w:rFonts w:ascii="Amiri" w:hAnsi="Amiri" w:eastAsia="Amiri" w:cs="Amiri"/>
          <w:color w:val="111111"/>
          <w:sz w:val="28"/>
          <w:sz w:val="28"/>
          <w:szCs w:val="28"/>
          <w:rtl w:val="true"/>
          <w:lang w:bidi="ar-SA"/>
        </w:rPr>
        <w:t xml:space="preserve">بالتعدّد في الرواية الواصل إلى درجةٍ موجبةٍ للعلم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بمعنى يشمل الاطمئنان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لا تتجاوز الشهرة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فُرض فيها أنّها تكون دون 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الظنّي ليس من وسائل الإحراز الوجداني للدليل الشرعي، بل يحتاج ثبوت حجّيته إلى التعبّد الشرعي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حدَّدنا الإجماع تحديداً كيفيّاً بتعدّد المُفتين إلى درجة موجبة للعلم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بمعنى يشمل الاطمئنان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لا تتجاوز الشهرة في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فُرض فيها أن تكون دون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الظنّ بالدليل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ليس كافياً للإحراز الوجداني للدليل الشرعي، ما لم يقم دليل على التعبّد بحجّيته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حدّدنا الإجماع تحديداً كمّيّاً عدديّاً باتّفاق طائفة من الفقهاء، كان معنى الشهرة في الفتوى تطابق الجزء الأكبر من هذه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مع عدم وجود فكرة عن آراء </w:t>
      </w:r>
    </w:p>
    <w:p>
      <w:pPr>
        <w:pStyle w:val="BookText"/>
        <w:rPr/>
      </w:pPr>
      <w:r>
        <w:rPr>
          <w:rFonts w:ascii="Amiri" w:hAnsi="Amiri" w:eastAsia="Amiri" w:cs="Amiri"/>
          <w:color w:val="111111"/>
          <w:sz w:val="28"/>
          <w:sz w:val="28"/>
          <w:szCs w:val="28"/>
          <w:rtl w:val="true"/>
          <w:lang w:bidi="ar-SA"/>
        </w:rPr>
        <w:t>الآخرين، أو مع الظنّ بموافقتهم أيضاً، أو مع العلم بخلافهم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والشهرة بهذا المعنى قد تدخل في الإجماع بالتحديد الكيفيّ المتقدّم، وتوجب إحراز الدليل الشرعي بحساب الاحتمال، وهو أمر يختلف من موردٍ إلى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إحراز مخالفة البعض يعيق الكشف القطعي للشهرة بدرجة تختلف تبعاً لنوعيّة البعض وموقعه، ولخصوصيّات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على مقتضى القاعدة، فحجّيّة الشهرة لا بُدَّ وأن تكون كحجّيّة الإجماع على أساس حساب الاحتمالات وتراكمها حتى يحصل اليقين أو الاطمئنان بالحكم على أساسها، إلّا أنّ جريان حساب الاحتمالات فيها أضعف من جريانه في باب الإجماع لسببين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كمّيّة الأقوال والفتاوى؛ لأنّ المفروض عدم اتّفاق كلّ العلماء، ومعارضتها بفتاوى غير المشهور لو كانت مخالفةً، فتكون مزاحمةً مع حساب الاحتمالات في فتاوى المشهور، ولهذا يكون الغالب عدم انتاج حساب الاحتمالات في باب الشهرة، فلا تكون حجّةً غالباً</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ثبوت حجّيّة الشهرة تعبّداً فإنّه يتوقّف على مقدّمةٍ،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فتوى مجتهدٍ واحدٍ أو أكثر من القدماء مالم تبلغ حدّ الشهرة، هل تكون حجّةً على مجتهدٍ آخر أو لا؟</w:t>
      </w:r>
    </w:p>
    <w:p>
      <w:pPr>
        <w:pStyle w:val="BookText"/>
        <w:rPr/>
      </w:pPr>
      <w:r>
        <w:rPr>
          <w:rFonts w:ascii="Amiri" w:hAnsi="Amiri" w:eastAsia="Amiri" w:cs="Amiri"/>
          <w:color w:val="111111"/>
          <w:sz w:val="28"/>
          <w:sz w:val="28"/>
          <w:szCs w:val="28"/>
          <w:rtl w:val="true"/>
          <w:lang w:bidi="ar-SA"/>
        </w:rPr>
        <w:t>فإنْ أجيبَ بالنفي لم يكن مجالٌ للبحث عن حجّيّة الشهرة الفتوائيّة؛ لأنّه يكون من قبيل اجتماع الحجج، وهذا هو معنى ما اتّفقوا عليه من عدم جواز التقليد بالنسبة لمنْ يتمكّن من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أُجيب بالإيجاب اتَّجه البحث عن حجّيّة الشهرة الفتوائيّة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فالقائل بالحُجّيّة يمكن أن يستدلَّ بثلاثة 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القدماء على الإفتاء بمضمون الروايات وعدم التعدّي عنها، وذكروا مجموعة من الشواهد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عملهم برسالة الشيخ علي ابن بابويه تنزيلاً لفتواه منزلة روايته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هذه الطريقة من قِبَل الشيخ الصدوق في المقنع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في مقدّمة المبسوط من أنَّ المسألة لو غُيِّر لفظها وعُبِّر عن معناها بغير اللفظ المعتاد لهم لعَجبوا منها وقصُر فهمهم عنها، وأنّه أوردَ جميع ذلك أو أكثره بالألفاظ المنقولة حتى لا يستوحشوا من ذلك</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النقل بالمعنى ممّا يمكن أن يُعوَّل عليه في الإفتاء، فهو غير مُضرٍّ حتى عند منْ لا يقول بالحجّيّة؛ إذ الفتوى غالباً لا تكون خاليةً من النقل بالمعنى، ولا فرق بين أن يكون الناقل بالمعنى من الرواة أو من الفقهاء، بل نقل الفقيه بالمعنى أدقّ من غيرِه؛ لأنّه يعرف مزايا الكلام، فما ينقله بالمعنى يكون أكثر تطابقاً مع ما صدر عن الإمام بخلاف غير الفقيه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بعد إثبات أنّ فتواه خبر على نحو النقل بالمعنى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غير مضرٍّ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فمرجعُه إلى الخبر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صورة الشكّ في تخلّل الاجتهاد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في صورة الشكّ في كونه حدسيّاً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بتخلّل 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حسّياً تجري أصالة الحسّ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يقال ذلك في توثيقات الرجاليين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حجّةً، أو يقال بما أنّهم أهل خبرة في صحيح الروايات وسقيمها فيكون رأيهم حجّةً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ناقش القائلون بعدم الحجّيّة في صحّة الأمور الثلاثة، فقال بعض أعاظم </w:t>
      </w:r>
    </w:p>
    <w:p>
      <w:pPr>
        <w:pStyle w:val="BookText"/>
        <w:rPr/>
      </w:pPr>
      <w:r>
        <w:rPr>
          <w:rFonts w:ascii="IRNazanin" w:hAnsi="IRNazanin" w:eastAsia="IRNazanin"/>
          <w:color w:val="111111"/>
          <w:sz w:val="28"/>
          <w:sz w:val="28"/>
          <w:szCs w:val="28"/>
          <w:rtl w:val="true"/>
          <w:lang w:bidi="fa-IR"/>
        </w:rPr>
        <w:t xml:space="preserve">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دامة ظله العالی</w:t>
      </w:r>
      <w:r>
        <w:rPr>
          <w:rFonts w:eastAsia="IRNazanin" w:cs="IRNazanin"/>
          <w:color w:val="111111"/>
          <w:sz w:val="28"/>
          <w:szCs w:val="28"/>
          <w:rtl w:val="true"/>
          <w:lang w:bidi="fa-IR"/>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الأمر الأوّل فلم يؤيَّد بالشواهد، بل الظاهر أنّ قدماء الأصحاب كانوا يستنبطون ويفرّعون الفروع، وكانت أنظارهم مختلفة في الاستناد إلى حديث معيّن، وفي جميع الروايات المختلفة، وكانوا يمشون وفق الأصول، لكنّه لا على نحو الأصول المنظور في زماننا، وربّما كان فيهم من يقول بأوسع ممّا نقوله في دخالة الآراء للفتاوى، فقد ذكر في الفقيه بعد نقله لكلام الفضل بن شاذان مع جلالة قدره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ممّا زلّت به قدمه عن الطريق المستقيمة، وهذا سبيل من يقيس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التهذيب بعد نقل قول يونس ومَن تبعه، وفضل بن شاذان ومن تبعه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ذكره أصحابنا من خلاف ذلك ليس به أثر عن الصادقين، ولا عليه دليل من ظاهر القرآن، بل إنّما قالوه لضربٍ من الاعتبار، وذلك عندنا مطروح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 إلى ابن الجنيد وغيره العمل بالقياس، والشواهد التاريخية لا تؤيّد أنّ جميع علمائنا كانوا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جماعة منهم كانوا على هذا المنوال، فإنّه كان في عصر المفيد والطوسي مدارس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المتطرّفين في العمل بالرأي حتّى القياس، ومنهم ابن الجنيد، ومدرسة الأخباريين والمحدّثين في قبال ابن الجنيد وأمثاله، ومدرسة معتدلة، وهذه المدرسة كانت تعارض ابن الجنيد، فإنّ للمفيد رسائل في ردّ القائلين بالقياس، وفي خصوص ابن الجنيد، كما أنّ لهم معارضة شديدة مع المحدّثين، فلا يمكن القول بأنّ الكلّ كانوا يفتون بنفس الروايات</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الضير في النقل بالمعنى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يقولون</w:t>
      </w:r>
      <w:r>
        <w:rPr>
          <w:rFonts w:eastAsia="Amiri" w:cs="Amiri" w:ascii="Amiri" w:hAnsi="Amiri"/>
          <w:color w:val="111111"/>
          <w:sz w:val="28"/>
          <w:szCs w:val="28"/>
          <w:rtl w:val="true"/>
          <w:lang w:bidi="ar-SA"/>
        </w:rPr>
        <w:t xml:space="preserve">. </w:t>
      </w:r>
      <w:bookmarkStart w:id="355" w:name="pg10913_110796"/>
    </w:p>
    <w:p>
      <w:pPr>
        <w:pStyle w:val="BookText"/>
        <w:rPr/>
      </w:pPr>
      <w:bookmarkEnd w:id="355"/>
      <w:r>
        <w:rPr>
          <w:rFonts w:ascii="Amiri" w:hAnsi="Amiri" w:eastAsia="Amiri" w:cs="Amiri"/>
          <w:color w:val="111111"/>
          <w:sz w:val="28"/>
          <w:sz w:val="28"/>
          <w:szCs w:val="28"/>
          <w:rtl w:val="true"/>
          <w:lang w:bidi="ar-SA"/>
        </w:rPr>
        <w:t>وأمّا الأمر الثّالث فعلى فرض قبولهم روايةً والاعتماد عليها، فإنّا إمّا أن نقول بحجّيّة خبر الثقة، فإنّ الروايات الصحيحة عندهم أعمّ من أن تكون رواتها ثقات أو غير ثقات، كما يظهر ذلك من المراجعة إلى الكافي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نقول بحجّيّة الخبر المطمأن به، وعلى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اطمئنانهم لا يوجب الاطمئنان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قيل إنّ قولهم حجّة من جهة أنّهم أهل الخبرة، فإنّا نرى أنّهم مختلفون فيما بينهم، فإنّ الشيخ المفيد والسيّد المرتضى لا يرون عدّةً منهم أهلاً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تأمّل بعضٌ في توثيقات الشيخ المفيد، فإنّه أوّل من قال بالتوثيق في أربعة آلاف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ذكر الوحيد البهبهاني والشيخ محمّد ابن صاحب المعالم وجه التأمّل في توثيقاته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اتّضاح هذه المقدّمة، وبطلان هذه الأمور الثلاثة في الجملة، والاتّفاق على أنّ فتوى مجتهدٍ واحدٍ أو أكثر من القدماء ما لم تبلغ حدّ الشهرة لا تكون حجّةً على مجتهدٍ آخر،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الشهرة الفتوائيّة حجّة على الحكم الذي وقعت عليه الفتوى من جهة كونها شهرةً، فتكون من الظنون الخاصّة كخبر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ما يمكن أن يلاحظ في استدلالات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الذكرى، وكذلك صاحب الرياض، والمحقّق الخوانساري، وصاحب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حجّيّة الظنّ الناشئ من الشهرة مهما بلغ من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القائلون بحجّيّتها بأمور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وصَفَها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ضعيفة</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6" w:name="__RefHeading___Toc3056696_2870459653"/>
      <w:bookmarkStart w:id="357" w:name="_Toc139"/>
      <w:bookmarkEnd w:id="356"/>
      <w:r>
        <w:rPr>
          <w:rtl w:val="true"/>
        </w:rPr>
        <w:t>الأمر الأوّل</w:t>
      </w:r>
      <w:bookmarkEnd w:id="35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ما عُنون بعنوان أولويّة الشهرة من خبر العادل، بمعنى أنّ الظنّ </w:t>
      </w:r>
    </w:p>
    <w:p>
      <w:pPr>
        <w:pStyle w:val="BookText"/>
        <w:rPr/>
      </w:pPr>
      <w:r>
        <w:rPr>
          <w:rFonts w:ascii="Amiri" w:hAnsi="Amiri" w:eastAsia="Amiri" w:cs="Amiri"/>
          <w:color w:val="111111"/>
          <w:sz w:val="28"/>
          <w:sz w:val="28"/>
          <w:szCs w:val="28"/>
          <w:rtl w:val="true"/>
          <w:lang w:bidi="ar-SA"/>
        </w:rPr>
        <w:t>الحاصل من الشهرة لكونه أقوى من الظنّ الحاصل من خبر الواحد يكون أولى بالحجّيّة منه، فإذا ثبتت حجّيّة خبر الواحد ثبتت حجّيّة الشهرة الفتوائيّة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حجّية الشهرة مستفادة من نفس دليل حجّية خبر الواحد بعد افتراض أنّ حجّيّته تثبت من باب الطريقيّة لا الموضوعيّة، وبعد افتراض أنّ الشهرة قد تفيد الظنّ والطريقيّة بنحو أكمل أو مساوٍ لما يفيده الخبر، خصوصاً إذا كان مع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نسب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الاستدلال إلى بعضٍ في بعض رسائلِه واصفاً إيّاه بالخيال الضعيف، وأنَّ نظيرهُ قد وقعَ من الشهيد الثاني في المسالك</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أجيب عنه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مناط حجّيّة الخبر لوكان إفادته الظنّ، فللقول بحجّيّة الشهرة بنحو الموجبة الجزئيّة مجال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كانت حجّيّته للأدلّة الخاصّة الدالة عليها، فلا وجه للتعدّي عن موردها إلى موردٍ آخر لم يُعلم فيه تحقّق مناطها</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من المحتمَل أن يكون ملاك حجّيّة الخبر لا لمجرّد إفادته الظنّ ليُتعدّى منه إلى الشهرة بدعوى إفادتها ذلك أيضاً، بل من أجل أنّ الخبر غالب المطابقة للواقع، فإنَّ غالب الإخبارات تكون من حسٍّ، وهي في الغالب مطابقة للواقع، واحتمال تعمُّد الكذب مرفوع بوثاقة الراوي، كما أنّ احتمال غفلتهِ في الأمور الحسّيّة يدفعهُ البناء العقلائي، وهذا لا يُحرز في الشهرة</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وصف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بحوثه كلام أستاذِه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صحيح، إذ لو فرض أنّ الشهرة تفيد الظنّ، وأنّه ظنّ نوعي عقلائي لا شخصي، وأنّه يساوي في درجة كشفه لدرجة كشف الخبر، فلا محالة يكون درجة مطابقة مجموع الشهرات للواقع بمقدارها في مجموع الأخبار، وهذا مضافاً إلى أنّه وجداني واضح مبرهن عليه في منطق الاستقراء وحساب الاحتمالات، فالتفكيك بين درجة الكشف النوعي وغلبة المطابقة للواقع غير 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دعوى أنّ الشارع بعلمه الغيبي ربّما أحرز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مجموع أخبار الآحاد أكثر مطابقةً للواقع من مجموع الشهرات</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عبارة عن مجموعة أجوبة للسيّد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مناقشته لجواب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وأيّاً ما كان، فالجواب عن هذا الوجه إمّا أن يكون على أساس ما ذكرناه من إحراز الشارع بعلمه الغيبي أغلبيّة مطابقة الخبر للواقع من الشهرة، وهذا إنّما يتّجه إذا كانت حجّيّة الخبر تأسيسيّة شرعيّة، لا إمضائيّة عقلائيّة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إنكار إفادة الشهرة الحدسيّة للظنّ بمقدار خبر الثقة الحسّي، أو أنّ التزاحم الحفظي الذي هو ملاك جعل الحجّيّة والحكم الظاهري يكفي فيه في نظر الشارع والعقلاء جعل الحجّيّة بمقدار خبر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غيره من الدوائر فيرجع إلى القواعد والأصول الأخرى، فالملاكات المتزاحمة يستوفى الأهم منها بمقدار الحجّيّة للخبر بلا حاجة إلى جعلها للشهرة أيضاً، وهذا هو حلّ هذه المغالطة الكلّيّة، وهي دعوى استفادة حجّيّة شيءٍ من دليل حجّيّة مماثلِه</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bookmarkStart w:id="358" w:name="pg10913_110801"/>
    </w:p>
    <w:p>
      <w:pPr>
        <w:pStyle w:val="Heading5"/>
        <w:numPr>
          <w:ilvl w:val="4"/>
          <w:numId w:val="1"/>
        </w:numPr>
        <w:rPr/>
      </w:pPr>
      <w:bookmarkStart w:id="359" w:name="__RefHeading___Toc3056698_2870459653"/>
      <w:bookmarkStart w:id="360" w:name="_Toc140"/>
      <w:bookmarkEnd w:id="358"/>
      <w:bookmarkEnd w:id="359"/>
      <w:r>
        <w:rPr>
          <w:rtl w:val="true"/>
        </w:rPr>
        <w:t>الأمر الثّاني</w:t>
      </w:r>
      <w:bookmarkEnd w:id="360"/>
    </w:p>
    <w:p>
      <w:pPr>
        <w:pStyle w:val="BookText"/>
        <w:rPr/>
      </w:pPr>
      <w:r>
        <w:rPr>
          <w:rFonts w:ascii="Amiri" w:hAnsi="Amiri" w:eastAsia="Amiri" w:cs="Amiri"/>
          <w:color w:val="111111"/>
          <w:sz w:val="28"/>
          <w:sz w:val="28"/>
          <w:szCs w:val="28"/>
          <w:rtl w:val="true"/>
          <w:lang w:bidi="ar-SA"/>
        </w:rPr>
        <w:t>إنّ المستفاد من عموم التعليل في آية النبأ</w:t>
      </w:r>
      <w:r>
        <w:rPr>
          <w:rStyle w:val="FootnoteAnchor"/>
          <w:rtl w:val="true"/>
        </w:rPr>
        <w:footnoteReference w:id="529"/>
      </w:r>
      <w:r>
        <w:rPr>
          <w:rFonts w:ascii="Amiri" w:hAnsi="Amiri" w:eastAsia="Amiri" w:cs="Amiri"/>
          <w:color w:val="111111"/>
          <w:sz w:val="28"/>
          <w:sz w:val="28"/>
          <w:szCs w:val="28"/>
          <w:rtl w:val="true"/>
          <w:lang w:bidi="ar-SA"/>
        </w:rPr>
        <w:t>أنّ كلّ ما يُؤمَن معه من الإصابة بجهالةٍ فهو حجّة يجب الأخذ به</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والشهرة كذلك، فقد قال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حكايته لهذا الاستدلال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المستفاد من عموم العلّة في آية النبأ هو أنّ كلّ ما لم يكن فيه إصابة القوم بجهالةٍ فلا بدّ من الأخذ به، فكما أنّ الشهرة الفتوائيّة توجب خروج العمل بالرواية الضعيفة عن إصابة القوم بجهالةٍ، فكذلك يكون العمل على طبق نفس الشهرة خارجاً عنها أيضاً</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على فرض التسليم بأنّ قوله تعالى أَن تُصِيبُوا قَوْمًا بِجَهَالَةٍ واردٌ مورد التعليل، فهو ليس تمسّكاً بعموم التعليل، بل هو تمسّك بنقيض عموم التعليل، ولا دلالة في الآية على نقيض عموم التعليل بالضرورة؛ لأنّ هذه الآية نظير قول الطبيب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الرمان لأنّه 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فإنّ هذا التعليل لا يدلّ على أنّ كل ما هو ليس بحامض يجوز أو يجب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ههنا؛ فإنّ حرمة العمل بنبأ الفاسق بدون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يستلزم الإصابة بجهالةٍ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وجوب الأخذ بكلِّ ما يُؤمَن فيه ذلك</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إذن تمسّكوا بعموم التعليل المذكور في إبطال الاستدلال بمفهوم الشرط في آية النبأ على حجّية خبر الواحد بحجّة أنّه يقتضي إسراء الحكم المُعلَّل إلى سائر موارد عدم العلم؟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يتمُّ بناءً على تفسير الجهالة في الآية الكريمة بعدم العلم، لكننا لا نلتزم بهذا التفسير، وإنّما نلتزم بتفسير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الجهالة المذكورة في التعليل ليست بمعنى عدم العلم، بل بمعنى السفاهة والتصرّف غير المتّزن، فلا يشمل خبر العادل الثقة؛ لأنّه ليس سفاهةً ولا تصرّفاً غير متّزنٍ لا ينبغي صدورهُ من العاقل</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وهناك جوابان آخران عن هذا الاعتراض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المفهوم مخصّص لعموم التعليل؛ لأنّه يثبت الحجّية لخبر العادل غير العلمي، والتعليل يقتضي عدم حجّية كلّ ما لا يكون علمياً، فالمفهوم أخصّ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المفهوم حاكم على عموم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وذلك لأنّ مفاده حجّية خبر العادل، وحجّيته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مسلك جعل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 علماً، والتعليل موضوعه الجهل وعدم العلم، فباعتبار خبر العادل علماً يخرج عن موضوع التعليل، وهو معنى كون المفهوم حاكماً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إنّما يتمُّ إذا انعقد للكلام ظهور في المفهوم ثمّ عارض عموماً من العمومات فإنّه يُخصِّصه، وأمّا في المقام فلا ينعقد للكلام ظهور في المفهوم؛ لأنّه متّصل بالتعليل، وهو صالح للقرينيّة على عدم انحصار الجزاء بالشرط، ومعه لا ينعقد الظهور في المفهوم لكي يكون مخصِّصاً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مصادرة على المطلوب؛ إذ إنّ كون مفاد المفهوم هو حجّية خبر العادل الذي رُتّب عليه أنّ معناه اعتباره علماً، وهو عين المدَّعى،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مفاد المفهوم اعتبار خبر العادل علماً، فمفاد المنطوق هو نفي هذا الاعتبار، وعليه فالتعليل يكون ناظراً إلى توسعة دائرة هذا النفي وتعميمه إلى كلّ ما لا يكون علمياً، فكأنّ التعليل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لا يكون علماً وجداناً لا أعتبره علماً، وبهذا يكون مفاد التعليل ومفاد المفهوم في رتبة واحدة، أحدهما يثبت اعتبار خبر العادل علماً، والآخر ينفي هذا الاعتبار، ولا موجب لحكومة أحدهما على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غاية ما تدلّ عليه الآية الكريمة في تعليلها أنّ الإصابة بجهالةٍ مانع </w:t>
      </w:r>
      <w:bookmarkStart w:id="361" w:name="pg10913_110805"/>
    </w:p>
    <w:p>
      <w:pPr>
        <w:pStyle w:val="BookText"/>
        <w:rPr/>
      </w:pPr>
      <w:bookmarkEnd w:id="361"/>
      <w:r>
        <w:rPr>
          <w:rFonts w:ascii="Amiri" w:hAnsi="Amiri" w:eastAsia="Amiri" w:cs="Amiri"/>
          <w:color w:val="111111"/>
          <w:sz w:val="28"/>
          <w:sz w:val="28"/>
          <w:szCs w:val="28"/>
          <w:rtl w:val="true"/>
          <w:lang w:bidi="ar-SA"/>
        </w:rPr>
        <w:t>عن تأثير المقتضي لحجّيّة الخبر، ولا تدلّ على وجود المقتضي للحجّيّة في كلّ شيءٍ آخر حيث لا يوجد فيه المانع حتّى تكون دالةً على حجّيّة مثل الشهرة المفقود فيها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فقدان المانع عن الحجّيّة في مثل الشهرة لا يستلزم وجود المقتضي فيها للحجّيّة، ولا تدلّ الآية على أنّ كلّ ما ليس فيه مانع فالمقتضي فيه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وصف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الاستدلال بكونه ضعيفاً، وأجاب عنه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العمل بعموم العلّة هي تسرية الحكم المذكور إلى كلّ مورد تكون فيه العلّة، كما يستفاد من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 الخمر فإنّه 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كلّ مسكر، لا إثبات نقيض الحكم المذكور فيما لا تتحقّق فيه العلّة، بأن تكون القضية المذكورة دالّة على حلّيّة كلّ ما لم يكن مسكراً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فالمستفاد من قوله تعالى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عمل يكون فيه إصابة قومٍ بجهالة فهو مرغوب عنه، لا أنّ كلّ ما لا يكون في العمل على طبقه إصابة القوم بجهالة يكونُ العمل على طبقه واجباً</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2" w:name="__RefHeading___Toc3056700_2870459653"/>
      <w:bookmarkStart w:id="363" w:name="_Toc141"/>
      <w:bookmarkEnd w:id="362"/>
      <w:r>
        <w:rPr>
          <w:rtl w:val="true"/>
        </w:rPr>
        <w:t>الأمر الثّالث</w:t>
      </w:r>
      <w:bookmarkEnd w:id="363"/>
    </w:p>
    <w:p>
      <w:pPr>
        <w:pStyle w:val="Heading6"/>
        <w:numPr>
          <w:ilvl w:val="5"/>
          <w:numId w:val="1"/>
        </w:numPr>
        <w:rPr/>
      </w:pPr>
      <w:bookmarkStart w:id="364" w:name="__RefHeading___Toc3056702_2870459653"/>
      <w:bookmarkStart w:id="365" w:name="_Toc142"/>
      <w:bookmarkEnd w:id="364"/>
      <w:r>
        <w:rPr>
          <w:rtl w:val="true"/>
        </w:rPr>
        <w:t>اشارة</w:t>
      </w:r>
      <w:bookmarkEnd w:id="365"/>
    </w:p>
    <w:p>
      <w:pPr>
        <w:pStyle w:val="BookText"/>
        <w:rPr/>
      </w:pPr>
      <w:r>
        <w:rPr>
          <w:rFonts w:ascii="Amiri" w:hAnsi="Amiri" w:eastAsia="Amiri" w:cs="Amiri"/>
          <w:color w:val="111111"/>
          <w:sz w:val="28"/>
          <w:sz w:val="28"/>
          <w:szCs w:val="28"/>
          <w:rtl w:val="true"/>
          <w:lang w:bidi="ar-SA"/>
        </w:rPr>
        <w:t>دلالة بعض الأخبار، وهما روايتان</w:t>
      </w:r>
      <w:r>
        <w:rPr>
          <w:rFonts w:eastAsia="Amiri" w:cs="Amiri" w:ascii="Amiri" w:hAnsi="Amiri"/>
          <w:color w:val="111111"/>
          <w:sz w:val="28"/>
          <w:szCs w:val="28"/>
          <w:rtl w:val="true"/>
          <w:lang w:bidi="ar-SA"/>
        </w:rPr>
        <w:t>:</w:t>
      </w:r>
    </w:p>
    <w:p>
      <w:pPr>
        <w:pStyle w:val="Heading6"/>
        <w:numPr>
          <w:ilvl w:val="5"/>
          <w:numId w:val="1"/>
        </w:numPr>
        <w:rPr/>
      </w:pPr>
      <w:bookmarkStart w:id="366" w:name="__RefHeading___Toc3056704_2870459653"/>
      <w:bookmarkStart w:id="367" w:name="_Toc143"/>
      <w:bookmarkEnd w:id="366"/>
      <w:r>
        <w:rPr>
          <w:rtl w:val="true"/>
        </w:rPr>
        <w:t>الرواية الأولى</w:t>
      </w:r>
      <w:bookmarkEnd w:id="367"/>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مقبولة عمر بن حنظلة التي جاء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رجلين من أصحابنا يكون بينهما منازعة في دَينٍ أو ميراث، فتحاكما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كان كل واحد اختار رجلاً من أصحابنا فرضيا أن يكونا الناظرين في حقّهما، واختلف فيما حكما وكلاهما اختلفا في حديثكم؟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ما حكم به أعدلهما وأفقههما وأصدقهما في الحديث وأورعهما، ولا يُلتفت إلى ما يحكم به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عدلان مرضيّان عند أصحابنا لا يفضل واحد منهما على صاحبه؟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ما كان من روايتهما عنّا في ذلك الذي حكما به المجمع عليه عند أصحابك فيؤخذ به من حكمنا ويترك الشاذ الذي ليس بمشهور عند أصحابك، فإنّ المجمع عليه لا 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الخبران عنكم مشهورين قد رواهما الثقات عنكم؟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فما وافق حكمه حكم الكتاب والسُنّة وخالف العامة فيؤخذ به، ويترك ما خالف حكمه حكم الكتاب والسُنّة ووافق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رأيت إن كان الفقيهان عرفا حكمه من الكتاب والسُنّة ووجدنا أحد الخبرين موافقاً للعامّة والآخر مخالفاً لهم، بأيّ الخبرين يؤخذ؟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خالف العامّة ففيه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 وافقهما الخبران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ما هم إليه أميل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حكامهم وقضاتهم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فيترك ويؤخذ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وافق حكامهم الخبرين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فأرجئه حتّى تلقى إمامك؛ فإنّ الوقوف عند الشبهات خير من الاقتحام في الهلكات</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والاستدلال بها موقوف على تماميّة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بالإجماع الإجماع النسبي المساوق للشهرة إلحاقاً للمخالف النادر بالعدم، والقرينة التي قد تدّعى على ذلك أنّه قد فُرض في الرواية وجود الشاذ النادر في قبال المشهور عند الأصحاب، فيكون قرينةً على أنّ المراد بالمجمع عليه في الذيل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المشهور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فإنّ المجمع عليه لا ريب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مسوقاً مساق التعليل، وهو يقتضي التعميم وحمل الكلام على أنّ كلّ مشهور لا ريب فيه، فتثبت حجّيّة الشهرة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كلتا المقدّمتين بأنّهما باطلتان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الأولى؛ فلأنّ المراد من الشهرة في إطلاق الرواية المعنى اللّغوي الصالح للانطباق على الإجماع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 وجود القرينة الدالة على إرادة الشهرة الفتوائيّة مردودةٌ بأنّ النظر فيها إلى الشهرة الروائيّة لا الفتوائيّة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باب الرواية يعقل الاتّفاق والإجماع على نقل روايةٍ مع وجود روايةٍ شاذّة ينفرد بنقلها بعض أولئك لا 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وليست الرواية كالفتوى ليكون وجود النقل الشاذّ منافياً مع الاتّفاق على نقل الرواية المشهورة، ومعه لا موجب لحمْل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 المجمع عليه لاريب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الشهرة الاصطلاحيّة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الثّانية؛ فلأنّ نفي الريب يحتمل أن يراد منه أحد تفسيرات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نفي الريب الحقيقي بمعنى الشكّ حقيقةً، ويكون المعنى أنّ الرواية المجمع عليها في النقل لا شكّ في صدورها وصحّتها إطلاقاً، وهذا هو ظاهر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إنّما يكون مخصوصاً بالشهرة الروائيّة بالمعنى الذي ذكرناه، ولا يتمّ في الشهرة الفتوائيّة؛ لوضوح عدم انتفاء الريب الوجداني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المقبولة إنّما رجّحت بالشهرة بعد الصفات، فلو أُريد من الشهرة فيها الاستفاضة في النقل والشهرة الروائيّة بمرتبة حصول اليقين لم يصحّ ذلك؛ لأنّ المعارض كان ساقطاً حينئذٍ في نفسه وكان من تعارض الحجّة مع اللاحجّة،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الترجيح بالصفات ترجيح للحاكم لا الرواية، على ما ذُكر مفصّلاً في بحث التعارض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نفي الريب العقلائي عن المشهور، بمعنى أنّ اتّباعه هو الطريقة العقلائيّة لا اتّباع الشاذّ، وبهذا تكون الرواية بصدد إمضاء حجّيّةٍ عقلائيّةٍ للشهرة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خلاف الظاهر؛ لِما تقدّم من ظهور الريب في الشكّ </w:t>
      </w:r>
    </w:p>
    <w:p>
      <w:pPr>
        <w:pStyle w:val="BookText"/>
        <w:rPr/>
      </w:pPr>
      <w:r>
        <w:rPr>
          <w:rFonts w:ascii="Amiri" w:hAnsi="Amiri" w:eastAsia="Amiri" w:cs="Amiri"/>
          <w:color w:val="111111"/>
          <w:sz w:val="28"/>
          <w:sz w:val="28"/>
          <w:szCs w:val="28"/>
          <w:rtl w:val="true"/>
          <w:lang w:bidi="ar-SA"/>
        </w:rPr>
        <w:t xml:space="preserve">الوجداني لا ما يقابل الحجّة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في إثبات حجّيّة الشهرة الفتوائيّة كما هو المطلوب؛ لأنّ التعليل إذا كان مسوقاً لإمضاء قضيّةٍ عقلائيّة تنحصر بحدودها، ومن الواضح أنّ العقلاء لا يتبعون الشهرة الفتوائيّة في الأمور الاجتهادية الحدسيّة،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نفي الريب الشرعي بمعنى نفي الحجّيّة الشرعيّة، وحينئذٍ قد يقال بإمكان استفادة التعميم من التعليل؛ إذ يمكن للشارع أن يجعل الحجّيّة ونفي الريب عن كلّ مشهور، وإن كان هذا أيضاً قابلاً للخدشة؛ لأنّ اللّام يحتمل أن تكون للعهد ولا نافي له إلّا ظهور التعليل، وهو إنّما ينفيه إذا كان التعليل بأمرٍ عرفيّ ارتكازيّ، لا تعبّديّ وغيبيّ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الظاهر من ناحية أنّه مبتنٍ على حمل الريب على ما يقابل الحجّة الشرعيّة والريب التعبّديّ، أو جعل الجملة إنشائيّةً لا 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التعليل أنّه تعليل بأمر تكوينيّ ارتكازيّ لا غيبيّ تعبّديّ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نفي الريب الإضافي، ومن ناحية الشهرة فإنّ كلَّ ما في المشهور من احتمالات البطلان موجود في غير المشهور، ولكن في غير المشهور احتمال البطلان من ناحية قلّة العدد والشذوذ، وهو غير موجود في المشهور، فالمراد نفي هذا الريب الحيثي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الظاهر؛ لما تقدّم من ظهوره في نفي الريب المطلق لا الحيثي</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يفي بالمقصود؛ لأنّ مفادها حينئذٍ الترجيح بالمزيّة، فلو استُفيد التعميم فغايته التعميم في الترجيح بكلّ مزيّةٍ موجودةٍ في أحد الخبرين مفقودةٍ في الآخر </w:t>
      </w:r>
      <w:bookmarkStart w:id="368" w:name="pg10913_110812"/>
    </w:p>
    <w:p>
      <w:pPr>
        <w:pStyle w:val="BookText"/>
        <w:rPr/>
      </w:pPr>
      <w:bookmarkEnd w:id="368"/>
      <w:r>
        <w:rPr>
          <w:rFonts w:ascii="Amiri" w:hAnsi="Amiri" w:eastAsia="Amiri" w:cs="Amiri"/>
          <w:color w:val="111111"/>
          <w:sz w:val="28"/>
          <w:sz w:val="28"/>
          <w:szCs w:val="28"/>
          <w:rtl w:val="true"/>
          <w:lang w:bidi="ar-SA"/>
        </w:rPr>
        <w:t xml:space="preserve">بعد الفراغ من أصل الحجّية، لا إثبات حجّية تأسيسيّة بعنوان عدم الريب النسبي، فيكون خبر الكاذب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لأنّه لا ريب نسبي فيه بلحاظ خبر الكذّاب، وهذا واضح الفساد</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9" w:name="__RefHeading___Toc3056706_2870459653"/>
      <w:bookmarkStart w:id="370" w:name="_Toc144"/>
      <w:bookmarkEnd w:id="369"/>
      <w:r>
        <w:rPr>
          <w:rtl w:val="true"/>
        </w:rPr>
        <w:t>الرّواية الثّانية</w:t>
      </w:r>
      <w:bookmarkEnd w:id="370"/>
    </w:p>
    <w:p>
      <w:pPr>
        <w:pStyle w:val="BookText"/>
        <w:rPr/>
      </w:pPr>
      <w:r>
        <w:rPr>
          <w:rFonts w:ascii="IRNazanin" w:hAnsi="IRNazanin" w:eastAsia="IRNazanin"/>
          <w:color w:val="111111"/>
          <w:sz w:val="28"/>
          <w:sz w:val="28"/>
          <w:szCs w:val="28"/>
          <w:rtl w:val="true"/>
          <w:lang w:bidi="fa-IR"/>
        </w:rPr>
        <w:t>مرفوعة زرارة،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جعلت فداك، يأتي عنكم الخبران والحديثان المتعارضان، فبأيّهما نعمل؟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خُذْ بما اشتهر بين أصحابك، ودع الشاذّ النادر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هما معاً مشهوران مأثوران عنكم؟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بما يقوله أعدلهما</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إلى آخر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ووجه الاستدلال بها بطريقين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الطّريق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خذ بما اشتهر بين أصحابك واترك الشاذّ والنادر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 الشهرة الروائية والفتوائية، وموردها وإن كان خصوص الروائيّة دون الفتوئيّة إلّا أنّ المورد لا يكون مخصّصاً لعموم العام؛ فإنّ العبرة بعموم الجواب لا بخصوص السؤال</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أنّ المراد من الموصول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المشهور بما هو مشهور، لا خصوص الخبر، فيعمّ المشهور بالفتوى؛ لأنّ الموصول من الأسماء المبهمة الّتي تحتاج إلى ما يعيّن مدلولها، والمعيّن لمدلول الموصول هو الصلة، وهنا 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تشمل كلّ شيء قد اشتهر حتّى الفتوى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أجاب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الطريق بجوابين</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نُسلِّم أنَّ المورد ليس مخصّصاً لعموم العام، إلّا أنّه فرع وجود العموم في الكلام، والمقام ليس كذلك، فإنّ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الأسماء المبهمة، فكما أنّ الصلة المذكورة في الكلام معرّفة لها، فكذلك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المذكور في السؤال معرّف لها، فلا تكون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كناية عن الخبر، لا عن كلّ شيء، فيكون مفاد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مورد المعارضة لا بدّ من الأخذ بالخبر المشهور وترك الشاذّ النادر، ليس إلّا، والقرينة على ذلك هو السؤال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الرواية ليس هو المعنى المصطلح بين الفقهاء، وإلّا لما أمكن فرض الشهرة في كلّ من الروايتين، بل المراد منه المعنى اللّغوي، وهو ما يكون ظاهراً وبيّناً، فيكون معنى الرواية أنّه يجب الأخذ بالرواية التي رواها الكلّ، وهي ظاهرة بين الأصحاب، وترك الشاذّ النادر الذي اختصّ بنقله أشخاص معدودون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الوجه جواباً عن التعليل المذكور في المقبولة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المُجمَع عليه لا ريب فيه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وحاصل هذا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الشاذ الذي ليس بمشهور مقابلاً للمُجمَع عليه قرينة على أنّ المراد بالمُجمَع عليه ليس هو المشهور المصطلح عليه بين الفقهاء حتّى يدلّ على وجوب الأخذ بكلِّ مشهور، بل المراد منه ما اتّفق الكلّ على روايته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المراد من المشهور معناه اللّغوي، ولذا جعلهُ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قبيل ما هو بيّن رشده، وجعل مقابله من المُشكِل الذي يُرَدُّ عِلمُه إليهم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فالروايتان أجنبيّتان عن الشهرة الفتوائيّة بالمعنى المصطلح بالكليّة</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الطّريق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على تقدير أن يراد من الموصول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فإنّ المفهوم من المرفوعة إناطة الحكم بالشهرة، فتدلّ على وجوب اعتبار الشهرة بما هي شهرة، فيدور الحكم معها حيثما دارت، فتكون الفتوى المشتهرة أيضاً معتبرة كالخبر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ما استقرَّ عليه رأي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التعارض على أساس قرائن، من جملتها تقديم الترجيح بالشهرة في المرفوعة على الترجيح بصفات الراوي، حيث يفرض السائل بعد هذه الفقرة أنّهما معاً مشهوران، وهذا لا يتناسب مع كون المراد بالشهرة الروائيّة، لأنّها توجب الوثوق بالصدور عادةً، ومعه لا مجال للترجيح بالصفات التي هي مرجّحات سنديّة، فيتعيّن أن يكون المراد الشهرة في الفتوى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هذا الوجه بأنّه غير تامٍّ أيضاً لسببين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سند المرفوعة، بل هي من أضعف الروايات</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الدلالة، حيث إنّها ظاهرة في الأخذ بالحديث المشتهر بين الأصحاب شهرة فتوائيّة،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لا مرجع لها إلّا ذلك؛ لأنّه المذكور في كلام الراوي لا الفتوى، ولو أغمضنا عن ذلك وافترضنا إرادة الفتوى المشهورة كالرواية فسياقها سياق الترجيح في مقام التعارض لإحدى الحجّتين على الأخرى، لا تأسيس حجّة جديدة</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فالحاصل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إمكانيّة الالتزام بحجّيّة الشهرة كوسيلة من الوسائل التعبّديّة لإثبات الأحكام الشرعية</w:t>
      </w:r>
      <w:r>
        <w:rPr>
          <w:rFonts w:eastAsia="Amiri" w:cs="Amiri" w:ascii="Amiri" w:hAnsi="Amiri"/>
          <w:color w:val="111111"/>
          <w:sz w:val="28"/>
          <w:szCs w:val="28"/>
          <w:rtl w:val="true"/>
          <w:lang w:bidi="ar-SA"/>
        </w:rPr>
        <w:t xml:space="preserve">. </w:t>
      </w:r>
      <w:bookmarkStart w:id="371" w:name="pg10913_110819"/>
    </w:p>
    <w:p>
      <w:pPr>
        <w:pStyle w:val="Heading3"/>
        <w:numPr>
          <w:ilvl w:val="2"/>
          <w:numId w:val="1"/>
        </w:numPr>
        <w:rPr/>
      </w:pPr>
      <w:bookmarkStart w:id="372" w:name="__RefHeading___Toc3056708_2870459653"/>
      <w:bookmarkStart w:id="373" w:name="_Toc145"/>
      <w:bookmarkEnd w:id="371"/>
      <w:bookmarkEnd w:id="372"/>
      <w:r>
        <w:rPr>
          <w:rtl w:val="true"/>
        </w:rPr>
        <w:t>المستوى الثّاني</w:t>
      </w:r>
      <w:r>
        <w:rPr>
          <w:rtl w:val="true"/>
        </w:rPr>
        <w:t xml:space="preserve">: </w:t>
      </w:r>
      <w:r>
        <w:rPr>
          <w:rtl w:val="true"/>
        </w:rPr>
        <w:t>في كون الشّهرة مرجّحاً لأحد الخبرين المتعارضين</w:t>
      </w:r>
      <w:bookmarkEnd w:id="373"/>
    </w:p>
    <w:p>
      <w:pPr>
        <w:pStyle w:val="Heading4"/>
        <w:numPr>
          <w:ilvl w:val="3"/>
          <w:numId w:val="1"/>
        </w:numPr>
        <w:rPr/>
      </w:pPr>
      <w:bookmarkStart w:id="374" w:name="__RefHeading___Toc3056710_2870459653"/>
      <w:bookmarkStart w:id="375" w:name="_Toc146"/>
      <w:bookmarkEnd w:id="374"/>
      <w:r>
        <w:rPr>
          <w:rtl w:val="true"/>
        </w:rPr>
        <w:t>اشارة</w:t>
      </w:r>
      <w:bookmarkEnd w:id="375"/>
    </w:p>
    <w:p>
      <w:pPr>
        <w:pStyle w:val="BookText"/>
        <w:rPr/>
      </w:pPr>
      <w:r>
        <w:rPr>
          <w:rFonts w:ascii="Amiri" w:hAnsi="Amiri" w:eastAsia="Amiri" w:cs="Amiri"/>
          <w:color w:val="111111"/>
          <w:sz w:val="28"/>
          <w:sz w:val="28"/>
          <w:szCs w:val="28"/>
          <w:rtl w:val="true"/>
          <w:lang w:bidi="ar-SA"/>
        </w:rPr>
        <w:t>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التنافي إمّا بالذات أو بالعرض على وجهٍ يستلزم التناقض أو التضاد لو أُريد الجمع، وذلك لأنّ الدليلين إمّا متنافيان بحسب الدلالة أو غير متنافيين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إمّا أن تكون المنافاة بالذات أو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المنافاة بالذات فمعناها كون مدلول أحدهما منافياً لمدلول الآخر بحسب الدلالة المطابقيّة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يُفهم ذلك من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تنافياً إمّا على نحو التناقض أو التضاد، كما لو فرض أنّ أحد الدليلين دلَّ على حرمة شيءٍ ودلَّ الآخر على عدم حرمته، أو دلّ أحدهما على وجوب شيء والآخر على حرمته، فإنّ العرف لو نظر إلى مدلول كلٍّ منهما لفهم أنّ كلّا ً منهما ينفي ما يُفهم من مقتضى الدليل صراحةً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المنافاة بالعرض فمعناها استناد عدم إمكان الجمع إلى أمر خارج عن مقتضى الدلالة، وذلك الأمر الخارج إمّا إجماع أو ضرورة أو خبر، فمثلاً لو دَلَّ دليل على وجوب صلاة الظهر في يوم الجمعة، ودلّ آخر على وجوب صلاة الجمعة، فإنّ العرف لا يرى منافاة بين الدليلين؛ لأنّه يجوز أن تكون هناك صلاتان في نهار واحد، ولكن بالنظر إلى نهوض الأدلّة على أنّه لا تجب على المكلّف صلاتان، إمّا للإجماع أو للضرورة، فحينئذ يكون علمنا بذلك الأمر الخارج عن ذات الدليلين موجباً للحكم بوجود منافاة بين مدلولي الدليلين، فيكون مدلول أحدهما مستلزماً لنفي مدلول الآخر بالدلالة الالتزاميّة التي منشؤها وسببها هو قيام الإجماع أو الضرورة ونحوهما من الخارج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فتحصّل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التعارض هو استلزام التنافي إمّا تنافياً ذاتيّاً مستفاداً من صريح اللفظ، وإمّا تنافياً عرضيّاً لأجل أمرٍ خارج عن دلالة الدليل على وجهٍ تستلزم إرادة الجمع بينهما إمّا التضادّ أو التناقض، وكلاهما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أنّهم بعد اتّفاقهم على أنّ التعارض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التنافي إمّا بالذات أو بالعرض على وجهٍ يستلزم التناقض أو 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أنّ متعلّق التنافي هل هو مدلول الدليلين، أم نفس الدليلين بحسب الدلالة ومقام الإثبات؟</w:t>
      </w:r>
    </w:p>
    <w:p>
      <w:pPr>
        <w:pStyle w:val="BookText"/>
        <w:rPr/>
      </w:pPr>
      <w:r>
        <w:rPr>
          <w:rFonts w:ascii="Amiri" w:hAnsi="Amiri" w:eastAsia="Amiri" w:cs="Amiri"/>
          <w:color w:val="111111"/>
          <w:sz w:val="28"/>
          <w:sz w:val="28"/>
          <w:szCs w:val="28"/>
          <w:rtl w:val="true"/>
          <w:lang w:bidi="ar-SA"/>
        </w:rPr>
        <w:t xml:space="preserve">فقد وصف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بأنّه الغالب في الاصطلاح</w:t>
      </w:r>
      <w:r>
        <w:rPr>
          <w:rStyle w:val="FootnoteAnchor"/>
          <w:rtl w:val="true"/>
        </w:rPr>
        <w:footnoteReference w:id="541"/>
      </w:r>
      <w:r>
        <w:rPr>
          <w:rFonts w:ascii="Amiri" w:hAnsi="Amiri" w:eastAsia="Amiri" w:cs="Amiri"/>
          <w:color w:val="111111"/>
          <w:sz w:val="28"/>
          <w:sz w:val="28"/>
          <w:szCs w:val="28"/>
          <w:rtl w:val="true"/>
          <w:lang w:bidi="ar-SA"/>
        </w:rPr>
        <w:t>، واختاره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صاحب الكفاية إلى الثاني</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والسبب في هذا الاختلاف هو اعتقاد كلٍّ منهما بضرورة إخراج موارد الجمع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كالتزاحم، والتخصيص، والحكومة، والتخصّص، والورود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أنَّ تعريف المشهور قاصر عن ذلك؛ إذ إنّ التنافي بين المدلولين ثابت في موارد الجمع العرفي أيضاً فيشمله تعريفهم، بينما يسلم تعريفه من ذلك؛ لعدم التنافي بحسب الدلالة مع إمكان الجمع العرفي بين الدليلين، وهو ما دعاه للعدول عن تعريف المشهور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حين يعتقد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شمول تعريف المشهور لموارد الجمع العرفي؛ وذلك لعدم التنافي بين المدلولين في الموارد المذكورة</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وبهذا يتّضح لك اتّفاق الجميع على عدم تحقّق التعارض في موارد التزاحم</w:t>
      </w:r>
      <w:r>
        <w:rPr>
          <w:rStyle w:val="FootnoteAnchor"/>
          <w:rtl w:val="true"/>
        </w:rPr>
        <w:footnoteReference w:id="545"/>
      </w:r>
      <w:r>
        <w:rPr>
          <w:rFonts w:ascii="Amiri" w:hAnsi="Amiri" w:eastAsia="Amiri" w:cs="Amiri"/>
          <w:color w:val="111111"/>
          <w:sz w:val="28"/>
          <w:sz w:val="28"/>
          <w:szCs w:val="28"/>
          <w:rtl w:val="true"/>
          <w:lang w:bidi="ar-SA"/>
        </w:rPr>
        <w:t>، أو التخصّص</w:t>
      </w:r>
      <w:r>
        <w:rPr>
          <w:rStyle w:val="FootnoteAnchor"/>
          <w:rtl w:val="true"/>
        </w:rPr>
        <w:footnoteReference w:id="546"/>
      </w:r>
      <w:r>
        <w:rPr>
          <w:rFonts w:ascii="Amiri" w:hAnsi="Amiri" w:eastAsia="Amiri" w:cs="Amiri"/>
          <w:color w:val="111111"/>
          <w:sz w:val="28"/>
          <w:sz w:val="28"/>
          <w:szCs w:val="28"/>
          <w:rtl w:val="true"/>
          <w:lang w:bidi="ar-SA"/>
        </w:rPr>
        <w:t>، أو الحكومة، أو الورود</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الدليلين ناظراً للدليل الآخر وشارحاً له على نحو المفسّرية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التفسيرية أو ما شاكلها، على نحو لولا دليل المحكوم لما كان للدليل الحاكم أثرٌ مهم، كما لو قال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يعيد المكلّف إذا شكّ في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يأتي دليل آخر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المقصود منها الشكّ بين الثلاث والأربع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منافاة بين الدليلين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الدليلين رافعاً للدليل الآخر رفعاً تعبّديّاً بسببٍ من الشارع، بمعنى أنّ الرفع وسببه إنّما كان من الشارع المقدّس، أي بتعبّده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 أحد الدليلين رافعاً للآخر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بالتصرف في عقد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بتضييق دائرة الموضوع، كما 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الفاسق ليس بعالم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فمفاد الثاني إخراج الفاسق عن صفة العلم بتنزيل الفسق منزلة الجهل، وهذا تصرّفٌ في عقد الوضع فلا يبقى عموم لفظ العلماء شاملاً للفاسق بحسب هذا الادّعاء والتنزيل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ومثاله في الشرعيات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شكّ لكثير 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ربا بين الوالد وولده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سهو على الإمام إذا حفظ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تنزّل الشكّ والربا والسهو في هذه الموارد منزلة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يتّضح أنّ نتيجة الحكومة ههنا عين نتيجة التخصيص، إلّا أنّ الأخير لا يخرج الخاصّ عن الموضوع تنزيلاً على وجه لا يبقى معه ظهور ذاتي للعموم في الشمول، وإنّما يحافظ على بقاء صفة العالم للفاسق، ويخرجه عن وجوب الإكرام إخراجاً حقيقياً مع بقاء الظهور الذاتي للعالم في شموله للفاسق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وإمّا بتوسعة دائرة الموضوع، مثل ما لو قال عقيب الأمر بإكرام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المتّقي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يكون حاكماً على الأوّل وليس فيه إخراج، بل هو تصرّف في عقد الوضع بتوسعة معنى العالم ادّعاءً إلى ما يشمل المتّقي تنزيلاً للتقوى منزلة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ومثاله في الشرعيات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الطواف بالبيت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يُثبت للطواف الأحكام المناسبة التي تخصّ الصلاة من الطهارة ونحوها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عقد الحمل، مثل أدلّة لا ضرر ولا حرج،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الأدلّة التي تفيد رفع الحكم في صورة ثبوت الحرج والضرر إنّما تكون ناظرة إلى تلك الأدلّة المطلقة الثابتة للأحكام بعناوينها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 أنّ الدليل الحاكم ليس بينه وبين الدليل المحكوم تنافٍ،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الورود فهو عبارة عن أن يكون الدليل الوارد رافعاً للدليل المورود على أن يكون الخروج وجدانياً، ولكنّه بسبب التعبّد الشرعي، أي أنّ مستند الخروج أمر تعبدي إلّا أنّ نفس الخروج أمر وجداني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فالورود من حيث نفس الخروج عين معنى التخصّص، فلو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الجاهل خارجاً تخصّصاً بالوجدان، ومن حيث مستند الخروج يفترق عن التخصّص باحتياجه إلى دليل شرعي يتعبّد به في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تعرف أنّ الرفع في كلّ من الورود والتخصّص واحد وهو أمر وجداني، وسببه في التخصّص وجداني أيضاً، ولكن في الورود 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ومثاله خبر الواحد، فإنّه لا يثبت كونه مفيداً للعلم إلّا بتعبّدٍ من الشارع، حيث لم يكن فيه جهة كاشفيّة عن الواقع، بل كاشفيته ناقصة لا يمكن العمل على مقتضاها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كونه علماً فلخروجه من حيث هو ظنٌّ عن العلم وجداناً؛ كونه خارجاً عن العلم تخصّصاً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ومثاله الآخر دليل الأمارة الوارد على أدلّة الأصول العقلية، كالبراءة وقاعدة الاحتياط وقاعدة التخيير، فإنّ البراءة العقلية لمّا كان موضوعها عدم البيان الذي يحكم معه العقل بقبح العقاب، فالدليل الدالّ على حجّية الأمارة يعتبر الأمارة بياناً تعبّداً مع كونها ليست بياناً وجداناً، وبهذا التعبّد يرتفع موضوع البراءة العقلية وهو عدم البيان، وعليه فلا تنافي بين دليل الأمارة وبين أدلّة الأصول العقلية ولا تعارض</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لذلك صرّح بعضهم</w:t>
      </w:r>
      <w:r>
        <w:rPr>
          <w:rStyle w:val="FootnoteAnchor"/>
          <w:rtl w:val="true"/>
        </w:rPr>
        <w:footnoteReference w:id="548"/>
      </w:r>
      <w:r>
        <w:rPr>
          <w:rFonts w:ascii="Amiri" w:hAnsi="Amiri" w:eastAsia="Amiri" w:cs="Amiri"/>
          <w:color w:val="111111"/>
          <w:sz w:val="28"/>
          <w:sz w:val="28"/>
          <w:szCs w:val="28"/>
          <w:rtl w:val="true"/>
          <w:lang w:bidi="ar-SA"/>
        </w:rPr>
        <w:t>بأنَّ من شروط التعارض عدم كون أحد الدليلين مزاحماً أو مخصّصاً للآخر، أو وارداً أو حاكماً عليه، مضافاً إلى شروط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أحد الدليلين أو كلٌّ منهما قطعيّاً؛ لأنّه لو كان أحدهما قطعيّاً عُلم منه كذب الآخر، وكون كلٍّ منهما قطعيّاً مستحيل في نفسه،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الظنُّ الفعلي معتبراً في حجّيتهما معاً؛ لاستحالة حصر الظنّ الفعلي بالمتكاذبين كاستحالة القطع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أن يعتبر في أحدهما الظنّ الفعلي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من الدليلين المتعارضين واجداً لشرائط الحجّية، بمعنى أنّ كلّا ً منهما لو خُلّي ونفسه، ولم يحصل ما يعارضه، لكان حجّةً يجب العمل بموجبه وإن كان أحدهما لا على التعيين بمجرّد التعارض يسقط عن الحجّيّة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أنّهم اختلفوا في القاعدة الأوّليّة في المتعارضين على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التساقط المطلق، وهو ما ذهب إليه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الحجّيّة في الجملة في تمام موارد التعارض</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المحقّق العراقي من التفصيل بين ما إذا كان الخبران متنافيين بحسب مدلولهما، فيحكم فيه بالتساقط المطلق، وبين ما إذا لم يكن تنافٍ بين مدلول الخبرين، بل يمكن صدقهما معاً لكنه عُلم بكذب أحد الراويين المستلزم لدلالة كلّ </w:t>
      </w:r>
    </w:p>
    <w:p>
      <w:pPr>
        <w:pStyle w:val="BookText"/>
        <w:rPr/>
      </w:pPr>
      <w:r>
        <w:rPr>
          <w:rFonts w:ascii="Amiri" w:hAnsi="Amiri" w:eastAsia="Amiri" w:cs="Amiri"/>
          <w:color w:val="111111"/>
          <w:sz w:val="28"/>
          <w:sz w:val="28"/>
          <w:szCs w:val="28"/>
          <w:rtl w:val="true"/>
          <w:lang w:bidi="ar-SA"/>
        </w:rPr>
        <w:t>منهما بالملازمة على كذب الآخر، فيحكم فيه بالحجّيّة وتنجيز مدلولهما على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أنّه قبل الوصول إلى هذه المرحلة لابدَّ إمّا من محاولة الجمع العرفي</w:t>
      </w:r>
      <w:r>
        <w:rPr>
          <w:rStyle w:val="FootnoteAnchor"/>
          <w:rtl w:val="true"/>
        </w:rPr>
        <w:footnoteReference w:id="549"/>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لتسالمهم على أنَّ الجمع أوْلى من الطرح، بل عن عوالي اللآلئ دعوى الإجماع على هذه القاعدة</w:t>
      </w:r>
      <w:r>
        <w:rPr>
          <w:rStyle w:val="FootnoteAnchor"/>
          <w:rtl w:val="true"/>
        </w:rPr>
        <w:footnoteReference w:id="550"/>
      </w:r>
      <w:r>
        <w:rPr>
          <w:rFonts w:ascii="Amiri" w:hAnsi="Amiri" w:eastAsia="Amiri" w:cs="Amiri"/>
          <w:color w:val="111111"/>
          <w:sz w:val="28"/>
          <w:sz w:val="28"/>
          <w:szCs w:val="28"/>
          <w:rtl w:val="true"/>
          <w:lang w:bidi="ar-SA"/>
        </w:rPr>
        <w:t xml:space="preserve">، ويعبَّر عن التعارض حينئذٍ بالتعارض غير المستقِّر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ترجيح أحد المتعارضين بعد فرض حجّيتهما معاً في أنفسهما</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فعلى الثاني لا يكون فيها شاهد على ما نحن فيه، كما قال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روايات الترجيح بموافقة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روايات الترجيح بالشهرة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مصابيح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جعل فرض حجّيتهما في أنفسهما أحد شروط تحقّق التعارض الاصطلاحي، كما تقدّمت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إمكان الجمع العرفي، وهو ما يعبّر عنه بالتعارض المستقر</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والمرجّحات منها ما ادّعي أنّه منصوص عليه في الروايات، ومنها ما هو غير منصوص عليه</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المُرجِّحات التي ادُّعي</w:t>
      </w:r>
      <w:r>
        <w:rPr>
          <w:rStyle w:val="FootnoteAnchor"/>
          <w:rtl w:val="true"/>
        </w:rPr>
        <w:footnoteReference w:id="553"/>
      </w:r>
      <w:r>
        <w:rPr>
          <w:rFonts w:ascii="Amiri" w:hAnsi="Amiri" w:eastAsia="Amiri" w:cs="Amiri"/>
          <w:color w:val="111111"/>
          <w:sz w:val="28"/>
          <w:sz w:val="28"/>
          <w:szCs w:val="28"/>
          <w:rtl w:val="true"/>
          <w:lang w:bidi="ar-SA"/>
        </w:rPr>
        <w:t>أنّها منصوص عليها فخمس، وإنْ كانت الروايات الدالّة عليها عبارة عن أربعة أصناف، وذلك لوحدة روايات الترجيح بموافقة الكتاب ومخالفة العامة، وهذه المرجّحات الخمسة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بموافقة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بمخالفة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بالأحدث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بصفات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بالشهرة، وهو ما عُقد هذا الفصل للبحث عنه،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الشهرة على أنواع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شهرة عمليّة استناديّة، وشهرة فتوائيّة مطابقيّة، وشهرة في الرواية وإنْ لم يكن العمل على طبقها مشهوراً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الأولى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عنهما بالفتوائية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القول بكونهما من المرجّحات في باب التعارض مبنيٌّ على القول بوجوب الترجيح بكلّ ما يوجب الأقربيّة للواقع، ومع ذلك فإنَّ تقوية الرواية بالعمل بها مشروط عند القائلين به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استناد الفتوى إليها؛ إذ لا يكفي مجرّد مطابقة فتوى المشهور للرواية في الوثوق بأقربيّتها للواقع</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الشهرة العمليّة قديمةً، أي واقعة في عصر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العصر الذي يليه، والذي تمّ فيه جمع الأخبار وتحقيقها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الشهرة في العصور المتأخّرة فيشكل تقوية الرواية بها وترجيحها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والقول بكونها من المرجّحات مبنيٌّ على القول بوجوب الترجيح بكل ما يوجب الأقربيّة للواقع؛ وذلك أنّ الشهرة الفتوائيّة لم يرد فيها من الأخبار ما يدلُّ على الترجيح بها، كما سيتّضح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يستبعد أن يكون ظاهر مرفوعة زرارة الآتية إرادة الاشتهار في الفتوى لا في الرواية، وذلك لقرينتين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افتراض السائل تعليقاً على الترجيح بالشهرة من إمكان اشتهار الروايتين المتعارضتين معاً، وهذا لا يناسب الشهرة في الرواية المساوقة مع قطعيّة الصدور؛ إذ لو أُريد ذلك لم يبقَ مجال بعد ذلك للترجيح بالأعدليّة والأوثقيّة عقلائيّاً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الشهرة الروائيّة حينما توجد في المتعارضين معاً لا يحصل القطع بالصدور منها، مدفوعة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إنّما يصحّ فيما إذا كان يستبعد صدور أحاديث متعارضة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استبعاد في صدورها عنهم بعدما عرف من حالهم الابتلاء بظروف التقية وغيرها من الملابسات التي كانت تضطرّهم إلى التحفظ والاحتياط، كما تشهد بذلك جملة من الأحاديث الواردة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يؤثّر مجرّد تعارض الخبرين المشهورين بحسب الظهور في حصول القطع أو الاطمئنان بصدورهما معاً أثراً معتدّاً به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إباء سياق الترجيح بالصفات في المرفوعة عن إرادة الشهرة الروائيّة؛ إذ لو كان المراد ذلك لكان المناسب أن يرجّح ما كان مجموع رواته أعدل وأصدق، مع أنّه جاء في تعبير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خذ بما يقول به أعدلهما عندك وأوثقهما في نفسك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وجاء في تعبير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إنّهما معاً عدلان مرضيان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ظاهر في ملاحظة الراويين المباشرين، </w:t>
      </w:r>
      <w:bookmarkStart w:id="376" w:name="pg10913_110835"/>
    </w:p>
    <w:p>
      <w:pPr>
        <w:pStyle w:val="BookText"/>
        <w:rPr/>
      </w:pPr>
      <w:bookmarkEnd w:id="376"/>
      <w:r>
        <w:rPr>
          <w:rFonts w:ascii="Amiri" w:hAnsi="Amiri" w:eastAsia="Amiri" w:cs="Amiri"/>
          <w:color w:val="111111"/>
          <w:sz w:val="28"/>
          <w:sz w:val="28"/>
          <w:szCs w:val="28"/>
          <w:rtl w:val="true"/>
          <w:lang w:bidi="ar-SA"/>
        </w:rPr>
        <w:t>وهكذا يظهر إمكان استفادة الترجيح بالشهرة الفتوائيّة من المرفوعة</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الشهرة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ادَّعى العلّامة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إجماع المحقّقين قائمٌ على الترجيح بها</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استدلَّ على كونها مرجّحاً بروايات</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3056712_2870459653"/>
      <w:bookmarkStart w:id="378" w:name="_Toc147"/>
      <w:bookmarkEnd w:id="377"/>
      <w:r>
        <w:rPr>
          <w:rtl w:val="true"/>
        </w:rPr>
        <w:t>الرّواية الأولى</w:t>
      </w:r>
      <w:bookmarkEnd w:id="378"/>
    </w:p>
    <w:p>
      <w:pPr>
        <w:pStyle w:val="Heading5"/>
        <w:numPr>
          <w:ilvl w:val="4"/>
          <w:numId w:val="1"/>
        </w:numPr>
        <w:rPr/>
      </w:pPr>
      <w:bookmarkStart w:id="379" w:name="__RefHeading___Toc3056714_2870459653"/>
      <w:bookmarkStart w:id="380" w:name="_Toc148"/>
      <w:bookmarkEnd w:id="379"/>
      <w:r>
        <w:rPr>
          <w:rtl w:val="true"/>
        </w:rPr>
        <w:t>اشارة</w:t>
      </w:r>
      <w:bookmarkEnd w:id="380"/>
    </w:p>
    <w:p>
      <w:pPr>
        <w:pStyle w:val="BookText"/>
        <w:rPr/>
      </w:pPr>
      <w:r>
        <w:rPr>
          <w:rFonts w:ascii="Amiri" w:hAnsi="Amiri" w:eastAsia="Amiri" w:cs="Amiri"/>
          <w:color w:val="111111"/>
          <w:sz w:val="28"/>
          <w:sz w:val="28"/>
          <w:szCs w:val="28"/>
          <w:rtl w:val="true"/>
          <w:lang w:bidi="ar-SA"/>
        </w:rPr>
        <w:t xml:space="preserve">مقبولة عمر بن حنظلة المتقدّمة حيث جاء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المشهور، بدليل فهم السائل ذلك، إذ عقّبه بالسؤال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الخبران عنكما مشهورين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معنى لأنْ يراد من الشهرة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في هذه الرواية يقع من جهات</w:t>
      </w:r>
      <w:r>
        <w:rPr>
          <w:rFonts w:eastAsia="Amiri" w:cs="Amiri" w:ascii="Amiri" w:hAnsi="Amiri"/>
          <w:color w:val="111111"/>
          <w:sz w:val="28"/>
          <w:szCs w:val="28"/>
          <w:rtl w:val="true"/>
          <w:lang w:bidi="ar-SA"/>
        </w:rPr>
        <w:t>:</w:t>
      </w:r>
    </w:p>
    <w:p>
      <w:pPr>
        <w:pStyle w:val="Heading5"/>
        <w:numPr>
          <w:ilvl w:val="4"/>
          <w:numId w:val="1"/>
        </w:numPr>
        <w:rPr/>
      </w:pPr>
      <w:bookmarkStart w:id="381" w:name="__RefHeading___Toc3056716_2870459653"/>
      <w:bookmarkStart w:id="382" w:name="_Toc149"/>
      <w:bookmarkEnd w:id="381"/>
      <w:r>
        <w:rPr>
          <w:rtl w:val="true"/>
        </w:rPr>
        <w:t>الجهة الأولى</w:t>
      </w:r>
      <w:r>
        <w:rPr>
          <w:rtl w:val="true"/>
        </w:rPr>
        <w:t xml:space="preserve">: </w:t>
      </w:r>
      <w:r>
        <w:rPr>
          <w:rtl w:val="true"/>
        </w:rPr>
        <w:t>في سندها</w:t>
      </w:r>
      <w:bookmarkEnd w:id="382"/>
    </w:p>
    <w:p>
      <w:pPr>
        <w:pStyle w:val="BookText"/>
        <w:rPr/>
      </w:pPr>
      <w:r>
        <w:rPr>
          <w:rFonts w:ascii="Amiri" w:hAnsi="Amiri" w:eastAsia="Amiri" w:cs="Amiri"/>
          <w:color w:val="111111"/>
          <w:sz w:val="28"/>
          <w:sz w:val="28"/>
          <w:szCs w:val="28"/>
          <w:rtl w:val="true"/>
          <w:lang w:bidi="ar-SA"/>
        </w:rPr>
        <w:t xml:space="preserve">فقد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بن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يُنصّ على توثيقه، ومع ذلك ذهب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وثاقته، واستدلّ على ذلك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محمّد بن يعقوب عن علي بن إبراهيم، عن محمّد بن عيسى، عن يونس، عن يزيد بن خليفة،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عمر بن حنظلة أتانا عنك بوقتٍ،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إذن لا يكذب علينا</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ضعيفة السند؛ فإنّ يزيد بن خليفة واقفي لم يُوثّق، فلا يصحّ الاستدلال بها على شيء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الصفار عن الحسن بن علي بن عبد الله، عن الحسن بن علي بن فضّال، عن داود بن أبي يزيد، عن بعض أصحابنا، عن عمر بن حنظلة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أظنُّ أنّ لي عندك 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عنه ظاهر، فإنّ الرواية عن نفس عمر بن حنظلة، على أنّها ضعيفة ولا أقلّ من جهة الإرسال، مضافاً إلى أنّها لا تدلُّ على الوثاقة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محمّد بن يعقوب، عن محمّد بن يحيى، عن أحمد بن محمّد، عن علي ابن الحكم، عن عمر بن حنظلة،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عمر، لا تحملوا على شيعتنا وارفقوا بهم، فإنّّ الناس لا يحتملون ما تحملون</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شهادة من عمر بن حنظلة لنفسه، وهي غير مسموعة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محمّد بن يعقوب، عن محمّد بن الحسن، عن سهل بن زياد، عن ابن سنان، عن محمّد بن مروان العجلي، عن علي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اعرفوا منازل الناس على قدر روايتهم عنّا</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وتقريب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كثرة رواية شخص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على عظمة مكانته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الظاهر أنّ عمر بن حنظلة كثير الرواية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ضعيفة بسهل بن زياد وبابن سنان، فإنّه محمّد بن سنان بقرينة رواية سهل بن زياد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مروان العجلي مجهول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أنّ كثرة الرواية إذا لم يعلم صدق الراوي لا تكشف عن عظمة الشخص </w:t>
      </w:r>
    </w:p>
    <w:p>
      <w:pPr>
        <w:pStyle w:val="BookText"/>
        <w:rPr/>
      </w:pPr>
      <w:r>
        <w:rPr>
          <w:rFonts w:ascii="Amiri" w:hAnsi="Amiri" w:eastAsia="Amiri" w:cs="Amiri"/>
          <w:color w:val="111111"/>
          <w:sz w:val="28"/>
          <w:sz w:val="28"/>
          <w:szCs w:val="28"/>
          <w:rtl w:val="true"/>
          <w:lang w:bidi="ar-SA"/>
        </w:rPr>
        <w:t>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المشهور عملوا برواياته، ومن هنا سمّوا رواياته في الترجيح عند تعارض الخبرين بالمقبولة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الصغرى غير متحقّقة، وتسمية رواية واحدة من رواياته بالمقبولة لا تكشف عن قبول جميع 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تسليم الصغرى فالكبرى غير مسلّمة، فإنّ عمل المشهور لا يكشف عن وثاقة الراوي، فلعلَّهُ من جهة البناء على أصالة العدالة من جمعٍ وتبعهم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الأجلّاء كزرارة، وعبد الله بن مسكان، وصفوان بن يحيى، وأضرابهم قد رووا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الأجلّاء لا تدلّ على الوثاقة كما أوضحنا ذلك فيما تقدّم</w:t>
      </w:r>
      <w:r>
        <w:rPr>
          <w:rFonts w:eastAsia="Amiri" w:cs="Amiri" w:ascii="Amiri" w:hAnsi="Amiri"/>
          <w:color w:val="111111"/>
          <w:sz w:val="28"/>
          <w:szCs w:val="28"/>
          <w:rtl w:val="true"/>
          <w:lang w:bidi="ar-SA"/>
        </w:rPr>
        <w:t>)</w:t>
      </w:r>
      <w:r>
        <w:rPr>
          <w:rStyle w:val="FootnoteAnchor"/>
          <w:rtl w:val="true"/>
        </w:rPr>
        <w:footnoteReference w:id="560"/>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الذي يظهر من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الوجه الخامس من الوجوه المتقدّمة عدم ممانعته من تسمية الرواية محلّ البحث بالمقبولة، بل صرّح في مصابيح الأصول بصحّة سندها اكتفاءً بقبول الأصحاب لها،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المقبولة فمن حيث سندها فالراوي لها عمر بن حنظلة، وهو لم يسمع عنه بمدح ولا بقدح في كتب الرجال، ولكن </w:t>
      </w:r>
      <w:bookmarkStart w:id="383" w:name="pg10913_110842"/>
    </w:p>
    <w:p>
      <w:pPr>
        <w:pStyle w:val="BookText"/>
        <w:rPr/>
      </w:pPr>
      <w:bookmarkEnd w:id="383"/>
      <w:r>
        <w:rPr>
          <w:rFonts w:ascii="Amiri" w:hAnsi="Amiri" w:eastAsia="Amiri" w:cs="Amiri"/>
          <w:color w:val="111111"/>
          <w:sz w:val="28"/>
          <w:sz w:val="28"/>
          <w:szCs w:val="28"/>
          <w:rtl w:val="true"/>
          <w:lang w:bidi="ar-SA"/>
        </w:rPr>
        <w:t>روايته قد قبلها الأصحاب وأخذوا بها، ويكفينا في صحّة السند قبول الأصحاب لها، ولذا سمّيت مقبولة</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مضافاً إلى أنّ مَنْ وافق الشهيد الثاني في توثيق مشايخ صفوان بن يحيى، كالسيّد الشهيد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وآخرين صحَّح سندها، بناءً على مختاره في توثيق من ينقل عنه أحد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ابن أبي عمير والبزنطي وصفوان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باعتبار ما ورد في رواية يزيد بن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في أنّ عمر بن حنظلة كان ثقة بطبعه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يزيد بن خليفة نفسه مَنْ لا توجد شهادة بتوثيقه، وإنّما يمكن توثيقه بالقاعدة المذكورة، حيث قد روى عنه صفوان بن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أحد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معتبر في باب كفارة الصوم من الكافي، فتثبت بذلك وثاقته، وبروايته تثبت وثاقة عمر بن حنظلة أيضاً، فالمقبولة صحيحة سنداً</w:t>
      </w:r>
      <w:r>
        <w:rPr>
          <w:rFonts w:eastAsia="IRNazanin" w:cs="IRNazanin"/>
          <w:color w:val="111111"/>
          <w:sz w:val="28"/>
          <w:szCs w:val="28"/>
          <w:rtl w:val="true"/>
          <w:lang w:bidi="fa-IR"/>
        </w:rPr>
        <w:t>)</w:t>
      </w:r>
      <w:r>
        <w:rPr>
          <w:rStyle w:val="FootnoteAnchor"/>
          <w:rtl w:val="true"/>
        </w:rPr>
        <w:footnoteReference w:id="563"/>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3056718_2870459653"/>
      <w:bookmarkStart w:id="385" w:name="_Toc150"/>
      <w:bookmarkEnd w:id="384"/>
      <w:r>
        <w:rPr>
          <w:rtl w:val="true"/>
        </w:rPr>
        <w:t>الجهة الثّانية</w:t>
      </w:r>
      <w:r>
        <w:rPr>
          <w:rtl w:val="true"/>
        </w:rPr>
        <w:t xml:space="preserve">: </w:t>
      </w:r>
      <w:r>
        <w:rPr>
          <w:rtl w:val="true"/>
        </w:rPr>
        <w:t>في تحديد مفادها</w:t>
      </w:r>
      <w:bookmarkEnd w:id="38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الرواية وإنْ وردت في مقام الترجيح في مورد القضاء والحكومة بين المتخاصمين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ظاهر صدرها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رجلين من أصحابنا بينهما منازعة في دَينٍ أو ميراث فتحاكما إلى السلطان أو القضاة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 ورودها في هذا المورد لا يضر في دلالتها على الترجيح حتى في مقام الرواية، وذلك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رجّح أحد الحَكمين على الآخر لكونه أعدل أو أفقه أو أصدق من صاحبه، وحكم بلزوم اتّباع حكمه، انتقل إلى مرتبة ثانية من الترجيح في حال تساويهما في تلك الصفات،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ينظر إلى ما كان من رواياتهما عنّا في ذلك الذي ليس حكما به المجمع عليه </w:t>
      </w:r>
    </w:p>
    <w:p>
      <w:pPr>
        <w:pStyle w:val="BookText"/>
        <w:rPr/>
      </w:pPr>
      <w:r>
        <w:rPr>
          <w:rFonts w:ascii="Amiri" w:hAnsi="Amiri" w:eastAsia="Amiri" w:cs="Amiri"/>
          <w:color w:val="111111"/>
          <w:sz w:val="28"/>
          <w:sz w:val="28"/>
          <w:szCs w:val="28"/>
          <w:rtl w:val="true"/>
          <w:lang w:bidi="ar-SA"/>
        </w:rPr>
        <w:t>عند أصحابك فيؤخذ به من حكمنا، ويترك الشاذّ الذي ليس بمشهور عند أصحابك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المرتبة من الترجيح إنّما هي ترجيح للمشهور على غير المشهور، لأنّنا ذكرنا سابقاً أنّ المقصود من المجمع عليه هو المشهور، بدليل فهم السائل ذلك، إذْ عقّبه بالسؤال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الخبران عنكما مشهورين؟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معنى لأنْ يراد من الشهرة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كلّ من المحقّق الأصفهاني</w:t>
      </w:r>
      <w:r>
        <w:rPr>
          <w:rStyle w:val="FootnoteAnchor"/>
          <w:rtl w:val="true"/>
        </w:rPr>
        <w:footnoteReference w:id="564"/>
      </w:r>
      <w:r>
        <w:rPr>
          <w:rFonts w:ascii="Amiri" w:hAnsi="Amiri" w:eastAsia="Amiri" w:cs="Amiri"/>
          <w:color w:val="111111"/>
          <w:sz w:val="28"/>
          <w:sz w:val="28"/>
          <w:szCs w:val="28"/>
          <w:rtl w:val="true"/>
          <w:lang w:bidi="ar-SA"/>
        </w:rPr>
        <w:t xml:space="preserve">، والسيّد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Style w:val="FootnoteAnchor"/>
          <w:rtl w:val="true"/>
        </w:rPr>
        <w:footnoteReference w:id="565"/>
      </w:r>
      <w:r>
        <w:rPr>
          <w:rFonts w:ascii="IRNazanin" w:hAnsi="IRNazanin" w:eastAsia="IRNazanin"/>
          <w:color w:val="111111"/>
          <w:sz w:val="28"/>
          <w:sz w:val="28"/>
          <w:szCs w:val="28"/>
          <w:rtl w:val="true"/>
          <w:lang w:bidi="fa-IR"/>
        </w:rPr>
        <w:t>إلى أنّ الشهرة ليست من المرجّحات لإحدى الحجّتين على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هي من مميّزات الحجّة عن اللاحجّة، بتقريب أنّ شهرة الرواية في عصر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الذي عبَّر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المقبولة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يوجب كونه مقطوع الصدور، أو على الأقلّ يوجب كونه موثوقاً بصدوره، وإذا كان كذلك فالشاذّ المعارض له، وهو ما عبّرت عنه المقبولة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الغي أو المشكل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إمّا مقطوع العدم أو موثوق بعدمه، فلا تشمله أدلّة حجّيّة الخبر، وعليه فيخرج اقتضاء الشهرة في الرواية عن مسألة ترجيح إحدى الحجّتين على الأخرى، بل تكون مميّزةً للحجّة عن اللاحجّة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أُجيب عن ذلك بجوابين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عدم اشتراط حصول الظنّ الفعلي بخبر الثقة، ولا عدم الظنّ بخلافه، فإنّ الشاذّ المقطوع العدم لا يدخل في مسألتنا قطعاً، وأمّا الموثوق بعدمه من جهة حصول الثقة الفعليّة بمعارضه فلا يضرّ ذلك في كونه مشمولاً لأدلّة حجّيّة الخبر، بناءً على القول بكفاية وثاقة الراوي في قبول خبره من دون إناطةٍ بالوثوق الفعلي بخبره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الشهرة إذا لوحظت بالنسبة إلى الرواية بما هي حكاية عن حديث </w:t>
      </w:r>
      <w:bookmarkStart w:id="386" w:name="pg10913_110847"/>
    </w:p>
    <w:p>
      <w:pPr>
        <w:pStyle w:val="BookText"/>
        <w:rPr/>
      </w:pPr>
      <w:bookmarkEnd w:id="386"/>
      <w:r>
        <w:rPr>
          <w:rFonts w:ascii="Amiri" w:hAnsi="Amiri" w:eastAsia="Amiri" w:cs="Amiri"/>
          <w:color w:val="111111"/>
          <w:sz w:val="28"/>
          <w:sz w:val="28"/>
          <w:szCs w:val="28"/>
          <w:rtl w:val="true"/>
          <w:lang w:bidi="ar-SA"/>
        </w:rPr>
        <w:t>المعصوم، تكون ظاهرة في الشهرة الروائيّة المساوقة للتواتر والاستفاضة في النقل، وفي مثل هذه الحالة تسقط الرواية عن الحجّية في نفسها لمعارضتها مع دليلٍ قطعي، فلا يكون الأخذ بالمشهور من باب ترجيح إحدى الحجّتين على الأخرى، بل من باب تمييز الحجّة عن اللاحجّة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خلص له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والمقبولة وإنْ ورد فيها الترجيح بالصفات والشهرة، مضافاً إلى موافقة الكتاب ومخالفة العامّة، إلّا أنّه قد عرفت رجوع الأولى إلى الحَكَمَين لا الروايتين، وكون الثاني من باب تمييز الحجّة عن اللاحجّة</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إذا لوحظت الشهرة بالنسبة إلى الرواية بما هي رأي نُقل عن المعصوم، كانت ظاهرةً في الشهرة الفتوائيّة والعمليّة عند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لم يستبعده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 كونه هو الظاهر من مرفوعة زرارة اعتماداً على قرينتين تقدّم نقلهما عنه عند الحديث عن استفادة الترجيح بالشهرة الفتوائيّة من المرفوعة المذكورة</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3056720_2870459653"/>
      <w:bookmarkStart w:id="388" w:name="_Toc151"/>
      <w:bookmarkEnd w:id="387"/>
      <w:r>
        <w:rPr>
          <w:rtl w:val="true"/>
        </w:rPr>
        <w:t>الرّواية الثّانية</w:t>
      </w:r>
      <w:bookmarkEnd w:id="388"/>
    </w:p>
    <w:p>
      <w:pPr>
        <w:pStyle w:val="Heading5"/>
        <w:numPr>
          <w:ilvl w:val="4"/>
          <w:numId w:val="1"/>
        </w:numPr>
        <w:rPr/>
      </w:pPr>
      <w:bookmarkStart w:id="389" w:name="__RefHeading___Toc3056722_2870459653"/>
      <w:bookmarkStart w:id="390" w:name="_Toc152"/>
      <w:bookmarkEnd w:id="389"/>
      <w:r>
        <w:rPr>
          <w:rtl w:val="true"/>
        </w:rPr>
        <w:t>اشارة</w:t>
      </w:r>
      <w:bookmarkEnd w:id="390"/>
    </w:p>
    <w:p>
      <w:pPr>
        <w:pStyle w:val="BookText"/>
        <w:rPr/>
      </w:pPr>
      <w:r>
        <w:rPr>
          <w:rFonts w:ascii="IRNazanin" w:hAnsi="IRNazanin" w:eastAsia="IRNazanin"/>
          <w:color w:val="111111"/>
          <w:sz w:val="28"/>
          <w:sz w:val="28"/>
          <w:szCs w:val="28"/>
          <w:rtl w:val="true"/>
          <w:lang w:bidi="fa-IR"/>
        </w:rPr>
        <w:t>المعروفة بمرفوعة زرارة التي رواها ابن أبي جمهور الأحسائي في عوالي اللآلئ عن العلّامة مرفوعاً إلى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يأتي عنكم الخبران أو الحديثان المتعارضان، فبأيهما آخذ؟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زرارة، خذ بما اشتهر بين أصحابك، ودع الشاذ النادر</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والبحث عن هذه الرواية يقع أيضاً في جهتين</w:t>
      </w:r>
      <w:r>
        <w:rPr>
          <w:rFonts w:eastAsia="Amiri" w:cs="Amiri" w:ascii="Amiri" w:hAnsi="Amiri"/>
          <w:color w:val="111111"/>
          <w:sz w:val="28"/>
          <w:szCs w:val="28"/>
          <w:rtl w:val="true"/>
          <w:lang w:bidi="ar-SA"/>
        </w:rPr>
        <w:t xml:space="preserve">: </w:t>
      </w:r>
      <w:bookmarkStart w:id="391" w:name="pg10913_110849"/>
    </w:p>
    <w:p>
      <w:pPr>
        <w:pStyle w:val="Heading5"/>
        <w:numPr>
          <w:ilvl w:val="4"/>
          <w:numId w:val="1"/>
        </w:numPr>
        <w:rPr/>
      </w:pPr>
      <w:bookmarkStart w:id="392" w:name="__RefHeading___Toc3056724_2870459653"/>
      <w:bookmarkStart w:id="393" w:name="_Toc153"/>
      <w:bookmarkEnd w:id="391"/>
      <w:bookmarkEnd w:id="392"/>
      <w:r>
        <w:rPr>
          <w:rtl w:val="true"/>
        </w:rPr>
        <w:t>الجهة الأولى</w:t>
      </w:r>
      <w:r>
        <w:rPr>
          <w:rtl w:val="true"/>
        </w:rPr>
        <w:t xml:space="preserve">: </w:t>
      </w:r>
      <w:r>
        <w:rPr>
          <w:rtl w:val="true"/>
        </w:rPr>
        <w:t>في سندها</w:t>
      </w:r>
      <w:bookmarkEnd w:id="393"/>
    </w:p>
    <w:p>
      <w:pPr>
        <w:pStyle w:val="BookText"/>
        <w:rPr/>
      </w:pPr>
      <w:r>
        <w:rPr>
          <w:rFonts w:ascii="Amiri" w:hAnsi="Amiri" w:eastAsia="Amiri" w:cs="Amiri"/>
          <w:color w:val="111111"/>
          <w:sz w:val="28"/>
          <w:sz w:val="28"/>
          <w:szCs w:val="28"/>
          <w:rtl w:val="true"/>
          <w:lang w:bidi="ar-SA"/>
        </w:rPr>
        <w:t xml:space="preserve">فعلى الرغم ممّا نقله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الحرّ في مدح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من تذكرة المتبحّرين، منها في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محمّد ابن أبي جمهور الأحسائي، كان عالماً فاضلاً، راوية، له كتب منها عوالي اللآلئ، كتاب الأحاديث الفقهية على مذهب الإمامية، كتاب معين المعين، شرح الباب الحادي عشر، كتاب زاد المسافرين في أصول الدين، وله مناظرات مع المخالفين، كمناظرة الهروي، ورسالة في العمل بأخبار أصحابنا، وغير ذلك</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المرفوعة المذكورة ضعيفة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المرفوعة فهي ضعيفة السند؛ لأنّ الراوي لها ابن أبي جمهور الأحسائي، وهو مطعون فيه</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وصف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صاحب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ضعف سند المرفوعة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متين جداً؛ لأنّها رفعت عن العلّامة إلى زرارة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فحذف جميع مَنْ في السلسلة ولم يذكر واحداً منهم، ومن المعلوم أنّ أولئك الذين في السلسلة لمّا كانوا غير معلومين كانت وثاقتهم وعدالتهم غير محرزة لدينا، فكيف نحكم بصحّة السند مع حذف الرواة، بل حتّى لو كان نفس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رفعها عن زرارة فمع ذلك لا يمكننا الأخذ بها لوجود الملاك والمناط الذي عرفته هنا، مضافاً إلى ذلك أنّ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لم يذكرها في كتبه أصلاً، وإنّما ذكرها ابن أبي جمهور الأحسائي في كتابه المسمّى بعوالي اللآلئ، ورفعها عن العلّامة، فكان المنفرد بالنقل خاصّة هو ابن أبي جمهور، ومن المعلوم أنّ هذا الرجل قد طعن فيه وفي كتابه من ليس دأبه ذلك، وهو صاحب </w:t>
      </w:r>
      <w:bookmarkStart w:id="394" w:name="pg10913_110851"/>
    </w:p>
    <w:p>
      <w:pPr>
        <w:pStyle w:val="BookText"/>
        <w:rPr/>
      </w:pPr>
      <w:bookmarkEnd w:id="394"/>
      <w:r>
        <w:rPr>
          <w:rFonts w:ascii="Amiri" w:hAnsi="Amiri" w:eastAsia="Amiri" w:cs="Amiri"/>
          <w:color w:val="111111"/>
          <w:sz w:val="28"/>
          <w:sz w:val="28"/>
          <w:szCs w:val="28"/>
          <w:rtl w:val="true"/>
          <w:lang w:bidi="ar-SA"/>
        </w:rPr>
        <w:t xml:space="preserve">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يتقبّل كلّ رواية إلّا روايات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فما جاء به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ضعف سند المرفوعة متين وتامّ حسبما عرفت</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نسبه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الطعن بابن أبي جمهور وكتابه دقيقٌ، حيث قال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فإنا لم نقف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كتاب عوالي اللآلئ، مع ما هي عليه من الرفع والإرسال، وما عليه الكتاب من نسبة صاحبه إلى التساهل في نقل الأخبار، والإهمال، وخلط غثِّها بسمينها، وصحيحها بسقيمها</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5" w:name="__RefHeading___Toc3056726_2870459653"/>
      <w:bookmarkStart w:id="396" w:name="_Toc154"/>
      <w:bookmarkEnd w:id="395"/>
      <w:r>
        <w:rPr>
          <w:rtl w:val="true"/>
        </w:rPr>
        <w:t>الجهة الثّانية</w:t>
      </w:r>
      <w:r>
        <w:rPr>
          <w:rtl w:val="true"/>
        </w:rPr>
        <w:t xml:space="preserve">: </w:t>
      </w:r>
      <w:r>
        <w:rPr>
          <w:rtl w:val="true"/>
        </w:rPr>
        <w:t>في دلالتها</w:t>
      </w:r>
      <w:bookmarkEnd w:id="396"/>
    </w:p>
    <w:p>
      <w:pPr>
        <w:pStyle w:val="BookText"/>
        <w:rPr/>
      </w:pPr>
      <w:r>
        <w:rPr>
          <w:rFonts w:ascii="IRNazanin" w:hAnsi="IRNazanin" w:eastAsia="IRNazanin"/>
          <w:color w:val="111111"/>
          <w:sz w:val="28"/>
          <w:sz w:val="28"/>
          <w:szCs w:val="28"/>
          <w:rtl w:val="true"/>
          <w:lang w:bidi="fa-IR"/>
        </w:rPr>
        <w:t xml:space="preserve">فمع الإغماض عمّا تقدّم من ضعفها السندي، فإنّ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اشتهر بين أصحابك، ودع الشاذّ النادر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الترجيح بالشهرة كسابقتها، مع فارق وحيد بينهما هو تحديد مرتبة كلّ من المرجّحين، وكونه مقدّماً على الآخر أو مؤخّراً عنه، فالترجيح بالشهرة مقدّمٌ على الترجيح بالصفات في المرفوعة، ومؤخّرٌ عنه في المقبولة من هذه الناحية، فهنا احتمالان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الجمع العرفي بين مدلولي الروايتين، وهو ما مال إليه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أنْ يُدَّعى وجود جمعٍ عرفي بينهما</w:t>
      </w:r>
      <w:r>
        <w:rPr>
          <w:rFonts w:eastAsia="Amiri" w:cs="Amiri" w:ascii="Amiri" w:hAnsi="Amiri"/>
          <w:color w:val="111111"/>
          <w:sz w:val="28"/>
          <w:szCs w:val="28"/>
          <w:rtl w:val="true"/>
          <w:lang w:bidi="ar-SA"/>
        </w:rPr>
        <w:t>)</w:t>
      </w:r>
      <w:r>
        <w:rPr>
          <w:rStyle w:val="FootnoteAnchor"/>
          <w:rtl w:val="true"/>
        </w:rPr>
        <w:footnoteReference w:id="573"/>
      </w:r>
      <w:r>
        <w:rPr>
          <w:rFonts w:ascii="IRNazanin" w:hAnsi="IRNazanin" w:eastAsia="IRNazanin"/>
          <w:color w:val="111111"/>
          <w:sz w:val="28"/>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افترض إمكان أربع حالاتٍ في دليلي الترجيح المختلفين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اقتصار كلٍّ من الدليلين على مرجّحٍ غير ما تكفّله الآخر، كما إذا جاء في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وورد في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بما يرويه أعدلهما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اقتصار أحدهما على مرجّح ويذكر الآخر مرجّحين، أولهما غير ما ذكر في الأوّل، كما إذا جاء في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بما يرويه الأعدل، وإنْ لم يكن فبالمشهور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السابقة عينها مع افتراض ذِكر دليل الترجيح الثاني في المرجّح المذكور في الأوّل أوَّلاً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كلٌّ من الدليلين كلا المرجّحين مع التعاكس في الترتيب كما هو الحال في المرفوعة والمقبولة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 باستحكام التعارض فإنّما يقال به في الحالة الأولى بالخصوص التي تكون المعارضة بنحو العموم من وجه، لا الحالات الثلاث الأخرى؛ إذ في الحالة الثانية يكون دليل الترجيح المشتمل على مرجّحين أخصّ مطلقاً من دليل الترجيح الآخر فيتقيّد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الحالة الثالثة لا تعارض بينها أصلاً؛ لأنّ الدليل المشتمل على المرجّح الأوّل فقط ساكت عن وجود ترجيح آخر طولي ولا ينفيه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الحالة الرابعة يكون لكلٍّ من دليلي المرجّحين المتعاكسين ظهوران، ظهور إطلاقي يقتضي تقدّم المرجّح المذكور فيه أوّلاً على المذكور فيه ثانياً؛ لأنّه مقتضى إطلاق الترجيح به حتى إذا كان المرجّح الثاني ثابتاً في المعارض الآخر، وظهور عرفي صريح في أنّ المرجّح المذكور فيه أوّلاً ليس متأخّراً رتبةً عن المذكور فيه ثانياً، بل إمّا مقّدم عليه أو في عرضه على الأقل وإلّا لما قُدّم عليه في التسلسل الترجيحي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الظهور أقوى من الإطلاق وأظهر، والتعارض بين دليل الترجيح بحسب الحقيقة واقع بين الظهور الإطلاقي لأحدهما مع هذا الظهور العرفي </w:t>
      </w:r>
    </w:p>
    <w:p>
      <w:pPr>
        <w:pStyle w:val="BookText"/>
        <w:rPr/>
      </w:pPr>
      <w:r>
        <w:rPr>
          <w:rFonts w:ascii="IRNazanin" w:hAnsi="IRNazanin" w:eastAsia="IRNazanin"/>
          <w:color w:val="111111"/>
          <w:sz w:val="28"/>
          <w:sz w:val="28"/>
          <w:szCs w:val="28"/>
          <w:rtl w:val="true"/>
          <w:lang w:bidi="fa-IR"/>
        </w:rPr>
        <w:t xml:space="preserve">الصريح من الآخر فيرفع اليد عن الإطلاق بالظهور الصريح بقانون حمل الظاهر على الأظهر المتقدّم في أقسام الجمع العرفي، فينتج عرضية المرجّحين معاً، وإعمال هذا الجمع واضح جداً إذا فرضنا مجيء الترتيب بين المرجّحين في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افترضنا انتزاع الترتيب من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طريق الترتيب الوارد في سؤال الراوي بعد فرضه تساويهما في المرجّح الأوّل كما هو الحال في المقبولة والمرفوعة، فقد لا يكون الجمع المذكور واضحاً؛ إذ لعلَّ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جوابه على السؤال الأوّل أجاب بالمرجّح الثاني؛ إذ لا بأس بذلك، لذا لا تضايق من أن يقتصر الإمام على ذكر المرجّح الثاني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الحالة الثانية من الحالات الأربع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مع ذلك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ظاهر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المرجّح الثاني على الأقلّ ليس مقدّماً على الأوّل؛ إذ لو كان مقدّماً عليه كان ما ذكره أوّلاً مقيّداً لبّاً بعدم المرجّح الثاني، وهذا القيد غير مأخوذ في الكلام الثاني، فلا يكون الجوابان منصبّين على موضوع واحد مع أنّ ظاهرهما ذلك، فهذا من قبيل أنْ يقول الإمام في الجواب عن المتعارضين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بأشهر الحديثين المتساويين في صفات الراويين لهما،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كانا متساويين في الشهرة،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بقول أصدقهما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فالترتيب العكسي ليس محذوره مجرّد تقييد الإطلاق بل إضافةً إلى ذلك يلزم ورود الكلامين على موضوعين، وهذه مخالفة لظهور أقوى من 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الثاني قرينة على أنّ موضوع كلامه الأوّل قابل لأن يفرض في أحدهما أصدق والآخر غير أصدق، وهذا لا يتلاءم مع الترتيب العكسي، فيقيّد إطلاق كلٍّ من المرجّحين المتعاكسين بهذا الظهور في دليل الترجيح الآخر وتثبت عرضيتهما في النتيجة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العرضيّة أيضاً يكون موضوع الحكم بالترجيح بالمزيّة الأولى </w:t>
      </w:r>
    </w:p>
    <w:p>
      <w:pPr>
        <w:pStyle w:val="BookText"/>
        <w:rPr/>
      </w:pPr>
      <w:r>
        <w:rPr>
          <w:rFonts w:ascii="Amiri" w:hAnsi="Amiri" w:eastAsia="Amiri" w:cs="Amiri"/>
          <w:color w:val="111111"/>
          <w:sz w:val="28"/>
          <w:sz w:val="28"/>
          <w:szCs w:val="28"/>
          <w:rtl w:val="true"/>
          <w:lang w:bidi="ar-SA"/>
        </w:rPr>
        <w:t>مقيّداً بعدم اتّصاف معارضه بالمزيّة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عرضيّة المرجّحين يكون الموضوع ذات الخبرين، فيكون الجوابان واردين على موضوع واحد، والفرق هو أنّ المرجّح الثاني بناءً على الترتيب العكسي يرفع شأنيّة الترجيح بالمرجّح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العرضيّة فإنّما لا يمكن فعليّة الترجيح للتعارض وإلّا فمقتضي الترجيح فيهما معاً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إمكان الجمع العرفي، أي أنّ التعارض بين إطلاقي الروايتين تعارض مستقر، فقد ذكر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العمل بالمقبولة بحكم المرفوعة نفسها التي تقضي بتقديم المشهور على الشاذّ، والمقبولة مشهورة بخلاف المرفوعة التي لم تُنقل إلّا من عوالي اللآلئ مرفوعةً إلى زرارة</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واعترض عليه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مستحيل؛ إذ يلزم منه سقوط المرفوعة عن الحجّيّة، وكلّ ما يلزم من وجودِه عدمُه يكون محالاً</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ما وصفهُ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الوارد؛ لأنّ المقبولة والمرفوعة تتضمّنان إطلاقات طوليّة متعارضة،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إطلاقهما للخبرين المتعارضين الدالّ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السورة والآخر على عدم وجوبها؛ حيث إنّ المقبولة تُرجِّح الأصدق منهما، والمرفوعة ترجِّح المشهور</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إطلاقيَ المقبولة والمرفوعة لهذا المورد، يتولَّد من المعارضة الأولى؛ فإنّه أيضاً مصداق للتعارض بين حديثين تعالجُه المقبولة والمرفوعة فيُقدَّم الأصدق </w:t>
      </w:r>
    </w:p>
    <w:p>
      <w:pPr>
        <w:pStyle w:val="BookText"/>
        <w:rPr/>
      </w:pPr>
      <w:r>
        <w:rPr>
          <w:rFonts w:ascii="Amiri" w:hAnsi="Amiri" w:eastAsia="Amiri" w:cs="Amiri"/>
          <w:color w:val="111111"/>
          <w:sz w:val="28"/>
          <w:sz w:val="28"/>
          <w:szCs w:val="28"/>
          <w:rtl w:val="true"/>
          <w:lang w:bidi="ar-SA"/>
        </w:rPr>
        <w:t>بحكم المقبولة، والأشهر بحكم المرفوعة، وفي هذه المرتبة أيضاً تتشكّل معارضة جديدة هي فرد ثالث لحكم المقبولة والمرفوعة،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 المحذور في تقديم المقبولة على المرفوعة أنّه في أيّ مرتبةٍ من هذه المراتب الطولية للتعارض لو أعملنا المرفوعة في مقام الترجيح كان جزافاً، لا أنّه يلزم من وجودِه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ادَّعى ذلك المحقّق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التقديم في أيّ مرتبةٍ إنّما يسقط في المرتبة السابقة عليها لا في نفس تلك المرتبة</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رائع في المقام، حاصله</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المرجّحات الواردة في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مخصوصة بالتعارض السندي أو الدلالي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لا معنى لترجيح المقبولة على المرفوعة بكونها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فيتعارضان في خصوص ما إذا كان أحدهما واجداً للصفات والآخر مشهوراً، بناءً على عدم سريان التعارض الدلالي، وأنَّ التعارض بين المقبولة والمرفوعة في هذه المادّة إنّما هو من قبيل العموم من وجه</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بنينا على شمول الترجيح بالمرجّحات المنصوصة للعامّين من وجه فينفتح مجال لدعوى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بترجيح المقبولة على المرفوعة بالشهرة، عملاً بالمرفوعة </w:t>
      </w:r>
    </w:p>
    <w:p>
      <w:pPr>
        <w:pStyle w:val="BookText"/>
        <w:rPr/>
      </w:pPr>
      <w:r>
        <w:rPr>
          <w:rFonts w:ascii="IRNazanin" w:hAnsi="IRNazanin" w:eastAsia="IRNazanin"/>
          <w:color w:val="111111"/>
          <w:sz w:val="28"/>
          <w:sz w:val="28"/>
          <w:szCs w:val="28"/>
          <w:rtl w:val="true"/>
          <w:lang w:bidi="fa-IR"/>
        </w:rPr>
        <w:t>نفسها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أنّ الصحيح هو التفصيل بين صورتين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افتراض كون المقبولة مشهورةً من دون أن يكون الراوي في المرفوعة واجداً لمزيّةٍ صفتيّة، وفي هذه الصورة لا بُدّ من الحكم بتقديم المقبولة في مادّة التعارض؛ لأنّ هذه الحالة داخلة في مادّة الافتراق للمرفوعة، فلا موجب لرفع اليد عنها، وهذا معناه أنّ المرفوعة تدلّ بمادّة افتراقها على العمل بالمقبولة في مادّة التعارض بينهما، وبالتالي تكون المرفوعة بإطلاقها في مادّة الافتراق لهذا المورد من موارد التعارض قد خصّصت مادّة اجتماعها مع المقبولة، فلم يلزم من وجود شيء واحد عدمه، كما لا يلزم من إسقاط مادّة اجتماعها تخصيصها بالفرد النادر؛ لبقاء موارد الافتراق التي لا مبرر لفرض ندرتها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افتراض أرجحيّة المرفوعة على المقبولة من حيث صفات الراوي وإنْ كانت المقبولة أشهر، وفي هذه الحالة لا يتمّ ما أفاده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ترجيح المقبولة على المرفوعة بالشهرة عملاً بالمرفوعة ليس بأولى من ترجيح المرفوعة على المقبولة عملاً بالمقبولة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المرفوعة في أيّ مرتبة يتمسّك بها تكون مبتلاة في هذه الصورة بالمعارضة مع المقبولة في تلك المرتبة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فيما إذا فرضنا رجوع الترجيح بالصفات في المقبولة إلى الروايتين لا إلى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فرضنا عدم رجوع الترجيح بالصفات في المقبولة إلى الروايتين، وإنّما هو راجع للحاكمين، فيكون أوَّل المرجّحات حينئذٍ في كلٍّ من المقبولة والمرفوعة هو الشهرة، وآخرها مخالفة العامّة، فإنّه يقع التعارض بينهما من ناحتين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المعارضة بالعموم من وجه بين نفس المرجّحين المتوسّطين، وهما مخالفة العامّة والشهرة، حيث يكون مقتضى إطلاق كلٍّ منهما تقدّمه على الآخر، وتكون هذه المعارضة من الحالة الأولى من حالات الاختلاف بين دليلي الترجيح الأربعة، وهي أن يقتصر كلٌّ منهما على مرجِّحٍ غير ما تكفَّلهُ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هذه المعارضة التساقط في مورد اجتماع المرجحين المتعارضين بالعموم من وجه، وبالتالي عدم تقدّم شيء منهما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المعارضة بلحاظ مورد افتراق كلٍّ من المُرجّحين، فلو كان أحدهما موافقاً للكتاب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راوي الآخر أصدق، دلّت المقبولة حينئذٍ على ترجيح الموافق للكتاب، بينما تحكم المرفوعة بلزوم الانتقال إلى المرجّح الثالث، لأنّهما متساويان في الصفات، وتكون هذه المعارضة من الحالة الثانية من حالات الاختلاف بين دليلي الترجيح الأربعة، وهي اقتصار أحدهما على مُرجِّحٍ واحد ويذكر الآخر مُرجّحين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هذه المعارضة هو التخصيص وتقييد إطلاق المرجّح الثالث بما إذا لم يكن يوجد المرجّح الثاني، أي أنّ كلّا ً من المقبولة والمرفوعة كالصريح في الدلالة على أنّ المرجّح الثالث في طول ما اختصّت به من المرجّح الثاني، ومقتضى الجمع بين هاتين الصراحتين تعذُّر تقديم المرجّح الثالث على أي واحدٍ من المرجّحين المتعارضين بالعموم من وجه</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المقبولة لا تدلُّ على عدم مرجّحية الصفات كي تعارض بالعموم من </w:t>
      </w:r>
      <w:bookmarkStart w:id="397" w:name="pg10913_110866"/>
    </w:p>
    <w:p>
      <w:pPr>
        <w:pStyle w:val="BookText"/>
        <w:rPr/>
      </w:pPr>
      <w:bookmarkEnd w:id="397"/>
      <w:r>
        <w:rPr>
          <w:rFonts w:ascii="Amiri" w:hAnsi="Amiri" w:eastAsia="Amiri" w:cs="Amiri"/>
          <w:color w:val="111111"/>
          <w:sz w:val="28"/>
          <w:sz w:val="28"/>
          <w:szCs w:val="28"/>
          <w:rtl w:val="true"/>
          <w:lang w:bidi="ar-SA"/>
        </w:rPr>
        <w:t xml:space="preserve">وجه مع المرفوعة؛ لأنّها بيّنت الترجيح بموافقة الكتاب في موردٍ فرغ فيه عن تساوي الراويين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الحاكمان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الصفات، فلا ينعقد فيها إطلاق لحال فقدان أحدهما للصفة الترجيحيّة حتى يدلّ على عدم مرجّحيّة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مرجّحيّة الصفات لا بُدّ من لحاظها في الراويين المباشرين لسماع الحديث من المعصوم، أو في كلّ طبقات السند على تقدير التنزّل، وهذا لم يُفرَض في المقبولة</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8" w:name="__RefHeading___Toc3056728_2870459653"/>
      <w:bookmarkStart w:id="399" w:name="_Toc155"/>
      <w:bookmarkEnd w:id="398"/>
      <w:r>
        <w:rPr>
          <w:rtl w:val="true"/>
        </w:rPr>
        <w:t>الرّواية الثّالثة</w:t>
      </w:r>
      <w:bookmarkEnd w:id="399"/>
    </w:p>
    <w:p>
      <w:pPr>
        <w:pStyle w:val="Heading5"/>
        <w:numPr>
          <w:ilvl w:val="4"/>
          <w:numId w:val="1"/>
        </w:numPr>
        <w:rPr/>
      </w:pPr>
      <w:bookmarkStart w:id="400" w:name="__RefHeading___Toc3056730_2870459653"/>
      <w:bookmarkStart w:id="401" w:name="_Toc156"/>
      <w:bookmarkEnd w:id="400"/>
      <w:r>
        <w:rPr>
          <w:rtl w:val="true"/>
        </w:rPr>
        <w:t>اشارة</w:t>
      </w:r>
      <w:bookmarkEnd w:id="401"/>
    </w:p>
    <w:p>
      <w:pPr>
        <w:pStyle w:val="BookText"/>
        <w:rPr/>
      </w:pPr>
      <w:r>
        <w:rPr>
          <w:rFonts w:ascii="IRNazanin" w:hAnsi="IRNazanin" w:eastAsia="IRNazanin"/>
          <w:color w:val="111111"/>
          <w:sz w:val="28"/>
          <w:sz w:val="28"/>
          <w:szCs w:val="28"/>
          <w:rtl w:val="true"/>
          <w:lang w:bidi="fa-IR"/>
        </w:rPr>
        <w:t xml:space="preserve">رواية الطبرسي التي ورد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وروي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اختلفت أحاديثنا عليكم فخذوا بما اجتمعت عليه شيعتنا، فإنّه لا ريب فيه</w:t>
      </w:r>
      <w:r>
        <w:rPr>
          <w:rFonts w:eastAsia="IRNazanin" w:cs="IRNazanin"/>
          <w:color w:val="111111"/>
          <w:sz w:val="28"/>
          <w:szCs w:val="28"/>
          <w:rtl w:val="true"/>
          <w:lang w:bidi="fa-IR"/>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قطع النظر عن ضعف هذه الرواية لكونها مرسلةً، ففي تعيين المراد من اجتماع الشيعة الوارد فيها ثلاثة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 الاجتماع في الرواية، وهو مساوق للتواتر، فلا إشكال حينئذ في لزوم الأخذ به وطرح الخبر المعارض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 اجتماعهم عليه في العمل والفتوى، فتكون نتيجته الترجيح بالشهرة الفتوائيّة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 إجماع فقهائهم، بدعوى ظهور الاجتماع في الاتّفاق، فلا إشكال حينئذٍ أيضاً في الأخذ به، وطرح الخبر المعارض له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يستبعد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ظهورها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باعتبار إضافة الاجتماع فيها إلى الشيعة، لا إلى الرواة بالخصوص، ممّا يناسب أن يكون المراد منه الاجتماع في </w:t>
      </w:r>
      <w:bookmarkStart w:id="402" w:name="pg10913_110867"/>
    </w:p>
    <w:p>
      <w:pPr>
        <w:pStyle w:val="BookText"/>
        <w:rPr/>
      </w:pPr>
      <w:bookmarkEnd w:id="402"/>
      <w:r>
        <w:rPr>
          <w:rFonts w:ascii="Amiri" w:hAnsi="Amiri" w:eastAsia="Amiri" w:cs="Amiri"/>
          <w:color w:val="111111"/>
          <w:sz w:val="28"/>
          <w:sz w:val="28"/>
          <w:szCs w:val="28"/>
          <w:rtl w:val="true"/>
          <w:lang w:bidi="ar-SA"/>
        </w:rPr>
        <w:t>الرأي والعمل</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بقي الكلام في أنّ المرجّحات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المُدَّعى أنّها قد نُصَّ عليها، أو الأقلّ منها، على الخلاف في اعتبار بعضها مرجّحاً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مترتّبة فيما بينها عند استقرار التعارض، أو أنّها في عرَضٍ واحد؟</w:t>
      </w:r>
    </w:p>
    <w:p>
      <w:pPr>
        <w:pStyle w:val="BookText"/>
        <w:rPr/>
      </w:pPr>
      <w:r>
        <w:rPr>
          <w:rFonts w:ascii="Amiri" w:hAnsi="Amiri" w:eastAsia="Amiri" w:cs="Amiri"/>
          <w:color w:val="111111"/>
          <w:sz w:val="28"/>
          <w:sz w:val="28"/>
          <w:szCs w:val="28"/>
          <w:rtl w:val="true"/>
          <w:lang w:bidi="ar-SA"/>
        </w:rPr>
        <w:t>وهو ما يحتاج إلى تقديم مقدّمتين</w:t>
      </w:r>
      <w:r>
        <w:rPr>
          <w:rFonts w:eastAsia="Amiri" w:cs="Amiri" w:ascii="Amiri" w:hAnsi="Amiri"/>
          <w:color w:val="111111"/>
          <w:sz w:val="28"/>
          <w:szCs w:val="28"/>
          <w:rtl w:val="true"/>
          <w:lang w:bidi="ar-SA"/>
        </w:rPr>
        <w:t>:</w:t>
      </w:r>
    </w:p>
    <w:p>
      <w:pPr>
        <w:pStyle w:val="Heading5"/>
        <w:numPr>
          <w:ilvl w:val="4"/>
          <w:numId w:val="1"/>
        </w:numPr>
        <w:rPr/>
      </w:pPr>
      <w:bookmarkStart w:id="403" w:name="__RefHeading___Toc3056732_2870459653"/>
      <w:bookmarkStart w:id="404" w:name="_Toc157"/>
      <w:bookmarkEnd w:id="403"/>
      <w:r>
        <w:rPr>
          <w:rtl w:val="true"/>
        </w:rPr>
        <w:t>المقدّمة الأولى</w:t>
      </w:r>
      <w:bookmarkEnd w:id="404"/>
    </w:p>
    <w:p>
      <w:pPr>
        <w:pStyle w:val="BookText"/>
        <w:rPr/>
      </w:pPr>
      <w:r>
        <w:rPr>
          <w:rFonts w:ascii="Amiri" w:hAnsi="Amiri" w:eastAsia="Amiri" w:cs="Amiri"/>
          <w:color w:val="111111"/>
          <w:sz w:val="28"/>
          <w:sz w:val="28"/>
          <w:szCs w:val="28"/>
          <w:rtl w:val="true"/>
          <w:lang w:bidi="ar-SA"/>
        </w:rPr>
        <w:t xml:space="preserve">أنّ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ثلاث نواحٍ لا تخرج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تجعل احتمال صدور أحد الخبرين عن المعصوم أقرب من احتمال صدور الآخر، وهو ما يُسمّى بالمرجّح الصدوري، كالشهرة، وصفات الراوي بناءً على كونه من المرجّحات</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تجعل صدور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حقيقةً أو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لبيان الحكم الواقعي، لا لبيان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تقيّةٍ ونحوها من مصالح إظهار خلاف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مثل ما إذا كان الخبر مخالفاً للعامّة، فإنّه يُرجّح في مورد معارضته بخبرٍ آخر موافقٍ لهم؛ لأنّ صدوره كان لبيان الحكم الواقعي؛ لأنّه لا يحتمل فيه إظهار خلاف الواقع بخلاف الآخر، ويسمّى هذا المرجّح بالمرجّح الجهتي، ومنه كون أحد الخبرين أحدث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بأنّه مرجّح من مرجّحات باب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اعتماداً على مجموعة روايات</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المختار، عن بعض أصحابنا،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أرأيتك لو حدّثتك بحديثٍ العامَ ثُمَّ جئتني من قابلٍ فحدّثتك بخلافه، بأيِّهما كنتَ تأخذ؟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آخذ بالأخير،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استظهر أنّ هذه الروايات لا شاهد فيها على ما نحن فيه</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مع الإغماض عن الملاحظات السندية الواضحة مثل الإرسال الواقع في رواية الحسين بن المختار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أنّها لا تدلّ على ترجيح الأحدث من البيانين كقاعدة عامّة بالنسبة إلى كلّ مكلّف وبالنسبة إلى جميع العصور؛ لأنّها لا تدلّ على ذلك إلّا إذا فُهم منها أنّ الأحدث هو الحكم الواقعي، وأنّ الأوّل واقع موقع التقية أو نحوها، مع أنّه لا يفهم منها أكثر من أنّ مَنْ أُلقي إليه البيان خاصّة حكمه الفعلي ما تضمّنه البيان الأخير، وليست ناظرةً إلى أنّه الحكم الواقعي، فلربّما كان حكماً ظاهرياً بالنسبة إليه من باب التقية، كما أنّها ليست ناظرةً إلى أنّ هذا الحكم الفعلي هو حكم كلّ أحد وفي كلِّ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إلى ذلك أيضاً جماعة منهم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عدم صحة الترجيح بالأحدثية</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 وأنّ مفاد هذه الطائفة من الروايات أمر آخر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عدم صحّة الترجيح بالأحدثيّة؛ فلأنّ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الترجيح بالأحدثيّة حكم تعبّدي بحت، لا يطابق القواعد العقلائيّة المرتكزة في باب الطريقيّة فلا محالة يقتصر فيه على مورد النصّ بعد أن لم يكن فيه إطلاق لفظي، فإنّ كلمات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تنظر جميعاً إلى وقت </w:t>
      </w:r>
    </w:p>
    <w:p>
      <w:pPr>
        <w:pStyle w:val="BookText"/>
        <w:rPr/>
      </w:pPr>
      <w:r>
        <w:rPr>
          <w:rFonts w:ascii="Amiri" w:hAnsi="Amiri" w:eastAsia="Amiri" w:cs="Amiri"/>
          <w:color w:val="111111"/>
          <w:sz w:val="28"/>
          <w:sz w:val="28"/>
          <w:szCs w:val="28"/>
          <w:rtl w:val="true"/>
          <w:lang w:bidi="ar-SA"/>
        </w:rPr>
        <w:t>واحد وتكشف عن حكم شُرّع في صدر الإسلام فلا أثر لمجرّد كون أحد الخبرين أحدث من الآخر صدوراً في الكاشفيّة والطريقيّة التي هي ملاك الحجّيّة والاعتبار، ومورد هذه الطائفة يتضمّن خصوصيتين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الحديثين قطعيين سنداً ومسموعين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فلا يمكن التعدّي منهما إلى الظنّيّين؛ لاحتمال دخل القطع بالصدور في هذا الحكم؛ إذ ليس حكماً واقعيّاً حتى يكون ظاهرُ أخذِ قيد القطع في لسان دليله كونه طريقاً إلى الواقع المقطوع به، بل هو حكم ظاهري تعبّدي يُعقل أن يكون للشكّ واليقين دخل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معاصرة السامع للحديث الأحدث وحضوره في مجلس الصدور؛ لأنّ المفروض فيها ذلك بمقتضى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جئتني من قابل فحدَّثتك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لهذه الخصوصيّة دخلاً في الحكم المذكور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الخصوصيّة بنفسها يمكن إبرازها أيضاً في رواية معلّى بن خنيس،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جاء حديث عن أوّلكم وحديث عن آخركم بأيّهما نأخذ؟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به حتى يبلغكم عن الحيّ فإن بلغكم عن الحيّ فخذوا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الرواية قد لا يتّجه في حقّها احتمال اختصاصها بمعلومي الصدور؛ لأنّه قد عُبّر فيها بمجيء الحديث الذي قد يدّعى إطلاقه للأخبار الآحاد، إلّا أنّ الخصوصية الثانية واضحة في موردها، مضافاً إلى ضعف سندها</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كون مفاد هذه الطائفة أمراً آخر فتوضيح ذلك</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الحديث الأحدث المسموع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ظهوران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 في كونه بصدد بيان الحكم الواقعي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ظهوره في بيان وظيفة السامع الفعليّة </w:t>
      </w:r>
    </w:p>
    <w:p>
      <w:pPr>
        <w:pStyle w:val="BookText"/>
        <w:rPr/>
      </w:pPr>
      <w:r>
        <w:rPr>
          <w:rFonts w:ascii="IRNazanin" w:hAnsi="IRNazanin" w:eastAsia="IRNazanin"/>
          <w:color w:val="111111"/>
          <w:sz w:val="28"/>
          <w:sz w:val="28"/>
          <w:szCs w:val="28"/>
          <w:rtl w:val="true"/>
          <w:lang w:bidi="fa-IR"/>
        </w:rPr>
        <w:t xml:space="preserve">التي قد تكون واقعيّةً، وقد تكون لظروف التقية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قصة علي بن يقطين مع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والظاهر أنّ المقصود من الأخذ بالأحدث في هذه الروايات ملاحظة الظهور الثاني في حقّ السامع، والتأكيد على لزوم اتباعه على كلّ حال، لا ترجيح الأحدث بلحاظ ظهوره الأوّل الكاشف عن الحكم الواقعي العام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يشهد لهذا 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كون الأحدثيّة لا تتضمّن أيّة مناسبة عقلائيّة للترجيح في باب الحجّيّة فمن المستبعد جداً افتراض دخلها شرعاً 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التفات السائل لهذا الترجيح بنفسه، حيث أجاب على سؤال الإمام بأنّه يأخذ بالأحدث، ممّا يعني أنّ هذا المعنى كان واضحاً مركوزاً لدى العرف، وذلك لا يكون إلّا بالاعتبار الذي أوضحناه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وأيضاً ممّا يعزّز هذا الفهم ما ورد في ذيل رواية الكناني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أبى الله إلّا أنْ يُعبد سراً، أما والله لئن فعلتم ذلك إنّه لخير لي ولكم، وأبى الله عزّ وجلّ لنا ولكم في دينه إلّا 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صريح في أنّ نظر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تقدير صدور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 هو وظيفة السامع بالفعل ولو من أجل التقية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وأخيراً يمكننا أن نستظهر هذا المعنى من هذه الروايات وما افتُرض فيها من سماع المكلف بنفسه الحديث المخالف لما كان يعرفه من رأي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الذي يعني قطعية الحديثين سنداً ودلالةً المستدعي حصول القطع عرفاً بأنّ ما وافق منهما العامّة إنّما صدر مراعاةً لظروف التقية المُعاشة وقتئذٍ، فيكون مساقها مساق روايات أخرى وردت بهذا الشأن، من قبيل رواية أبي عبيدة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زياد، ما تقول لو أفتينا رجلاً ممن يتولّانا بشيء من التقية؟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أعلم جُعلت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 به فهو خير له وأعظم أجراً،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أخذ به أُجر، وإن تركه </w:t>
      </w:r>
      <w:bookmarkStart w:id="405" w:name="pg10913_110876"/>
    </w:p>
    <w:p>
      <w:pPr>
        <w:pStyle w:val="BookText"/>
        <w:rPr/>
      </w:pPr>
      <w:bookmarkEnd w:id="405"/>
      <w:r>
        <w:rPr>
          <w:rFonts w:ascii="Amiri" w:hAnsi="Amiri" w:eastAsia="Amiri" w:cs="Amiri"/>
          <w:color w:val="111111"/>
          <w:sz w:val="28"/>
          <w:sz w:val="28"/>
          <w:szCs w:val="28"/>
          <w:rtl w:val="true"/>
          <w:lang w:bidi="ar-SA"/>
        </w:rPr>
        <w:t>والله أُثم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عن الخثعمي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أنّا لا نقول إلّا حقّاً فليكتفِ بما يعلم منّا، فإن سمع منّا خلاف ما يعلم فليعلم أنّ ذلك دفاع منّا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فالصحيح عدم صحّة الترجيح بالأحدثيّة</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مضمون الخبر أقرب إلى الواقع في النظر، ويسمّى بالمرجّح المضموني، مثل موافقة الكتاب والسُنّة</w:t>
      </w:r>
      <w:r>
        <w:rPr>
          <w:rFonts w:eastAsia="Amiri" w:cs="Amiri" w:ascii="Amiri" w:hAnsi="Amiri"/>
          <w:color w:val="111111"/>
          <w:sz w:val="28"/>
          <w:szCs w:val="28"/>
          <w:rtl w:val="true"/>
          <w:lang w:bidi="ar-SA"/>
        </w:rPr>
        <w:t>.</w:t>
      </w:r>
    </w:p>
    <w:p>
      <w:pPr>
        <w:pStyle w:val="Heading5"/>
        <w:numPr>
          <w:ilvl w:val="4"/>
          <w:numId w:val="1"/>
        </w:numPr>
        <w:rPr/>
      </w:pPr>
      <w:bookmarkStart w:id="406" w:name="__RefHeading___Toc3056734_2870459653"/>
      <w:bookmarkStart w:id="407" w:name="_Toc158"/>
      <w:bookmarkEnd w:id="406"/>
      <w:r>
        <w:rPr>
          <w:rtl w:val="true"/>
        </w:rPr>
        <w:t>المقدّمة الثّانية</w:t>
      </w:r>
      <w:bookmarkEnd w:id="407"/>
    </w:p>
    <w:p>
      <w:pPr>
        <w:pStyle w:val="BookText"/>
        <w:rPr/>
      </w:pPr>
      <w:r>
        <w:rPr>
          <w:rFonts w:ascii="Amiri" w:hAnsi="Amiri" w:eastAsia="Amiri" w:cs="Amiri"/>
          <w:color w:val="111111"/>
          <w:sz w:val="28"/>
          <w:sz w:val="28"/>
          <w:szCs w:val="28"/>
          <w:rtl w:val="true"/>
          <w:lang w:bidi="ar-SA"/>
        </w:rPr>
        <w:t>قد أشرنا فيما تقدّم إلى وقوع الخلاف في وجوب الاقتصار على المرجّحات المخصوصة المنصوصة، أو التعدّي عنها إلى غيرها، على قولين رئيسين</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التعدِّي إلى كلِّ ما يوجب الأقربيّة إلى الواقع نوعاً</w:t>
      </w:r>
      <w:r>
        <w:rPr>
          <w:rStyle w:val="FootnoteAnchor"/>
          <w:rtl w:val="true"/>
        </w:rPr>
        <w:footnoteReference w:id="591"/>
      </w:r>
      <w:r>
        <w:rPr>
          <w:rFonts w:ascii="Amiri" w:hAnsi="Amiri" w:eastAsia="Amiri" w:cs="Amiri"/>
          <w:color w:val="111111"/>
          <w:sz w:val="28"/>
          <w:sz w:val="28"/>
          <w:szCs w:val="28"/>
          <w:rtl w:val="true"/>
          <w:lang w:bidi="ar-SA"/>
        </w:rPr>
        <w:t xml:space="preserve">، وهو قول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فرائد الأصول</w:t>
      </w:r>
      <w:r>
        <w:rPr>
          <w:rStyle w:val="FootnoteAnchor"/>
          <w:rtl w:val="true"/>
        </w:rPr>
        <w:footnoteReference w:id="592"/>
      </w:r>
      <w:r>
        <w:rPr>
          <w:rFonts w:ascii="Amiri" w:hAnsi="Amiri" w:eastAsia="Amiri" w:cs="Amiri"/>
          <w:color w:val="111111"/>
          <w:sz w:val="28"/>
          <w:sz w:val="28"/>
          <w:szCs w:val="28"/>
          <w:rtl w:val="true"/>
          <w:lang w:bidi="ar-SA"/>
        </w:rPr>
        <w:t xml:space="preserve">، ووصفه العلّامة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القول المشهور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الاقتصار على المرجّحات المنصوصة، وهو الذي يظهر من كلام الشيخ الكليني في مقدّمة الكافي</w:t>
      </w:r>
      <w:r>
        <w:rPr>
          <w:rStyle w:val="FootnoteAnchor"/>
          <w:rtl w:val="true"/>
        </w:rPr>
        <w:footnoteReference w:id="593"/>
      </w:r>
      <w:r>
        <w:rPr>
          <w:rFonts w:ascii="Amiri" w:hAnsi="Amiri" w:eastAsia="Amiri" w:cs="Amiri"/>
          <w:color w:val="111111"/>
          <w:sz w:val="28"/>
          <w:sz w:val="28"/>
          <w:szCs w:val="28"/>
          <w:rtl w:val="true"/>
          <w:lang w:bidi="ar-SA"/>
        </w:rPr>
        <w:t xml:space="preserve">، ومال إليه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 xml:space="preserve">، وهو لازم طريقة </w:t>
      </w:r>
    </w:p>
    <w:p>
      <w:pPr>
        <w:pStyle w:val="BookText"/>
        <w:rPr/>
      </w:pPr>
      <w:r>
        <w:rPr>
          <w:rFonts w:ascii="Amiri" w:hAnsi="Amiri" w:eastAsia="Amiri" w:cs="Amiri"/>
          <w:color w:val="111111"/>
          <w:sz w:val="28"/>
          <w:sz w:val="28"/>
          <w:szCs w:val="28"/>
          <w:rtl w:val="true"/>
          <w:lang w:bidi="ar-SA"/>
        </w:rPr>
        <w:t>الأخباريين في الاقتصار على نصوص الأخبار والجمود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لكلٍّ من القولين بأدلّة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أدلّة القول بوجوب التعدّي فأهمّها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جملة المرجّحات المنصوصة الأصدقيّة الواردة في المقبولة، والأوثقيّة الواردة في المرفوعة، ونحوهما كالأعدليّة والأورعيّة، لما فيه من الدلالة على أنّ المناط في الترجيح بها هو كونها موجبة للأقربيّة إلى الواقع، لا جهة موضوعيّتها، وإذا كان هذا هو المناط في أخذها فلا بُدّ من التعدّي عنه لكلِّ ما يتحقّق معه القرب إلى الواقع لتحقّق المناط فيه</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التعليل الوارد وجهاً لتقديم الرواية المشهورة على غير المشهورة هو كون المشهور ممّا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بُدّ من استظهار أنّ العلّة هي عدم الريب فيه بالإضافة إلى الخبر الآخر، لا نفي الريب حقيقةً، فالمشهور لكونه أقلّ ريباً يترجّح على غيره، ولو كان فيه ألف ريب، وإذا كان الأمر كذلك فلا بُدّ من التعدّي لكلّ ما كان الريب فيه أقلّ</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التعليل الوارد لترجيح ما خالف العامّة هو كون الرشد في خلافهم؛ لأنّه أقرب إلى الواقع؛ لوضوح مخالفة أحكامهم للواقع، فهذا التعليل يدلّ على أنّ المناط في الترجيح هو القرب إلى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بُدّ من التعدّي لكلّ مزيّة توجب القرب إلى الواقع لتحقّق المناط فيه</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على العمل بكلِّ ما هو أقرب إلى الواقع من الخبرين المتعارضين، أي أنّ العقلاء وأهل العرف في مورد التعارض بين الخبرين غير المتكافئين لا يتوقّفون في العمل بما هو أقرب إلى الواقع في نظرهم، ولا يبقون في حيرة من ذلك، وإن كانوا يعملون بالخبر الآخر المرجوح لو بقي وحده بلا معارض، وإذا كان للعقلاء مثل هذا البناء العملي فإنّه يستكشف منه رضا الشارع وإمضاؤه</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ويؤيّد ذلك ما حكي عن 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النهاية من دعوى الإجماع من الصحابة على ذلك في جميع الموارد، حيث قدّموا ما ورد من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التقى ختانان فقد وجب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خبر أبي هريرة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الماء من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ومثل ما قدّموا خبر أبي هريرة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أصبح جنباً فلا صوم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خبر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يصبح جنباً وهو صائم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ونحو ذلك من تقديم بعض الأخبار على بعض</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ادّعى صاحب مفاتيح الأصول</w:t>
      </w:r>
      <w:r>
        <w:rPr>
          <w:rStyle w:val="FootnoteAnchor"/>
          <w:rtl w:val="true"/>
        </w:rPr>
        <w:footnoteReference w:id="600"/>
      </w:r>
      <w:r>
        <w:rPr>
          <w:rFonts w:ascii="Amiri" w:hAnsi="Amiri" w:eastAsia="Amiri" w:cs="Amiri"/>
          <w:color w:val="111111"/>
          <w:sz w:val="28"/>
          <w:sz w:val="28"/>
          <w:szCs w:val="28"/>
          <w:rtl w:val="true"/>
          <w:lang w:bidi="ar-SA"/>
        </w:rPr>
        <w:t xml:space="preserve">الإجماع على وجوب الترجيح لعدم المخالف منّا، إلّا ما حكي عن خروج من لا يضرّ خروجه في تحقّق الإجماع، ألا ترى أنّ القوم قدّموا الخبر المروي في الكتب الأربعة على الخبر المنقول في غيرها، وقدّموا رواية الكليني في الكافي على رواية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لكون الكليني أضبط، وقدّموا خبر من لا يحضره الفقيه لالتزام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بأنّه لا يروي إلّا عن ثقة، وأنّه يعمل به ويفتي بمضمونه، وهذه كلّها من المرجّحات غير المنصوصة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أجاب صاحب الكفاية عن الأدلة الثلاثة الأُوَل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يخفى ما في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فإنّ جعل خصوص شيء فيه جهة الإراءة والطريقيّة حجّةً أو مرجّحاً لا دلالة فيه على أنّ الملاك فيه بتمامه جهة إراءته، بل لا إشعار فيه كما لا يخفى، لاحتمال دخل خصوصيّته في مرجّحيّته أو حجّيته، لاسيّما قد ذكر فيها ما لا يحتمل الترجيح به إلّا تعبّداً، فافهم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الثّاني فلتوقّفه على عدم كون الرواية المشهورة في نفسها ممّا لاريب فيها، مع أنّ الشهرة في الصدر الأوَّل بين الرواة وأصحاب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موجبة لكون الرواية ممّا يُطمأن بصدورها، بحيث يصح أن يقال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ممّا لا ريب فيها، كما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بالتعدّي منه إلى مثله ممّا يوجب الوثوق والاطمئنان بالصدور، لا إلى كلِّ مزيةٍ ولو لم يوجب إلّا أقربيّة ذي المزية إلى الواقع من المعارض الفاقد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الثّالث فلاحتمال أن يكون الرشد في نفس المخالفة لحسنها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أنّه لغلبة الحقّ في طرف الخبر المخالف، فلا شبهة في حصول الوثوق بأنَّ الخبر الموافق المعارَض بالمخالف لا يخلو من الخلل صدوراً أو جهةً، ولا بأس بالتعدّي منه إلى مثله</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جواب الدّليل الرّابع فإنّ المعلوم هو تباني العقلاء على إسقاط حجّيّة الخبرين المتعارضين معاً، مع قطع النظر عن أقربيّة أحدهما إلى الواقع، وما يظهر من عمل العقلاء بما هو أقرب للواقع فهو من باب تحرّي الواقع، لا من باب المعذّريّة والمنجّزيّة، فتأمّل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دعوى الإجماع من قبل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سيرتهم على ترجيح الأقرب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فغير مسلّمة، لعدم وجود دليلٍ يدلّ على أنّه لم يكن اجتهاداً من المذكورين أو استحساناً شخصيّاً، وكيفما كان فهو لا يكشف عن 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وأمّا الإجماع المدّعى من أمثال صاحب المفاتيح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منقوض بمخالفة مثل المحقّق القمي، والشيخ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الكافي، وصاحب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والأخباريين كلّهم، كما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الإجماع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مدركيٌّ، لا يكشف عن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حسّاً ولا حدساً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مقتضى القاعدة الأوّليّة في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ذهب إليه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التساقط ولا يخرج عن هذه القاعدة إلّا بمقتضى ما دلّت عليه الأخبار العلاجيّة، وهي لم تدلّ إلّا على الترجيح بالمرجّحات المنصوصة، وعليه فلا مجال للخروج عن القاعدة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مع وجود مرجّحات غير 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هنالك أخبار استفاضت بل تواترت في عدم التساقط، غير أنّ آراء الفقهاء اختلفت في استفادة نوع الحكم منها، لاختلافها على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في الأخذ بأحدهما، وهو مختار المشهور بل نُقل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بما يرجع إلى الاحتياط في العمل، ولو كان الاحتياط مخالفاً لهما كالجمع بين القصر والإتمام في مورد تعارض الأدلّة بالنسبة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كان التوقّف راجعاً إلى الاحتياط، لأنّ التوقّف يراد منه التوقّف في الفتوى على طبق أحدهما، وهذا يستلزم الاحتياط في العمل، كما في المورد الفاقد للنصّ مع العلم الإجمالي بالحكم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الأخذ بما طابق منهما الاحتياط، فإن لم يكن فيهما ما يطابق </w:t>
      </w:r>
    </w:p>
    <w:p>
      <w:pPr>
        <w:pStyle w:val="BookText"/>
        <w:rPr/>
      </w:pPr>
      <w:r>
        <w:rPr>
          <w:rFonts w:ascii="Amiri" w:hAnsi="Amiri" w:eastAsia="Amiri" w:cs="Amiri"/>
          <w:color w:val="111111"/>
          <w:sz w:val="28"/>
          <w:sz w:val="28"/>
          <w:szCs w:val="28"/>
          <w:rtl w:val="true"/>
          <w:lang w:bidi="ar-SA"/>
        </w:rPr>
        <w:t>الاحتياط تخيّر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وللنظر في هذه الأخبار لاستظهار الأصحّ من الأقوال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اتّضحت هاتان المقدّمتان، فاعلم أنّه قد وقع الخلاف في أنّ هذه المرجّحات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الصدوريّة والجهتيّة والمضمونيّة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مترتّبة عند التعارض بينها، أم أنّها في عرض واحد؟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مترتّبة، وفيه أقوال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المرجّح الجهتي مقدّم على سائر المرجّحات، فالمخالف للعامّة أولى بالتقديم من الموافق لهم وإن كان مشهوراً، وهو ما نسبه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،ولمنْ عبَّر عنه ببعض أعاظم المعاصرين، ويعني به المحقّق الرشتي صاحب البدائع، ووصفه بالمبالغة فيه،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وانقدح بذلك أنّ حال المرجّح الجهتي حال سائر المرجّحات في أنّه لا بُدّ في صورة مزاحمته مع بعضها من ملاحظة أنّ أيّهما فعلاً موجب للظنّ بصدق ذيه بمضمونه، أو الأقربيّة كذلك إلى الواقع، فيوجب ترجيحه وطرح الآخر، أو أنّه لا مزيّة لأحدهما على الآخر، كما إذا كان الخبر الموافق للتقية بما له من المزيّة مساوياً للخبر المخالف لها بحسب المناطين، فلا بُدّ حينئذٍ من التخيير بين الخبرين، فلا وجه لتقديمه على غيره، كما عن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وبالغ فيه بعض أعاظم المعاصرين أعلى الله درجته</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المرجّح المضموني مقدّم على المرجّح الصدوري، والمرجّح الصدوري مقدّم على المرجّح الجهتي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ذهب إليه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الترتيب وفق الوارد في روايات الترجيح، بأن يقدّم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حسبما يظهر من 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فإن تساويا في الشهرة قُدّم الموافق للكتاب والسُنّة، فإن تساويا في ذلك قدّم ما يخالف العامّة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المرجّح الصدوري على المرجح الجهتي، وتقديم المرجّح الجهتي على المضموني، فيقدّم المشهور الموافق للعامّة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الشاذّ المخالف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ما ذهب إليه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 على توقّف التعبّد بالمضمون على التعبّد بجهة الصدور، والأخير يتوقّف على التعبّد بالصدور، والمتوقَّف عليه يقدّم على المتوقِّف،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التعبّد بجهة الصدور فرع التعبّد بالصدور والظهور، كما أنّ التعبّد بكون المضمون تمام المراد فرع التعبّد بجهة الصدور، بداهة أنّه لا بُدَّ من فرض صدور الخبر لبيان حكم الله الواقعي حتّى يتعبّد بكون مضمونه تمام المراد، لا جزءه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لا إشكال في أنّ التعبّد بجهة الصدور يتوقّف على التعبّد بالصدور، والتعبّد بالمضمون يتوقّف على التعبّد بجهة الصدور، ولازم ذلك هو تقديم المرجّح الصدوري على المرجّح الجهتي عند التعارض بينهما، كما هو ظاهر أدلّة الترجيح</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الترتيب أصلاً، وأنّها جميعاً في عرض واحد، فلو كان أحد الخبرين المتعارضين واجداً لبعض المرجّحات المنصوصة، والخبر الآخر واجداً لبعضٍ آخر وقع التزاحم بينهما، فيقدّم الأقوى مناطاً، فإن لم يكن أحدهما أقوى مناطاً تُخُيّر بينهما، وهو ما ذهب إليه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إنّه لا وجه لمراعاة الترتيب بين المرجّحات لو قيل بالتعدّي، وإناطة الترجيح بالظنّ، أو بالأقربيّة إلى الواقع ضرورة أنّ </w:t>
      </w:r>
    </w:p>
    <w:p>
      <w:pPr>
        <w:pStyle w:val="BookText"/>
        <w:rPr/>
      </w:pPr>
      <w:r>
        <w:rPr>
          <w:rFonts w:ascii="Amiri" w:hAnsi="Amiri" w:eastAsia="Amiri" w:cs="Amiri"/>
          <w:color w:val="111111"/>
          <w:sz w:val="28"/>
          <w:sz w:val="28"/>
          <w:szCs w:val="28"/>
          <w:rtl w:val="true"/>
          <w:lang w:bidi="ar-SA"/>
        </w:rPr>
        <w:t>قضية ذلك تقديم الخبر الذي ظُنّ صدقه، أو كان أقرب إلى الواقع منهما، والتخيير بينهما إذا تساويا، فلا وجه لإتعاب النفس في بيان أنّ أيّهما يقدّم أو يؤخّر إلّا تعيين أنّ أيّهما يكون فيه المناط في صورة مزاحمة بعضها مع الآخر</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بُدّ من التنبيه على أنّ للقول بالتعدّي عن المرجّحات المنصوصة وعدمه أثراً في هذه الأقوال؛ إذ إنّ كلّا ً من القول الأوّل والثاني والرابع مبتنٍ على القول بوجوب الاقتصار على المرجّحات المنصوصة، لذلك ترى العلّامة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فصَّل اعتماداً على ذلك، فذهب إلى أنّ مقتضى البناء على القول بوجوب الاقتصار على المرجّحات المنصوصة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يُرجع إلى مدى دلالة أخبار الباب، وإلى ما ينبغي من الجمع بينها من الجمع العرفي فيما اختلفت فيه</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مقتضى البناء على القول بالتعدّي إلى غير المرجّحات المنصوصة،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قاعدة هناك تقتضي تقدّم أحد المرجحات على الآخر، ما عدا الشهرة التي دلّت المقبولة على تقديمها، وما عدا ذلك فالمُقدّم هو الأقوى مناطاً، أي ما هو الأقرب إلى الواقع في نظر المجتهد، فإن لم يحصل التفاضل من هذه الجهة فالقاعدة هي التساقط لا التخيير، ومع التساقط يرجع إلى الأصول العملية التي يقتضيها المورد</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ولكلِّ قولٍ من هذه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عرضنا أهمّها، وهناك غيرها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أدلّته الخاصّة، التي يخرجنا ذكرها، ومناقشتها، وبيان ما هو الصحيح منها، عن المقصود من إعداد هذه الرسالة</w:t>
      </w:r>
      <w:r>
        <w:rPr>
          <w:rFonts w:eastAsia="Amiri" w:cs="Amiri" w:ascii="Amiri" w:hAnsi="Amiri"/>
          <w:color w:val="111111"/>
          <w:sz w:val="28"/>
          <w:szCs w:val="28"/>
          <w:rtl w:val="true"/>
          <w:lang w:bidi="ar-SA"/>
        </w:rPr>
        <w:t xml:space="preserve">. </w:t>
      </w:r>
      <w:bookmarkStart w:id="408" w:name="pg10913_110891"/>
    </w:p>
    <w:p>
      <w:pPr>
        <w:pStyle w:val="Heading3"/>
        <w:numPr>
          <w:ilvl w:val="2"/>
          <w:numId w:val="1"/>
        </w:numPr>
        <w:rPr/>
      </w:pPr>
      <w:bookmarkStart w:id="409" w:name="__RefHeading___Toc3056736_2870459653"/>
      <w:bookmarkStart w:id="410" w:name="_Toc159"/>
      <w:bookmarkEnd w:id="408"/>
      <w:bookmarkEnd w:id="409"/>
      <w:r>
        <w:rPr>
          <w:rtl w:val="true"/>
        </w:rPr>
        <w:t>المستوى الثّالث</w:t>
      </w:r>
      <w:r>
        <w:rPr>
          <w:rtl w:val="true"/>
        </w:rPr>
        <w:t xml:space="preserve">: </w:t>
      </w:r>
      <w:r>
        <w:rPr>
          <w:rtl w:val="true"/>
        </w:rPr>
        <w:t>في كون الشّهرة جابرةً للضعف السّندي أم لا</w:t>
      </w:r>
      <w:bookmarkEnd w:id="410"/>
    </w:p>
    <w:p>
      <w:pPr>
        <w:pStyle w:val="BookText"/>
        <w:rPr/>
      </w:pPr>
      <w:r>
        <w:rPr>
          <w:rFonts w:ascii="Amiri" w:hAnsi="Amiri" w:eastAsia="Amiri" w:cs="Amiri"/>
          <w:color w:val="111111"/>
          <w:sz w:val="28"/>
          <w:sz w:val="28"/>
          <w:szCs w:val="28"/>
          <w:rtl w:val="true"/>
          <w:lang w:bidi="ar-SA"/>
        </w:rPr>
        <w:t>في كون الشّهرة جابرةً للضعف السّندي</w:t>
      </w:r>
      <w:r>
        <w:rPr>
          <w:rStyle w:val="FootnoteAnchor"/>
          <w:rtl w:val="true"/>
        </w:rPr>
        <w:footnoteReference w:id="609"/>
      </w:r>
      <w:r>
        <w:rPr>
          <w:rFonts w:ascii="IRNazanin" w:hAnsi="IRNazanin" w:eastAsia="IRNazanin"/>
          <w:color w:val="111111"/>
          <w:sz w:val="28"/>
          <w:sz w:val="28"/>
          <w:szCs w:val="28"/>
          <w:rtl w:val="true"/>
          <w:lang w:bidi="fa-IR"/>
        </w:rPr>
        <w:t>أم لا</w:t>
      </w:r>
    </w:p>
    <w:p>
      <w:pPr>
        <w:pStyle w:val="BookText"/>
        <w:rPr/>
      </w:pPr>
      <w:r>
        <w:rPr>
          <w:rFonts w:ascii="Amiri" w:hAnsi="Amiri" w:eastAsia="Amiri" w:cs="Amiri"/>
          <w:color w:val="111111"/>
          <w:sz w:val="28"/>
          <w:sz w:val="28"/>
          <w:szCs w:val="28"/>
          <w:rtl w:val="true"/>
          <w:lang w:bidi="ar-SA"/>
        </w:rPr>
        <w:t>أمّا بالنسبة للشهرة الروائيّة فمجرّد كون الخبر مشهوراً بالشهرة الروائيّة</w:t>
      </w:r>
      <w:r>
        <w:rPr>
          <w:rStyle w:val="FootnoteAnchor"/>
          <w:rtl w:val="true"/>
        </w:rPr>
        <w:footnoteReference w:id="610"/>
      </w:r>
      <w:r>
        <w:rPr>
          <w:rFonts w:ascii="Amiri" w:hAnsi="Amiri" w:eastAsia="Amiri" w:cs="Amiri"/>
          <w:color w:val="111111"/>
          <w:sz w:val="28"/>
          <w:sz w:val="28"/>
          <w:szCs w:val="28"/>
          <w:rtl w:val="true"/>
          <w:lang w:bidi="ar-SA"/>
        </w:rPr>
        <w:t xml:space="preserve">لا عبرة به في جبر الضعف السندي؛ إذ إنّ الشهرة الروائيّة أعمُّ من الصحّة، لذلك تراهم يعدُّون المشهور بمجرد الشهرة الروائية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دون شهرة 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 أقسام الخبر الضعيف، كما صنع ذلك الشهيد الثاني في درايته،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ما يختصّ بالضعيف، وهو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ثامنها المشهور</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لا مانع من ذلك إذا انضمَّ إليها اعتماد المشهور وعمَلُهم بأنْ تكون مشهورةً بالشهرة العمليّة أيضاً بعد أنْ بيَّنا فيما سبق أنّ النسبة بينهما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المحقّق النائيني وجهاً آخر يوجِب كون الشهرة الروائيّة مُدخِلةً للخبر الضعيف غير الموثوق بصدورهِ في نفسه في الخبر الموثوق بصدوره، فيكون حجةً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كثرة رواية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لروايةٍ معينة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في سندها منْ </w:t>
      </w:r>
    </w:p>
    <w:p>
      <w:pPr>
        <w:pStyle w:val="BookText"/>
        <w:rPr/>
      </w:pPr>
      <w:r>
        <w:rPr>
          <w:rFonts w:ascii="Amiri" w:hAnsi="Amiri" w:eastAsia="Amiri" w:cs="Amiri"/>
          <w:color w:val="111111"/>
          <w:sz w:val="28"/>
          <w:sz w:val="28"/>
          <w:szCs w:val="28"/>
          <w:rtl w:val="true"/>
          <w:lang w:bidi="ar-SA"/>
        </w:rPr>
        <w:t xml:space="preserve">لا يوثَق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توجِب الظنّ الاطمئناني باحتفافها بقرينةٍ أوجبتْ اشتهارها بين الأصحاب؛ لقُرْب عهدهم من زمان صدورها، فيكشف ذلك عن تثبتهم فيها، ووقوفهم على ما يوجِب اطمئنان النفس بصدورها، لذلك اشترط في الشهرة الجابرة كونها بين قدماء الأصحاب</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الشهرة العمليّة فترى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يجزم باستحالة إحرازها مطلقاً؛ لأنّها إنّما تكون في عصر الحضور أو ما قاربَهُ قبل تأليف كتب الفتوى، فالذي لنا إليه سبيل هو الشهرة الفتوائيّة</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يُفصِّل بين ما كانت الشهرة عمليَّة استناديّة بين القدماء فيشملها دليل الحجيّة؛ فهي وإنْ كانت ضعيفةً في نفسها إلّا أنّها تكشف بحسب العادة عن اطّلاعهم على قرائن فيها أوجبتْ اطمئنانهم بصدورها حتى صارت مَدرَكاً لفتواهم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ما كانت بين المتأخّرين البعيد عصرهم عن عصر الصدور فلا توجِب دخول الرواية فيما يوثَق بصدورهِ حتى يشملها دليل الحجّيّة؛ وذلك لِبُعْدِ اطلاعهم عادةً على قرائن موجبة للاطمئنان بالصدور، وإنْ كانوا بحسب النظر أدقَّ من القدماء خصوصاً الطبقة الوسطى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،فغاية ما يحصل من الشهرة هو الظنّ بمطابقة مضمون الرواية للحكم الواقعي، في حين أنّ موضوع دليل الحجّيّة هو الوثوق بصدور الرواية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ألحقَ بالأخيرة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الحجّيّة الشهرةَ الفتوائيّة المطابقيّة أيضاً ولو كانت من القدماء؛ لنفس السبب المتقدِّم</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فينحصر البحث في جابريّة الشهرة للضعف السندي في الشهرة الفتوائيّة التي تقدَّم منّا بيان معناها وهو اشتهار الفتوى بين أرباب الفتاوى من قدماء الأصحاب، الذين يقرب عصرهم من عصر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ذهب مشهور المتأخرين إلى أنّها جابرة للضعف السندي، بحيث أصبحوا يُعبِّرون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أحياناً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بالقاعدة، وقد اشترطوا في الشهرة لتكون جابرةً شرطين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الشهرة واقعة بين قدماء الأصحاب الذين يقرب عصرهم من عصر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استناد الفقهاء للخبر في مقام الإفتاء؛ إذ إنّ العمل بالخبر الضعيف أعمّ من أن يكون مستنده شهرة هذا الخبر، بل يمكن أن يكون مستندهم في ذلك خبر آخر ليس بضعيف، أو كانوا مستندين إلى أصلٍ عملي أو عقلائي، أو أنّهم يفتون بإفتاء دون التصريح بمنشئه، أو لم تكن لهم فتوى منافية لمضمون الخبر الضعيف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أشار إلى هذين الشرطين المحقّق النائيني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الترجيح والجبر يتوقّف على الاستناد والاعتماد إلى الرواية، ولا يكفي في ذلك مجرّد مطابقة الفتوى لمضمون الرواية، كما لا يكفي في الترجيح والجبر عمل المتأخّرين بالرواية واستنادهم إليها، فإنَّ العبرة على عمل المتقدّمين من الأصحاب بالرواية لقُرْب زمانهم بزمان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،ومعرفتهم بحال الرواة، وتشخيصهم غثَّ الرواية عن سمينها، فلا أثر لشهرة المتأخّرين واستنادهم إلى الرواية ما لم تتصل بشهرة المتقدّمين</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أضاف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آخر وهو أن يكون ضعف السند واضحاً جليّاً،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مورد الجبر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ضعف السند واضحاً جليّاً، </w:t>
      </w:r>
    </w:p>
    <w:p>
      <w:pPr>
        <w:pStyle w:val="BookText"/>
        <w:rPr/>
      </w:pPr>
      <w:r>
        <w:rPr>
          <w:rFonts w:ascii="Amiri" w:hAnsi="Amiri" w:eastAsia="Amiri" w:cs="Amiri"/>
          <w:color w:val="111111"/>
          <w:sz w:val="28"/>
          <w:sz w:val="28"/>
          <w:szCs w:val="28"/>
          <w:rtl w:val="true"/>
          <w:lang w:bidi="ar-SA"/>
        </w:rPr>
        <w:t>ومع ذلك اعتمد الأصحاب على الرواية وعملوا بها وأفتوا بمضمونها، فإنّه قد يقال في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 المشهور بالرواية الضعيفة يكشف إمّا عن ورود تلك الرواية بطريقٍ آخر معتبرٍ لم يصل إلينا، أو أنّه قد توفّرت الشواهد المورثة للاطمئنان عادةً بصدور الرواية عن المعصوم؛ إذ لو لم يكن كذلك لما ذهب الأصحاب كلّهم أو جلُّهم إلى العمل بها مع اختلاف مشاربهم ومسالكهم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والملاحظ أنَّ هذا كلام لا يتمُّ فيما إذا احتُمل أنْ يكون منشأ الاعتماد على الرواية هو الاعتقاد بأنّ الراوي الفلاني المذكور في السند متحدٌ مع راوٍ متفق على وثاقته، ولكنْ لم يثبت عندنا الاتحاد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خصوص سويد القلاء وسويد بن مسلم القلاء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ثبت الاختلاف بينهما، ولذلك كانت الرواية عندنا ضعيفة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إذا احتُمل أنْ يكون منشأ اعتمادهم على الرواية هو اعتقادهم بالاتّحاد لا يحرز وجود طريق آخر للرواية خالٍ من الخدش، ولا توفّر شواهد تورث الاطمئنان بصدور الرواية عادة بالرغم من ضعف سندها، فلا يصحُّ القول في مثلِه بأنَّ عمل الأصحاب يوجب جبْر ضعف السند، كما لعلَّه واضح</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استدلَّ المشهور على ما ذهبوا إليه من جابريّة الشهرة للضعف السندي بوجوه، يمكن أن يكون عمدتها أنّ موضوع حجّيّة خبر الواحد هو الخبر الموثوق، بقطع النظر عن منشأ الوثوق، فقد يكون منشؤه وثاقة الراوي كما في الصحيح، وقد يكون منشؤه استناد مشهور الفقهاء من قدماء الطائفة إليه، كما في اشتهار العمل بالخبر وإنْ كان ضعيفاً، فوثاقة الراوي ليست هي المناط الوحيد في تنقيح موضع الحجّيّة لخبر الواحد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أن يَرِد على رأي المشهور إشكال صغرويٌّ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تماميّة دعوى الانجبار منوطة بإحراز استناد مشهور القدماء للخبر الضعيف في مقام العمل، ودون ذلك خرط القتاد؛ وذلك لأنّه ليس للمشهور كتب استدلاليّة يمكن التعرّف بواسطتها على ما هو مستندهم في هذه الفتوى أو تلك، وهل أنّ مستند هذه الفتوى المطابقة لمؤدّى الخبر الضعيف هو نفس الخبر، أو أنّ المستند لذلك هو دليل آخر؟ وبهذا لو سلّمنا بتماميّة كبرى الانجبار فإنّه لا ثمرة مترتّبة عليها بعد أن لم يكن إحراز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الاستناد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ميسوراً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عن ذلك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الأمر ليس بتلك المثابة من الإشكال، فإنّه إذا توافقت شهرة المتأخّرين مع شهرة المتقدّمين على الفتوى بمضمون الرواية، وكانت الفتوى على خلاف ما تقتضيه القاعدة، ولم يكن فيما بأيدينا ما يصلح لأنْ يكون مستنداً لفتوى المتقدّمين إلّا ما استند إليه المتأخّرون من الرواية، فيكشف ذلك كشفاً عادياً على أنّ مستند المتقدّمين هو تلك الرواية، فإنّ احتمال أن يكون للمتقدّمين مستند آخر غير ما استند إليه المتأخّرون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خفي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ينبغي احتماله، فإنَّ اتصال المتأخّرين بالمتقدّمين مع انحصار المستند عند المتأخّرين بما بأيدينا من الرواية يمنع عن احتمال اختلاف مستند المتقدّمين لمستند المتأخّرين، بل لو ادَّعى أحد القطع باتحاد المستند لم يكن في دعواه مجازفاً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كانت شهرة المتأخّرين على طبق ما تقتضيه القاعدة وإن استندوا إلى الرواية أيضاً، فلا مجال لاستكشاف كون مستند المتقدّمين تلك الرواية؛ لأنّه يحتمل قريباً أن يكون مستند المتقدّمين في الفتوى هو ما اقتضته القاعدة لا الرواية، فلا أثر لشهرة المتأخّرين واستنادهم إلى 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لا أثر لشهرة المتأخّرين والمتقدّمين لو فرض أنّه لم يكن فيما بأيدينا من الكتب ما يصلح أن يكون مستنداً لفتواهم ولو كانت الفتوى على خلاف القاعدة، فإنّ أقصى ما يستفاد من اشتهار الفتوى بين المتأخّرين والمتقدّمين هو استنادهم في الفتوى إلى ما يكون حجّة عندهم؛ لأنّ عدالتهم تأبى عن الفتوى بلا مستند، ولكنَّ مجرّد ذلك لا يقتضي وجوب موافقتهم في الفتوى؛ لعدم العلم بالمستند وكيفيّة دلالته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توافقت شهرة المتأخّرين وشهرة المتقدّمين في الفتوى على خلاف ما تقتضيه القاعدة، وكان فيما بأيدينا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تكن من الكتب المعتبرة كدعائم الإسلام والأشعثيّات والفقه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على فتوى المشهور، فهذه الشهرة تكون مرجّحة للرواية إذا كانت معارضةً مع غيرها، وجابرةً لضعف سندها ولو مع عدم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خالفتْ شهرة المتأخّرين مع شهرة المتقدّمين في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اتّفق ذلك في عدّة مواضع، منها جواز الصلاة في السنجاب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فالعبرة إنّما تكون بشهرة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ظهر وجه الحاجة إلى تحصيل شهرة المتقدّمين على الفتوى، فتأمّل جيّداً</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مقابل ما ذهب إليه المشهور ذهب جماعة إلى منع كون الشهرة جابرةً للضعف السندي، منهم الشهيد الثاني والسيّد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 حيث قال الأوّل في معرض مناقشته للمُجوِّزين للعمل بالضعيف مع اعتضاده بالشهرة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نمنع من كون هذه الشهرة التي ادَّعوها مؤثّرةً في جبر الخبر الضعيف؛ فإنَّ هذا إنّما يتمُّ لو كانت الشهرة متحقّقة قبل زمن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والأمر ليس كذلك، فإنَّ مَنْ قبلَه من العلماء كانوا بين </w:t>
      </w:r>
    </w:p>
    <w:p>
      <w:pPr>
        <w:pStyle w:val="BookText"/>
        <w:rPr/>
      </w:pPr>
      <w:r>
        <w:rPr>
          <w:rFonts w:ascii="Amiri" w:hAnsi="Amiri" w:eastAsia="Amiri" w:cs="Amiri"/>
          <w:color w:val="111111"/>
          <w:sz w:val="28"/>
          <w:sz w:val="28"/>
          <w:szCs w:val="28"/>
          <w:rtl w:val="true"/>
          <w:lang w:bidi="ar-SA"/>
        </w:rPr>
        <w:t xml:space="preserve">مانعٍ من خبر الواحد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كالسيّد المرتضى والأكثر، على ما نقله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جامعٍ للأحاديث من غير التفاتٍ لتصحيح ما يصحُّ وردِّ ما يُرَد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البحث عن الفتوى مجرّدةً لغير الفريقين قليلاً جداً، كما لا يخفى على مَنْ اطّلع على 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فالعمل بمضمون الخبر الضعيف قبل زمن الشيخ على وجهٍ يجبر ضعفه، ليس بمتحقّق، ولمّا عمل الشيخ بمضمونه في كتبه الفقهيّة جاء من بعده من العلماء واتَّبعهُ منهم عليها الأكثر تقليداً له، إلّا منْ شذَّ منهم، ولم يكن فيهم منْ يسبر الأحاديث وينقّب عن الأدّلة بنفسه سوى الشيخ المحقّق ابن إدريس، وقد كان لا يُجيز العمل بخبر الواحد مطلقاً</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وتبنّى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الصغروي المتقدِّم على إحراز استناد مشهور القدماء للخبر الضعيف في مقام العمل، ممّا يعني منْعَهُ من كون الشهرة جابرةً للضعف السندي</w:t>
      </w:r>
      <w:r>
        <w:rPr>
          <w:rFonts w:eastAsia="Amiri" w:cs="Amiri" w:ascii="Amiri" w:hAnsi="Amiri"/>
          <w:color w:val="111111"/>
          <w:sz w:val="28"/>
          <w:szCs w:val="28"/>
          <w:rtl w:val="true"/>
          <w:lang w:bidi="ar-SA"/>
        </w:rPr>
        <w:t xml:space="preserve">. </w:t>
      </w:r>
      <w:bookmarkStart w:id="411" w:name="pg10913_110905"/>
    </w:p>
    <w:p>
      <w:pPr>
        <w:pStyle w:val="Heading3"/>
        <w:numPr>
          <w:ilvl w:val="2"/>
          <w:numId w:val="1"/>
        </w:numPr>
        <w:rPr/>
      </w:pPr>
      <w:bookmarkStart w:id="412" w:name="__RefHeading___Toc3056738_2870459653"/>
      <w:bookmarkStart w:id="413" w:name="_Toc160"/>
      <w:bookmarkEnd w:id="411"/>
      <w:bookmarkEnd w:id="412"/>
      <w:r>
        <w:rPr>
          <w:rtl w:val="true"/>
        </w:rPr>
        <w:t>تنبيهان</w:t>
      </w:r>
      <w:bookmarkEnd w:id="413"/>
    </w:p>
    <w:p>
      <w:pPr>
        <w:pStyle w:val="Heading4"/>
        <w:numPr>
          <w:ilvl w:val="3"/>
          <w:numId w:val="1"/>
        </w:numPr>
        <w:rPr/>
      </w:pPr>
      <w:bookmarkStart w:id="414" w:name="__RefHeading___Toc3056740_2870459653"/>
      <w:bookmarkStart w:id="415" w:name="_Toc161"/>
      <w:bookmarkEnd w:id="414"/>
      <w:r>
        <w:rPr>
          <w:rtl w:val="true"/>
        </w:rPr>
        <w:t>التنبيه الأوّل</w:t>
      </w:r>
      <w:bookmarkEnd w:id="415"/>
    </w:p>
    <w:p>
      <w:pPr>
        <w:pStyle w:val="BookText"/>
        <w:rPr/>
      </w:pPr>
      <w:r>
        <w:rPr>
          <w:rFonts w:ascii="Amiri" w:hAnsi="Amiri" w:eastAsia="Amiri" w:cs="Amiri"/>
          <w:color w:val="111111"/>
          <w:sz w:val="28"/>
          <w:sz w:val="28"/>
          <w:szCs w:val="28"/>
          <w:rtl w:val="true"/>
          <w:lang w:bidi="ar-SA"/>
        </w:rPr>
        <w:t>قد تقدَّم أنّه بناءً على أنَّ المناط في حجّيّة الخبر هو الوثوق بصدوره، فإنّ العمل بالخبر عند المشهور من القدماء ممّا يوجِب الوثوق بصدوره، يكون جابراً لضعفه السندي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فكذلك العكس، فالمشهور أنّ إعراض الأصحاب عن الخبر يوجِب وهْنَه، وإن كان قوي السند، وراويه ثقة، بل كلّما قَوِيَ سند الخبر فأعرض عنه الأصحاب كان ذلك أكثر دلالةً على وهْنِه، قال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في كون الشهرة الفتوائيّة على خلاف مضمون الرواية تكون موهنةً لها على كلِّ حال؛ لأنّ إعراض الأصحاب عن الرواية أقوى موهنٍ لها</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موهنة لها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إذ لا بدَّ من تقييده بما لم يعمل به المشهور حال كونه بمرأىً منهم ومسمع، وأمّا الذي احتُمل عدم اطلاعهم عليه فهو خارج عن محلّ الكلام، ولا يبعد جواز العمل به مع كونه صحيحاً في نفسه؛ إذ لا يصدق عليه أنّه مُعرَض عنه من قِبل المشهور؛ لأنّ الإعراض فرع الاطّلاع، ويساعد عليه ما ذكره صاحب الكفاية من أنَّ العبرة في الوهن إنّما هو الخروج بالمخالفة من تحت دليل الحجّيّة، فلا يبعد عدم وهن السند بالظنّ بعدم صدوره، وكذا عدم وهن دلالته مع ظهوره، إلّا فيما كشف بنحوٍ معتبر عن ثبوت خللٍ في سنده، أو وجود قرينةٍ مانعةٍ عن انعقاد ظهورهِ فيما فيه ظاهر</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bookmarkStart w:id="416" w:name="pg10913_110907"/>
    </w:p>
    <w:p>
      <w:pPr>
        <w:pStyle w:val="Heading4"/>
        <w:numPr>
          <w:ilvl w:val="3"/>
          <w:numId w:val="1"/>
        </w:numPr>
        <w:rPr/>
      </w:pPr>
      <w:bookmarkStart w:id="417" w:name="__RefHeading___Toc3056742_2870459653"/>
      <w:bookmarkStart w:id="418" w:name="_Toc162"/>
      <w:bookmarkEnd w:id="416"/>
      <w:bookmarkEnd w:id="417"/>
      <w:r>
        <w:rPr>
          <w:rtl w:val="true"/>
        </w:rPr>
        <w:t>التنبيه الثّاني</w:t>
      </w:r>
      <w:bookmarkEnd w:id="418"/>
    </w:p>
    <w:p>
      <w:pPr>
        <w:pStyle w:val="BookText"/>
        <w:rPr/>
      </w:pPr>
      <w:r>
        <w:rPr>
          <w:rFonts w:ascii="Amiri" w:hAnsi="Amiri" w:eastAsia="Amiri" w:cs="Amiri"/>
          <w:color w:val="111111"/>
          <w:sz w:val="28"/>
          <w:sz w:val="28"/>
          <w:szCs w:val="28"/>
          <w:rtl w:val="true"/>
          <w:lang w:bidi="ar-SA"/>
        </w:rPr>
        <w:t>أنَّه من المعروف عن المحقّقين من علمائنا أنّهم لا يقدمون على مخالفة المشهور إلّا مع دليلٍ قويٍ ومستندٍ جليٍ يصرفهم عن المشهور، بل ما زالوا يحرصون على موافقة المشهور، وتحصيل دليلٍ يوافقه ولو كان الدال على غيره أوْلى بالأخذ، وأقوى في نفسه، وما ذلك من جهة التقليد للأكثر، ولا من جهة قولهم بحجّيّة الشهرة، وإنّما منشأ ذلك إكبار المشهور من آراء العلماء، لاسيّما إذا كانوا من أهل التحقيق والنظر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طريقة جارية في سائر الفنون؛ فإنَّ مخالفة أكثر المحقّقين في كلِّ صناعةٍ لا تسهل إلّا مع حجّةٍ واضحةٍ وباعثٍ قوي؛ لأنّ المُنصِف قد يشكُّ في صحّة رأيه مقابل المشهور، فيُجوِّز على نفسه الخطأ، ويخشى أن يكون رأيُه عن جهلٍ مركب، لاسيّما إذا كان قول المشهور هو الموافق للاحتياط</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 والصلّاة والسّلام على خير خلقهِ محمَّدٍ وآلهِ الطيّبين الطاهرين</w:t>
      </w:r>
      <w:r>
        <w:rPr>
          <w:rFonts w:eastAsia="Amiri" w:cs="Amiri" w:ascii="Amiri" w:hAnsi="Amiri"/>
          <w:color w:val="111111"/>
          <w:sz w:val="28"/>
          <w:szCs w:val="28"/>
          <w:rtl w:val="true"/>
          <w:lang w:bidi="ar-SA"/>
        </w:rPr>
        <w:t>.</w:t>
      </w:r>
      <w:bookmarkStart w:id="419" w:name="pg10913_110909"/>
    </w:p>
    <w:p>
      <w:pPr>
        <w:pStyle w:val="Heading3"/>
        <w:numPr>
          <w:ilvl w:val="2"/>
          <w:numId w:val="1"/>
        </w:numPr>
        <w:rPr/>
      </w:pPr>
      <w:bookmarkStart w:id="420" w:name="__RefHeading___Toc3056744_2870459653"/>
      <w:bookmarkStart w:id="421" w:name="_Toc163"/>
      <w:bookmarkEnd w:id="419"/>
      <w:bookmarkEnd w:id="420"/>
      <w:r>
        <w:rPr>
          <w:rtl w:val="true"/>
        </w:rPr>
        <w:t>مصادر البحث</w:t>
      </w:r>
      <w:bookmarkEnd w:id="421"/>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أجود التقريرات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تقريراً لأبحاث الميرزا محمّد حسين الغروي النائيني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تأليف السيّد أبو القاسم الموسوي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طبعة مؤسسة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الثانية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رضا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 لأبحاث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تأليف السيد محمود الهاشمي، طبعة مركز الغدير للدراسات الإسلامية، الطبعة الثانية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أحاديث الشيعة في أحكام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إسماعيل المعزي الملايري، مطبعة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الناضرة في أحكام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الشهيد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التعارف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الرعاية في شرح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الشاميّ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عوالي اللآلئ العزيزية في الأحاديث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علي بن إبراهيم المعروف بابن أبي جمهور الأحسائي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880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سيّد الشهداء، الطبعة الأولى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الأعظم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لجنة تحقيق تراث الشيخ الأعظم، الطبعة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محمّد حسين الغروي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المحقّق الشيخ محمّد علي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التاريخ العربي، الطبعة الأولى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ﻫبيروت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قبسات من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رضا السيستاني، 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البكاء،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المؤرخ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جعفر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دار الكتب الإسلامية، الطبعة الثالثة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كاظم الآخوند الخراساني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طبعة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محمّد بن مكرم بن منظور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تقريراً لأبحاث سماحة السيّد علي الحسيني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دامة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علي الرباني، طبعة أوّلية محدودة التداول</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 في 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المكتبة الرضوية لإحياء الآثار الجعفرية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 ومستنبط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 الشيخ حسين النّوري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طبعة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مصابيح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 لأبحاث السيّد أبو القاسم الموسوي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تأليف السيّد علاء الدين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الزهراء للطباعة والنشر والتوزيع، الطبعة الثالثة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 لأبحاث السيّد أبو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تأليف السيّد محمّد سرور الواعظ الحسيني البهسودي، 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الخامسة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 وتفصيل طبقات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محمّد حسين الحجرية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الدّراية في شرح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حسين الغروي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انتشارات سيّد الشهداء، 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الوافية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التوني المولى عبد الله بن محمّد البشروي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مجمع الفكر الإسلامي،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إلى تحصيل مسائل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2" w:name="pg10913_110917"/>
      <w:bookmarkStart w:id="423" w:name="pg10913_110917"/>
      <w:bookmarkEnd w:id="423"/>
    </w:p>
    <w:p>
      <w:pPr>
        <w:pStyle w:val="Heading2"/>
        <w:numPr>
          <w:ilvl w:val="1"/>
          <w:numId w:val="1"/>
        </w:numPr>
        <w:rPr/>
      </w:pPr>
      <w:bookmarkStart w:id="424" w:name="pg10913_110917"/>
      <w:bookmarkStart w:id="425" w:name="__RefHeading___Toc3056746_2870459653"/>
      <w:bookmarkStart w:id="426" w:name="_Toc164"/>
      <w:bookmarkEnd w:id="424"/>
      <w:bookmarkEnd w:id="425"/>
      <w:r>
        <w:rPr>
          <w:rtl w:val="true"/>
        </w:rPr>
        <w:t xml:space="preserve">تصحيح الأسانيد بنظرية التّعويض </w:t>
      </w:r>
      <w:r>
        <w:rPr>
          <w:rtl w:val="true"/>
        </w:rPr>
        <w:t xml:space="preserve">- </w:t>
      </w:r>
      <w:r>
        <w:rPr>
          <w:rtl w:val="true"/>
        </w:rPr>
        <w:t xml:space="preserve">الشيخ محمّد راتب </w:t>
      </w:r>
      <w:r>
        <w:rPr>
          <w:rtl w:val="true"/>
        </w:rPr>
        <w:t>(</w:t>
      </w:r>
      <w:r>
        <w:rPr>
          <w:rtl w:val="true"/>
        </w:rPr>
        <w:t>دام عزه</w:t>
      </w:r>
      <w:r>
        <w:rPr>
          <w:rtl w:val="true"/>
        </w:rPr>
        <w:t>)</w:t>
      </w:r>
      <w:bookmarkEnd w:id="426"/>
    </w:p>
    <w:p>
      <w:pPr>
        <w:pStyle w:val="Heading3"/>
        <w:numPr>
          <w:ilvl w:val="2"/>
          <w:numId w:val="1"/>
        </w:numPr>
        <w:rPr/>
      </w:pPr>
      <w:bookmarkStart w:id="427" w:name="__RefHeading___Toc3056748_2870459653"/>
      <w:bookmarkStart w:id="428" w:name="_Toc165"/>
      <w:bookmarkEnd w:id="427"/>
      <w:r>
        <w:rPr>
          <w:rtl w:val="true"/>
        </w:rPr>
        <w:t>اشارة</w:t>
      </w:r>
      <w:bookmarkEnd w:id="428"/>
    </w:p>
    <w:p>
      <w:pPr>
        <w:pStyle w:val="BookText"/>
        <w:rPr/>
      </w:pPr>
      <w:r>
        <w:rPr>
          <w:rFonts w:ascii="IRNazanin" w:hAnsi="IRNazanin" w:eastAsia="IRNazanin"/>
          <w:color w:val="111111"/>
          <w:sz w:val="28"/>
          <w:sz w:val="28"/>
          <w:szCs w:val="28"/>
          <w:rtl w:val="true"/>
          <w:lang w:bidi="fa-IR"/>
        </w:rPr>
        <w:t xml:space="preserve">دراسة في نظرية التعويض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متابعة بداياتها وإرهاصاتها في كلمات 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تبلورت بهذا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جمع لشتات ما ذكره الأعلام وتبويبها وعرضها ومحاولة تقعيدها بشكل ينتفع به مريدو العلم وبغاته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وسيظهر من خلال البحث أنّها صحيحة في الجملة ويمكن الاستفادة منها في تصحيح الأسانيد كما بنى على ذلك جماعة من الأعلام</w:t>
      </w:r>
      <w:r>
        <w:rPr>
          <w:rFonts w:eastAsia="Amiri" w:cs="Amiri" w:ascii="Amiri" w:hAnsi="Amiri"/>
          <w:color w:val="111111"/>
          <w:sz w:val="28"/>
          <w:szCs w:val="28"/>
          <w:rtl w:val="true"/>
          <w:lang w:bidi="ar-SA"/>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9" w:name="pg10913_110921"/>
      <w:bookmarkStart w:id="430" w:name="pg10913_110921"/>
      <w:bookmarkEnd w:id="430"/>
    </w:p>
    <w:p>
      <w:pPr>
        <w:pStyle w:val="BookText"/>
        <w:rPr/>
      </w:pPr>
      <w:bookmarkStart w:id="431" w:name="pg10913_110921"/>
      <w:bookmarkEnd w:id="431"/>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سيِّدنا محمّد وآله الطَّيِّبين الطَّاهرين، اللهم عليك توكَّلتُ وبك استعنت وإليك أنيب</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3056750_2870459653"/>
      <w:bookmarkStart w:id="433" w:name="_Toc166"/>
      <w:bookmarkEnd w:id="432"/>
      <w:r>
        <w:rPr>
          <w:rtl w:val="true"/>
        </w:rPr>
        <w:t>تمهيد</w:t>
      </w:r>
      <w:bookmarkEnd w:id="433"/>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أهمّ مصدر للتشريع في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الروايات الواردة عنهم والتي تمثّلت في الأصول الأربعمائة، ثمّ في المجاميع الحديثيّة التي ضمّت بين دفتيها جلّ ما احتوته تلك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ولبعد العهد عن مصدر التشريع غابت أكثر القرائن التي توجب الأخذ بالروايات ممّا يؤثّر في دائرة الروايات التي يمكن الاستفادة منها في مقام الاستنباط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وبغضّ النظر عن الظروف التي تعرّضت لها مصادرنا الحديثيّة عبر التاريخ فقد كاد يتمثّل تراثنا الحديثيّ في الكتب الأربعة، ولكن أسلوب هذه الكتب متفاوت حيث التزم في الكافي بذكر السند كاملاً بخلاف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الفقيه حيث التزم بحذف الأسانيد معلِّلاً ذلك بأن لا تكثر طرقه</w:t>
      </w:r>
      <w:r>
        <w:rPr>
          <w:rStyle w:val="FootnoteAnchor"/>
          <w:rtl w:val="true"/>
        </w:rPr>
        <w:footnoteReference w:id="622"/>
      </w:r>
      <w:r>
        <w:rPr>
          <w:rFonts w:ascii="Amiri" w:hAnsi="Amiri" w:eastAsia="Amiri" w:cs="Amiri"/>
          <w:color w:val="111111"/>
          <w:sz w:val="28"/>
          <w:sz w:val="28"/>
          <w:szCs w:val="28"/>
          <w:rtl w:val="true"/>
          <w:lang w:bidi="ar-SA"/>
        </w:rPr>
        <w:t>وذكر في آخر الكتاب أغلب طرقه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التهذيبين فكثرت ظاهرة الإرسال، حيث إنّه لم يذكر كثيراً من الطرق في المشيخة وربّما ذكر طريقاً ضعيفاً، وفي إثر ذلك جرت </w:t>
      </w:r>
      <w:bookmarkStart w:id="434" w:name="pg10913_110923"/>
    </w:p>
    <w:p>
      <w:pPr>
        <w:pStyle w:val="BookText"/>
        <w:rPr/>
      </w:pPr>
      <w:bookmarkEnd w:id="434"/>
      <w:r>
        <w:rPr>
          <w:rFonts w:ascii="Amiri" w:hAnsi="Amiri" w:eastAsia="Amiri" w:cs="Amiri"/>
          <w:color w:val="111111"/>
          <w:sz w:val="28"/>
          <w:sz w:val="28"/>
          <w:szCs w:val="28"/>
          <w:rtl w:val="true"/>
          <w:lang w:bidi="ar-SA"/>
        </w:rPr>
        <w:t>محاولات للخروج عن ظاهرة هذه المراسيل بالتعويض عن طريق الاستعانة بطرق الشيخ في فهرسته، ولكن مع ذلك بقيت الكثير من الروايات 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وأيّاً كان فلو تمّت محاولة تعويض الطرق بالرجوع إلى الكتب والفهارس وتركيب الأسانيد لخرج قسم كبير من الروايات من حيّز الإهمال إلى حيّز الاستفادة في مقام الاستنباط، بل تظهر فائدة التعويض حتّى في الروايات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يتمّ الحصول على طريق أصحّ، ممّا قد يؤثّر في الاستنباط في مقام التعارض والترجيح</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3056752_2870459653"/>
      <w:bookmarkStart w:id="436" w:name="_Toc167"/>
      <w:bookmarkEnd w:id="435"/>
      <w:r>
        <w:rPr>
          <w:rtl w:val="true"/>
        </w:rPr>
        <w:t>تعريف مفردات البحث لغةً واصطلاحاً</w:t>
      </w:r>
      <w:bookmarkEnd w:id="436"/>
    </w:p>
    <w:p>
      <w:pPr>
        <w:pStyle w:val="Heading4"/>
        <w:numPr>
          <w:ilvl w:val="3"/>
          <w:numId w:val="1"/>
        </w:numPr>
        <w:rPr/>
      </w:pPr>
      <w:bookmarkStart w:id="437" w:name="__RefHeading___Toc3056754_2870459653"/>
      <w:bookmarkStart w:id="438" w:name="_Toc168"/>
      <w:bookmarkEnd w:id="437"/>
      <w:r>
        <w:rPr>
          <w:rtl w:val="true"/>
        </w:rPr>
        <w:t>أ</w:t>
      </w:r>
      <w:r>
        <w:rPr>
          <w:rtl w:val="true"/>
        </w:rPr>
        <w:t xml:space="preserve">. </w:t>
      </w:r>
      <w:r>
        <w:rPr>
          <w:rtl w:val="true"/>
        </w:rPr>
        <w:t>لغة</w:t>
      </w:r>
      <w:bookmarkEnd w:id="4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الخليل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العوض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والمستعمل التعويض عوّضته من هبته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عاوضت فلاناً بعوض في البيع والأخذ فاعتضته ممّا أعطيته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فارس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صحيحة تدلّ على بدل للشيء</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الجوهري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السقم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الزبيدي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 بالضّمّ، والصِّحَّةُ،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والصَّحَاحُ، بالفتح، الثّلاثة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ذَهَاب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 من كلِّ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فهو صَحِيحٌ</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w:t>
      </w:r>
      <w:bookmarkStart w:id="439" w:name="pg10913_110925"/>
    </w:p>
    <w:p>
      <w:pPr>
        <w:pStyle w:val="BookText"/>
        <w:rPr/>
      </w:pPr>
      <w:bookmarkEnd w:id="43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 ابن فارس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السين والنون والدال أصل واحد يدلّ على انضمام الشيء إلى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وأسندت غيري إسناداً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سندٌ أي 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والإسناد في الحديث أن يسند إلى قائله، وهو ذلك القياس</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المقطع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القطعة من السند بين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يُبتدئ به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المقطع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القطعة الأخرى من السند أي بين من يُبتدئ به السند إلى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440" w:name="__RefHeading___Toc3056756_2870459653"/>
      <w:bookmarkStart w:id="441" w:name="_Toc169"/>
      <w:bookmarkEnd w:id="440"/>
      <w:r>
        <w:rPr>
          <w:rtl w:val="true"/>
        </w:rPr>
        <w:t>ب</w:t>
      </w:r>
      <w:r>
        <w:rPr>
          <w:rtl w:val="true"/>
        </w:rPr>
        <w:t xml:space="preserve">. </w:t>
      </w:r>
      <w:r>
        <w:rPr>
          <w:rtl w:val="true"/>
        </w:rPr>
        <w:t>اصطلاحاً</w:t>
      </w:r>
      <w:bookmarkEnd w:id="441"/>
    </w:p>
    <w:p>
      <w:pPr>
        <w:pStyle w:val="BookText"/>
        <w:rPr/>
      </w:pPr>
      <w:r>
        <w:rPr>
          <w:rFonts w:ascii="Amiri" w:hAnsi="Amiri" w:eastAsia="Amiri" w:cs="Amiri"/>
          <w:color w:val="111111"/>
          <w:sz w:val="28"/>
          <w:sz w:val="28"/>
          <w:szCs w:val="28"/>
          <w:rtl w:val="true"/>
          <w:lang w:bidi="ar-SA"/>
        </w:rPr>
        <w:t xml:space="preserve">قد يظهر أنّ أوّل تعريف لهذه النظرية هو تعريف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عرّفها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التصرّف في السند، إمّا باعتبار المقطع الأوّل بما فيه من نقطة الضعف، أو باعتبار المقطع الثاني بما فيه من نقطة الضعف، أو باعتبار تمام السند واستبداله بسند آخر</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واكتفى تلميذه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القضاء بذكر 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تعويض السند الضعيف بسند تامّ</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تعريفها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تصرّف في سند الرواية المشكل، وذلك بالاستعانة بطريق آخر أو أكثر بحيث ينتج طريقاً معتبراً للرواية، كما سيأتي ذلك تفصيلاً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ويكون هذا التصرّف والاستعانة على أنحاء</w:t>
      </w:r>
      <w:r>
        <w:rPr>
          <w:rFonts w:eastAsia="Amiri" w:cs="Amiri" w:ascii="Amiri" w:hAnsi="Amiri"/>
          <w:color w:val="111111"/>
          <w:sz w:val="28"/>
          <w:szCs w:val="28"/>
          <w:rtl w:val="true"/>
          <w:lang w:bidi="ar-SA"/>
        </w:rPr>
        <w:t xml:space="preserve">: </w:t>
      </w:r>
      <w:bookmarkStart w:id="442" w:name="pg10913_110927"/>
    </w:p>
    <w:p>
      <w:pPr>
        <w:pStyle w:val="BookText"/>
        <w:rPr/>
      </w:pPr>
      <w:bookmarkEnd w:id="44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باختلاف المورد من حيث محلّ وقوع كلٍّ من الضعيف والثقة في السند، فتارةً يكون بين صاحب المجمع الحديثيّ وصاحب الكتاب الذي ابتدأ به، وأخرى بين صاحب الكتاب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بحسب الطرق التي يستعان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مفردة أو متعدّدة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بحسب مصدرها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أسانيد الروايات، أو الفهارس، أو المشيخة، أو الإجازات، أو غير ذلك؟</w:t>
      </w:r>
    </w:p>
    <w:p>
      <w:pPr>
        <w:pStyle w:val="BookText"/>
        <w:rPr/>
      </w:pPr>
      <w:r>
        <w:rPr>
          <w:rFonts w:ascii="Amiri" w:hAnsi="Amiri" w:eastAsia="Amiri" w:cs="Amiri"/>
          <w:color w:val="111111"/>
          <w:sz w:val="28"/>
          <w:sz w:val="28"/>
          <w:szCs w:val="28"/>
          <w:rtl w:val="true"/>
          <w:lang w:bidi="ar-SA"/>
        </w:rPr>
        <w:t>وسيتّضح بيان كيفيّة التصرّف في السند من خلال دراسة طرائق التعويض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فطرائق التصحيح متعدّدة حتّى ذكروا موارد فرضيّة لهذه النظريّة كما في الطريقة السابعة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إطلاق التعريف أنّ النظريّة تعمّ الرجوع إلى الفهرست، بل إلى مشيخة الكتاب</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3056758_2870459653"/>
      <w:bookmarkStart w:id="444" w:name="_Toc170"/>
      <w:bookmarkEnd w:id="443"/>
      <w:r>
        <w:rPr>
          <w:rtl w:val="true"/>
        </w:rPr>
        <w:t>لمحة تأريخيّة عن النظريّة</w:t>
      </w:r>
      <w:bookmarkEnd w:id="444"/>
    </w:p>
    <w:p>
      <w:pPr>
        <w:pStyle w:val="Heading4"/>
        <w:numPr>
          <w:ilvl w:val="3"/>
          <w:numId w:val="1"/>
        </w:numPr>
        <w:rPr/>
      </w:pPr>
      <w:bookmarkStart w:id="445" w:name="__RefHeading___Toc3056760_2870459653"/>
      <w:bookmarkStart w:id="446" w:name="_Toc171"/>
      <w:bookmarkEnd w:id="445"/>
      <w:r>
        <w:rPr>
          <w:rtl w:val="true"/>
        </w:rPr>
        <w:t>أوّلاً</w:t>
      </w:r>
      <w:bookmarkEnd w:id="446"/>
    </w:p>
    <w:p>
      <w:pPr>
        <w:pStyle w:val="BookText"/>
        <w:rPr/>
      </w:pPr>
      <w:r>
        <w:rPr>
          <w:rFonts w:ascii="Amiri" w:hAnsi="Amiri" w:eastAsia="Amiri" w:cs="Amiri"/>
          <w:color w:val="111111"/>
          <w:sz w:val="28"/>
          <w:sz w:val="28"/>
          <w:szCs w:val="28"/>
          <w:rtl w:val="true"/>
          <w:lang w:bidi="ar-SA"/>
        </w:rPr>
        <w:t xml:space="preserve">إنّنا نجد بحسب التتبع التأريخي أنّ أوّل من طبّق هذه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ليس بعنوان نظريّة التعويض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السيّد محمّد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مداركه، فقد ذكر مورداً من تطبيقاتها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رواية الريّان فهي جيدة السند؛ لأنّ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رواها في التهذيب عنه مرسلاً، إلّا أنّ طريقه إليه في الفهرست صحيح</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منشأ هذا الكلام هو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 xml:space="preserve">نفسه بإرجاعه إلى الفهرست، وأنّه لم يستوفِ </w:t>
      </w:r>
      <w:bookmarkStart w:id="447" w:name="pg10913_110929"/>
    </w:p>
    <w:p>
      <w:pPr>
        <w:pStyle w:val="BookText"/>
        <w:rPr/>
      </w:pPr>
      <w:bookmarkEnd w:id="447"/>
      <w:r>
        <w:rPr>
          <w:rFonts w:ascii="Amiri" w:hAnsi="Amiri" w:eastAsia="Amiri" w:cs="Amiri"/>
          <w:color w:val="111111"/>
          <w:sz w:val="28"/>
          <w:sz w:val="28"/>
          <w:szCs w:val="28"/>
          <w:rtl w:val="true"/>
          <w:lang w:bidi="ar-SA"/>
        </w:rPr>
        <w:t>جميع طرقه في المشيخة</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3056762_2870459653"/>
      <w:bookmarkStart w:id="449" w:name="_Toc172"/>
      <w:bookmarkEnd w:id="448"/>
      <w:r>
        <w:rPr>
          <w:rtl w:val="true"/>
        </w:rPr>
        <w:t>ثانياً</w:t>
      </w:r>
      <w:bookmarkEnd w:id="449"/>
    </w:p>
    <w:p>
      <w:pPr>
        <w:pStyle w:val="BookText"/>
        <w:rPr/>
      </w:pPr>
      <w:r>
        <w:rPr>
          <w:rFonts w:ascii="Amiri" w:hAnsi="Amiri" w:eastAsia="Amiri" w:cs="Amiri"/>
          <w:color w:val="111111"/>
          <w:sz w:val="28"/>
          <w:sz w:val="28"/>
          <w:szCs w:val="28"/>
          <w:rtl w:val="true"/>
          <w:lang w:bidi="ar-SA"/>
        </w:rPr>
        <w:t xml:space="preserve">لقد استخدم الميرزا محمّد الأسترابادي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1028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الفائدة الثامنة من خاتمة منهجه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التعويض في تصحيح طريق الصدوق إلى عبيد بن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التعرّض له في الطريقة الثامنة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أفاد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وإلى عبيد بن زرارة فيه أيضاً الحَكَم بن مسكين ولم يوثّق، لكن في جش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عدّة من أصحابنا عن أحمد بن يحيى، عن عبد الله بن جعفر، عن ابن أبي الخطّاب ومحمّد بن عبد الجبار وأحمد بن محمّد بن عيسى، عن محمّد بن إسماعيل بن بزيع، عن حمّاد بن عثمان عن عبيد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أخبرنا برواياته أبو عبد الله، عن محمّد بن علي بن الحسين، عن أبيه ومحمّد بن الحسن عنه، وأيضاً أخبرنا ابن أبي جيد، عن ابن الوليد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 هذا من صحّة طريق المصنّف إلى عبيد، فافهم</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0" w:name="__RefHeading___Toc3056764_2870459653"/>
      <w:bookmarkStart w:id="451" w:name="_Toc173"/>
      <w:bookmarkEnd w:id="450"/>
      <w:r>
        <w:rPr>
          <w:rtl w:val="true"/>
        </w:rPr>
        <w:t>ثالثاً</w:t>
      </w:r>
      <w:bookmarkEnd w:id="451"/>
    </w:p>
    <w:p>
      <w:pPr>
        <w:pStyle w:val="BookText"/>
        <w:rPr/>
      </w:pPr>
      <w:r>
        <w:rPr>
          <w:rFonts w:ascii="Amiri" w:hAnsi="Amiri" w:eastAsia="Amiri" w:cs="Amiri"/>
          <w:color w:val="111111"/>
          <w:sz w:val="28"/>
          <w:sz w:val="28"/>
          <w:szCs w:val="28"/>
          <w:rtl w:val="true"/>
          <w:lang w:bidi="ar-SA"/>
        </w:rPr>
        <w:t xml:space="preserve">قد أشكل معاصره المحقّق الشيخ محمّد بن الحسن ابن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مورد من تطبيقات النظريّة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الفهرست طريقه إلى كتابه غير سليم، ولا ينفع بتقدير صحّته هنا إلَّا إذا عُلِمَ أنّ الحديث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اشتبه على بعض الأصحاب الحال في طرق الفهرست</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يكشف عن أنّ بعض العلماء قد ذكر التعويض بطرق الفهرست حتى أشكل عليه المحقّق الشيخ محمّد بأنّ التعويض لا يتمّ إلّا إذا تمّ إحراز أنّ الرواية مأخوذة من </w:t>
      </w:r>
      <w:bookmarkStart w:id="452" w:name="pg10913_110931"/>
    </w:p>
    <w:p>
      <w:pPr>
        <w:pStyle w:val="BookText"/>
        <w:rPr/>
      </w:pPr>
      <w:bookmarkEnd w:id="452"/>
      <w:r>
        <w:rPr>
          <w:rFonts w:ascii="Amiri" w:hAnsi="Amiri" w:eastAsia="Amiri" w:cs="Amiri"/>
          <w:color w:val="111111"/>
          <w:sz w:val="28"/>
          <w:sz w:val="28"/>
          <w:szCs w:val="28"/>
          <w:rtl w:val="true"/>
          <w:lang w:bidi="ar-SA"/>
        </w:rPr>
        <w:t>الكتاب الذي صحّ الطريق إليه</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3056766_2870459653"/>
      <w:bookmarkStart w:id="454" w:name="_Toc174"/>
      <w:bookmarkEnd w:id="453"/>
      <w:r>
        <w:rPr>
          <w:rtl w:val="true"/>
        </w:rPr>
        <w:t>رابعاً</w:t>
      </w:r>
      <w:bookmarkEnd w:id="454"/>
    </w:p>
    <w:p>
      <w:pPr>
        <w:pStyle w:val="BookText"/>
        <w:rPr/>
      </w:pPr>
      <w:r>
        <w:rPr>
          <w:rFonts w:ascii="Amiri" w:hAnsi="Amiri" w:eastAsia="Amiri" w:cs="Amiri"/>
          <w:color w:val="111111"/>
          <w:sz w:val="28"/>
          <w:sz w:val="28"/>
          <w:szCs w:val="28"/>
          <w:rtl w:val="true"/>
          <w:lang w:bidi="ar-SA"/>
        </w:rPr>
        <w:t xml:space="preserve">أشار العلّامة المجلسي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تطبيق هذه النظرية في تصحيح الطريق إلى محمّد بن مسلم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طريقه إلى أخبار البرقي والعلاء بن رزين صحيحة، بل الظاهر أنّه لم يكن للعلاء خبر إلّا خبر محمّد بن مسلم كما ظهر آنفاً ويظهر من أسانيد الأخبار، فيكون الخبر صحيحاً بأسانيد كثيرة</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كلامه هذا يظهر أنّه فتح باباً آخر بخروجه عن المتعارف من الاكتفاء بالرجوع إلى المشيخة أو فهرست الشيخ</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3056768_2870459653"/>
      <w:bookmarkStart w:id="456" w:name="_Toc175"/>
      <w:bookmarkEnd w:id="455"/>
      <w:r>
        <w:rPr>
          <w:rtl w:val="true"/>
        </w:rPr>
        <w:t>خامساً</w:t>
      </w:r>
      <w:bookmarkEnd w:id="456"/>
    </w:p>
    <w:p>
      <w:pPr>
        <w:pStyle w:val="BookText"/>
        <w:rPr/>
      </w:pPr>
      <w:r>
        <w:rPr>
          <w:rFonts w:ascii="IRNazanin" w:hAnsi="IRNazanin" w:eastAsia="IRNazanin"/>
          <w:color w:val="111111"/>
          <w:sz w:val="28"/>
          <w:sz w:val="28"/>
          <w:szCs w:val="28"/>
          <w:rtl w:val="true"/>
          <w:lang w:bidi="fa-IR"/>
        </w:rPr>
        <w:t xml:space="preserve">قام المولى محمّد بن علي الأردبيلي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جامع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بتأليّف كتاب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تصحيح الأسانيد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وإن لم يصل إلينا إلَّا أنّه اختصره في جامعه،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تصحيح الأسانيد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عنواناً أعمّ مفهوماً من نظرية التعويض، لكن يظهر أنّه أخصّ مصداقاً، ويعدّ ما قام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المحاولات الأولى لفتح باب التعويض، فبعد عدم كفاية الرجوع إلى المشيخة والفهرست في حلّ أسانيد التهذيبين وبقاء أكثر الأسانيد بلا تصحيح جاء هذا المحقّق وأضاف إلى ما ذكره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إحالته على المشيخة والفهرست لرفع الإرسال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فكرة تعويض الأسانيد ببعضها، وكان بيانه في ذلك مؤلَّفاً من مقدّمات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العلماء لم يذكروا جميع طرق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ذكروه كان قليلاً فلم يكن وافياً في أداء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ذكر جميع طرق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وافياً في أداء المطلوب</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طريقة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الأسانيد مختلفة في كتابيه</w:t>
      </w:r>
      <w:r>
        <w:rPr>
          <w:rFonts w:eastAsia="Amiri" w:cs="Amiri" w:ascii="Amiri" w:hAnsi="Amiri"/>
          <w:color w:val="111111"/>
          <w:sz w:val="28"/>
          <w:szCs w:val="28"/>
          <w:rtl w:val="true"/>
          <w:lang w:bidi="ar-SA"/>
        </w:rPr>
        <w:t xml:space="preserve">. </w:t>
      </w:r>
      <w:bookmarkStart w:id="457" w:name="pg10913_110933"/>
    </w:p>
    <w:p>
      <w:pPr>
        <w:pStyle w:val="BookText"/>
        <w:rPr/>
      </w:pPr>
      <w:bookmarkEnd w:id="457"/>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يذكر في المشيخة والفهرست طريقاً أو أكثر إلى مَن ابتدأ بهم اختصاراً لإخراج الأحاديث عن حدّ 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الرجوع إلى المشيخة والفهرست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الكثير من الطرق 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أيضاً أنّ هناك أحاديث معلّقة لم يُذكر لها طريق في المشيخة أو الفهرست لكون الأصول والكتب عند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مشهورة بل متواترة، ومن ثَمَّ نراه عند الحاجة إلى القدح لا يقدح في أوائل السند بل فيمن يذكر بعد أصحاب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هذه الشهرة لم تثبت عند المتأخّرين أخرجوا الكثير من أخبار الكتابين عن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هذه المقدّمات توصل إلى طريقةٍ لتصحيح أسانيد هذه الأخبار بالنظر في أسانيد التهذيبين حيث وجد لكلّ من الأصول والكتب طرقاً كثيرة في المشيخة والفهرست أكثرها موصوف بالصحّة والاعتبار</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8" w:name="__RefHeading___Toc3056770_2870459653"/>
      <w:bookmarkStart w:id="459" w:name="_Toc176"/>
      <w:bookmarkEnd w:id="458"/>
      <w:r>
        <w:rPr>
          <w:rtl w:val="true"/>
        </w:rPr>
        <w:t>سادساً</w:t>
      </w:r>
      <w:bookmarkEnd w:id="45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أضاف بعد ذلك العلّامة المجلسي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الأربعين طريقة أخرى لتصحيح طرق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التعويض بطرق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،وأفاد في بيان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الشيخ روى جميع مرويّات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تعالى ضريحه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بتلك الأسانيد الصحيحة، فكلّما روى الشيخ خبراً من بعض الأصول التي ذكرها الصدوق في فهرسته بسند صحيح فسنده إلى هذا الأصل صحيح وإن لم يذكر في الفهرست سنداً صحيحاً إليه</w:t>
      </w:r>
      <w:r>
        <w:rPr>
          <w:rFonts w:eastAsia="IRNazanin" w:cs="IRNazanin"/>
          <w:color w:val="111111"/>
          <w:sz w:val="28"/>
          <w:szCs w:val="28"/>
          <w:rtl w:val="true"/>
          <w:lang w:bidi="fa-IR"/>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 xml:space="preserve">. </w:t>
      </w:r>
      <w:bookmarkStart w:id="460" w:name="pg10913_110935"/>
    </w:p>
    <w:p>
      <w:pPr>
        <w:pStyle w:val="Heading4"/>
        <w:numPr>
          <w:ilvl w:val="3"/>
          <w:numId w:val="1"/>
        </w:numPr>
        <w:rPr/>
      </w:pPr>
      <w:bookmarkStart w:id="461" w:name="__RefHeading___Toc3056772_2870459653"/>
      <w:bookmarkStart w:id="462" w:name="_Toc177"/>
      <w:bookmarkEnd w:id="460"/>
      <w:bookmarkEnd w:id="461"/>
      <w:r>
        <w:rPr>
          <w:rtl w:val="true"/>
        </w:rPr>
        <w:t>سابعاً</w:t>
      </w:r>
      <w:bookmarkEnd w:id="462"/>
    </w:p>
    <w:p>
      <w:pPr>
        <w:pStyle w:val="BookText"/>
        <w:rPr/>
      </w:pPr>
      <w:r>
        <w:rPr>
          <w:rFonts w:ascii="Amiri" w:hAnsi="Amiri" w:eastAsia="Amiri" w:cs="Amiri"/>
          <w:color w:val="111111"/>
          <w:sz w:val="28"/>
          <w:sz w:val="28"/>
          <w:szCs w:val="28"/>
          <w:rtl w:val="true"/>
          <w:lang w:bidi="ar-SA"/>
        </w:rPr>
        <w:t xml:space="preserve">ما أفاده السيّد محمّد مهدي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ويمكن بيانه من خلال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طريقة ذكر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للأسانيد مختلفة، فقد يذكر جميع السند، وقد يحذف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استدرك ذلك في مشيخته في آخر الكتابين، حيث ذكر فيها جملة من طرقه إلى مَن صدّر الحديث بذكرهم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الطرق إلى فهارس الشيوخ المصنّفة في هذا الباب بالإضافة إلى إحالته في التهذيب إلى فهرسته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يصلنا من فهارس الشيوخ إلّا القليل كمشيخة الصدوق وفهرست أبي غالب الزراري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توصّل إلى إمكان معرفة طرق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مشيخة الصدوق وفهرست أبي غالب الزراري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كتاب النجاشي باعتبار معاصرته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،ومشاركته له في أكثر المشايخ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3" w:name="__RefHeading___Toc3056774_2870459653"/>
      <w:bookmarkStart w:id="464" w:name="_Toc178"/>
      <w:bookmarkEnd w:id="463"/>
      <w:r>
        <w:rPr>
          <w:rtl w:val="true"/>
        </w:rPr>
        <w:t>ثامناً</w:t>
      </w:r>
      <w:bookmarkEnd w:id="464"/>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ارتضى 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المولى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 كلامه في خاتمة مستدرك الوسائل وأفرد له تمام الجزء السادس من كتابه بحسب الطبعة الأخيرة</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xml:space="preserve">. </w:t>
      </w:r>
      <w:bookmarkStart w:id="465" w:name="pg10913_110937"/>
    </w:p>
    <w:p>
      <w:pPr>
        <w:pStyle w:val="Heading4"/>
        <w:numPr>
          <w:ilvl w:val="3"/>
          <w:numId w:val="1"/>
        </w:numPr>
        <w:rPr/>
      </w:pPr>
      <w:bookmarkStart w:id="466" w:name="__RefHeading___Toc3056776_2870459653"/>
      <w:bookmarkStart w:id="467" w:name="_Toc179"/>
      <w:bookmarkEnd w:id="465"/>
      <w:bookmarkEnd w:id="466"/>
      <w:r>
        <w:rPr>
          <w:rtl w:val="true"/>
        </w:rPr>
        <w:t>تاسعاً</w:t>
      </w:r>
      <w:bookmarkEnd w:id="467"/>
    </w:p>
    <w:p>
      <w:pPr>
        <w:pStyle w:val="BookText"/>
        <w:rPr/>
      </w:pPr>
      <w:r>
        <w:rPr>
          <w:rFonts w:ascii="Amiri" w:hAnsi="Amiri" w:eastAsia="Amiri" w:cs="Amiri"/>
          <w:color w:val="111111"/>
          <w:sz w:val="28"/>
          <w:sz w:val="28"/>
          <w:szCs w:val="28"/>
          <w:rtl w:val="true"/>
          <w:lang w:bidi="ar-SA"/>
        </w:rPr>
        <w:t xml:space="preserve">تعرّض الميرزا أبو هدى الكلباسي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لنظريّة التعويض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بدون أن يعنونها 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بيان الحاجة لكتاب الفهرست للشيخ</w:t>
      </w:r>
    </w:p>
    <w:p>
      <w:pPr>
        <w:pStyle w:val="BookText"/>
        <w:rPr/>
      </w:pP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ينفع تارة على سبيل الاستقلال، وأخرى على وجه التركيب والانضمام</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 وفي هذا السياق تعرّض لجملة من طرائق التصحيح، كما سيتّضح في البيان الإجمالي للطرائق المقترحة للتعويض</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3056778_2870459653"/>
      <w:bookmarkStart w:id="469" w:name="_Toc180"/>
      <w:bookmarkEnd w:id="468"/>
      <w:r>
        <w:rPr>
          <w:rtl w:val="true"/>
        </w:rPr>
        <w:t>عاشراً</w:t>
      </w:r>
      <w:bookmarkEnd w:id="469"/>
    </w:p>
    <w:p>
      <w:pPr>
        <w:pStyle w:val="BookText"/>
        <w:rPr/>
      </w:pPr>
      <w:r>
        <w:rPr>
          <w:rFonts w:ascii="IRNazanin" w:hAnsi="IRNazanin" w:eastAsia="IRNazanin"/>
          <w:color w:val="111111"/>
          <w:sz w:val="28"/>
          <w:sz w:val="28"/>
          <w:szCs w:val="28"/>
          <w:rtl w:val="true"/>
          <w:lang w:bidi="fa-IR"/>
        </w:rPr>
        <w:t xml:space="preserve">تعرّض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لعدد من تطبيقاتها في بحوثه الفقهيّة</w:t>
      </w:r>
      <w:r>
        <w:rPr>
          <w:rStyle w:val="FootnoteAnchor"/>
          <w:rtl w:val="true"/>
        </w:rPr>
        <w:footnoteReference w:id="638"/>
      </w:r>
      <w:r>
        <w:rPr>
          <w:rFonts w:ascii="Amiri" w:hAnsi="Amiri" w:eastAsia="Amiri" w:cs="Amiri"/>
          <w:color w:val="111111"/>
          <w:sz w:val="28"/>
          <w:sz w:val="28"/>
          <w:szCs w:val="28"/>
          <w:rtl w:val="true"/>
          <w:lang w:bidi="ar-SA"/>
        </w:rPr>
        <w:t>، وارتضاها في بعض الطرائق كما في الطريقة الأولى والثامنة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وتعرض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المعجم أثناء مناقشته للتوثيقات العامة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الطرق إلى الشخص في المشيخة</w:t>
      </w:r>
      <w:r>
        <w:rPr>
          <w:rFonts w:eastAsia="Amiri" w:cs="Amiri" w:ascii="Amiri" w:hAnsi="Amiri"/>
          <w:color w:val="111111"/>
          <w:sz w:val="28"/>
          <w:szCs w:val="28"/>
          <w:rtl w:val="true"/>
          <w:lang w:bidi="ar-SA"/>
        </w:rPr>
        <w:t>)</w:t>
      </w:r>
      <w:r>
        <w:rPr>
          <w:rStyle w:val="FootnoteAnchor"/>
          <w:rtl w:val="true"/>
        </w:rPr>
        <w:footnoteReference w:id="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التصحيح بالاستعانة بطرق النجاشي بشروطٍ على ما سيأتي بيانه في الطريقة الخامسة</w:t>
      </w:r>
      <w:r>
        <w:rPr>
          <w:rFonts w:eastAsia="IRNazanin" w:cs="IRNazanin"/>
          <w:color w:val="111111"/>
          <w:sz w:val="28"/>
          <w:szCs w:val="28"/>
          <w:rtl w:val="true"/>
          <w:lang w:bidi="fa-IR"/>
        </w:rPr>
        <w:t>.</w:t>
      </w:r>
    </w:p>
    <w:p>
      <w:pPr>
        <w:pStyle w:val="Heading4"/>
        <w:numPr>
          <w:ilvl w:val="3"/>
          <w:numId w:val="1"/>
        </w:numPr>
        <w:rPr/>
      </w:pPr>
      <w:bookmarkStart w:id="470" w:name="__RefHeading___Toc3056780_2870459653"/>
      <w:bookmarkStart w:id="471" w:name="_Toc181"/>
      <w:bookmarkEnd w:id="470"/>
      <w:r>
        <w:rPr>
          <w:rtl w:val="true"/>
        </w:rPr>
        <w:t>حادي عشر</w:t>
      </w:r>
      <w:bookmarkEnd w:id="471"/>
    </w:p>
    <w:p>
      <w:pPr>
        <w:pStyle w:val="BookText"/>
        <w:rPr/>
      </w:pPr>
      <w:r>
        <w:rPr>
          <w:rFonts w:ascii="Amiri" w:hAnsi="Amiri" w:eastAsia="Amiri" w:cs="Amiri"/>
          <w:color w:val="111111"/>
          <w:sz w:val="28"/>
          <w:sz w:val="28"/>
          <w:szCs w:val="28"/>
          <w:rtl w:val="true"/>
          <w:lang w:bidi="ar-SA"/>
        </w:rPr>
        <w:t xml:space="preserve">فصّل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تصحيح الأسانيد، ويظهر أنّه أوّل من عنونها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التعويض</w:t>
      </w:r>
      <w:r>
        <w:rPr>
          <w:rFonts w:eastAsia="Amiri" w:cs="Amiri" w:ascii="Amiri" w:hAnsi="Amiri"/>
          <w:color w:val="111111"/>
          <w:sz w:val="28"/>
          <w:szCs w:val="28"/>
          <w:rtl w:val="true"/>
          <w:lang w:bidi="ar-SA"/>
        </w:rPr>
        <w:t>)</w:t>
      </w:r>
      <w:r>
        <w:rPr>
          <w:rStyle w:val="FootnoteAnchor"/>
          <w:rtl w:val="true"/>
        </w:rPr>
        <w:footnoteReference w:id="640"/>
      </w:r>
      <w:r>
        <w:rPr>
          <w:rFonts w:ascii="IRNazanin" w:hAnsi="IRNazanin" w:eastAsia="IRNazanin"/>
          <w:color w:val="111111"/>
          <w:sz w:val="28"/>
          <w:sz w:val="28"/>
          <w:szCs w:val="28"/>
          <w:rtl w:val="true"/>
          <w:lang w:bidi="fa-IR"/>
        </w:rPr>
        <w:t xml:space="preserve">، وتبعه بعض أعلام تلامذته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ونلاحظ أنّ هذه الكلمات ليست مختصّة بتصحيح أسانيد الشيخ فقط، بل تشمل </w:t>
      </w:r>
      <w:bookmarkStart w:id="472" w:name="pg10913_110939"/>
    </w:p>
    <w:p>
      <w:pPr>
        <w:pStyle w:val="BookText"/>
        <w:rPr/>
      </w:pPr>
      <w:bookmarkEnd w:id="472"/>
      <w:r>
        <w:rPr>
          <w:rFonts w:ascii="Amiri" w:hAnsi="Amiri" w:eastAsia="Amiri" w:cs="Amiri"/>
          <w:color w:val="111111"/>
          <w:sz w:val="28"/>
          <w:sz w:val="28"/>
          <w:szCs w:val="28"/>
          <w:rtl w:val="true"/>
          <w:lang w:bidi="ar-SA"/>
        </w:rPr>
        <w:t xml:space="preserve">حتّى طرق الصدوق في الفقيه لوجود نفس الإشكال؛ ولذا نجد أنّ كثيراً من الموارد التي طرحت كتطبيقٍ أو مثالٍ لنظريّة التعويض كانت لتصحيح أسانيد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توسّعت حتّى أنّه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عمّم التصحيح لأكثر الروايات الواردة في الكتب الأربعة</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3" w:name="__RefHeading___Toc3056782_2870459653"/>
      <w:bookmarkStart w:id="474" w:name="_Toc182"/>
      <w:bookmarkEnd w:id="473"/>
      <w:r>
        <w:rPr>
          <w:rtl w:val="true"/>
        </w:rPr>
        <w:t>بيان الطّرائق المقترحة لهذه النّظريّة إجمالاً</w:t>
      </w:r>
      <w:bookmarkEnd w:id="474"/>
    </w:p>
    <w:p>
      <w:pPr>
        <w:pStyle w:val="BookText"/>
        <w:rPr/>
      </w:pPr>
      <w:r>
        <w:rPr>
          <w:rFonts w:ascii="Amiri" w:hAnsi="Amiri" w:eastAsia="Amiri" w:cs="Amiri"/>
          <w:color w:val="111111"/>
          <w:sz w:val="28"/>
          <w:sz w:val="28"/>
          <w:szCs w:val="28"/>
          <w:rtl w:val="true"/>
          <w:lang w:bidi="ar-SA"/>
        </w:rPr>
        <w:t>لأجل اختلاف كيفيّة التصرّف والاستعانة وتأثيرها على مؤونة التصحيح وعلى القيود التي نحتاجها في التصحيح كان من الأنسب دراسة النظريّة بحسب كلّ طريقة وما تستلزمه</w:t>
      </w:r>
      <w:r>
        <w:rPr>
          <w:rStyle w:val="FootnoteAnchor"/>
          <w:rtl w:val="true"/>
        </w:rPr>
        <w:footnoteReference w:id="643"/>
      </w:r>
      <w:r>
        <w:rPr>
          <w:rFonts w:ascii="Amiri" w:hAnsi="Amiri" w:eastAsia="Amiri" w:cs="Amiri"/>
          <w:color w:val="111111"/>
          <w:sz w:val="28"/>
          <w:sz w:val="28"/>
          <w:szCs w:val="28"/>
          <w:rtl w:val="true"/>
          <w:lang w:bidi="ar-SA"/>
        </w:rPr>
        <w:t>، وذلك يختلف باختلاف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مؤونة التصحيح بحسب المورد وحيثيّاته تناسب دراستها بحسب ذلك كطرائق لتسهيل دراستها وبيان المؤونة المستخدمة لكلّ طريقة منها، وهي تسع طرائق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تعويض المقطع الأوّل إلى من يبتدئ به السند بطريق صحيح إليه مستخرجاً من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التعويض إلى الثقة الذي يقع في المقطع الأوّل بين الضعيف ومَن ابتدأ به الشيخ بطريق صحيح مستخرج من الفهرست</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كالطريقتين السابقتين، ولكن الطريق الصحيح البديل مأخوذ من سند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الطّريقة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كالطريقتين الأوّليتين إلَّا أنّ الطريق الصحيح البديل مأخوذ من مشيخة الفقيه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كالطريقتين الأوّليتين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الطريق الصحيح البديل مأخوذ من كتاب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الطّريقة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الاستعانة فيها بالفهرست وتعويض المقطع من جهة الشيخ إلى الثقة الذي يقع 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ابتدأ به الشيخ، والضعيف يقع بين من ابتدأ به الشيخ وهذا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الطّريقة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التعويض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الطرائق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بدل المقطع الثاني الذي من جهة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الطّريقة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التوسّع بالاستعانة بأكثر من طريق كأن يكون الطريق البديل مأخوذاً من طريقي الشيخ والنجاشي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التلفيق بين طريقي رواية واحدة كلّ منهما يشتمل على ضعف من ناحية خاصّة لينتج طريقاً ثالثاً معتبراً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الطرائق المذكورة ليست لحصر طرائق التعويض، فيمكن بتتبّع الموارد العثور على طرائق أخرى، كما يمكن فرض طرائق 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وسيأتي بحسب موقع الضعيف والثقة وصاحب الكتاب، وبحسب الرجوع للأسانيد أو الرجوع للفهارس، بل يمكن فرض وجود أكثر من ضعيف موزّعين بين 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دراسة إمكانيّة التصحيح، ولعلّه ممّا ذكر في مناقشة هذه الطرائق يظهر حال غيرها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لا تخلو الأمثلة المورديّة عن مناقشات صغرويّة لكنّها لا تمسّ أصل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التعويض بالطريق البديل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صحّتها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تعرّض لمناقشة النظريّة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سماء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سياق بيان الحاجة لكتاب الفهرست حيث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 الكتاب على قسمين</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على سبيل الاستقلال، وقد جعله على 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يكون مستقلّا ً في بيان الطرق إلى روايات نفسه، وجعله على أقسام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يكون مستقلّا ً في بيان الطرق إلى روايات غيره، كتصحيح طرق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والنفع في هذين الوجهين مبنيٌّ على تماميّة التعويض بطرق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وسيأتي في الطريقتين الأولى والثانية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التركيب والانضمام، بتركيب طريق الفهرست مع طريق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كطريق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فيستخرج منه الطريق الصحيح إلى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وسيأتي في الطريقة الثامنة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طرائق أخر للتصحيح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الرجوع للفهرست أو المشيختين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التصحيح بالرجوع لأسانيد التهذيبين وستأتي في الطريقة الثالثة، أو بالرجوع لمشيخة الفقيه، أو بالرجوع لفهرست أبي غالب الزراري، وستأتي في الطريقة الرابعة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السيّد الصدر فقد اتّبع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منهجيّة خاصّة في مناقشة النظريّة، فجعل القسمة رباعية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الوجه الأوّل ناقش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 مثل الطريقة الثالثة والسادسة بحسب منهجيّتنا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 فكان حول الطريقة السابعة كذلك</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الوجه الثالث فناقش التعويض بالاستعانة بطرق النجاشي</w:t>
      </w:r>
      <w:r>
        <w:rPr>
          <w:rFonts w:eastAsia="Amiri" w:cs="Amiri" w:ascii="Amiri" w:hAnsi="Amiri"/>
          <w:color w:val="111111"/>
          <w:sz w:val="28"/>
          <w:szCs w:val="28"/>
          <w:rtl w:val="true"/>
          <w:lang w:bidi="ar-SA"/>
        </w:rPr>
        <w:t xml:space="preserve">. </w:t>
      </w:r>
      <w:bookmarkStart w:id="475" w:name="pg10913_110945"/>
    </w:p>
    <w:p>
      <w:pPr>
        <w:pStyle w:val="BookText"/>
        <w:rPr/>
      </w:pPr>
      <w:bookmarkEnd w:id="475"/>
      <w:r>
        <w:rPr>
          <w:rFonts w:ascii="Amiri" w:hAnsi="Amiri" w:eastAsia="Amiri" w:cs="Amiri"/>
          <w:color w:val="111111"/>
          <w:sz w:val="28"/>
          <w:sz w:val="28"/>
          <w:szCs w:val="28"/>
          <w:rtl w:val="true"/>
          <w:lang w:bidi="ar-SA"/>
        </w:rPr>
        <w:t>وأمّا في الوجه الرابع فناقش التعويض بالاستعانة بطرق الصدوق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وتبعه تلميذه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القضاء، لكنّه جعل القسمة ثلاثيّة حيث بحث الوجه الثاني في المباحث في ذيل الشكل الأوّل الذي ناقش فيه ما ذكر في الوجه الأوّل من المباحث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أن يكون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المباحث في الوجهين الأوّل والثاني إلى موقع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الشكل الأوّل من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في الوجه الثالث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في الشكل الثاني والثالث من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الاستعانة بطرق النجاشي أو الصدوق، فالمقسم لهذه الوجوه الأربعة غير واضح، ولعلّ الأقسام غير جامعة لما تنطوي عليه نظريّة التعويض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نظرهم ليس إلى ذلك، بل إلى أصل النظرية ودراسة ما يمكن به استخلاص لبّ النظريّة وأساسها</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3056784_2870459653"/>
      <w:bookmarkStart w:id="477" w:name="_Toc183"/>
      <w:bookmarkEnd w:id="476"/>
      <w:r>
        <w:rPr>
          <w:rtl w:val="true"/>
        </w:rPr>
        <w:t>تفصيل الطّرائق المقترحة</w:t>
      </w:r>
      <w:bookmarkEnd w:id="477"/>
    </w:p>
    <w:p>
      <w:pPr>
        <w:pStyle w:val="Heading4"/>
        <w:numPr>
          <w:ilvl w:val="3"/>
          <w:numId w:val="1"/>
        </w:numPr>
        <w:rPr/>
      </w:pPr>
      <w:bookmarkStart w:id="478" w:name="__RefHeading___Toc3056786_2870459653"/>
      <w:bookmarkStart w:id="479" w:name="_Toc184"/>
      <w:bookmarkEnd w:id="478"/>
      <w:r>
        <w:rPr>
          <w:rtl w:val="true"/>
        </w:rPr>
        <w:t>الطّريقة الأولى</w:t>
      </w:r>
      <w:bookmarkEnd w:id="479"/>
    </w:p>
    <w:p>
      <w:pPr>
        <w:pStyle w:val="Heading5"/>
        <w:numPr>
          <w:ilvl w:val="4"/>
          <w:numId w:val="1"/>
        </w:numPr>
        <w:rPr/>
      </w:pPr>
      <w:bookmarkStart w:id="480" w:name="__RefHeading___Toc3056788_2870459653"/>
      <w:bookmarkStart w:id="481" w:name="_Toc185"/>
      <w:bookmarkEnd w:id="480"/>
      <w:r>
        <w:rPr>
          <w:rtl w:val="true"/>
        </w:rPr>
        <w:t>اشارة</w:t>
      </w:r>
      <w:bookmarkEnd w:id="481"/>
    </w:p>
    <w:p>
      <w:pPr>
        <w:pStyle w:val="BookText"/>
        <w:rPr/>
      </w:pPr>
      <w:r>
        <w:rPr>
          <w:rFonts w:ascii="IRNazanin" w:hAnsi="IRNazanin" w:eastAsia="IRNazanin"/>
          <w:color w:val="111111"/>
          <w:sz w:val="28"/>
          <w:sz w:val="28"/>
          <w:szCs w:val="28"/>
          <w:rtl w:val="true"/>
          <w:lang w:bidi="fa-IR"/>
        </w:rPr>
        <w:t xml:space="preserve">هي عبارة عن تعويض المقطع الأوّل من سند الرواية الواقع بين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يبتدئ به السند في التهذيب بطريق صحيح مستخرج من الفهرست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ويظهر أنّها أوّل تطبيق لنظريّة التعويض لحلّ مشكلة أسانيد التهذيبين بالرجوع إلى فهرسته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 أنّ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هذه الطريقة في تصحيح سند رواية الريّان في التهذيب</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تصدير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لكتاب جامع الرواة بيّن أنّ الزيادة التي أضافها </w:t>
      </w:r>
      <w:bookmarkStart w:id="482" w:name="pg10913_110947"/>
    </w:p>
    <w:p>
      <w:pPr>
        <w:pStyle w:val="BookText"/>
        <w:rPr/>
      </w:pPr>
      <w:bookmarkEnd w:id="482"/>
      <w:r>
        <w:rPr>
          <w:rFonts w:ascii="Amiri" w:hAnsi="Amiri" w:eastAsia="Amiri" w:cs="Amiri"/>
          <w:color w:val="111111"/>
          <w:sz w:val="28"/>
          <w:sz w:val="28"/>
          <w:szCs w:val="28"/>
          <w:rtl w:val="true"/>
          <w:lang w:bidi="ar-SA"/>
        </w:rPr>
        <w:t>المولى الأردبيلي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جميع مَن ذكر الشيخ في الفهرست أنّ له كتاباً أو أصلاً وذكر لنفسه إليه 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يتجلّى تطبيق الطريقة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استنبط من أسانيد روايات التهذيبين أنّ للشيخ إلى كتابه 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اعتمد على الطريقة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أنّه أنهى عدد طرق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أصحاب كتبه إلى خمسين وثمانمائة تقريباً، والمعتبر منها ما يقرب من الخمسمائة</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3" w:name="__RefHeading___Toc3056790_2870459653"/>
      <w:bookmarkStart w:id="484" w:name="_Toc186"/>
      <w:bookmarkEnd w:id="483"/>
      <w:r>
        <w:rPr>
          <w:rtl w:val="true"/>
        </w:rPr>
        <w:t>توضيح هذه الطّريقة</w:t>
      </w:r>
      <w:bookmarkEnd w:id="484"/>
    </w:p>
    <w:p>
      <w:pPr>
        <w:pStyle w:val="Heading6"/>
        <w:numPr>
          <w:ilvl w:val="5"/>
          <w:numId w:val="1"/>
        </w:numPr>
        <w:rPr/>
      </w:pPr>
      <w:bookmarkStart w:id="485" w:name="__RefHeading___Toc3056792_2870459653"/>
      <w:bookmarkStart w:id="486" w:name="_Toc187"/>
      <w:bookmarkEnd w:id="485"/>
      <w:r>
        <w:rPr>
          <w:rtl w:val="true"/>
        </w:rPr>
        <w:t>اشارة</w:t>
      </w:r>
      <w:bookmarkEnd w:id="486"/>
    </w:p>
    <w:p>
      <w:pPr>
        <w:pStyle w:val="BookText"/>
        <w:rPr/>
      </w:pPr>
      <w:r>
        <w:rPr>
          <w:rFonts w:ascii="Amiri" w:hAnsi="Amiri" w:eastAsia="Amiri" w:cs="Amiri"/>
          <w:color w:val="111111"/>
          <w:sz w:val="28"/>
          <w:sz w:val="28"/>
          <w:szCs w:val="28"/>
          <w:rtl w:val="true"/>
          <w:lang w:bidi="ar-SA"/>
        </w:rPr>
        <w:t xml:space="preserve">إنّ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الفهرست يذكر بعد ذكر الاسم والكتب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بجميع كتبه ورواياته فلان</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 xml:space="preserve">، فيكون طريقه في الفهرست طريقاً ثانياً إلى مَن ابتدأ به، بناءً على أنّه يستفاد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بجميع كتبه ورواياته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يرويه ببعض الطرق في التهذيبين فهو يرويه بالطريق الآخر الذي أخبر به في الفهرست</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قَبِلَ هذه الطريقة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بعض طرقه في آخر كتابه</w:t>
      </w:r>
      <w:r>
        <w:rPr>
          <w:rStyle w:val="FootnoteAnchor"/>
          <w:rtl w:val="true"/>
        </w:rPr>
        <w:footnoteReference w:id="647"/>
      </w:r>
      <w:r>
        <w:rPr>
          <w:rFonts w:ascii="Amiri" w:hAnsi="Amiri" w:eastAsia="Amiri" w:cs="Amiri"/>
          <w:color w:val="111111"/>
          <w:sz w:val="28"/>
          <w:sz w:val="28"/>
          <w:szCs w:val="28"/>
          <w:rtl w:val="true"/>
          <w:lang w:bidi="ar-SA"/>
        </w:rPr>
        <w:t>، وأحال الباقي على كتابه الفهرست، فإذا كان طريقه صحيحاً إلى الكتاب في الفهرست حكم بصحّة تلك الرواية</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w:t>
      </w:r>
      <w:bookmarkStart w:id="487" w:name="pg10913_110949"/>
    </w:p>
    <w:p>
      <w:pPr>
        <w:pStyle w:val="Heading6"/>
        <w:numPr>
          <w:ilvl w:val="5"/>
          <w:numId w:val="1"/>
        </w:numPr>
        <w:rPr/>
      </w:pPr>
      <w:bookmarkStart w:id="488" w:name="__RefHeading___Toc3056794_2870459653"/>
      <w:bookmarkStart w:id="489" w:name="_Toc188"/>
      <w:bookmarkEnd w:id="487"/>
      <w:bookmarkEnd w:id="488"/>
      <w:r>
        <w:rPr>
          <w:rtl w:val="true"/>
        </w:rPr>
        <w:t>بعض موارد تطبيق هذه الطّريقة</w:t>
      </w:r>
      <w:bookmarkEnd w:id="489"/>
    </w:p>
    <w:p>
      <w:pPr>
        <w:pStyle w:val="Heading6"/>
        <w:numPr>
          <w:ilvl w:val="5"/>
          <w:numId w:val="1"/>
        </w:numPr>
        <w:rPr/>
      </w:pPr>
      <w:bookmarkStart w:id="490" w:name="__RefHeading___Toc3056796_2870459653"/>
      <w:bookmarkStart w:id="491" w:name="_Toc189"/>
      <w:bookmarkEnd w:id="490"/>
      <w:r>
        <w:rPr/>
        <w:t>1</w:t>
      </w:r>
      <w:r>
        <w:rPr>
          <w:rtl w:val="true"/>
        </w:rPr>
        <w:t xml:space="preserve">. </w:t>
      </w:r>
      <w:r>
        <w:rPr>
          <w:rtl w:val="true"/>
        </w:rPr>
        <w:t xml:space="preserve">ما طبّقه السّيّد الخوئي </w:t>
      </w:r>
      <w:r>
        <w:rPr>
          <w:rtl w:val="true"/>
        </w:rPr>
        <w:t>(</w:t>
      </w:r>
      <w:r>
        <w:rPr>
          <w:rtl w:val="true"/>
        </w:rPr>
        <w:t>رضوان الله علیه</w:t>
      </w:r>
      <w:r>
        <w:rPr>
          <w:rtl w:val="true"/>
        </w:rPr>
        <w:t xml:space="preserve">) </w:t>
      </w:r>
      <w:r>
        <w:rPr>
          <w:rtl w:val="true"/>
        </w:rPr>
        <w:t>عند مناقشة سند رواية هشام في المصباح</w:t>
      </w:r>
      <w:bookmarkEnd w:id="491"/>
    </w:p>
    <w:p>
      <w:pPr>
        <w:pStyle w:val="BookText"/>
        <w:rPr/>
      </w:pPr>
      <w:r>
        <w:rPr>
          <w:rFonts w:ascii="IRNazanin" w:hAnsi="IRNazanin" w:eastAsia="IRNazanin"/>
          <w:color w:val="111111"/>
          <w:sz w:val="28"/>
          <w:sz w:val="28"/>
          <w:szCs w:val="28"/>
          <w:rtl w:val="true"/>
          <w:lang w:bidi="fa-IR"/>
        </w:rPr>
        <w:t>والتي جاء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روي من الصلوات في هذا الوقت ما رواه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اعترض على المورد بأنّ التعويض بالطريق الصحيح للشيخ إلى هشام في الفهرست مدفوع بأنّ ذلك مختصّ بما يرويه عن كتابه كما في التهذيبين، باعتبار أنّه ذكر في المشيخة أنّه يروي فيهما عن أصل أو كتاب الذي يبدأ به السند، بينما في روايات المصباح لم يُحرز أنّها كذلك، ويحتمل أنّه رواها عن غير كتاب هشام، فلا يتمّ التصحيح</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فيظهر أنّ أصل هذه الطريقة مقبول حيث كان نقاشه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صغرويّاً؛ إذ لو كانت رواية هشام مرويّة في التهذيبين لقبل التعويض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ومرجع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التعويض يتمّ إذا كان الراوي الثقة صاحب كتاب، وكان طريقه في الفهرست شاملاً للطريق الضعيف، كما سيتّضح</w:t>
      </w:r>
      <w:r>
        <w:rPr>
          <w:rFonts w:eastAsia="Amiri" w:cs="Amiri" w:ascii="Amiri" w:hAnsi="Amiri"/>
          <w:color w:val="111111"/>
          <w:sz w:val="28"/>
          <w:szCs w:val="28"/>
          <w:rtl w:val="true"/>
          <w:lang w:bidi="ar-SA"/>
        </w:rPr>
        <w:t>.</w:t>
      </w:r>
    </w:p>
    <w:p>
      <w:pPr>
        <w:pStyle w:val="Heading6"/>
        <w:numPr>
          <w:ilvl w:val="5"/>
          <w:numId w:val="1"/>
        </w:numPr>
        <w:rPr/>
      </w:pPr>
      <w:bookmarkStart w:id="492" w:name="__RefHeading___Toc3056798_2870459653"/>
      <w:bookmarkStart w:id="493" w:name="_Toc190"/>
      <w:bookmarkEnd w:id="492"/>
      <w:r>
        <w:rPr/>
        <w:t>2</w:t>
      </w:r>
      <w:r>
        <w:rPr>
          <w:rtl w:val="true"/>
        </w:rPr>
        <w:t xml:space="preserve">. </w:t>
      </w:r>
      <w:r>
        <w:rPr>
          <w:rtl w:val="true"/>
        </w:rPr>
        <w:t xml:space="preserve">ما طبّقه السيّد الخوئي </w:t>
      </w:r>
      <w:r>
        <w:rPr>
          <w:rtl w:val="true"/>
        </w:rPr>
        <w:t>(</w:t>
      </w:r>
      <w:r>
        <w:rPr>
          <w:rtl w:val="true"/>
        </w:rPr>
        <w:t>رضوان الله علیه</w:t>
      </w:r>
      <w:r>
        <w:rPr>
          <w:rtl w:val="true"/>
        </w:rPr>
        <w:t xml:space="preserve">) </w:t>
      </w:r>
      <w:r>
        <w:rPr>
          <w:rtl w:val="true"/>
        </w:rPr>
        <w:t>أيضاً في مناقشته لسند رواية التهذيب</w:t>
      </w:r>
      <w:bookmarkEnd w:id="493"/>
    </w:p>
    <w:p>
      <w:pPr>
        <w:pStyle w:val="Heading6"/>
        <w:numPr>
          <w:ilvl w:val="5"/>
          <w:numId w:val="1"/>
        </w:numPr>
        <w:rPr/>
      </w:pPr>
      <w:bookmarkStart w:id="494" w:name="__RefHeading___Toc3056800_2870459653"/>
      <w:bookmarkStart w:id="495" w:name="_Toc191"/>
      <w:bookmarkEnd w:id="494"/>
      <w:r>
        <w:rPr>
          <w:rtl w:val="true"/>
        </w:rPr>
        <w:t>اشارة</w:t>
      </w:r>
      <w:bookmarkEnd w:id="495"/>
    </w:p>
    <w:p>
      <w:pPr>
        <w:pStyle w:val="BookText"/>
        <w:rPr/>
      </w:pPr>
      <w:r>
        <w:rPr>
          <w:rFonts w:ascii="IRNazanin" w:hAnsi="IRNazanin" w:eastAsia="IRNazanin"/>
          <w:color w:val="111111"/>
          <w:sz w:val="28"/>
          <w:sz w:val="28"/>
          <w:szCs w:val="28"/>
          <w:rtl w:val="true"/>
          <w:lang w:bidi="fa-IR"/>
        </w:rPr>
        <w:t>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محمّد بن أحمد بن داود،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الحميري،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ناقش في سندها بأنّ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عن محمّد بن أحمد بن داود وطريقه إليه </w:t>
      </w:r>
      <w:bookmarkStart w:id="496" w:name="pg10913_110951"/>
    </w:p>
    <w:p>
      <w:pPr>
        <w:pStyle w:val="BookText"/>
        <w:rPr/>
      </w:pPr>
      <w:bookmarkEnd w:id="496"/>
      <w:r>
        <w:rPr>
          <w:rFonts w:ascii="Amiri" w:hAnsi="Amiri" w:eastAsia="Amiri" w:cs="Amiri"/>
          <w:color w:val="111111"/>
          <w:sz w:val="28"/>
          <w:sz w:val="28"/>
          <w:szCs w:val="28"/>
          <w:rtl w:val="true"/>
          <w:lang w:bidi="ar-SA"/>
        </w:rPr>
        <w:t>غير مبيّن في المشيخة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وأجاب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جملة من طرقه في المشيخة وأحال الباقي إلى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وطريق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صحيح في الفهرست</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والحسين بن عبيد الله وأحمد بن عبدون كلّهم، عنه</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ذلك إذا كان ما يرويه ببعض الطرق في التهذيبين فهو يرويه بالطريق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نستفد ذلك، أو استفدنا أنّه يروي بعضها بالطريق الأوّل والبعض الآخر بطريق غيره فلا يتمّ ما ذكر</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هذا خلاف ظاهر عبارته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بجميع كتبه ورواياته</w:t>
      </w:r>
      <w:r>
        <w:rPr>
          <w:rFonts w:eastAsia="Amiri" w:cs="Amiri" w:ascii="Amiri" w:hAnsi="Amiri"/>
          <w:color w:val="111111"/>
          <w:sz w:val="28"/>
          <w:szCs w:val="28"/>
          <w:rtl w:val="true"/>
          <w:lang w:bidi="ar-SA"/>
        </w:rPr>
        <w:t>).</w:t>
      </w:r>
    </w:p>
    <w:p>
      <w:pPr>
        <w:pStyle w:val="Heading6"/>
        <w:numPr>
          <w:ilvl w:val="5"/>
          <w:numId w:val="1"/>
        </w:numPr>
        <w:rPr/>
      </w:pPr>
      <w:bookmarkStart w:id="497" w:name="__RefHeading___Toc3056802_2870459653"/>
      <w:bookmarkStart w:id="498" w:name="_Toc192"/>
      <w:bookmarkEnd w:id="497"/>
      <w:r>
        <w:rPr>
          <w:rtl w:val="true"/>
        </w:rPr>
        <w:t xml:space="preserve">اختلاف تعابير الشّيخ </w:t>
      </w:r>
      <w:r>
        <w:rPr>
          <w:rtl w:val="true"/>
        </w:rPr>
        <w:t>(</w:t>
      </w:r>
      <w:r>
        <w:rPr>
          <w:rtl w:val="true"/>
        </w:rPr>
        <w:t>رضوان الله علیه</w:t>
      </w:r>
      <w:r>
        <w:rPr>
          <w:rtl w:val="true"/>
        </w:rPr>
        <w:t xml:space="preserve">) </w:t>
      </w:r>
      <w:r>
        <w:rPr>
          <w:rtl w:val="true"/>
        </w:rPr>
        <w:t>في الإخبار</w:t>
      </w:r>
      <w:bookmarkEnd w:id="498"/>
    </w:p>
    <w:p>
      <w:pPr>
        <w:pStyle w:val="BookText"/>
        <w:rPr/>
      </w:pPr>
      <w:r>
        <w:rPr>
          <w:rFonts w:ascii="Amiri" w:hAnsi="Amiri" w:eastAsia="Amiri" w:cs="Amiri"/>
          <w:color w:val="111111"/>
          <w:sz w:val="28"/>
          <w:sz w:val="28"/>
          <w:szCs w:val="28"/>
          <w:rtl w:val="true"/>
          <w:lang w:bidi="ar-SA"/>
        </w:rPr>
        <w:t xml:space="preserve">ثمّ إنّ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تعابير مختلفة في الإخبار فنجد أنّه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شأن بعض الرواة يعبّر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بكتبه ورواياته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شأن بعض يعبّر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برواياته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شأن ثالث يعبّر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ورواياته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إشكال في التعويض على التعبيرين الأوّلين، حيث يمكن أن يستفاد من عطفه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وحدة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مقصود الشيخ هو واقع الكتب لا عناوينها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وأمّا في التعبير الثالث حيث لم يعطف فهنا احتمل السيّد الحائري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مقصود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الإخبار بعناوين الكتب وأسمائها لا بواقعها فلا يتمّ التعويض؛ لأنّه لا يحرز شمول الرواية بهذا الإخبار بحيث تكون من مرويّاته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مقصود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الكتب هو واقع الكتب ويظهر ذلك 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التتبّع في موارد استعمال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الجملة في الفهرست فهي لا تدع مجالاً للشكّ في أنّ مقصود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وأنّ هدفه هو تقديم سند للكتب لا مجرّد تثبيت الأسماء والعناوين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إحالة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المشيختين إلى فهارس الأصحاب، وفي إحداهما إلى فهرسته دليل على أنّهم في الفهارس كانوا يقصدون ذكر السند دون تعداد الكتب فحسب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وأردف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حال عدم عطف الروايات على الكتب لا يمكن تطبيق النظريّة إلّا حينما يكون سند الشيخ في فهرسته إلى نفس الكتاب الذي روى عنه الرواية</w:t>
      </w:r>
      <w:r>
        <w:rPr>
          <w:rStyle w:val="FootnoteAnchor"/>
          <w:rtl w:val="true"/>
        </w:rPr>
        <w:footnoteReference w:id="655"/>
      </w:r>
      <w:r>
        <w:rPr>
          <w:rFonts w:ascii="Amiri" w:hAnsi="Amiri" w:eastAsia="Amiri" w:cs="Amiri"/>
          <w:color w:val="111111"/>
          <w:sz w:val="28"/>
          <w:sz w:val="28"/>
          <w:szCs w:val="28"/>
          <w:rtl w:val="true"/>
          <w:lang w:bidi="ar-SA"/>
        </w:rPr>
        <w:t>، كما إذا كان قد ابتدأ باسمه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التفصيل تتمّ هذه الطريقة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الفارق بين قول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أخبرني بكتبه ورواياته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بكتبه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مجرّداً عن العطف، هو السبب الذي جعل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يطبّق التعويض بالبيان الذي ذكره في حقّ حريز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وسيأتي نقله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لم يطبّقه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 هشام بن سالم</w:t>
      </w:r>
      <w:r>
        <w:rPr>
          <w:rStyle w:val="FootnoteAnchor"/>
          <w:rtl w:val="true"/>
        </w:rPr>
        <w:footnoteReference w:id="656"/>
      </w:r>
      <w:r>
        <w:rPr>
          <w:rFonts w:ascii="Amiri" w:hAnsi="Amiri" w:eastAsia="Amiri" w:cs="Amiri"/>
          <w:color w:val="111111"/>
          <w:sz w:val="28"/>
          <w:sz w:val="28"/>
          <w:szCs w:val="28"/>
          <w:rtl w:val="true"/>
          <w:lang w:bidi="ar-SA"/>
        </w:rPr>
        <w:t>حيث كان الطريق إلى كتب هشام فقط بخلاف حريز فإلى كتبه ورواياته</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لا يؤثّر على تماميّة هذه الطريقة إنّما يضيّق من مساحة تطبيقها</w:t>
      </w:r>
      <w:r>
        <w:rPr>
          <w:rFonts w:eastAsia="Amiri" w:cs="Amiri" w:ascii="Amiri" w:hAnsi="Amiri"/>
          <w:color w:val="111111"/>
          <w:sz w:val="28"/>
          <w:szCs w:val="28"/>
          <w:rtl w:val="true"/>
          <w:lang w:bidi="ar-SA"/>
        </w:rPr>
        <w:t xml:space="preserve">. </w:t>
      </w:r>
      <w:bookmarkStart w:id="499" w:name="pg10913_110955"/>
    </w:p>
    <w:p>
      <w:pPr>
        <w:pStyle w:val="Heading6"/>
        <w:numPr>
          <w:ilvl w:val="5"/>
          <w:numId w:val="1"/>
        </w:numPr>
        <w:rPr/>
      </w:pPr>
      <w:bookmarkStart w:id="500" w:name="__RefHeading___Toc3056804_2870459653"/>
      <w:bookmarkStart w:id="501" w:name="_Toc193"/>
      <w:bookmarkEnd w:id="499"/>
      <w:bookmarkEnd w:id="500"/>
      <w:r>
        <w:rPr>
          <w:rtl w:val="true"/>
        </w:rPr>
        <w:t>الفرق بين العطف ب</w:t>
      </w:r>
      <w:r>
        <w:rPr>
          <w:rtl w:val="true"/>
        </w:rPr>
        <w:t>-(</w:t>
      </w:r>
      <w:r>
        <w:rPr>
          <w:rtl w:val="true"/>
        </w:rPr>
        <w:t>رواياته</w:t>
      </w:r>
      <w:r>
        <w:rPr>
          <w:rtl w:val="true"/>
        </w:rPr>
        <w:t xml:space="preserve">) </w:t>
      </w:r>
      <w:r>
        <w:rPr>
          <w:rtl w:val="true"/>
        </w:rPr>
        <w:t>و</w:t>
      </w:r>
      <w:r>
        <w:rPr>
          <w:rtl w:val="true"/>
        </w:rPr>
        <w:t>(</w:t>
      </w:r>
      <w:r>
        <w:rPr>
          <w:rtl w:val="true"/>
        </w:rPr>
        <w:t>برواياته</w:t>
      </w:r>
      <w:r>
        <w:rPr>
          <w:rtl w:val="true"/>
        </w:rPr>
        <w:t>)..</w:t>
      </w:r>
      <w:bookmarkEnd w:id="501"/>
    </w:p>
    <w:p>
      <w:pPr>
        <w:pStyle w:val="BookText"/>
        <w:rPr/>
      </w:pPr>
      <w:r>
        <w:rPr>
          <w:rFonts w:ascii="Amiri" w:hAnsi="Amiri" w:eastAsia="Amiri" w:cs="Amiri"/>
          <w:color w:val="111111"/>
          <w:sz w:val="28"/>
          <w:sz w:val="28"/>
          <w:szCs w:val="28"/>
          <w:rtl w:val="true"/>
          <w:lang w:bidi="ar-SA"/>
        </w:rPr>
        <w:t xml:space="preserve">وقد أورد الكلباسي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بين أن يقال في حقّ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بجميع كتبه ورواياته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تدلّ على عموم الطريق بالنسبة إلى الروايات، وأن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بجميع كتبه وبرواياته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تدلّ على العموم، فلا تكون الرواية مشمولة بالطريق الصحيح، فلا يفيد التعويض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دَفَعَ هذا الإيراد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الجمع المضاف يفيد العموم على المشهور، كما حرّر في الأصول، ويكون الفرق بين العبارتين أنّ الأولى صريحة في العموم والثانية ظاهرة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للعبارة الثانية بأنّه من باب التفنّن في العبارة</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وإيراد الكلباسي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مبنيّ على نسخته من الفهرست حيث نقل عبارة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في الفهرست في ترجمة حريز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بجميع كتبه وبرواياته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بالرجوع إلى الفهرست نلاحظ أنّ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بجميع كتبه ورواياته</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2" w:name="__RefHeading___Toc3056806_2870459653"/>
      <w:bookmarkStart w:id="503" w:name="_Toc194"/>
      <w:bookmarkEnd w:id="502"/>
      <w:r>
        <w:rPr/>
        <w:t>3</w:t>
      </w:r>
      <w:r>
        <w:rPr>
          <w:rtl w:val="true"/>
        </w:rPr>
        <w:t xml:space="preserve">. </w:t>
      </w:r>
      <w:r>
        <w:rPr>
          <w:rtl w:val="true"/>
        </w:rPr>
        <w:t xml:space="preserve">تصحيح السّيّد الخوئي </w:t>
      </w:r>
      <w:r>
        <w:rPr>
          <w:rtl w:val="true"/>
        </w:rPr>
        <w:t>(</w:t>
      </w:r>
      <w:r>
        <w:rPr>
          <w:rtl w:val="true"/>
        </w:rPr>
        <w:t>رضوان الله علیه</w:t>
      </w:r>
      <w:r>
        <w:rPr>
          <w:rtl w:val="true"/>
        </w:rPr>
        <w:t xml:space="preserve">) </w:t>
      </w:r>
      <w:r>
        <w:rPr>
          <w:rtl w:val="true"/>
        </w:rPr>
        <w:t xml:space="preserve">لطريق الشيخ </w:t>
      </w:r>
      <w:r>
        <w:rPr>
          <w:rtl w:val="true"/>
        </w:rPr>
        <w:t>(</w:t>
      </w:r>
      <w:r>
        <w:rPr>
          <w:rtl w:val="true"/>
        </w:rPr>
        <w:t>قدس سره</w:t>
      </w:r>
      <w:r>
        <w:rPr>
          <w:rtl w:val="true"/>
        </w:rPr>
        <w:t xml:space="preserve">) </w:t>
      </w:r>
      <w:r>
        <w:rPr>
          <w:rtl w:val="true"/>
        </w:rPr>
        <w:t>إلى حريز في كتابه المصباح</w:t>
      </w:r>
      <w:bookmarkEnd w:id="503"/>
    </w:p>
    <w:p>
      <w:pPr>
        <w:pStyle w:val="BookText"/>
        <w:rPr/>
      </w:pPr>
      <w:r>
        <w:rPr>
          <w:rFonts w:ascii="IRNazanin" w:hAnsi="IRNazanin" w:eastAsia="IRNazanin"/>
          <w:color w:val="111111"/>
          <w:sz w:val="28"/>
          <w:sz w:val="28"/>
          <w:szCs w:val="28"/>
          <w:rtl w:val="true"/>
          <w:lang w:bidi="fa-IR"/>
        </w:rPr>
        <w:t xml:space="preserve">وذلك في الرواية التي رواها حريز،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وقت الجمعة ساعة</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أفاد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للشيخ عدّة طرق ذكرها في الفهرست، وبما أنّ هذه الطرق غير مختصّة بكتاب دون كتاب؛ لأنّ الإخبار بجميع كتبه ورواياته، فنعوّض </w:t>
      </w:r>
      <w:bookmarkStart w:id="504" w:name="pg10913_110957"/>
    </w:p>
    <w:p>
      <w:pPr>
        <w:pStyle w:val="BookText"/>
        <w:rPr/>
      </w:pPr>
      <w:bookmarkEnd w:id="504"/>
      <w:r>
        <w:rPr>
          <w:rFonts w:ascii="Amiri" w:hAnsi="Amiri" w:eastAsia="Amiri" w:cs="Amiri"/>
          <w:color w:val="111111"/>
          <w:sz w:val="28"/>
          <w:sz w:val="28"/>
          <w:szCs w:val="28"/>
          <w:rtl w:val="true"/>
          <w:lang w:bidi="ar-SA"/>
        </w:rPr>
        <w:t>بطريق الشيخ إلى حريز في الفهرست طريقه في المصباح</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5" w:name="__RefHeading___Toc3056808_2870459653"/>
      <w:bookmarkStart w:id="506" w:name="_Toc195"/>
      <w:bookmarkEnd w:id="505"/>
      <w:r>
        <w:rPr/>
        <w:t>4</w:t>
      </w:r>
      <w:r>
        <w:rPr>
          <w:rtl w:val="true"/>
        </w:rPr>
        <w:t xml:space="preserve">. </w:t>
      </w:r>
      <w:r>
        <w:rPr>
          <w:rtl w:val="true"/>
        </w:rPr>
        <w:t xml:space="preserve">ما ذكره سيدنا الأستاذ </w:t>
      </w:r>
      <w:r>
        <w:rPr>
          <w:rtl w:val="true"/>
        </w:rPr>
        <w:t>(</w:t>
      </w:r>
      <w:r>
        <w:rPr>
          <w:rtl w:val="true"/>
        </w:rPr>
        <w:t>دامت افاداته</w:t>
      </w:r>
      <w:r>
        <w:rPr>
          <w:rtl w:val="true"/>
        </w:rPr>
        <w:t xml:space="preserve">) </w:t>
      </w:r>
      <w:r>
        <w:rPr>
          <w:rtl w:val="true"/>
        </w:rPr>
        <w:t xml:space="preserve">في مقام مناقشة تصحيح طريق الشيخ </w:t>
      </w:r>
      <w:r>
        <w:rPr>
          <w:rtl w:val="true"/>
        </w:rPr>
        <w:t>(</w:t>
      </w:r>
      <w:r>
        <w:rPr>
          <w:rtl w:val="true"/>
        </w:rPr>
        <w:t>قدس سره</w:t>
      </w:r>
      <w:r>
        <w:rPr>
          <w:rtl w:val="true"/>
        </w:rPr>
        <w:t xml:space="preserve">) </w:t>
      </w:r>
      <w:r>
        <w:rPr>
          <w:rtl w:val="true"/>
        </w:rPr>
        <w:t>إلى الروايات التي ابتدأ بها باسم أحمد بن محمّد بن أبي نصر</w:t>
      </w:r>
      <w:bookmarkEnd w:id="506"/>
    </w:p>
    <w:p>
      <w:pPr>
        <w:pStyle w:val="Heading6"/>
        <w:numPr>
          <w:ilvl w:val="5"/>
          <w:numId w:val="1"/>
        </w:numPr>
        <w:rPr/>
      </w:pPr>
      <w:bookmarkStart w:id="507" w:name="__RefHeading___Toc3056810_2870459653"/>
      <w:bookmarkStart w:id="508" w:name="_Toc196"/>
      <w:bookmarkEnd w:id="507"/>
      <w:r>
        <w:rPr>
          <w:rtl w:val="true"/>
        </w:rPr>
        <w:t>اشارة</w:t>
      </w:r>
      <w:bookmarkEnd w:id="508"/>
    </w:p>
    <w:p>
      <w:pPr>
        <w:pStyle w:val="BookText"/>
        <w:rPr/>
      </w:pPr>
      <w:r>
        <w:rPr>
          <w:rFonts w:ascii="Amiri" w:hAnsi="Amiri" w:eastAsia="Amiri" w:cs="Amiri"/>
          <w:color w:val="111111"/>
          <w:sz w:val="28"/>
          <w:sz w:val="28"/>
          <w:szCs w:val="28"/>
          <w:rtl w:val="true"/>
          <w:lang w:bidi="ar-SA"/>
        </w:rPr>
        <w:t xml:space="preserve">ويمكن بيان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عدم تماميّة التعويض في هذا المورد وأمثاله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الرجوع إلى الفهرست يكون في خصوص ما أرجع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إلى الفهرست، وذلك في خصوص مَن أورد أسانيده إليهم في المشيخة، على تأمّلٍ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طريقاً لأحمد بن محمّد بن أبي نصر في المشيخة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سبيل لتصحيح الطريق بالرجوع إلى الفهرست في مَن لم يذكر له الشيخ سنداً في المشيخة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احتمال اختلاف النسخ؛ فإنّ معظم أسانيد الفهرست مقتبسة من الإجازات، وليست إلى نسخ معيّنة من الكتب المذكورة في تراجم الرجال المذكورين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فهنا لو فرضنا أنّ كتاب أحمد بن محمّد بن أبي نصر كان لدى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أخذ الرواية منه فكيف لنا أن نعلم أنّ السند المذكور في الفهرست كان إلى نفس النسخة التي أخذ منها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يمكن التصحيح؟</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يتمّ التصحيح في هذا المورد وأمثاله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الأولى من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إحالته في آخر المشيختين</w:t>
      </w:r>
      <w:r>
        <w:rPr>
          <w:rFonts w:eastAsia="Amiri" w:cs="Amiri" w:ascii="Amiri" w:hAnsi="Amiri"/>
          <w:color w:val="111111"/>
          <w:sz w:val="28"/>
          <w:szCs w:val="28"/>
          <w:rtl w:val="true"/>
          <w:lang w:bidi="ar-SA"/>
        </w:rPr>
        <w:t xml:space="preserve">: </w:t>
      </w:r>
      <w:bookmarkStart w:id="509" w:name="pg10913_110959"/>
    </w:p>
    <w:p>
      <w:pPr>
        <w:pStyle w:val="BookText"/>
        <w:rPr/>
      </w:pPr>
      <w:bookmarkEnd w:id="5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أوردت جملاً من الطرق إلى هذه المصنّفات والأصول، ولتفصيل ذلك شرح يطول هو مذكور في الفهارس</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المصنّفات والأصول هي ما ذكره في طرق المشيخة حيث ذكر قسماً من الطرق إلى ما ذكره من هذه المصنّفات والأصول في المشيخة، وأحال القسم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يذكره من طرق هذه المصنّفات والأصول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الفهارس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تتضيّق مساحة تطبيق هذه الطريقة إلى خصوص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المشيخة</w:t>
      </w:r>
      <w:r>
        <w:rPr>
          <w:rFonts w:eastAsia="Amiri" w:cs="Amiri" w:ascii="Amiri" w:hAnsi="Amiri"/>
          <w:color w:val="111111"/>
          <w:sz w:val="28"/>
          <w:szCs w:val="28"/>
          <w:rtl w:val="true"/>
          <w:lang w:bidi="ar-SA"/>
        </w:rPr>
        <w:t>.</w:t>
      </w:r>
    </w:p>
    <w:p>
      <w:pPr>
        <w:pStyle w:val="Heading6"/>
        <w:numPr>
          <w:ilvl w:val="5"/>
          <w:numId w:val="1"/>
        </w:numPr>
        <w:rPr/>
      </w:pPr>
      <w:bookmarkStart w:id="510" w:name="__RefHeading___Toc3056812_2870459653"/>
      <w:bookmarkStart w:id="511" w:name="_Toc197"/>
      <w:bookmarkEnd w:id="510"/>
      <w:r>
        <w:rPr>
          <w:rtl w:val="true"/>
        </w:rPr>
        <w:t>جريان هذه الطّريقة في أسانيد الاستبصار</w:t>
      </w:r>
      <w:bookmarkEnd w:id="511"/>
    </w:p>
    <w:p>
      <w:pPr>
        <w:pStyle w:val="BookText"/>
        <w:rPr/>
      </w:pPr>
      <w:r>
        <w:rPr>
          <w:rFonts w:ascii="Amiri" w:hAnsi="Amiri" w:eastAsia="Amiri" w:cs="Amiri"/>
          <w:color w:val="111111"/>
          <w:sz w:val="28"/>
          <w:sz w:val="28"/>
          <w:szCs w:val="28"/>
          <w:rtl w:val="true"/>
          <w:lang w:bidi="ar-SA"/>
        </w:rPr>
        <w:t xml:space="preserve">وقد يورد بأنّ هذه الطريقة إذا تمّت في التهذيب فلا تتمّ في الاستبصار؛ وذلك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في آخر الاستبصار بأنّه قد سلك في أوّل الكتاب إيراد الأحاديث بأسانيدها، وعلى ذلك اعتمد في الجزء الأوَّل والثاني، ثمّ اختصر في الجزء الثالث وعوّل على الابتداء بذكر الراوي الذي أخذ الحديث من كتابه أو أصله على أن يورد عند الفراغ من الكتاب جملة من الأسانيد يتوصّل بها إلى هذه الكتب والأصول</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قد يُفهم منه عدم الحاجة إلى الرجوع إلى الفهرست فيما يخصّ طرق الجزئين الأوّلين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استشكل المحقّق الشيخ محمّد نجل المحقّق الشيخ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وجود طريق له في المشيخة، وطريقه في الفهرست </w:t>
      </w:r>
    </w:p>
    <w:p>
      <w:pPr>
        <w:pStyle w:val="BookText"/>
        <w:rPr/>
      </w:pPr>
      <w:r>
        <w:rPr>
          <w:rFonts w:ascii="Amiri" w:hAnsi="Amiri" w:eastAsia="Amiri" w:cs="Amiri"/>
          <w:color w:val="111111"/>
          <w:sz w:val="28"/>
          <w:sz w:val="28"/>
          <w:szCs w:val="28"/>
          <w:rtl w:val="true"/>
          <w:lang w:bidi="ar-SA"/>
        </w:rPr>
        <w:t>إلى كتابه غير سليم، ولا ينفع بتقدير صحّته هنا إلَّا إذا عُلم أنّ الحديث من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نقله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اشتبه على بعض الأصحاب الحال في طرق الفهرست، حيث ظنّ أنّ الطريق في الفهرست كافٍ لرواية وردت في الجزء الأوّل من الاستبصار</w:t>
      </w:r>
      <w:r>
        <w:rPr>
          <w:rStyle w:val="FootnoteAnchor"/>
          <w:rtl w:val="true"/>
        </w:rPr>
        <w:footnoteReference w:id="665"/>
      </w:r>
      <w:r>
        <w:rPr>
          <w:rFonts w:ascii="Amiri" w:hAnsi="Amiri" w:eastAsia="Amiri" w:cs="Amiri"/>
          <w:color w:val="111111"/>
          <w:sz w:val="28"/>
          <w:sz w:val="28"/>
          <w:szCs w:val="28"/>
          <w:rtl w:val="true"/>
          <w:lang w:bidi="ar-SA"/>
        </w:rPr>
        <w:t xml:space="preserve">، فلا يفيد الرجوع للفهرست لتصحيحه؛ لأنّه خلاف تصريح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وأجيب عمّا جزم به المحقّق الشيخ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وإن كان مقتضى صريح العبارة المذكورة اختصاص الطرق بالجزء الثالث، إلّا أنّه خلاف ما يُرى من وضع الكتاب، فإنّ بناءه في ذكر الأسانيد فيه على نهجٍ سواء، فإنّه يروي فيه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في طبقته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سعيد وأمثاله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 في أغلب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الأوّل يروي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في طبقته، بخلاف أواخر الجزء الأوّل والجزئين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أنّ هذا غير ما ذكره</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ويلحق بهذه الطريقة الرجوع إلى مشيخة الكتاب لتصحيح روايات الكتاب، وهذا أولى بالقبول حيث تكون الرواية مسندة صحيحة في الكتاب نفسه فهي أخفّ 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الاستعانة بطرقه في المشيخة لسند رواية غير مذكورة في الكتابين فلا يتمّ؛ لأنّ الشيخ قال في مشيخة الكتابين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في هذا الكتاب عن فلان فقد أخبره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فطرُقه في المشيخة مختصّة بالروايات التي ذكرها في الكتابين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الطريقة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تبّناها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من ابتدأ به </w:t>
      </w:r>
      <w:bookmarkStart w:id="512" w:name="pg10913_110963"/>
    </w:p>
    <w:p>
      <w:pPr>
        <w:pStyle w:val="BookText"/>
        <w:rPr/>
      </w:pPr>
      <w:bookmarkEnd w:id="512"/>
      <w:r>
        <w:rPr>
          <w:rFonts w:ascii="Amiri" w:hAnsi="Amiri" w:eastAsia="Amiri" w:cs="Amiri"/>
          <w:color w:val="111111"/>
          <w:sz w:val="28"/>
          <w:sz w:val="28"/>
          <w:szCs w:val="28"/>
          <w:rtl w:val="true"/>
          <w:lang w:bidi="ar-SA"/>
        </w:rPr>
        <w:t>هو صاحب كتاب وكان إخبار الشيخ بكتبه ورواياته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ما أفاده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ذلك في خصوص مَن أورد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أسانيده إليهم في المشيخة</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3056814_2870459653"/>
      <w:bookmarkStart w:id="514" w:name="_Toc198"/>
      <w:bookmarkEnd w:id="513"/>
      <w:r>
        <w:rPr>
          <w:rtl w:val="true"/>
        </w:rPr>
        <w:t>الطّريقة الثّانية</w:t>
      </w:r>
      <w:bookmarkEnd w:id="514"/>
    </w:p>
    <w:p>
      <w:pPr>
        <w:pStyle w:val="Heading5"/>
        <w:numPr>
          <w:ilvl w:val="4"/>
          <w:numId w:val="1"/>
        </w:numPr>
        <w:rPr/>
      </w:pPr>
      <w:bookmarkStart w:id="515" w:name="__RefHeading___Toc3056816_2870459653"/>
      <w:bookmarkStart w:id="516" w:name="_Toc199"/>
      <w:bookmarkEnd w:id="515"/>
      <w:r>
        <w:rPr>
          <w:rtl w:val="true"/>
        </w:rPr>
        <w:t>اشارة</w:t>
      </w:r>
      <w:bookmarkEnd w:id="516"/>
    </w:p>
    <w:p>
      <w:pPr>
        <w:pStyle w:val="BookText"/>
        <w:rPr/>
      </w:pPr>
      <w:r>
        <w:rPr>
          <w:rFonts w:ascii="IRNazanin" w:hAnsi="IRNazanin" w:eastAsia="IRNazanin"/>
          <w:color w:val="111111"/>
          <w:sz w:val="28"/>
          <w:sz w:val="28"/>
          <w:szCs w:val="28"/>
          <w:rtl w:val="true"/>
          <w:lang w:bidi="fa-IR"/>
        </w:rPr>
        <w:t xml:space="preserve">وهي قريبة من الأولى من حيث إنّ الاستعانة إنّما هي بالطريق التامّ البديل إلى صاحب كتابٍ، إلّا أنّ الفرق بينهما أنّ صاحب الكتاب 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الطريقة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هو مَن ابتدأ به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الطريقة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واقعٌ في سلسلة السند بين من ابتدأ به وبين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فالثقة والضعيف هنا واقعان بين الشيخ ومَن ابتدأ به السند</w:t>
      </w:r>
      <w:r>
        <w:rPr>
          <w:rFonts w:eastAsia="IRNazanin" w:cs="IRNazanin"/>
          <w:color w:val="111111"/>
          <w:sz w:val="28"/>
          <w:szCs w:val="28"/>
          <w:rtl w:val="true"/>
          <w:lang w:bidi="fa-IR"/>
        </w:rPr>
        <w:t>.</w:t>
      </w:r>
    </w:p>
    <w:p>
      <w:pPr>
        <w:pStyle w:val="Heading5"/>
        <w:numPr>
          <w:ilvl w:val="4"/>
          <w:numId w:val="1"/>
        </w:numPr>
        <w:rPr/>
      </w:pPr>
      <w:bookmarkStart w:id="517" w:name="__RefHeading___Toc3056818_2870459653"/>
      <w:bookmarkStart w:id="518" w:name="_Toc200"/>
      <w:bookmarkEnd w:id="517"/>
      <w:r>
        <w:rPr>
          <w:rtl w:val="true"/>
        </w:rPr>
        <w:t>و من موارد تطبيق هذه الطّريقة</w:t>
      </w:r>
      <w:bookmarkEnd w:id="518"/>
    </w:p>
    <w:p>
      <w:pPr>
        <w:pStyle w:val="Heading6"/>
        <w:numPr>
          <w:ilvl w:val="5"/>
          <w:numId w:val="1"/>
        </w:numPr>
        <w:rPr/>
      </w:pPr>
      <w:bookmarkStart w:id="519" w:name="__RefHeading___Toc3056820_2870459653"/>
      <w:bookmarkStart w:id="520" w:name="_Toc201"/>
      <w:bookmarkEnd w:id="519"/>
      <w:r>
        <w:rPr/>
        <w:t>1</w:t>
      </w:r>
      <w:r>
        <w:rPr>
          <w:rtl w:val="true"/>
        </w:rPr>
        <w:t xml:space="preserve">. </w:t>
      </w:r>
      <w:r>
        <w:rPr>
          <w:rtl w:val="true"/>
        </w:rPr>
        <w:t xml:space="preserve">تصحيح طريق الشّيخ </w:t>
      </w:r>
      <w:r>
        <w:rPr>
          <w:rtl w:val="true"/>
        </w:rPr>
        <w:t>(</w:t>
      </w:r>
      <w:r>
        <w:rPr>
          <w:rtl w:val="true"/>
        </w:rPr>
        <w:t>قدس سره</w:t>
      </w:r>
      <w:r>
        <w:rPr>
          <w:rtl w:val="true"/>
        </w:rPr>
        <w:t xml:space="preserve">) </w:t>
      </w:r>
      <w:r>
        <w:rPr>
          <w:rtl w:val="true"/>
        </w:rPr>
        <w:t>إلى أحمد بن محمّد بن عيسى</w:t>
      </w:r>
      <w:bookmarkEnd w:id="520"/>
    </w:p>
    <w:p>
      <w:pPr>
        <w:pStyle w:val="BookText"/>
        <w:rPr/>
      </w:pPr>
      <w:r>
        <w:rPr>
          <w:rFonts w:ascii="Amiri" w:hAnsi="Amiri" w:eastAsia="Amiri" w:cs="Amiri"/>
          <w:color w:val="111111"/>
          <w:sz w:val="28"/>
          <w:sz w:val="28"/>
          <w:szCs w:val="28"/>
          <w:rtl w:val="true"/>
          <w:lang w:bidi="ar-SA"/>
        </w:rPr>
        <w:t xml:space="preserve">وذلك في أحد طريقيه الذي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الحسن بن الوليد، عن أبيه، عن محمّد بن الحسن الصفار وسعد جميعاً، عن أحمد ابن محمّد بن عيسى</w:t>
      </w:r>
      <w:r>
        <w:rPr>
          <w:rStyle w:val="FootnoteAnchor"/>
          <w:rtl w:val="true"/>
        </w:rPr>
        <w:footnoteReference w:id="668"/>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والخدش في هذا السند من جهة أحمد بن محمّد بن الحسن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ثبوت وثاقته حيث لم يرد توثيق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بعده في سلسلة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w:t>
      </w:r>
      <w:bookmarkStart w:id="521" w:name="pg10913_110965"/>
    </w:p>
    <w:p>
      <w:pPr>
        <w:pStyle w:val="BookText"/>
        <w:rPr/>
      </w:pPr>
      <w:bookmarkEnd w:id="521"/>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وللشيخ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تام إليه في الفهرست</w:t>
      </w:r>
      <w:r>
        <w:rPr>
          <w:rStyle w:val="FootnoteAnchor"/>
          <w:rtl w:val="true"/>
        </w:rPr>
        <w:footnoteReference w:id="670"/>
      </w:r>
      <w:r>
        <w:rPr>
          <w:rFonts w:ascii="Amiri" w:hAnsi="Amiri" w:eastAsia="Amiri" w:cs="Amiri"/>
          <w:color w:val="111111"/>
          <w:sz w:val="28"/>
          <w:sz w:val="28"/>
          <w:szCs w:val="28"/>
          <w:rtl w:val="true"/>
          <w:lang w:bidi="ar-SA"/>
        </w:rPr>
        <w:t>، فنعوّض المقطع الضعيف بهذا الطريق البديل الصحيح، فيصبح الطريق الجديد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بذلك أيضاً جماعة، عن ابن بابويه، عن محمّد بن الحسن بن الوليد، عن محمّد بن الحسن الصفار، عن أحمد ابن محمّد بن عيسى</w:t>
      </w:r>
      <w:r>
        <w:rPr>
          <w:rFonts w:eastAsia="Amiri" w:cs="Amiri" w:ascii="Amiri" w:hAnsi="Amiri"/>
          <w:color w:val="111111"/>
          <w:sz w:val="28"/>
          <w:szCs w:val="28"/>
          <w:rtl w:val="true"/>
          <w:lang w:bidi="ar-SA"/>
        </w:rPr>
        <w:t>).</w:t>
      </w:r>
    </w:p>
    <w:p>
      <w:pPr>
        <w:pStyle w:val="Heading6"/>
        <w:numPr>
          <w:ilvl w:val="5"/>
          <w:numId w:val="1"/>
        </w:numPr>
        <w:rPr/>
      </w:pPr>
      <w:bookmarkStart w:id="522" w:name="__RefHeading___Toc3056822_2870459653"/>
      <w:bookmarkStart w:id="523" w:name="_Toc202"/>
      <w:bookmarkEnd w:id="522"/>
      <w:r>
        <w:rPr/>
        <w:t>2</w:t>
      </w:r>
      <w:r>
        <w:rPr>
          <w:rtl w:val="true"/>
        </w:rPr>
        <w:t xml:space="preserve">. </w:t>
      </w:r>
      <w:r>
        <w:rPr>
          <w:rtl w:val="true"/>
        </w:rPr>
        <w:t xml:space="preserve">تصحيح طريق الشّيخ الصّدوق </w:t>
      </w:r>
      <w:r>
        <w:rPr>
          <w:rtl w:val="true"/>
        </w:rPr>
        <w:t>(</w:t>
      </w:r>
      <w:r>
        <w:rPr>
          <w:rtl w:val="true"/>
        </w:rPr>
        <w:t>قدس سره</w:t>
      </w:r>
      <w:r>
        <w:rPr>
          <w:rtl w:val="true"/>
        </w:rPr>
        <w:t xml:space="preserve">) </w:t>
      </w:r>
      <w:r>
        <w:rPr>
          <w:rtl w:val="true"/>
        </w:rPr>
        <w:t>إلى محمّد بن مسلم بالاستعانة بالفهرست</w:t>
      </w:r>
      <w:bookmarkEnd w:id="523"/>
    </w:p>
    <w:p>
      <w:pPr>
        <w:pStyle w:val="Heading6"/>
        <w:numPr>
          <w:ilvl w:val="5"/>
          <w:numId w:val="1"/>
        </w:numPr>
        <w:rPr/>
      </w:pPr>
      <w:bookmarkStart w:id="524" w:name="__RefHeading___Toc3056824_2870459653"/>
      <w:bookmarkStart w:id="525" w:name="_Toc203"/>
      <w:bookmarkEnd w:id="524"/>
      <w:r>
        <w:rPr>
          <w:rtl w:val="true"/>
        </w:rPr>
        <w:t>اشارة</w:t>
      </w:r>
      <w:bookmarkEnd w:id="525"/>
    </w:p>
    <w:p>
      <w:pPr>
        <w:pStyle w:val="BookText"/>
        <w:rPr/>
      </w:pPr>
      <w:r>
        <w:rPr>
          <w:rFonts w:ascii="Amiri" w:hAnsi="Amiri" w:eastAsia="Amiri" w:cs="Amiri"/>
          <w:color w:val="111111"/>
          <w:sz w:val="28"/>
          <w:sz w:val="28"/>
          <w:szCs w:val="28"/>
          <w:rtl w:val="true"/>
          <w:lang w:bidi="ar-SA"/>
        </w:rPr>
        <w:t xml:space="preserve">وطريق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بن مسلم ضعيف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أحمد بن عبد الله بن أحمد بن أبي عبد الله، وأبيه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ليس لهما توثيق صريح، ولكن في السند أحمد بن أبي عبد الله البرقي وهو ثقة وللشيخ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صحيح إليه في الفهرست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يروي جميع كتب وروايات أحمد البرقي</w:t>
      </w:r>
      <w:r>
        <w:rPr>
          <w:rStyle w:val="FootnoteAnchor"/>
          <w:rtl w:val="true"/>
        </w:rPr>
        <w:footnoteReference w:id="671"/>
      </w:r>
      <w:r>
        <w:rPr>
          <w:rFonts w:ascii="Amiri" w:hAnsi="Amiri" w:eastAsia="Amiri" w:cs="Amiri"/>
          <w:color w:val="111111"/>
          <w:sz w:val="28"/>
          <w:sz w:val="28"/>
          <w:szCs w:val="28"/>
          <w:rtl w:val="true"/>
          <w:lang w:bidi="ar-SA"/>
        </w:rPr>
        <w:t xml:space="preserve">بطريق صحيح، ومن جملة روايات أحمد البرقي الرواية التي رواها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بطريقه إلى محمّد بن مسلم، فنركّب طريق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أحمد البرقي مع طريق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بن مسلم، ويصح السند</w:t>
      </w:r>
      <w:r>
        <w:rPr>
          <w:rFonts w:eastAsia="Amiri" w:cs="Amiri" w:ascii="Amiri" w:hAnsi="Amiri"/>
          <w:color w:val="111111"/>
          <w:sz w:val="28"/>
          <w:szCs w:val="28"/>
          <w:rtl w:val="true"/>
          <w:lang w:bidi="ar-SA"/>
        </w:rPr>
        <w:t>.</w:t>
      </w:r>
    </w:p>
    <w:p>
      <w:pPr>
        <w:pStyle w:val="Heading6"/>
        <w:numPr>
          <w:ilvl w:val="5"/>
          <w:numId w:val="1"/>
        </w:numPr>
        <w:rPr/>
      </w:pPr>
      <w:bookmarkStart w:id="526" w:name="__RefHeading___Toc3056826_2870459653"/>
      <w:bookmarkStart w:id="527" w:name="_Toc204"/>
      <w:bookmarkEnd w:id="526"/>
      <w:r>
        <w:rPr>
          <w:rtl w:val="true"/>
        </w:rPr>
        <w:t xml:space="preserve">معنى قول الشّيخ الطّوسي </w:t>
      </w:r>
      <w:r>
        <w:rPr>
          <w:rtl w:val="true"/>
        </w:rPr>
        <w:t>(</w:t>
      </w:r>
      <w:r>
        <w:rPr>
          <w:rtl w:val="true"/>
        </w:rPr>
        <w:t>رضوان الله علیه</w:t>
      </w:r>
      <w:r>
        <w:rPr>
          <w:rtl w:val="true"/>
        </w:rPr>
        <w:t>) (</w:t>
      </w:r>
      <w:r>
        <w:rPr>
          <w:rtl w:val="true"/>
        </w:rPr>
        <w:t>أخبرنا بجميع كتبه ورواياته</w:t>
      </w:r>
      <w:r>
        <w:rPr>
          <w:rtl w:val="true"/>
        </w:rPr>
        <w:t>)</w:t>
      </w:r>
      <w:bookmarkEnd w:id="527"/>
    </w:p>
    <w:p>
      <w:pPr>
        <w:pStyle w:val="Heading6"/>
        <w:numPr>
          <w:ilvl w:val="5"/>
          <w:numId w:val="1"/>
        </w:numPr>
        <w:rPr/>
      </w:pPr>
      <w:bookmarkStart w:id="528" w:name="__RefHeading___Toc3056828_2870459653"/>
      <w:bookmarkStart w:id="529" w:name="_Toc205"/>
      <w:bookmarkEnd w:id="528"/>
      <w:r>
        <w:rPr>
          <w:rtl w:val="true"/>
        </w:rPr>
        <w:t>اشارة</w:t>
      </w:r>
      <w:bookmarkEnd w:id="52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المطلب مرتبط بمعرفة معنى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بجميع كتبه ورواياته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ثبت أنّ معنى العبارة أنّ الرواية التي نريد تصحيح سندها يشملها الإخبار عندما يكون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صحيح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من ابتدأ به بل هو واقع في سلسلة السند بين الشيخ ومَن ابتدأ به، تمّ التعويض</w:t>
      </w:r>
      <w:r>
        <w:rPr>
          <w:rFonts w:eastAsia="Amiri" w:cs="Amiri" w:ascii="Amiri" w:hAnsi="Amiri"/>
          <w:color w:val="111111"/>
          <w:sz w:val="28"/>
          <w:szCs w:val="28"/>
          <w:rtl w:val="true"/>
          <w:lang w:bidi="ar-SA"/>
        </w:rPr>
        <w:t xml:space="preserve">. </w:t>
      </w:r>
      <w:bookmarkStart w:id="530" w:name="pg10913_110968"/>
    </w:p>
    <w:p>
      <w:pPr>
        <w:pStyle w:val="BookText"/>
        <w:rPr/>
      </w:pPr>
      <w:bookmarkEnd w:id="530"/>
      <w:r>
        <w:rPr>
          <w:rFonts w:ascii="IRNazanin" w:hAnsi="IRNazanin" w:eastAsia="IRNazanin"/>
          <w:color w:val="111111"/>
          <w:sz w:val="28"/>
          <w:sz w:val="28"/>
          <w:szCs w:val="28"/>
          <w:rtl w:val="true"/>
          <w:lang w:bidi="fa-IR"/>
        </w:rPr>
        <w:t xml:space="preserve">وقد ذَكَرَ السيّد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للعبارة أربعة احتمالات، وأضاف تلميذه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خامساً</w:t>
      </w:r>
      <w:r>
        <w:rPr>
          <w:rFonts w:eastAsia="IRNazanin" w:cs="IRNazanin"/>
          <w:color w:val="111111"/>
          <w:sz w:val="28"/>
          <w:szCs w:val="28"/>
          <w:rtl w:val="true"/>
          <w:lang w:bidi="fa-IR"/>
        </w:rPr>
        <w:t>:</w:t>
      </w:r>
    </w:p>
    <w:p>
      <w:pPr>
        <w:pStyle w:val="Heading6"/>
        <w:numPr>
          <w:ilvl w:val="5"/>
          <w:numId w:val="1"/>
        </w:numPr>
        <w:rPr/>
      </w:pPr>
      <w:bookmarkStart w:id="531" w:name="__RefHeading___Toc3056830_2870459653"/>
      <w:bookmarkStart w:id="532" w:name="_Toc206"/>
      <w:bookmarkEnd w:id="531"/>
      <w:r>
        <w:rPr>
          <w:rtl w:val="true"/>
        </w:rPr>
        <w:t>الاحتمال الأوَّل</w:t>
      </w:r>
      <w:bookmarkEnd w:id="532"/>
    </w:p>
    <w:p>
      <w:pPr>
        <w:pStyle w:val="BookText"/>
        <w:rPr/>
      </w:pPr>
      <w:r>
        <w:rPr>
          <w:rFonts w:ascii="Amiri" w:hAnsi="Amiri" w:eastAsia="Amiri" w:cs="Amiri"/>
          <w:color w:val="111111"/>
          <w:sz w:val="28"/>
          <w:sz w:val="28"/>
          <w:szCs w:val="28"/>
          <w:rtl w:val="true"/>
          <w:lang w:bidi="ar-SA"/>
        </w:rPr>
        <w:t>أن يكون المقصود جميع كتب وروايات محمّد بن الحسن الصفّار</w:t>
      </w:r>
      <w:r>
        <w:rPr>
          <w:rStyle w:val="FootnoteAnchor"/>
          <w:rtl w:val="true"/>
        </w:rPr>
        <w:footnoteReference w:id="672"/>
      </w:r>
      <w:r>
        <w:rPr>
          <w:rFonts w:ascii="Amiri" w:hAnsi="Amiri" w:eastAsia="Amiri" w:cs="Amiri"/>
          <w:color w:val="111111"/>
          <w:sz w:val="28"/>
          <w:sz w:val="28"/>
          <w:szCs w:val="28"/>
          <w:rtl w:val="true"/>
          <w:lang w:bidi="ar-SA"/>
        </w:rPr>
        <w:t>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الاحتمال لا يكون عقلائيّاً؛ لأنّه لا يمكن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جميع ما صدر في علم الله عن الصفّار</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المناقشة في عدم عقلائيّة هذا الاحتمال بناءً على شمول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بكتبه ورواياته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للروايات الشفهيّة، وأمّا بناءً على عدم الشمول فالإحاطة بالكتب والمؤلّفات المرويّة أمر معقول أو 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في المباحث أنّه على فرض تماميّة هذا الاحتمال يتمّ التعويض بهذه الطريقة؛ لأنّه لا يحتمل كون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قاطعاً بعدم صدور هذا الحديث من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لما نقله في كتابه، ولا يوجد حديث يشكّ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صادر من الصفّار أو لا؛ لأنّ المفروض أنّه يعلم واقعاً بالكتب والروايات، فلا يبقى إلَّا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قاطعاً بصدور هذا الحديث من الصفّار، فالحديث داخل في عموم الإخبار</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التعويض على فرض تماميّة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لم يكن قد وصل هذا الحديث إلى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الطريق الذي ذكره في الفهرست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بجميع كتبه ورواياته فلان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يعلم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بكذب هذا </w:t>
      </w:r>
    </w:p>
    <w:p>
      <w:pPr>
        <w:pStyle w:val="BookText"/>
        <w:rPr/>
      </w:pPr>
      <w:r>
        <w:rPr>
          <w:rFonts w:ascii="Amiri" w:hAnsi="Amiri" w:eastAsia="Amiri" w:cs="Amiri"/>
          <w:color w:val="111111"/>
          <w:sz w:val="28"/>
          <w:sz w:val="28"/>
          <w:szCs w:val="28"/>
          <w:rtl w:val="true"/>
          <w:lang w:bidi="ar-SA"/>
        </w:rPr>
        <w:t xml:space="preserve">الحديث؛ لأنّه بناءً على هذا الاحتمال يعلم أنّ هذا الحديث لم يصله من الطرق التي يعلم واقعاً أنّها للصفار، فكيف يروي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يعلم بكذبه؟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أبطل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على المعنى الذي اختاره للعبارة من عدم شمولها للروايات الشفهيّة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بالرجوع إلى فهرست الشيخ ورجال النجاشي نجد كثيراً ما يذكر أحدهما راوياً ذا كتب كثيرة، ويعدّد منها ما هو أقلّ من عدد الكتب، ممّا يوحي أنّه لم يصله بما لديه من سندٍ كلُّ الكتب، ومع 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بكتبه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بجميع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القرائن الواضحة على عدم وصول كلّ الكتب إليه، كقول النجاشي في علي بن الحسن بن فضال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صنّف كتباً كثيرة منها ما وقع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الوضوء، كتاب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وكقول الشيخ بشأن يونس بن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كتب كثيرة أكثر من ثلاثين كتاباً،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مثل كتب الحسين بن سعيد وزيادة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يعدّد بعضها،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بجميع كتبه ورواياته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وصله كلُّ الكتب 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مثل كتب الحسين بن سعيد وزيادة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وكقول الشيخ بشأن علي بن الحسن بن فضّال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كتاب الطب، كتاب فضل الكوفة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وقوع الثقة بين مَن ابتدأ به والشيخ، أو بين مَن ابتدأ به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المعنى الذي اختاره للعبارة من عدم شمولها للروايات الشفهيّة فقَبِلَ التصحيح عندما يكون الثقة بين مَن ابتدأ به والشيخ، ولم يقبله عند وقوعه بين مَن ابتدأ به والإمام، وعليه فلا يأتي احتمال المشافهة على هذه الطريقة عنده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بناءً على أنّ معنى العبارة يشمل الروايات الشفهيّة فلم يفرّق بين الحالين للثقة في إمكانيّة التعويض</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ناقش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قبساته ما ذُكِر في أصل هذا الاحتمال ببيان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مبنى هذا الكلام أنّ الطرق المذكورة في الفهرست إنّما هي طرق إلى نسخ محدّدة من الكتب والروايات كانت عند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تأليف الفهرست، فعليه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بُدَّ أن يراد بالروايات خصوص الأحاديث الواصلة إلى الشيخ مرويّة عن حريز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أنّى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الاطّلاع على جميع ما رواه حريز في علم الله تعالى حتّى يرويها بالطريق المذكور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لا يتمّ؛ إذ إنّ الممارس يعلم أنّ معظم طرق الفهرست مقتبسة من إجازات الأصحاب وفهارسهم فهي طرق إلى العناوين والأسماء إلّا في موارد محدودة جدّاً أشير فيها إلى كون الطريق على سبيل القراءة أو السماع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الطريق سواء أكان إلى الكتب التي رواها حريز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إلى الأحاديث التي نقلها إنّما هو من قبيل الإجازة الشرفيّة المتداولة في الأعصار الأخيرة، وفائدتها تنحصر في أنّه إذا أحرزنا أنّ نسخة ما هي ممّا رواه حريز من الكتب أو الأحاديث فبالإمكان رواية ما فيها</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بناءً على ما تقدّم في الطريقة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مناقشة اختلاف تعابير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يمكن تقريب أنّ مقصود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مراجعة الفهرست وتتبّع موارد استعمال الشيخ لهذه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العناوين والكتب، وأنّ نفس </w:t>
      </w:r>
      <w:bookmarkStart w:id="533" w:name="pg10913_110973"/>
    </w:p>
    <w:p>
      <w:pPr>
        <w:pStyle w:val="BookText"/>
        <w:rPr/>
      </w:pPr>
      <w:bookmarkEnd w:id="533"/>
      <w:r>
        <w:rPr>
          <w:rFonts w:ascii="Amiri" w:hAnsi="Amiri" w:eastAsia="Amiri" w:cs="Amiri"/>
          <w:color w:val="111111"/>
          <w:sz w:val="28"/>
          <w:sz w:val="28"/>
          <w:szCs w:val="28"/>
          <w:rtl w:val="true"/>
          <w:lang w:bidi="ar-SA"/>
        </w:rPr>
        <w:t>الاقتباس لا ينافي أن يكون مقصوده إسناد رواياته التي رواها في التهذيبين حتى تكون محلّ اعتماد لمن يتبعه في السير على منهج التحقيق الروائي في عمليّة الاستنباط،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بناءً على تماميّة الأمور الثلاثة حتّى الطريقة الأولى لا تتم، وأمّا إذا بنينا على أنّ مقصود الشيخ هو الطرق إلى نسخ محدّدة وصلت إليه فيمكن محاولة تتميم الطرائق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سماء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عدم فائدة الإجازة الشرفيّة، فإنّ الوسائط بين الشيخ والصدوق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مشايخ إجازة وليسوا أصحاب كتب؛ لظهور ثبوت كتب الصدوق، فلا فائدة في إثبات توسّطهم وعدالتهم</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أنّ هذا الاحتمال غير تامّ</w:t>
      </w:r>
      <w:r>
        <w:rPr>
          <w:rFonts w:eastAsia="Amiri" w:cs="Amiri" w:ascii="Amiri" w:hAnsi="Amiri"/>
          <w:color w:val="111111"/>
          <w:sz w:val="28"/>
          <w:szCs w:val="28"/>
          <w:rtl w:val="true"/>
          <w:lang w:bidi="ar-SA"/>
        </w:rPr>
        <w:t>.</w:t>
      </w:r>
    </w:p>
    <w:p>
      <w:pPr>
        <w:pStyle w:val="Heading6"/>
        <w:numPr>
          <w:ilvl w:val="5"/>
          <w:numId w:val="1"/>
        </w:numPr>
        <w:rPr/>
      </w:pPr>
      <w:bookmarkStart w:id="534" w:name="__RefHeading___Toc3056832_2870459653"/>
      <w:bookmarkStart w:id="535" w:name="_Toc207"/>
      <w:bookmarkEnd w:id="534"/>
      <w:r>
        <w:rPr>
          <w:rtl w:val="true"/>
        </w:rPr>
        <w:t>الاحتمال الثّاني</w:t>
      </w:r>
      <w:bookmarkEnd w:id="535"/>
    </w:p>
    <w:p>
      <w:pPr>
        <w:pStyle w:val="BookText"/>
        <w:rPr/>
      </w:pPr>
      <w:r>
        <w:rPr>
          <w:rFonts w:ascii="Amiri" w:hAnsi="Amiri" w:eastAsia="Amiri" w:cs="Amiri"/>
          <w:color w:val="111111"/>
          <w:sz w:val="28"/>
          <w:sz w:val="28"/>
          <w:szCs w:val="28"/>
          <w:rtl w:val="true"/>
          <w:lang w:bidi="ar-SA"/>
        </w:rPr>
        <w:t>أن يكون المقصود جميع الكتب والروايات التي ينسبها الشيخ إلى صاحب الكتاب، ويعتقد بالوجدان والتعبّد أنّها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الاحتمال لا تتمّ هذه الطريقة، وذلك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 هذا الحديث ممّا يعتبره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وجداناً وتعبّداً صادراً من الصفّار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داخلاً في عموم الإخبار مصادرة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الاحتمال خلاف الظاهر لسببين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بجميع كتبه ورواياته فلان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من أهل الرواية والحديث، لا بما هو مجتهد في الأحاديث يحكم بأنّ حديثهُ حقٌّ أو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لإمكان تصحيح روايات ذلك الشخص وكتبه لنا وإخراجها عن الإرسال</w:t>
      </w:r>
      <w:r>
        <w:rPr>
          <w:rFonts w:eastAsia="Amiri" w:cs="Amiri" w:ascii="Amiri" w:hAnsi="Amiri"/>
          <w:color w:val="111111"/>
          <w:sz w:val="28"/>
          <w:szCs w:val="28"/>
          <w:rtl w:val="true"/>
          <w:lang w:bidi="ar-SA"/>
        </w:rPr>
        <w:t xml:space="preserve">. </w:t>
      </w:r>
      <w:bookmarkStart w:id="536" w:name="pg10913_110976"/>
    </w:p>
    <w:p>
      <w:pPr>
        <w:pStyle w:val="BookText"/>
        <w:rPr/>
      </w:pPr>
      <w:bookmarkEnd w:id="536"/>
      <w:r>
        <w:rPr>
          <w:rFonts w:ascii="Amiri" w:hAnsi="Amiri" w:eastAsia="Amiri" w:cs="Amiri"/>
          <w:color w:val="111111"/>
          <w:sz w:val="28"/>
          <w:sz w:val="28"/>
          <w:szCs w:val="28"/>
          <w:rtl w:val="true"/>
          <w:lang w:bidi="ar-SA"/>
        </w:rPr>
        <w:t>ثمّ لو فرضنا أنّ مقصوده خصوص الكتب والروايات التي يعتبرها الشيخ كتباً وروايات له فهذا الكلام غير مفيد في حدّ نفسه</w:t>
      </w:r>
      <w:r>
        <w:rPr>
          <w:rStyle w:val="FootnoteAnchor"/>
          <w:rtl w:val="true"/>
        </w:rPr>
        <w:footnoteReference w:id="678"/>
      </w:r>
      <w:r>
        <w:rPr>
          <w:rFonts w:ascii="Amiri" w:hAnsi="Amiri" w:eastAsia="Amiri" w:cs="Amiri"/>
          <w:color w:val="111111"/>
          <w:sz w:val="28"/>
          <w:sz w:val="28"/>
          <w:szCs w:val="28"/>
          <w:rtl w:val="true"/>
          <w:lang w:bidi="ar-SA"/>
        </w:rPr>
        <w:t xml:space="preserve">، إذ إنّ مجرد نقل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وروايته للحديث لا يستلزم أنّه يعتقد من جهة وجدانه أو بدليل تعبّدي بأنّ هذا الحديث للصفار، فمجرّد النقل للرواية لا يحتاج شيئاً وراء رواية الحديث</w:t>
      </w:r>
      <w:r>
        <w:rPr>
          <w:rStyle w:val="FootnoteAnchor"/>
          <w:rtl w:val="true"/>
        </w:rPr>
        <w:footnoteReference w:id="679"/>
      </w:r>
      <w:r>
        <w:rPr>
          <w:rFonts w:ascii="Amiri" w:hAnsi="Amiri" w:eastAsia="Amiri" w:cs="Amiri"/>
          <w:color w:val="111111"/>
          <w:sz w:val="28"/>
          <w:sz w:val="28"/>
          <w:szCs w:val="28"/>
          <w:rtl w:val="true"/>
          <w:lang w:bidi="ar-SA"/>
        </w:rPr>
        <w:t>، وتكون رواية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باب الأمانة العلميّة من باب أنّه وصله، أو من باب حفظ التراث، أو أنّ الشيخ يعرف أنّ الحديث قد يستفيد منه من لا يتفق معه في المبنى، أو من قد يصله من القرائن ما لم يصله</w:t>
      </w:r>
      <w:r>
        <w:rPr>
          <w:rFonts w:eastAsia="Amiri" w:cs="Amiri" w:ascii="Amiri" w:hAnsi="Amiri"/>
          <w:color w:val="111111"/>
          <w:sz w:val="28"/>
          <w:szCs w:val="28"/>
          <w:rtl w:val="true"/>
          <w:lang w:bidi="ar-SA"/>
        </w:rPr>
        <w:t>.</w:t>
      </w:r>
    </w:p>
    <w:p>
      <w:pPr>
        <w:pStyle w:val="Heading6"/>
        <w:numPr>
          <w:ilvl w:val="5"/>
          <w:numId w:val="1"/>
        </w:numPr>
        <w:rPr/>
      </w:pPr>
      <w:bookmarkStart w:id="537" w:name="__RefHeading___Toc3056834_2870459653"/>
      <w:bookmarkStart w:id="538" w:name="_Toc208"/>
      <w:bookmarkEnd w:id="537"/>
      <w:r>
        <w:rPr>
          <w:rtl w:val="true"/>
        </w:rPr>
        <w:t>الاحتمال الثّالث</w:t>
      </w:r>
      <w:bookmarkEnd w:id="538"/>
    </w:p>
    <w:p>
      <w:pPr>
        <w:pStyle w:val="BookText"/>
        <w:rPr/>
      </w:pPr>
      <w:r>
        <w:rPr>
          <w:rFonts w:ascii="Amiri" w:hAnsi="Amiri" w:eastAsia="Amiri" w:cs="Amiri"/>
          <w:color w:val="111111"/>
          <w:sz w:val="28"/>
          <w:sz w:val="28"/>
          <w:szCs w:val="28"/>
          <w:rtl w:val="true"/>
          <w:lang w:bidi="ar-SA"/>
        </w:rPr>
        <w:t>أن يكون المقصود جميع الكتب والروايات التي تُنسب إلى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أيضاً في المباحث بأنّ هذا الاحتمال أيضاً ليس عقلائيّاً؛ لأنّ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يمكنه أن يعلم بجميع ما ينسب إلى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ويعلم أنّه لا يُنسب إليه غير ما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تماميّة هذا الاحتمال تتمّ هذه الطريقة من نظريّة التعويض؛ لأنّ المفروض أنّ هذا الحديث ينسب إلى الصفّار، فهو داخل في عموم الإخبار</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9" w:name="__RefHeading___Toc3056836_2870459653"/>
      <w:bookmarkStart w:id="540" w:name="_Toc209"/>
      <w:bookmarkEnd w:id="539"/>
      <w:r>
        <w:rPr>
          <w:rtl w:val="true"/>
        </w:rPr>
        <w:t>الاحتمال الرّابع</w:t>
      </w:r>
      <w:bookmarkEnd w:id="540"/>
    </w:p>
    <w:p>
      <w:pPr>
        <w:pStyle w:val="BookText"/>
        <w:rPr/>
      </w:pPr>
      <w:r>
        <w:rPr>
          <w:rFonts w:ascii="Amiri" w:hAnsi="Amiri" w:eastAsia="Amiri" w:cs="Amiri"/>
          <w:color w:val="111111"/>
          <w:sz w:val="28"/>
          <w:sz w:val="28"/>
          <w:szCs w:val="28"/>
          <w:rtl w:val="true"/>
          <w:lang w:bidi="ar-SA"/>
        </w:rPr>
        <w:t>أن يكون المقصود جميع الكتب والروايات التي تنسب إلى الصفار، ووصلت إلى الشيخ</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الاحتمال معقول، وعلى هذا الاحتمال يتمّ التعويض بهذه الطريقة؛ لأنّ المفروض أنّ هذا الحديث وصل إلى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فهو داخل في عموم إخباره</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 xml:space="preserve">. </w:t>
      </w:r>
      <w:bookmarkStart w:id="541" w:name="pg10913_110978"/>
    </w:p>
    <w:p>
      <w:pPr>
        <w:pStyle w:val="Heading6"/>
        <w:numPr>
          <w:ilvl w:val="5"/>
          <w:numId w:val="1"/>
        </w:numPr>
        <w:rPr/>
      </w:pPr>
      <w:bookmarkStart w:id="542" w:name="__RefHeading___Toc3056838_2870459653"/>
      <w:bookmarkStart w:id="543" w:name="_Toc210"/>
      <w:bookmarkEnd w:id="541"/>
      <w:bookmarkEnd w:id="542"/>
      <w:r>
        <w:rPr>
          <w:rtl w:val="true"/>
        </w:rPr>
        <w:t>الاحتمال الخامس</w:t>
      </w:r>
      <w:bookmarkEnd w:id="5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الاحتمال أضافه تلميذه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يكون المقصود جميع ما رواه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كتب وروايات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احتمال معقول، وذكر أنّه بناءً على هذا الاحتمال يتمّ التعويض أيضاً؛ لأنّ المفروض أنّ هذه الرواية ممّا رواها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والفرق بين هذا الاحتمال الأخير والاحتمال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الاحتمال الرابع لو وجدنا كتاباً في مكتبة الشيخ لهذا الثقة وعلمنا بأنّه واصل إلى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لم نعلم أنّه رواه عنه، أمكن تصحيح سند هذا الكتاب بخلافه على الاحتمال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عملي بين هذين الاحتمالين؛ لأنّ هذه الثمرة غير متحقّقة في زماننا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ولعلّه لهذا السبب لم يذكر هذا الاحتمال في المباحث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الاحتمال الذي تمّ قبوله يصحّ فيما إذا لم يروِ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في كتابه بسند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تقييد بلا موجب، ومخالف للظاهر والمتعارف عرفاً</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تماميّة الاحتمال الرابع فقط من بين الاحتمالات الخمسة وعليه يتمّ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وأورد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قبساته على هذا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تصحيح طريق الشيخ الصدوق إلى محمّد بن مسلم ونظائره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جهتين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التعويض إنّما يتمّ إذا كان المراد من الروايات في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بجميع كتبه ورواياته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أحاديث أحمد البرقي في قبال الكتب التي ألّفها وذكر </w:t>
      </w:r>
    </w:p>
    <w:p>
      <w:pPr>
        <w:pStyle w:val="BookText"/>
        <w:rPr/>
      </w:pP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المراد من الروايات في مقابل كتبه هو مؤلفات وكتب الآخرين التي رواها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فلا يتمّ التعويض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والأخير هو الصحيح؛ إذ بالرجوع إلى الفهارس يظهر أنّ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العشرات من مصنّفات الأصحاب فيكون مقتضى المناسبات أن يكون المراد هو مؤلّفات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أبي العباس ابن 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بجميع رواياته وكتبه أبو الحسن أحمد بن محمّد بن موسى الأهوازي، وكان معه خط أبي العباس بإجازته وشرح رواياته وكتبه، عن أبي العباس أحمد بن محمّد بن سعيد</w:t>
      </w:r>
      <w:r>
        <w:rPr>
          <w:rFonts w:eastAsia="Amiri" w:cs="Amiri" w:ascii="Amiri" w:hAnsi="Amiri"/>
          <w:color w:val="111111"/>
          <w:sz w:val="28"/>
          <w:szCs w:val="28"/>
          <w:rtl w:val="true"/>
          <w:lang w:bidi="ar-SA"/>
        </w:rPr>
        <w:t>)</w:t>
      </w:r>
      <w:r>
        <w:rPr>
          <w:rStyle w:val="FootnoteAnchor"/>
          <w:rtl w:val="true"/>
        </w:rPr>
        <w:footnoteReference w:id="685"/>
      </w:r>
      <w:r>
        <w:rPr>
          <w:rFonts w:ascii="Amiri" w:hAnsi="Amiri" w:eastAsia="Amiri" w:cs="Amiri"/>
          <w:color w:val="111111"/>
          <w:sz w:val="28"/>
          <w:sz w:val="28"/>
          <w:szCs w:val="28"/>
          <w:rtl w:val="true"/>
          <w:lang w:bidi="ar-SA"/>
        </w:rPr>
        <w:t xml:space="preserve">، فإنّ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رواياته وكتبه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الدلالة على أنّ المراد هو قائمة كتب ابن عقدة نفسه وقائمة الكتب التي رواها عن الآخرين، وليس المراد بالروايات هو الأحاديث</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الإشكال سيّال وعليه فلا يتمّ التعويض إلّا باستظهار أنّ مقصود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عموم الإخبار لأحاديث البرقي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سلّمنا أنّ المراد من الروايات هو أحاديث البرقي، ولكن تماميّة التصحيح تتوقّف على أن تكون هذه الأحاديث ممّا وصل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أحاديث البرقي التي رواها الشيخ لروايته للفقيه عن الصدوق</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الظاهر أنّ المراد بالروايات ليس هو الأحاديث التي وصلت إلى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روي عن أحمد البرقي أو سعد بن عبد الله أو حريز أو أضرابهم بأي طريق كان، بل </w:t>
      </w:r>
      <w:bookmarkStart w:id="544" w:name="pg10913_110981"/>
    </w:p>
    <w:p>
      <w:pPr>
        <w:pStyle w:val="BookText"/>
        <w:rPr/>
      </w:pPr>
      <w:bookmarkEnd w:id="544"/>
      <w:r>
        <w:rPr>
          <w:rFonts w:ascii="Amiri" w:hAnsi="Amiri" w:eastAsia="Amiri" w:cs="Amiri"/>
          <w:color w:val="111111"/>
          <w:sz w:val="28"/>
          <w:sz w:val="28"/>
          <w:szCs w:val="28"/>
          <w:rtl w:val="true"/>
          <w:lang w:bidi="ar-SA"/>
        </w:rPr>
        <w:t xml:space="preserve">ما رواه هؤلاء في واقع الأمر، وعليه فإذا كان الطريق إلى حريز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 حديث ضعيفاً فلا مثبت لكون ذاك الحديث من مرويات حريز حتّى يمكن أن يستبدل به سند الشيخ إلى روايات حريز فيصبح بذلك سند الحديث معتبراً</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 تام وينقض كليّة الكبرى</w:t>
      </w:r>
      <w:r>
        <w:rPr>
          <w:rFonts w:eastAsia="Amiri" w:cs="Amiri" w:ascii="Amiri" w:hAnsi="Amiri"/>
          <w:color w:val="111111"/>
          <w:sz w:val="28"/>
          <w:szCs w:val="28"/>
          <w:rtl w:val="true"/>
          <w:lang w:bidi="ar-SA"/>
        </w:rPr>
        <w:t>.</w:t>
      </w:r>
    </w:p>
    <w:p>
      <w:pPr>
        <w:pStyle w:val="Heading6"/>
        <w:numPr>
          <w:ilvl w:val="5"/>
          <w:numId w:val="1"/>
        </w:numPr>
        <w:rPr/>
      </w:pPr>
      <w:bookmarkStart w:id="545" w:name="__RefHeading___Toc3056840_2870459653"/>
      <w:bookmarkStart w:id="546" w:name="_Toc211"/>
      <w:bookmarkEnd w:id="545"/>
      <w:r>
        <w:rPr/>
        <w:t>3</w:t>
      </w:r>
      <w:r>
        <w:rPr>
          <w:rtl w:val="true"/>
        </w:rPr>
        <w:t xml:space="preserve">. </w:t>
      </w:r>
      <w:r>
        <w:rPr>
          <w:rtl w:val="true"/>
        </w:rPr>
        <w:t xml:space="preserve">تصحيح سند الصّدوق </w:t>
      </w:r>
      <w:r>
        <w:rPr>
          <w:rtl w:val="true"/>
        </w:rPr>
        <w:t>(</w:t>
      </w:r>
      <w:r>
        <w:rPr>
          <w:rtl w:val="true"/>
        </w:rPr>
        <w:t>قدس سره</w:t>
      </w:r>
      <w:r>
        <w:rPr>
          <w:rtl w:val="true"/>
        </w:rPr>
        <w:t xml:space="preserve">) </w:t>
      </w:r>
      <w:r>
        <w:rPr>
          <w:rtl w:val="true"/>
        </w:rPr>
        <w:t>إلى محمّد بن مسلم بالرجوع لمشيخة الفقيه</w:t>
      </w:r>
      <w:bookmarkEnd w:id="546"/>
    </w:p>
    <w:p>
      <w:pPr>
        <w:pStyle w:val="BookText"/>
        <w:rPr/>
      </w:pPr>
      <w:r>
        <w:rPr>
          <w:rFonts w:ascii="Amiri" w:hAnsi="Amiri" w:eastAsia="Amiri" w:cs="Amiri"/>
          <w:color w:val="111111"/>
          <w:sz w:val="28"/>
          <w:sz w:val="28"/>
          <w:szCs w:val="28"/>
          <w:rtl w:val="true"/>
          <w:lang w:bidi="ar-SA"/>
        </w:rPr>
        <w:t xml:space="preserve">وصحّحه 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Style w:val="FootnoteAnchor"/>
          <w:rtl w:val="true"/>
        </w:rPr>
        <w:footnoteReference w:id="688"/>
      </w:r>
      <w:r>
        <w:rPr>
          <w:rFonts w:ascii="Amiri" w:hAnsi="Amiri" w:eastAsia="Amiri" w:cs="Amiri"/>
          <w:color w:val="111111"/>
          <w:sz w:val="28"/>
          <w:sz w:val="28"/>
          <w:szCs w:val="28"/>
          <w:rtl w:val="true"/>
          <w:lang w:bidi="ar-SA"/>
        </w:rPr>
        <w:t>بالتعويض بطريق صحيح للصدوق إلى العلاء ابن رزين</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عليه المحقّق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من عبارة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الفقيه أنّ ما يرويه عن العلاء هو ما يرويه عن فلان وفلان عندما يكون واقعاً في آخر السند، لا الأعمّ منه ومن الواقع في وسط السند كما في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المشافهة</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الطريقة غير تامّة</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3056842_2870459653"/>
      <w:bookmarkStart w:id="548" w:name="_Toc212"/>
      <w:bookmarkEnd w:id="547"/>
      <w:r>
        <w:rPr>
          <w:rtl w:val="true"/>
        </w:rPr>
        <w:t>الطّريقة الثّالثة</w:t>
      </w:r>
      <w:bookmarkEnd w:id="548"/>
    </w:p>
    <w:p>
      <w:pPr>
        <w:pStyle w:val="Heading5"/>
        <w:numPr>
          <w:ilvl w:val="4"/>
          <w:numId w:val="1"/>
        </w:numPr>
        <w:rPr/>
      </w:pPr>
      <w:bookmarkStart w:id="549" w:name="__RefHeading___Toc3056844_2870459653"/>
      <w:bookmarkStart w:id="550" w:name="_Toc213"/>
      <w:bookmarkEnd w:id="549"/>
      <w:r>
        <w:rPr>
          <w:rtl w:val="true"/>
        </w:rPr>
        <w:t>اشارة</w:t>
      </w:r>
      <w:bookmarkEnd w:id="550"/>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تصحيح سند الشيخ إلى مَن ابتدأ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هذه الناحية مثل الطريقتين السابقتين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بالاستعانة بسند الروايات وتعويض المقطع الأوَّل الضعيف من السند </w:t>
      </w:r>
      <w:bookmarkStart w:id="551" w:name="pg10913_110983"/>
    </w:p>
    <w:p>
      <w:pPr>
        <w:pStyle w:val="BookText"/>
        <w:rPr/>
      </w:pPr>
      <w:bookmarkEnd w:id="551"/>
      <w:r>
        <w:rPr>
          <w:rFonts w:ascii="Amiri" w:hAnsi="Amiri" w:eastAsia="Amiri" w:cs="Amiri"/>
          <w:color w:val="111111"/>
          <w:sz w:val="28"/>
          <w:sz w:val="28"/>
          <w:szCs w:val="28"/>
          <w:rtl w:val="true"/>
          <w:lang w:bidi="ar-SA"/>
        </w:rPr>
        <w:t>بالطريق الثاني المستفاد من سند رواياته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وأشار لهذه الطريقة المجلسي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مرّ، وطبّقها المولى الأردبيلي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ولخصّ السيّد البروجردي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المجلسي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طرقه إلى أرباب الكتب والأصول في المشيخة والفهرست ليُخرج رواياته التي أسقط أسانيدها من الإرسال إلى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ذلك نجد أنّ كثيراً من الطرق بقي معلولاً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طرقه إلى بعض مَن ابتدأ به لا في المشيخة ولا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حلّ هذا الإشكال يكون بالرجوع إلى أسانيد التهذيبين والحصول على طرق معتبرة بديلة عن تلك الضعيفة، ومن ثَمَّ صنّف رسالة ذكر فيها ما توصّل إليه</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2" w:name="__RefHeading___Toc3056846_2870459653"/>
      <w:bookmarkStart w:id="553" w:name="_Toc214"/>
      <w:bookmarkEnd w:id="552"/>
      <w:r>
        <w:rPr>
          <w:rtl w:val="true"/>
        </w:rPr>
        <w:t>بعض موارد تطبيقات هذه الطّريقة</w:t>
      </w:r>
      <w:bookmarkEnd w:id="553"/>
    </w:p>
    <w:p>
      <w:pPr>
        <w:pStyle w:val="Heading6"/>
        <w:numPr>
          <w:ilvl w:val="5"/>
          <w:numId w:val="1"/>
        </w:numPr>
        <w:rPr/>
      </w:pPr>
      <w:bookmarkStart w:id="554" w:name="__RefHeading___Toc3056848_2870459653"/>
      <w:bookmarkStart w:id="555" w:name="_Toc215"/>
      <w:bookmarkEnd w:id="554"/>
      <w:r>
        <w:rPr/>
        <w:t>1</w:t>
      </w:r>
      <w:r>
        <w:rPr>
          <w:rtl w:val="true"/>
        </w:rPr>
        <w:t xml:space="preserve">. </w:t>
      </w:r>
      <w:r>
        <w:rPr>
          <w:rtl w:val="true"/>
        </w:rPr>
        <w:t xml:space="preserve">تصحيح طريق الشّيخ </w:t>
      </w:r>
      <w:r>
        <w:rPr>
          <w:rtl w:val="true"/>
        </w:rPr>
        <w:t>(</w:t>
      </w:r>
      <w:r>
        <w:rPr>
          <w:rtl w:val="true"/>
        </w:rPr>
        <w:t>قدس سره</w:t>
      </w:r>
      <w:r>
        <w:rPr>
          <w:rtl w:val="true"/>
        </w:rPr>
        <w:t xml:space="preserve">) </w:t>
      </w:r>
      <w:r>
        <w:rPr>
          <w:rtl w:val="true"/>
        </w:rPr>
        <w:t>إلى علي بن الحسن الطّاطري في التّهذيب</w:t>
      </w:r>
      <w:bookmarkEnd w:id="55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 باسم علي بن الحسن الطاطري في موارد من التهذيب، والطريق الذي ذكره في المشيخة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عبدون، عن علي بن محمّد بن الزبير، عن أبي الملك أحمد بن عمرو بن كيسبة، عن علي بن الحسن الطاطري</w:t>
      </w: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الفهرست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عبدون، عن أبي الحسن علي بن محمّد بن الزبير القرشي، عن علي بن الحسن بن فضال وأبي الملك أحمد بن عمر بن كيسبة النهدي، جميعاً عنه</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فطريق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ضعيف، بعلي بن محمّد بن الزبير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المعروف بأبي سمينة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بن عمر بن كيسبة النهدي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فأراد المولى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Style w:val="FootnoteAnchor"/>
          <w:rtl w:val="true"/>
        </w:rPr>
        <w:footnoteReference w:id="694"/>
      </w:r>
      <w:r>
        <w:rPr>
          <w:rFonts w:ascii="Amiri" w:hAnsi="Amiri" w:eastAsia="Amiri" w:cs="Amiri"/>
          <w:color w:val="111111"/>
          <w:sz w:val="28"/>
          <w:sz w:val="28"/>
          <w:szCs w:val="28"/>
          <w:rtl w:val="true"/>
          <w:lang w:bidi="ar-SA"/>
        </w:rPr>
        <w:t>أن يصحّح هذا الطريق بطريق صحيح للشيخ ورد في التهذيب في عدّة مواضع إلى الطاطري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القاسم، عن الطاطري، عن محمّد بن أبي حمزة ودرست، عن ابن مسكان</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وموسى بن القاسم يروي جميع كتب الطاطري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الرواية المبحوث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هذا الطريق طريقاً صحيحاً للشيخ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بيّن السيّد البروجردي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ذهاب المولى الأردبيلي لهذه الطريقة، وأنّه إذا رأى في أسانيد التهذيبين صاحب كتاب أو أصل استظهر أنّ الحديث المروي بذلك السند مأخوذ من كتاب هذا الرجل، وأنّ الرواة الذين توسّطوا في سنده بين الشيخ وبين صاحب الكتاب رووا هذا الحديث عنه بسبب روايتهم لجميع ما في كتابه من الروايات، لا مشافهة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وعليه إذا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صاحب الكتاب روايات أُخر وبدأ بذكره في أسانيدها ولم يذكر في المشيخة والفهرست إليه طريقاً أو ذكر إليه طريقاً ضعيفاً على المشهور حكم بصحّتها لما وجده في أسانيد التهذيبين من الطريق الصحيح أو المعتبر إلى كتابه</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مبنى هذا التعويض يرجع لأمور ثلاثة</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كان مقيّداً بعدم الابتداء إلّا باسم من أخذ الحديث من أصله أو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وقع صاحب كتاب في سند رواية وكان يروي عنه صاحب كتاب آخر فإنّ الرواية تكون مأخوذة من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اختصاص السند بتلك الرواية بل يعمّ روايات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الأمر الأوّل فإنّ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يتقيّد عملاً بعدم الابتداء إلّا بمن أخذ الحديث من كتابه أو أصله، وما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يبتدئ باسم من أخذ الحديث من كتابه أو أصله فهو محمول على الغالب، فهناك موارد لم يلتزم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Style w:val="FootnoteAnchor"/>
          <w:rtl w:val="true"/>
        </w:rPr>
        <w:footnoteReference w:id="698"/>
      </w:r>
      <w:r>
        <w:rPr>
          <w:rFonts w:ascii="Amiri" w:hAnsi="Amiri" w:eastAsia="Amiri" w:cs="Amiri"/>
          <w:color w:val="111111"/>
          <w:sz w:val="28"/>
          <w:sz w:val="28"/>
          <w:szCs w:val="28"/>
          <w:rtl w:val="true"/>
          <w:lang w:bidi="ar-SA"/>
        </w:rPr>
        <w:t>،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مهزيار، وأحمد بن محمّد بن الحسن بن الوليد، وجابر بن عبد الله الأنصاري، وزيد بن جهم الهلالي، وعبد الله بن سيّابة، وعلي بن سندي، ومحمّد بن إسماعيل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 يروي عن الفضل بن شاذان وهو على التحقيق البُندقي 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،ومحمّد بن زيد الطبري، ويعقوب بن عثيم وغيرهم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الأمر يضيّق من مساحة تطبيق هذه الطريقة إلى الموارد التي ابتدأ الشيخ بمن أخذ الحديث من كتابه أو أصله، ولعلّه يمكن بالرجوع إلى الفهرست معرفة أصحاب الكتب ممّن ابتدأ به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كلّ من يقع في سند رواية إذا كان صاحب كتاب ويروي </w:t>
      </w:r>
    </w:p>
    <w:p>
      <w:pPr>
        <w:pStyle w:val="BookText"/>
        <w:rPr/>
      </w:pPr>
      <w:r>
        <w:rPr>
          <w:rFonts w:ascii="Amiri" w:hAnsi="Amiri" w:eastAsia="Amiri" w:cs="Amiri"/>
          <w:color w:val="111111"/>
          <w:sz w:val="28"/>
          <w:sz w:val="28"/>
          <w:szCs w:val="28"/>
          <w:rtl w:val="true"/>
          <w:lang w:bidi="ar-SA"/>
        </w:rPr>
        <w:t xml:space="preserve">عنه صاحب كتاب آخر فإنّ الرواية تكون مأخوذة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فيردّه احتمال المشافهة، وأنّه سمعها منه شفاهاً فحفظها ثمّ أدرجها في مؤلَّفه؛ إذ لا دليل على أنّ كلّ مَن ألّف كتاباً وأودع فيه أحاديث مرويّة عن صاحب كتاب آخر يكون قد أخذها من نفس كتابه</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ولهذا الاحتمال اشترط 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الإكثار من ذكر الطريق، فمع الإكثار يحصل الظنّ بل الاطمئنان أنّ الأحاديث مأخوذة من كتاب المروي عنه</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الظنّ لا يغني من الحقّ شيئاً، وهو ليس من الظنون المعتبرة، وإذا دخل في الاطمئنان الشخصي فهو حجّة لصاحبه فقط، ومطلق الظنّ لا يفيد في حال انفتاح باب العلم والعلمي كما ذكر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يدخل في الاطمئنان النوعي المستفاد من الإكثار فيكون حجّة فهذا ما يحتاج إلى مزيد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ما ذكره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قبساته من أنّ صاحب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القاسم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بالضرورة قد أخذ الرواية من كتاب شيخه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يحتمل أنّه أخذها من كتب الأسبق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حمزة أو درست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وهذا الاحتمال لا دافع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افاداته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فالأمر الثاني أيضاً غيرُ تامٍّ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ذلك السند لا يكون سنداً إلى خصوص تلك الرواية بل إلى جميع ما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يتمّ أيضاً؛ لاحتمال أن يكون لصاحب الكتاب كتب متعدّدة، </w:t>
      </w:r>
      <w:bookmarkStart w:id="556" w:name="pg10913_110992"/>
    </w:p>
    <w:p>
      <w:pPr>
        <w:pStyle w:val="BookText"/>
        <w:rPr/>
      </w:pPr>
      <w:bookmarkEnd w:id="556"/>
      <w:r>
        <w:rPr>
          <w:rFonts w:ascii="Amiri" w:hAnsi="Amiri" w:eastAsia="Amiri" w:cs="Amiri"/>
          <w:color w:val="111111"/>
          <w:sz w:val="28"/>
          <w:sz w:val="28"/>
          <w:szCs w:val="28"/>
          <w:rtl w:val="true"/>
          <w:lang w:bidi="ar-SA"/>
        </w:rPr>
        <w:t xml:space="preserve">وتكون طرق هذه الكتب مختلفة فيما بينها، فيكون الطريق إلى مَن ابتدأ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 في أبواب كتبه كالحيض والنفاس والنكاح مختلفاً عن الطريق إليه في كتابٍ آخر كالحج، ففي مثالنا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أقصى ما يمكن البناء عليه هو أنّ الطاطري أجاز لموسى بن القاسم تمام كتاب الحج، وأمّا أنّه أجاز له جميع كتبه فهذا ممّا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 آخر وهو احتمال تعدّد النسخ فيبقى احتمال أنّ النسخة التي اعتمدها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الطاطري هي برواية محمّد بن الزبير، ومعه لا يجدي وجود طريقٍ آخر للطاطري بطريق موسى بن القاسم؛ لاحتمال أن يكون إلى نسخة أخرى فلا يتمّ التعويض</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احتمال اختصاص السند بتلك الرواية فلا يتمّ التعويض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سماء المقال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تقدّم في الطريقة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المورد بعدم فائدة الإجازة الشرفيّة فإنّ الوسائط ليسوا أصحاب كتب بل مشايخ إجازة، فلا فائدة في إثبات توسّطهم وعدالتهم</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خلال بيان ما تقدّم ظهر ما في كلام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مناقشته لكلام الأردبيلي فيما كتبه في مقدّمته لكتاب جامع الرواة</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7" w:name="__RefHeading___Toc3056850_2870459653"/>
      <w:bookmarkStart w:id="558" w:name="_Toc216"/>
      <w:bookmarkEnd w:id="557"/>
      <w:r>
        <w:rPr/>
        <w:t>2</w:t>
      </w:r>
      <w:r>
        <w:rPr>
          <w:rtl w:val="true"/>
        </w:rPr>
        <w:t xml:space="preserve">. </w:t>
      </w:r>
      <w:r>
        <w:rPr>
          <w:rtl w:val="true"/>
        </w:rPr>
        <w:t xml:space="preserve">ما ذكره المحدِّث النوري </w:t>
      </w:r>
      <w:r>
        <w:rPr>
          <w:rtl w:val="true"/>
        </w:rPr>
        <w:t>(</w:t>
      </w:r>
      <w:r>
        <w:rPr>
          <w:rtl w:val="true"/>
        </w:rPr>
        <w:t>قدس سره</w:t>
      </w:r>
      <w:r>
        <w:rPr>
          <w:rtl w:val="true"/>
        </w:rPr>
        <w:t xml:space="preserve">) </w:t>
      </w:r>
      <w:r>
        <w:rPr>
          <w:rtl w:val="true"/>
        </w:rPr>
        <w:t>في تصحيح طريق الشّيخ الصّدوق إلى محمّد بن مسلم</w:t>
      </w:r>
      <w:bookmarkEnd w:id="558"/>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عبد الله بن أحمد بن أبي عبد الله، عن أبيه، عن جدّه أحمد ابن أبي عبد الله البرقي، عن أبيه محمّد بن خالد البرقي، عن العلاء بن رزين،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والسند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بن أحمد بن عبد الله بن أحمد بن أبي عبد الله، وأبيه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وطبّق 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التعويض في تصحيح هذا الطريق بثلاثة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بالتعويض بطريق صحيح إلى أحمد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مستخرج من الفهرست، وقد تقدّم الكلام حول ذلك في الطريقة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مستخرج من مطاوي أسانيده، وعلّل اختلاف نقل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غير معتبر مع وجود المعتبر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يتفنّن بذكر مشايخه وإلّا فطرقه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بالتعويض بطريق صحيح إلى العلاء، وقد تقدّم أيضاً في الطريقة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بالتعويض بطريق صحيح إلى محمّد بن مسلم مستخرج من أسانيد التهذيبين</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يناقش في طريقة التّعويض هذه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 من أمر التفنّن لم يقبله بعضُ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لبعد النقل بطريق غير معتبر مع وجود المعتبر منه، وعليه فلا يتمّ التعويض</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الوثوق عند القدماء ليس على حدِّ الوثوق عندنا، ولعلّ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كلا الطريقين معتبراً وإلّا لم يذكرهما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إرجاعه إلى الطرق التي ذكرت في التهذيبين اعترض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سماء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غير نافع؛ لأنّه إذا صحّت لنا رواية عن ثقة بوسائط موثّقين فلا وجه لتصحيح رواية أخرى وصلت إلينا بطريق غير صحيح عن هذا الثقة لمجرّد ثبوت </w:t>
      </w:r>
      <w:bookmarkStart w:id="559" w:name="pg10913_110996"/>
    </w:p>
    <w:p>
      <w:pPr>
        <w:pStyle w:val="BookText"/>
        <w:rPr/>
      </w:pPr>
      <w:bookmarkEnd w:id="559"/>
      <w:r>
        <w:rPr>
          <w:rFonts w:ascii="Amiri" w:hAnsi="Amiri" w:eastAsia="Amiri" w:cs="Amiri"/>
          <w:color w:val="111111"/>
          <w:sz w:val="28"/>
          <w:sz w:val="28"/>
          <w:szCs w:val="28"/>
          <w:rtl w:val="true"/>
          <w:lang w:bidi="ar-SA"/>
        </w:rPr>
        <w:t>طريق صحيح في رواية أو روايات خاصة؛ إذّ الوسائط الثقاة وسائط لخصوص رواياتهم</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يظنّ بالمحدِّث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هذه الطريقة الفاسدة من التصحيح، وإنّ ما ذكره مبنيّ على نكتة فنّيّة ومقدّمات مطويّة مرّ ذكرها في بيان كلام المولى،ثم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كلام 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 لعدم تماميّة كلام المولى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اعتمد عليه 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ما يورد على المحدِّث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شاهد على أنّ طريق الصدوق إلى كتب بعض المذكورين كالعلاء بن رزين ويعقوب بن يزيد كان إلى نسخة معيّنة بالقراءة أو المناولة أو السماع ونحوها، بل لعلّه كان على نحو الإجازة المحضة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تنفع في توثيق النسخة المنقول عنها الحديث</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الطريقة أيضاً غير تامّة</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3056852_2870459653"/>
      <w:bookmarkStart w:id="561" w:name="_Toc217"/>
      <w:bookmarkEnd w:id="560"/>
      <w:r>
        <w:rPr>
          <w:rtl w:val="true"/>
        </w:rPr>
        <w:t>الطّريقة الرّابعة</w:t>
      </w:r>
      <w:bookmarkEnd w:id="561"/>
    </w:p>
    <w:p>
      <w:pPr>
        <w:pStyle w:val="Heading5"/>
        <w:numPr>
          <w:ilvl w:val="4"/>
          <w:numId w:val="1"/>
        </w:numPr>
        <w:rPr/>
      </w:pPr>
      <w:bookmarkStart w:id="562" w:name="__RefHeading___Toc3056854_2870459653"/>
      <w:bookmarkStart w:id="563" w:name="_Toc218"/>
      <w:bookmarkEnd w:id="562"/>
      <w:r>
        <w:rPr>
          <w:rtl w:val="true"/>
        </w:rPr>
        <w:t>اشارة</w:t>
      </w:r>
      <w:bookmarkEnd w:id="563"/>
    </w:p>
    <w:p>
      <w:pPr>
        <w:pStyle w:val="BookText"/>
        <w:rPr/>
      </w:pPr>
      <w:r>
        <w:rPr>
          <w:rFonts w:ascii="Amiri" w:hAnsi="Amiri" w:eastAsia="Amiri" w:cs="Amiri"/>
          <w:color w:val="111111"/>
          <w:sz w:val="28"/>
          <w:sz w:val="28"/>
          <w:szCs w:val="28"/>
          <w:rtl w:val="true"/>
          <w:lang w:bidi="ar-SA"/>
        </w:rPr>
        <w:t>الطّريقة الرّابعة</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تعويض الطريق الضعيف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صحيح للشيخ الصدوق في مشيخة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بالرجوع مثلاً إلى رسالة أبي غالب الزراري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صاحب ذلك الكتاب</w:t>
      </w:r>
      <w:r>
        <w:rPr>
          <w:rFonts w:eastAsia="Amiri" w:cs="Amiri" w:ascii="Amiri" w:hAnsi="Amiri"/>
          <w:color w:val="111111"/>
          <w:sz w:val="28"/>
          <w:szCs w:val="28"/>
          <w:rtl w:val="true"/>
          <w:lang w:bidi="ar-SA"/>
        </w:rPr>
        <w:t xml:space="preserve">. </w:t>
      </w:r>
      <w:bookmarkStart w:id="564" w:name="pg10913_110998"/>
    </w:p>
    <w:p>
      <w:pPr>
        <w:pStyle w:val="BookText"/>
        <w:rPr/>
      </w:pPr>
      <w:bookmarkEnd w:id="564"/>
      <w:r>
        <w:rPr>
          <w:rFonts w:ascii="Amiri" w:hAnsi="Amiri" w:eastAsia="Amiri" w:cs="Amiri"/>
          <w:color w:val="111111"/>
          <w:sz w:val="28"/>
          <w:sz w:val="28"/>
          <w:szCs w:val="28"/>
          <w:rtl w:val="true"/>
          <w:lang w:bidi="ar-SA"/>
        </w:rPr>
        <w:t xml:space="preserve">وقد اعتمدها المجلسي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بيانها بمقدّمات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طريقاً صحيحاً إلى جميع روايات الشيخ الصدوق بواسطة الشيخ المفيد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 طريق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روايات صاحب الكتاب الذي ينقل عنه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فيثبت بذلك طريق صحيح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صاحب الكتاب، ومن ثَمَّ يحكم بصحّة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طريق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أحمد بن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ضعيفاً، وكان طريق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صحيحاً في المشيخة، فيتلفّق طريق صحيح يتكوّن من طريق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أحمد بن محمّد بن عيسى</w:t>
      </w:r>
      <w:r>
        <w:rPr>
          <w:rFonts w:eastAsia="Amiri" w:cs="Amiri" w:ascii="Amiri" w:hAnsi="Amiri"/>
          <w:color w:val="111111"/>
          <w:sz w:val="28"/>
          <w:szCs w:val="28"/>
          <w:rtl w:val="true"/>
          <w:lang w:bidi="ar-SA"/>
        </w:rPr>
        <w:t>.</w:t>
      </w:r>
    </w:p>
    <w:p>
      <w:pPr>
        <w:pStyle w:val="Heading5"/>
        <w:numPr>
          <w:ilvl w:val="4"/>
          <w:numId w:val="1"/>
        </w:numPr>
        <w:rPr/>
      </w:pPr>
      <w:bookmarkStart w:id="565" w:name="__RefHeading___Toc3056856_2870459653"/>
      <w:bookmarkStart w:id="566" w:name="_Toc219"/>
      <w:bookmarkEnd w:id="565"/>
      <w:r>
        <w:rPr>
          <w:rtl w:val="true"/>
        </w:rPr>
        <w:t>ولكن يناقش في هذه الطّريقة</w:t>
      </w:r>
      <w:bookmarkEnd w:id="566"/>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طرق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مشيخة الفقيه مختصّة بما يرويه في هذا الكتاب كما هو صريح قوله في المشيخة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كان في هذا الكتاب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رويته عن</w:t>
      </w:r>
      <w:r>
        <w:rPr>
          <w:rFonts w:eastAsia="Amiri" w:cs="Amiri" w:ascii="Amiri" w:hAnsi="Amiri"/>
          <w:color w:val="111111"/>
          <w:sz w:val="28"/>
          <w:szCs w:val="28"/>
          <w:rtl w:val="true"/>
          <w:lang w:bidi="ar-SA"/>
        </w:rPr>
        <w:t>...)</w:t>
      </w:r>
      <w:r>
        <w:rPr>
          <w:rStyle w:val="FootnoteAnchor"/>
          <w:rtl w:val="true"/>
        </w:rPr>
        <w:footnoteReference w:id="71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والرواية الموجودة في التهذيب غير موجودة في هذا الكتاب فلا تكون طرق كتابه طرقاً لروايات الشيخ في التهذيب، فلا يتمّ التعويض، وإلّا فلو كانت موجودة في الفقيه لتمسّكنا بها ابتداءً مع صحّة طريقه في مشيخته، ولا حاجة لما نقله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أنّ الطرق عامّة، وأنّ الصدوق قد صرّح بأنّها طرق إلى جميع كتب وروايات مَن يروي عنه، ولكي تكون رواية الشيخ مشمولة لطريق الشيخ الصدوق </w:t>
      </w:r>
    </w:p>
    <w:p>
      <w:pPr>
        <w:pStyle w:val="BookText"/>
        <w:rPr/>
      </w:pPr>
      <w:r>
        <w:rPr>
          <w:rFonts w:ascii="Amiri" w:hAnsi="Amiri" w:eastAsia="Amiri" w:cs="Amiri"/>
          <w:color w:val="111111"/>
          <w:sz w:val="28"/>
          <w:sz w:val="28"/>
          <w:szCs w:val="28"/>
          <w:rtl w:val="true"/>
          <w:lang w:bidi="ar-SA"/>
        </w:rPr>
        <w:t>ويصحّ التعويض يجب أن تكون هذه الرواية واصلة إليه، فكيف يمكن إحراز ذلك؟</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إشكال سيّال يتكرّر في الطرائق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عن المناقشة الأولى في المباحث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استظهار كبرى الإحالة من قول الشيخ في آخر مشيخة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أوردت جملاً من الطرق إلى هذه المصنّفات والأصول ولتفصيل ذلك شرح يطول هو مذكور في الفهارس المصنّفة في هذا الباب للشيوخ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أراده أخذه من هناك إن شاء الله، وقد ذكرنا نحن مستوفى في كتاب فهرست الشيعة</w:t>
      </w:r>
      <w:r>
        <w:rPr>
          <w:rFonts w:eastAsia="Amiri" w:cs="Amiri" w:ascii="Amiri" w:hAnsi="Amiri"/>
          <w:color w:val="111111"/>
          <w:sz w:val="28"/>
          <w:szCs w:val="28"/>
          <w:rtl w:val="true"/>
          <w:lang w:bidi="ar-SA"/>
        </w:rPr>
        <w:t>)</w:t>
      </w:r>
      <w:r>
        <w:rPr>
          <w:rStyle w:val="FootnoteAnchor"/>
          <w:rtl w:val="true"/>
        </w:rPr>
        <w:footnoteReference w:id="712"/>
      </w:r>
      <w:r>
        <w:rPr>
          <w:rFonts w:ascii="Amiri" w:hAnsi="Amiri" w:eastAsia="Amiri" w:cs="Amiri"/>
          <w:color w:val="111111"/>
          <w:sz w:val="28"/>
          <w:sz w:val="28"/>
          <w:szCs w:val="28"/>
          <w:rtl w:val="true"/>
          <w:lang w:bidi="ar-SA"/>
        </w:rPr>
        <w:t>، ومن ما ذكره في مشيخة الاستبصار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أوردت جملاً من الطرق إلى هذه المصنّفات والأصول ولتفصيل ذلك شرح يطول هو مذكور في الفهارست للشيوخ فمن أراده وقف عليه من هناك</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هذا يظهر أنّ تماميّة الرجوع في مقام التصحيح مبنيّة على دعوى أنّ المقصود من كلام الشيخ في آخر كتابيه ليس هو الإحالة على خصوص فهارس الشيوخ التي يذكر فيها طرقهم إلى أصحاب الكتب والأصول بلحاظ كلّ ما وصل إليهم من كتبهم ورواياتهم، بل المستظهر هو الإحالة على القضيّة الخارجيّة من الفهارس الموجودة للشيوخ، ومن أجلى مصاديقها مشيخة الصدوق، وإن كانت بحسب مدلولها اللَّفظي مشيخة لخصوص الروايات المذكورة في الفقيه</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أورد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الاستظهار معارض بقول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ذكرنا نحن مستوفى في كتاب فهرست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 منه أنّه استوفى جميع طرقه في فهرسته، فالطريق الذي لم يذكره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وعليه فلا يتمّ هذا الاستظهار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إيراده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المعنى المذكور غير معلوم، بل لا يبعد أن يكون مقصود الشيخ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تعرّضنا لذلك تفصيلاً لا على نحو 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فرض التعارض والإجمال بين كلاميه في التهذيب والمشيخة نرجع إلى كلامه في الاستبصار السليم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ذكر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طريقه إلى الصدوق هو ذكر إجمالي لطرق الصدوق الموجودة في مشيخته، وأمّا دلالة ما ذكره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طرقه في المشيخة خاصة به فهو من باب الضيق في التعبير بقرينة إطلاق الشيخ في الحوالة على فهارس الشيوخ</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وقرّب السيّد الحائري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كون مشيخة الصدوق من أجلى مصاديق الفهارس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لم تكن لدى الأصحاب فهارس موسّعة كي يكون كلام الشيخ إشارة إليها، ويشهد لذلك أنّ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في أوّل كتاب الفهرست في مقام بيان ما دعاه إلى وضع فهرسته إلى عدم سعة فهارس الأصحاب عدا فهرستين لابن الغضائري الحسين بن 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فهرست للمصنّفات، والآخر فهرست للأصول، ولكنّهما تعرّضا للتلف</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فهرست من فهارس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متأخّر في التأليف عن التهذيب والاستبصار بدليل أنّه ذكرهما في كتابه عند ترجمة الشيخ</w:t>
      </w:r>
      <w:r>
        <w:rPr>
          <w:rFonts w:eastAsia="Amiri" w:cs="Amiri" w:ascii="Amiri" w:hAnsi="Amiri"/>
          <w:color w:val="111111"/>
          <w:sz w:val="28"/>
          <w:szCs w:val="28"/>
          <w:rtl w:val="true"/>
          <w:lang w:bidi="ar-SA"/>
        </w:rPr>
        <w:t xml:space="preserve">. </w:t>
      </w:r>
      <w:bookmarkStart w:id="567" w:name="pg10913_111004"/>
    </w:p>
    <w:p>
      <w:pPr>
        <w:pStyle w:val="BookText"/>
        <w:rPr/>
      </w:pPr>
      <w:bookmarkEnd w:id="567"/>
      <w:r>
        <w:rPr>
          <w:rFonts w:ascii="Amiri" w:hAnsi="Amiri" w:eastAsia="Amiri" w:cs="Amiri"/>
          <w:color w:val="111111"/>
          <w:sz w:val="28"/>
          <w:sz w:val="28"/>
          <w:szCs w:val="28"/>
          <w:rtl w:val="true"/>
          <w:lang w:bidi="ar-SA"/>
        </w:rPr>
        <w:t xml:space="preserve">وعليه ففي ظرف كهذا تعتبر مشيخة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المفصّلة نسبيّاً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أجلى مصاديق ما يمكن أن تشير إليه إحالة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المشيختين إلى فهارس الأصحاب رغم أنّ مشيخة الصدوق ليست فهرستاً بالمعنى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كلّ ذلك لم يرتضِ أن تكون مشيخة الصدوق من مصاديق الفهارس، فلا تكون من صغريات الإرجاع إلى الفهارس</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أنّ تقريبه غير تام؛ وذلك لوجود فهارس كثيرة اعتمد عليها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من مصادره كفهرست ابن الوليد وابن بطة وابن النديم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اعتبرنا مشيخة الصدوق فهرستاً فلا مانع من إحالة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وكونها من أجلى مصاديق الفهارس مع اطّلاع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طرق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وكونها تصلح أن تكون طريقاً إليه، ولا يضرّ أنّ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اختصاص طرقه بكتابه ولا كثرة الفهارس مع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أورَد على هذه الطريقة باحتمال تعدّد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مناقشة سيّالة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ويؤيّده ما ذكره الشيخ في ترجمة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العلاء بن رزين القلا، ثقة، جليل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وهو أربع 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هذه الطريقة من التعويض أيضاً</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3056858_2870459653"/>
      <w:bookmarkStart w:id="569" w:name="_Toc220"/>
      <w:bookmarkEnd w:id="568"/>
      <w:r>
        <w:rPr>
          <w:rtl w:val="true"/>
        </w:rPr>
        <w:t>الطّريقة الخامسة</w:t>
      </w:r>
      <w:bookmarkEnd w:id="569"/>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تعويض طريق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الضعيف إلى صاحب الكتاب بالطريق الصحيح للنجاشي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وحدة شيخهما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ارتضى هذه الطريقة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أساس أنّ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معاصراً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ومشاركاً له في أكثر الشيوخ، فإذا علمنا بأنّ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الأصل أو الكتاب بتوسّط أحدهم يكون ذلك طريقاً للشيخ أيضاً</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وكذا ارتضى هذه الطريقة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معجمه بشرط وحدة شيخهما معلّلاً هذا الاشتراط بأنّه لا يحتمل مغايرة ما أخبره شيخ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كالحسين بن عبيد الله ابن الغضائري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أخبر به نفسه للشيخ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وعليه فإذا كان طريق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صحيحاً فيحكم بصحّة ما رواه الشيخ عن ذلك الكتاب، ويستكشف من تغاير الطريق أنّ كتاب الحسين بن عبيد الله روي بطريقين، أحدهما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ذكره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الطريقة يمكن أن يُعتمد عليها بثلاثة 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الشيخ المشترك بينهما المباشر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المفروض وإلّا فلا يمكن التصحيح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طريقان إلى صاحب الكتاب، أحدهما نفس طريق الشيخ المشتمل على الضعف، والآخر طريق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النجاشي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فصّلا الكتب وكانت متطابقة، فعندئذ نبدّل سند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فيه ضعف بسند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توضيحها بهذا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غضّ النظر عن المناقشة الصغرويّة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طريق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فضال ضعيف بابن الزبير؛ إذ طريقه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عبدون، عن علي بن محمّد بن الزبير، عنه</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طريقا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عن أحمد بن عبد الواحد، عن ابن الزبير، عن علي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في آخرين عن أحمد بن محمّد بن سعيد، عن علي بن الحسن بكتبه</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 ضعيف وهو نفس طريق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ونلاحظ أنّ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اكتفى بوحدة شيخهما، بينما السيّد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الطريقة بثلاثة شروط، وتبعه السيد الحائري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والوجه في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الشروط في تصحيح هذه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إلى الشرط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فصّلا الكتب وكانت متطابقة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فحتى نحرز أو نطمئن أنّ الحديث الذي نريد تصحيح سنده قد أخذه الشيخ من كتاب مشمول لسند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يتمّ التعويض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للشرط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يكون للنجاشي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ظاهر كلام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الكتب نقلت له بنسخة واحدة لكلا الطريقين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لشرطه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يكون الشيخ المشترك المباشر لهما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من غير المحتمل عقلائيّاً أنّ النسخة التي وصلت إلى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بالطريق الضعيف تختلف عن التي وصلت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الطريق، وذلك لأسباب ثلاثة</w:t>
      </w:r>
      <w:r>
        <w:rPr>
          <w:rFonts w:eastAsia="Amiri" w:cs="Amiri" w:ascii="Amiri" w:hAnsi="Amiri"/>
          <w:color w:val="111111"/>
          <w:sz w:val="28"/>
          <w:szCs w:val="28"/>
          <w:rtl w:val="true"/>
          <w:lang w:bidi="ar-SA"/>
        </w:rPr>
        <w:t xml:space="preserve">: </w:t>
      </w:r>
      <w:bookmarkStart w:id="570" w:name="pg10913_111012"/>
    </w:p>
    <w:p>
      <w:pPr>
        <w:pStyle w:val="BookText"/>
        <w:rPr/>
      </w:pPr>
      <w:bookmarkEnd w:id="570"/>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المفروض أنّ الشيخ المباشر لهما واحد، وهو ثقة على الفرض، فمن غير المحتمل أنّه أعطى للنجاشي نسخة غير التي أعطاها للشيخ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غير المحتمل أن يكون لهذا الشيخ نسختان مختلفتان، ولم ينبّه الشيخين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شيخهما لم يتنبّه إلى اختلاف النسختين عنده، رغم ما كان متعارفاً في ذلك الوقت من التدقيق في متون الأخبار قراءة وسماعاً ومقابلة</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وأُشكِلَ صغرويّاً على هذه الطريقة ولكنّها مناقشة في المثال بينما الكلام في مقام الثبوت، فإذا تمّت كبرويّاً فهذا يكفي في قبولها</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الطريقة من التعويض على مبنى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Style w:val="FootnoteAnchor"/>
          <w:rtl w:val="true"/>
        </w:rPr>
        <w:footnoteReference w:id="726"/>
      </w:r>
      <w:r>
        <w:rPr>
          <w:rFonts w:ascii="Amiri" w:hAnsi="Amiri" w:eastAsia="Amiri" w:cs="Amiri"/>
          <w:color w:val="111111"/>
          <w:sz w:val="28"/>
          <w:sz w:val="28"/>
          <w:szCs w:val="28"/>
          <w:rtl w:val="true"/>
          <w:lang w:bidi="ar-SA"/>
        </w:rPr>
        <w:t xml:space="preserve">صحيحة بالشروط المذكورة، فوثاقة الشيخ، وتعدّد طرق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يشترك مع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الطريق الضعيف، وتفصيل الكتب يفيد شمول الطريق البديل للنجاشي لطريق الشيخ وتدفع احتمال اختلاف الكتب وتعدد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يبقى أنّ إجازات الشيوخ شرفيّة، فلا يتمّ التعويض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أنّ هذه الطريقة غير تامّة أيضاً</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3056860_2870459653"/>
      <w:bookmarkStart w:id="572" w:name="_Toc221"/>
      <w:bookmarkEnd w:id="571"/>
      <w:r>
        <w:rPr>
          <w:rtl w:val="true"/>
        </w:rPr>
        <w:t>الطّريقة السّادسة</w:t>
      </w:r>
      <w:bookmarkEnd w:id="572"/>
    </w:p>
    <w:p>
      <w:pPr>
        <w:pStyle w:val="Heading5"/>
        <w:numPr>
          <w:ilvl w:val="4"/>
          <w:numId w:val="1"/>
        </w:numPr>
        <w:rPr/>
      </w:pPr>
      <w:bookmarkStart w:id="573" w:name="__RefHeading___Toc3056862_2870459653"/>
      <w:bookmarkStart w:id="574" w:name="_Toc222"/>
      <w:bookmarkEnd w:id="573"/>
      <w:r>
        <w:rPr>
          <w:rtl w:val="true"/>
        </w:rPr>
        <w:t>اشارة</w:t>
      </w:r>
      <w:bookmarkEnd w:id="574"/>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كالطريقة الثالثة إلَّا أنّها تختلف عنها بنقطتين</w:t>
      </w:r>
      <w:r>
        <w:rPr>
          <w:rFonts w:eastAsia="Amiri" w:cs="Amiri" w:ascii="Amiri" w:hAnsi="Amiri"/>
          <w:color w:val="111111"/>
          <w:sz w:val="28"/>
          <w:szCs w:val="28"/>
          <w:rtl w:val="true"/>
          <w:lang w:bidi="ar-SA"/>
        </w:rPr>
        <w:t xml:space="preserve">: </w:t>
      </w:r>
      <w:bookmarkStart w:id="575" w:name="pg10913_111014"/>
    </w:p>
    <w:p>
      <w:pPr>
        <w:pStyle w:val="BookText"/>
        <w:rPr/>
      </w:pPr>
      <w:bookmarkEnd w:id="575"/>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الاستعانة هناك كانت بأسانيد الروايات، وأمّا هنا فالاستعانة بطريق الفهرست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الضعيف والثقة هناك واقعان بين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الكتاب الذي ابتدأ به، وأمّا هنا فبين مَن ابتدأ به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الفرق بين الطريقتين يظهر أنّ التعويض هنا يكون بين الشيخ والثقة الواقع بين مَن ابتدأ به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هناك فبين الشيخ ومَن ابتدأ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التي يمكن تصحيحها بالطريقتين الثانية والثالثة يمكن تصحيحها بالطريقة السادسة على فرض تماميّة ذلك، وليس العكس</w:t>
      </w:r>
      <w:r>
        <w:rPr>
          <w:rFonts w:eastAsia="Amiri" w:cs="Amiri" w:ascii="Amiri" w:hAnsi="Amiri"/>
          <w:color w:val="111111"/>
          <w:sz w:val="28"/>
          <w:szCs w:val="28"/>
          <w:rtl w:val="true"/>
          <w:lang w:bidi="ar-SA"/>
        </w:rPr>
        <w:t>.</w:t>
      </w:r>
    </w:p>
    <w:p>
      <w:pPr>
        <w:pStyle w:val="Heading5"/>
        <w:numPr>
          <w:ilvl w:val="4"/>
          <w:numId w:val="1"/>
        </w:numPr>
        <w:rPr/>
      </w:pPr>
      <w:bookmarkStart w:id="576" w:name="__RefHeading___Toc3056864_2870459653"/>
      <w:bookmarkStart w:id="577" w:name="_Toc223"/>
      <w:bookmarkEnd w:id="576"/>
      <w:r>
        <w:rPr>
          <w:rtl w:val="true"/>
        </w:rPr>
        <w:t>من موارد تطبيق هذه الطّريقة</w:t>
      </w:r>
      <w:bookmarkEnd w:id="577"/>
    </w:p>
    <w:p>
      <w:pPr>
        <w:pStyle w:val="Heading6"/>
        <w:numPr>
          <w:ilvl w:val="5"/>
          <w:numId w:val="1"/>
        </w:numPr>
        <w:rPr/>
      </w:pPr>
      <w:bookmarkStart w:id="578" w:name="__RefHeading___Toc3056866_2870459653"/>
      <w:bookmarkStart w:id="579" w:name="_Toc224"/>
      <w:bookmarkEnd w:id="578"/>
      <w:r>
        <w:rPr/>
        <w:t>1</w:t>
      </w:r>
      <w:r>
        <w:rPr>
          <w:rtl w:val="true"/>
        </w:rPr>
        <w:t xml:space="preserve">. </w:t>
      </w:r>
      <w:r>
        <w:rPr>
          <w:rtl w:val="true"/>
        </w:rPr>
        <w:t xml:space="preserve">تصحيح سند الصّدوق </w:t>
      </w:r>
      <w:r>
        <w:rPr>
          <w:rtl w:val="true"/>
        </w:rPr>
        <w:t>(</w:t>
      </w:r>
      <w:r>
        <w:rPr>
          <w:rtl w:val="true"/>
        </w:rPr>
        <w:t>رحمة الله</w:t>
      </w:r>
      <w:r>
        <w:rPr>
          <w:rtl w:val="true"/>
        </w:rPr>
        <w:t xml:space="preserve">) </w:t>
      </w:r>
      <w:r>
        <w:rPr>
          <w:rtl w:val="true"/>
        </w:rPr>
        <w:t>في الخصال بالاستعانة بفهرست الشّيخ</w:t>
      </w:r>
      <w:bookmarkEnd w:id="579"/>
    </w:p>
    <w:p>
      <w:pPr>
        <w:pStyle w:val="BookText"/>
        <w:rPr/>
      </w:pPr>
      <w:r>
        <w:rPr>
          <w:rFonts w:ascii="IRNazanin" w:hAnsi="IRNazanin" w:eastAsia="IRNazanin"/>
          <w:color w:val="111111"/>
          <w:sz w:val="28"/>
          <w:sz w:val="28"/>
          <w:szCs w:val="28"/>
          <w:rtl w:val="true"/>
          <w:lang w:bidi="fa-IR"/>
        </w:rPr>
        <w:t>وهو سند حديث رفع التسعة الذي ورد في الخصال 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أحمد بن محمّد ابن يحيى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يعقوب بن يزيد، عن حمّاد بن عيسى، عن حريز بن عبد الله</w:t>
      </w:r>
      <w:r>
        <w:rPr>
          <w:rFonts w:eastAsia="IRNazanin" w:cs="IRNazanin"/>
          <w:color w:val="111111"/>
          <w:sz w:val="28"/>
          <w:szCs w:val="28"/>
          <w:rtl w:val="true"/>
          <w:lang w:bidi="fa-IR"/>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الطريق ضعيف بشيخ الصدوق أحمد بن محمّد بن يحيى العطّار بناءً على عدم كفاية شيخوخة الإجازة والترضّي</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الفهرست طريق صحيح إلى جميع كتب وروايات سعد بن عبد الله الثقة،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محمّد بن علي بن الحسين ابن بابويه، عن أبيه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سعد بن عبد الله، عن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كتاب المنتخبات فإنّي لم أروها عن محمّد بن الحسن إلّا أجزاءً قرأتها عليه</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فنعوّض طريق الصدوق الضعيف بطريق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ونكمل طريق الخصال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فينتج طريق ثالث صحيح للرواية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ووصفه في المباحث بأنّه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 عن التعقيد وفي غاية اللَّطافة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يتمّ بناءً على أنّ معنى عبارة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كتاب المنتخبات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بجميع كتبه ورواياته فلان عن فلان إلَّا كتاب المنتخبات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ومعنى جميع كتبه ورواياته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وصله من كتب سعد ورواياته، وهذا الحديث قد وصل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ذكره في توحيده وخصاله، فهو مشمول بهذا الإخبار</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 على هذا التعويض بأنّ تطبيق نظريّة التعويض بهذا العرض العريض غير مقبول؛ لأنّ القدر المتيقّن من معنى أخبرنا بكلّ رواياته وكتبه هو كلّ ما يراه رواية له بأن يسنده وينسبه في كتبه إليه، كما لو بدأ السند به فإنّه حينئذٍ يمكن تطبيق نظريّة التعويض على كلام، وليس المعنى كلّ ما يُنسب إليه أو يقع الشخص في سنده من الروايات، ولا أقلّ من الإجمال</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وتقدّم هذا المعنى مع مزيد توضيح في مناقشة الأمور الثلاثة التي تتمّ الطريقة الثالثة بناءً عليها</w:t>
      </w:r>
      <w:r>
        <w:rPr>
          <w:rFonts w:eastAsia="Amiri" w:cs="Amiri" w:ascii="Amiri" w:hAnsi="Amiri"/>
          <w:color w:val="111111"/>
          <w:sz w:val="28"/>
          <w:szCs w:val="28"/>
          <w:rtl w:val="true"/>
          <w:lang w:bidi="ar-SA"/>
        </w:rPr>
        <w:t xml:space="preserve">. </w:t>
      </w:r>
      <w:bookmarkStart w:id="580" w:name="pg10913_111018"/>
    </w:p>
    <w:p>
      <w:pPr>
        <w:pStyle w:val="BookText"/>
        <w:rPr/>
      </w:pPr>
      <w:bookmarkEnd w:id="580"/>
      <w:r>
        <w:rPr>
          <w:rFonts w:ascii="Amiri" w:hAnsi="Amiri" w:eastAsia="Amiri" w:cs="Amiri"/>
          <w:color w:val="111111"/>
          <w:sz w:val="28"/>
          <w:sz w:val="28"/>
          <w:szCs w:val="28"/>
          <w:rtl w:val="true"/>
          <w:lang w:bidi="ar-SA"/>
        </w:rPr>
        <w:t xml:space="preserve">وأشكل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سماء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بإشكال الدور،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الوسائط بين الشيخ والصدوق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وسائط إلى كتبه وإلى رواياته المذكورة في كتبه، والمفروض أنّ الرواية المذكورة غير مذكورة في كتب الشيخ، فثبوت صحّة السند إليه متوقّف على كون السند من مرويّات الصدوق، وكونه من مرويّاته متوقّف على ثبوت صحة السند إليه، وهذا دور ظاهر</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ودفع إشكال الدور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بالروايات هو روايات الشخص خارجاً سواء كانت بطريق معتبر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إبدال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الإجازات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الأسانيد وبغيرها ممّا هو مذكور في الفهارس خصوصاً في فهرسته إلى كتب رواة هذه الروايات</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توقّف في البين</w:t>
      </w:r>
      <w:r>
        <w:rPr>
          <w:rFonts w:eastAsia="Amiri" w:cs="Amiri" w:ascii="Amiri" w:hAnsi="Amiri"/>
          <w:color w:val="111111"/>
          <w:sz w:val="28"/>
          <w:szCs w:val="28"/>
          <w:rtl w:val="true"/>
          <w:lang w:bidi="ar-SA"/>
        </w:rPr>
        <w:t>.</w:t>
      </w:r>
    </w:p>
    <w:p>
      <w:pPr>
        <w:pStyle w:val="Heading6"/>
        <w:numPr>
          <w:ilvl w:val="5"/>
          <w:numId w:val="1"/>
        </w:numPr>
        <w:rPr/>
      </w:pPr>
      <w:bookmarkStart w:id="581" w:name="__RefHeading___Toc3056868_2870459653"/>
      <w:bookmarkStart w:id="582" w:name="_Toc225"/>
      <w:bookmarkEnd w:id="581"/>
      <w:r>
        <w:rPr/>
        <w:t>2</w:t>
      </w:r>
      <w:r>
        <w:rPr>
          <w:rtl w:val="true"/>
        </w:rPr>
        <w:t xml:space="preserve">. </w:t>
      </w:r>
      <w:r>
        <w:rPr>
          <w:rtl w:val="true"/>
        </w:rPr>
        <w:t>تصحيح سند حديث رفع التّسعة ولكن بالاستعانة بمشيخة الفقيه</w:t>
      </w:r>
      <w:bookmarkEnd w:id="582"/>
    </w:p>
    <w:p>
      <w:pPr>
        <w:pStyle w:val="BookText"/>
        <w:rPr/>
      </w:pPr>
      <w:r>
        <w:rPr>
          <w:rFonts w:ascii="Amiri" w:hAnsi="Amiri" w:eastAsia="Amiri" w:cs="Amiri"/>
          <w:color w:val="111111"/>
          <w:sz w:val="28"/>
          <w:sz w:val="28"/>
          <w:szCs w:val="28"/>
          <w:rtl w:val="true"/>
          <w:lang w:bidi="ar-SA"/>
        </w:rPr>
        <w:t xml:space="preserve">وهو ما أفاده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 على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طريقة الشيخ الصدوق بحسب التتبّع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يكرر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الرواية مأخوذة شفاهاً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وصل إلى الكتاب يبدّل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يظهر أنّ هذا الحديث مأخوذ من كتاب يعقوب بن يزيد؛ لأنّه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يزيد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استبدال سند الفقيه الصحيح بسند الخصال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أفاده مبني على أنّ الظاهر من 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رويته في الكتاب عن فلان فقد رويته بالسند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شموله للحديث الَّذي أرسله ولم ينسبه في الكتاب إلى فلان بل نقله عن الإمام ابتداءً، لكن بحسب السند المستتر للحديث كانت روايته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تسليم هذا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المشافهة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ودفع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كان قد أخذه من كتاب آخر غير كتب هؤلاء فذلك ينبّه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وجود هذا الحديث أيضاً في كتاب من كتب هؤلاء الذين قرنهم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ناظر حتماً إلى كتاب من كتبهم ومستند إليه في نقله، فيدخل في الأسانيد التي ذكرها لنفسه إليهم</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احتمال المشافهة احتمال قائم، فلا دليل على أنّ كلّ مَن ألّف كتاباً وأودع فيه أحاديث مرويّة عن صاحب كتاب آخر يكون قد أخذها من نفس كتاب ذاك، ولا يمكن عدم الاعتداد بهذا الاحتمال، وإذا حصل اطمئنان شخصيّ فهو حجّة على صاحبه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يدفع ما ذكره السيّد الحائري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التفصيل بين حالي وقوع 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الشيخ أو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إلى مَن ابتدأ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ذُكِر في الاحتمال </w:t>
      </w:r>
      <w:bookmarkStart w:id="583" w:name="pg10913_111023"/>
    </w:p>
    <w:p>
      <w:pPr>
        <w:pStyle w:val="BookText"/>
        <w:rPr/>
      </w:pPr>
      <w:bookmarkEnd w:id="583"/>
      <w:r>
        <w:rPr>
          <w:rFonts w:ascii="Amiri" w:hAnsi="Amiri" w:eastAsia="Amiri" w:cs="Amiri"/>
          <w:color w:val="111111"/>
          <w:sz w:val="28"/>
          <w:sz w:val="28"/>
          <w:szCs w:val="28"/>
          <w:rtl w:val="true"/>
          <w:lang w:bidi="ar-SA"/>
        </w:rPr>
        <w:t xml:space="preserve">الأوّل من معنى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بكتبه ورواياته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مناقشة الطريقة الثانية، بناءً على أنّ معنى العبارة لا يشمل الروايات الشفهيّة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قد أخذ الرواية من كتاب الأسبق ففي بعض الموارد يكون خروجاً عن هذه الطريقة</w:t>
      </w:r>
      <w:r>
        <w:rPr>
          <w:rFonts w:eastAsia="Amiri" w:cs="Amiri" w:ascii="Amiri" w:hAnsi="Amiri"/>
          <w:color w:val="111111"/>
          <w:sz w:val="28"/>
          <w:szCs w:val="28"/>
          <w:rtl w:val="true"/>
          <w:lang w:bidi="ar-SA"/>
        </w:rPr>
        <w:t>.</w:t>
      </w:r>
    </w:p>
    <w:p>
      <w:pPr>
        <w:pStyle w:val="Heading6"/>
        <w:numPr>
          <w:ilvl w:val="5"/>
          <w:numId w:val="1"/>
        </w:numPr>
        <w:rPr/>
      </w:pPr>
      <w:bookmarkStart w:id="584" w:name="__RefHeading___Toc3056870_2870459653"/>
      <w:bookmarkStart w:id="585" w:name="_Toc226"/>
      <w:bookmarkEnd w:id="584"/>
      <w:r>
        <w:rPr/>
        <w:t>3</w:t>
      </w:r>
      <w:r>
        <w:rPr>
          <w:rtl w:val="true"/>
        </w:rPr>
        <w:t xml:space="preserve">. </w:t>
      </w:r>
      <w:r>
        <w:rPr>
          <w:rtl w:val="true"/>
        </w:rPr>
        <w:t xml:space="preserve">رواية الشّيخ </w:t>
      </w:r>
      <w:r>
        <w:rPr>
          <w:rtl w:val="true"/>
        </w:rPr>
        <w:t>(</w:t>
      </w:r>
      <w:r>
        <w:rPr>
          <w:rtl w:val="true"/>
        </w:rPr>
        <w:t>قدس سره</w:t>
      </w:r>
      <w:r>
        <w:rPr>
          <w:rtl w:val="true"/>
        </w:rPr>
        <w:t xml:space="preserve">) </w:t>
      </w:r>
      <w:r>
        <w:rPr>
          <w:rtl w:val="true"/>
        </w:rPr>
        <w:t>إلى علي بن جعفر</w:t>
      </w:r>
      <w:bookmarkEnd w:id="585"/>
    </w:p>
    <w:p>
      <w:pPr>
        <w:pStyle w:val="BookText"/>
        <w:rPr/>
      </w:pPr>
      <w:r>
        <w:rPr>
          <w:rFonts w:ascii="Amiri" w:hAnsi="Amiri" w:eastAsia="Amiri" w:cs="Amiri"/>
          <w:color w:val="111111"/>
          <w:sz w:val="28"/>
          <w:sz w:val="28"/>
          <w:szCs w:val="28"/>
          <w:rtl w:val="true"/>
          <w:lang w:bidi="ar-SA"/>
        </w:rPr>
        <w:t>وردت رواية للشيخ بهذا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 عن أحمد بن محمّد بن يحيى، عن أبيه، عن محمّد بن أحمد بن يحيى، عن العمركي، عن علي بن جعفر</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تثبت وثاقته إلّا بناءً على كفاية شيخوخة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ونختار الثقة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يحيى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للشيخ طريق صحيح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وبمراجعة الفهرست نجد أنّ للشيخ ثلاث طرق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أبي المفضل، عن ابن بطّة القميّ، عن محمّد بن أحمد ابن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 وابن أبي جيد جميعاً، عن أحمد بن محمّد بن يحيى، عن أبيه، عن محمّد بن 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نفس الطريق الضعيف</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أبي جعفر ابن بابويه، عن أبيه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إدريس ومحمّد بن يحيى، عنه</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طريقٌ صحيحٌ</w:t>
      </w:r>
      <w:r>
        <w:rPr>
          <w:rFonts w:eastAsia="Amiri" w:cs="Amiri" w:ascii="Amiri" w:hAnsi="Amiri"/>
          <w:color w:val="111111"/>
          <w:sz w:val="28"/>
          <w:szCs w:val="28"/>
          <w:rtl w:val="true"/>
          <w:lang w:bidi="ar-SA"/>
        </w:rPr>
        <w:t xml:space="preserve">. </w:t>
      </w:r>
      <w:bookmarkStart w:id="586" w:name="pg10913_111025"/>
    </w:p>
    <w:p>
      <w:pPr>
        <w:pStyle w:val="BookText"/>
        <w:rPr/>
      </w:pPr>
      <w:bookmarkEnd w:id="586"/>
      <w:r>
        <w:rPr>
          <w:rFonts w:ascii="Amiri" w:hAnsi="Amiri" w:eastAsia="Amiri" w:cs="Amiri"/>
          <w:color w:val="111111"/>
          <w:sz w:val="28"/>
          <w:sz w:val="28"/>
          <w:szCs w:val="28"/>
          <w:rtl w:val="true"/>
          <w:lang w:bidi="ar-SA"/>
        </w:rPr>
        <w:t xml:space="preserve">فنعوّض الطريق الثالث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محمّد بن علي بن الحسين، عن أبيه ومحمّد ابن الحسن، عن أحمد بن إدريس ومحمّد بن يحيى، عن محمّد بن أحمد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القسم المعلول من الطريق الذي نريد تصحيحه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نحصل على طريق صحيح،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محمّد بن علي بن الحسين، عن أبيه ومحمّد بن الحسن، عن أحمد بن إدريس ومحمّد بن يحيى، عن محمّد بن أحمد بن يحيى، عن العمركي، عن علي بن جعفر</w:t>
      </w:r>
      <w:r>
        <w:rPr>
          <w:rFonts w:eastAsia="Amiri" w:cs="Amiri" w:ascii="Amiri" w:hAnsi="Amiri"/>
          <w:color w:val="111111"/>
          <w:sz w:val="28"/>
          <w:szCs w:val="28"/>
          <w:rtl w:val="true"/>
          <w:lang w:bidi="ar-SA"/>
        </w:rPr>
        <w:t>.</w:t>
      </w:r>
    </w:p>
    <w:p>
      <w:pPr>
        <w:pStyle w:val="Heading6"/>
        <w:numPr>
          <w:ilvl w:val="5"/>
          <w:numId w:val="1"/>
        </w:numPr>
        <w:rPr/>
      </w:pPr>
      <w:bookmarkStart w:id="587" w:name="__RefHeading___Toc3056872_2870459653"/>
      <w:bookmarkStart w:id="588" w:name="_Toc227"/>
      <w:bookmarkEnd w:id="587"/>
      <w:r>
        <w:rPr/>
        <w:t>4</w:t>
      </w:r>
      <w:r>
        <w:rPr>
          <w:rtl w:val="true"/>
        </w:rPr>
        <w:t xml:space="preserve">. </w:t>
      </w:r>
      <w:r>
        <w:rPr>
          <w:rtl w:val="true"/>
        </w:rPr>
        <w:t xml:space="preserve">رواية الشّيخ </w:t>
      </w:r>
      <w:r>
        <w:rPr>
          <w:rtl w:val="true"/>
        </w:rPr>
        <w:t>(</w:t>
      </w:r>
      <w:r>
        <w:rPr>
          <w:rtl w:val="true"/>
        </w:rPr>
        <w:t>قدس سره</w:t>
      </w:r>
      <w:r>
        <w:rPr>
          <w:rtl w:val="true"/>
        </w:rPr>
        <w:t xml:space="preserve">) </w:t>
      </w:r>
      <w:r>
        <w:rPr>
          <w:rtl w:val="true"/>
        </w:rPr>
        <w:t>إلى حفص</w:t>
      </w:r>
      <w:bookmarkEnd w:id="588"/>
    </w:p>
    <w:p>
      <w:pPr>
        <w:pStyle w:val="BookText"/>
        <w:rPr/>
      </w:pPr>
      <w:r>
        <w:rPr>
          <w:rFonts w:ascii="Amiri" w:hAnsi="Amiri" w:eastAsia="Amiri" w:cs="Amiri"/>
          <w:color w:val="111111"/>
          <w:sz w:val="28"/>
          <w:sz w:val="28"/>
          <w:szCs w:val="28"/>
          <w:rtl w:val="true"/>
          <w:lang w:bidi="ar-SA"/>
        </w:rPr>
        <w:t>وطريقه في الاستبصار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أحمد ابن محمّد بن يحيى، عن أبيه، عن محمّد بن أحمد بن يحيى،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أحمد بن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حفص بن غياث</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وطريقه في التهذيب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أحمد بن محمّد بن يحيى، عن أبيه، عن أحمد بن إدريس، عن محمّد بن أحمد بن يحيى،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أحمد بن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حفص بن غياث</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وقع في كلا الطريقين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تثبت وثاقته، ولكن فيهما 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توجيه المورد</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ترجمة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بجميع كتبه ورواياته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w:t>
      </w:r>
    </w:p>
    <w:p>
      <w:pPr>
        <w:pStyle w:val="BookText"/>
        <w:rPr/>
      </w:pPr>
      <w:r>
        <w:rPr>
          <w:rFonts w:ascii="IRNazanin" w:hAnsi="IRNazanin" w:eastAsia="IRNazanin"/>
          <w:color w:val="111111"/>
          <w:sz w:val="28"/>
          <w:sz w:val="28"/>
          <w:szCs w:val="28"/>
          <w:rtl w:val="true"/>
          <w:lang w:bidi="fa-IR"/>
        </w:rPr>
        <w:t xml:space="preserve">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اخترناه واقع في وسط السند من جهة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فتكون الرواية المبحوث عنها من مرويّاته فيشملها إخبار الشيخ، فيمكن تصحيح الرواية بطريق الفهرست الصحيح المذكور في ترجمته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إخبار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بكتبه ورواياته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 وصل إليه بأحد الطريقين فقد وصل إليه بالطريق الثاني، فما وصل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بالطريق الصحيح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بالطريق الضعيف</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 السيّد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بحثه الفقهي اشترط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لإحراز شمول الطريق البديل للطريق الضعيف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زيادةً على أن يكون للشيخ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صحيح إلى ثقةٍ واقع قبل الضعيف من جهة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الطريق الضعيف الذي يراد التخلّص منه مذكوراً كأحد الطرق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استظهر من عبارة الفهرست وحدة المنقول بالطرق الثلاثة للشيخ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وبما أنّ الطريق المذكور في الاستبصار هو أحد الطرق الثلاثة المذكورة في الفهرست فيثبت أنّ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لخبر حفص واصلة إلى الشيخ بالطرق الثلاثة جميعاً</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وافق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الطريقة من التعويض في الوجه الأوّل من الوجوه التي ذكرها لنظريّة التعويض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مباحثه</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أورده السيّد الحائري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صحة التمسك بإطلاق الإخبار في هذه الطريقة؛ فإنّ هناك احتمالين في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معنى الإخبار للروايات الشفهيّة فيتمّ عدم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الاحتمال بعيد؛ لأنّ الشيخ تكرّرت منه هذه العبارة وبشأن كثيرين ممّن يكون الفاصل بينه وبين الشيخ متعدّداً، ورواياته الشفهيّة كثيرة ومتناثرة ووصولها إلى الشيخ ضمن كتب المتأخّرين عنه، والشيخ لا يمكنه الإحاطة بجميع رواياته كذلك حتى يشهد بوصول الرواية بالسند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يشمل معنى العبارة الروايات الشفهيّة، وإنَّما المقصود رواياته لكتب وكتابات الآخرين، أو لكتبه هو والآخرين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واستظهر هذا الاحتمال؛ إذ كان من المتعارف وقتئذ إخبار شيخ الإجازة لمن يروي عنه بجميع ما يرويه من كتب مؤلّفة لنفسه أو لغيره قراءة عليه أو سماعاً منه أو إجازة</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وبناءً على هذا فصّل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تقدّم من أنّه يمكن أن يتمّ التصحيح عند وقوع الثقة بين الشيخ ومن ابتدأ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صاحب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هذه الطريقة حيث وقع الثقة فيها بين من ابتدأ به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تتم النظريّة؛ لاحتمال أن تكون الرواية التي رواها شفاهيّة عند وقوع الراوي بين من ابتدأ به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يطمأن أو يحرز أنّها في الكتب التي يرويها الثقة حتّى يصحّ التعويض، ولا أقل من الإجمال</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أنّ هذا التفصيل الذي ذكره غير تام؛ لأنّ احتمال المشافهة قائمٌ في كلا طرفي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اتّضح عند دراسة الطريقة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وحصول الاطمئنان الشخصيّ غير مفيد، فهو حجّة على صاحبه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حتّى مع فرض شمول الطريق، ودفع احتمال اختلاف النسخ بشرط السيّد </w:t>
      </w:r>
      <w:bookmarkStart w:id="589" w:name="pg10913_111031"/>
    </w:p>
    <w:p>
      <w:pPr>
        <w:pStyle w:val="BookText"/>
        <w:rPr/>
      </w:pPr>
      <w:bookmarkEnd w:id="589"/>
      <w:r>
        <w:rPr>
          <w:rFonts w:ascii="Amiri" w:hAnsi="Amiri" w:eastAsia="Amiri" w:cs="Amiri"/>
          <w:color w:val="111111"/>
          <w:sz w:val="28"/>
          <w:sz w:val="28"/>
          <w:szCs w:val="28"/>
          <w:rtl w:val="true"/>
          <w:lang w:bidi="ar-SA"/>
        </w:rPr>
        <w:t xml:space="preserve">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احتمال المشافهة قائماً وأنّ أبا أحمد بن محمّد بن يحيى أخذ الرواية عن العمركي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التعويض بهذه الطريقة</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3056874_2870459653"/>
      <w:bookmarkStart w:id="591" w:name="_Toc228"/>
      <w:bookmarkEnd w:id="590"/>
      <w:r>
        <w:rPr>
          <w:rtl w:val="true"/>
        </w:rPr>
        <w:t>الطّريقة السّابعة</w:t>
      </w:r>
      <w:bookmarkEnd w:id="591"/>
    </w:p>
    <w:p>
      <w:pPr>
        <w:pStyle w:val="BookText"/>
        <w:rPr/>
      </w:pPr>
      <w:r>
        <w:rPr>
          <w:rFonts w:ascii="Amiri" w:hAnsi="Amiri" w:eastAsia="Amiri" w:cs="Amiri"/>
          <w:color w:val="111111"/>
          <w:sz w:val="28"/>
          <w:sz w:val="28"/>
          <w:szCs w:val="28"/>
          <w:rtl w:val="true"/>
          <w:lang w:bidi="ar-SA"/>
        </w:rPr>
        <w:t xml:space="preserve">ذكر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 هذه الطريقة وسابقتها أنَّ في هذه الطريقة نستبدل المقطع الثاني الذي فيه ضعفٌ بخلاف الطريقة السابقة حيث كان الاستبدال يتمّ في المقطع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هذه الطريقة من خلال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يقع راوٍ ثقة قبل الراوي الضعيف كما في سند روايةٍ للشيخ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يوجد ضعيف بين الشيخ وذاك الراوي الثقة،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طريق آخر معتبر لذلك الراوي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إلى جميع ما وصله من كتب وروايات ثقة آخر وقع بعد ذلك الراوي الضعيف، أو إلى الإمام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الحديث داخل في عموم إخبار الشيخ بجميع كتب وروايات أحمد ابن محمد بن عيسى؛ لأنّ هذا الحديث حصل عليه ابن عيسى قبل إخبار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بجميع كتبه ورواياته فلان عن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فنعوّض المقطع الثاني من السند الذي وقع فيه الضعيف من سند الحديث بالطريق</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التامّ الجديد الذي حصلنا عليه لهذا 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الثقة الآخر أو </w:t>
      </w:r>
      <w:bookmarkStart w:id="592" w:name="pg10913_111033"/>
    </w:p>
    <w:p>
      <w:pPr>
        <w:pStyle w:val="BookText"/>
        <w:rPr/>
      </w:pPr>
      <w:bookmarkEnd w:id="592"/>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وافق على هذه الطريقة السيّد الحائري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ولكنّه ذكر أنّه لم يعثر على مورد لها </w:t>
      </w:r>
      <w:r>
        <w:rPr>
          <w:rStyle w:val="FootnoteAnchor"/>
          <w:rtl w:val="true"/>
        </w:rPr>
        <w:footnoteReference w:id="744"/>
      </w:r>
      <w:r>
        <w:rPr>
          <w:rFonts w:ascii="Amiri" w:hAnsi="Amiri" w:eastAsia="Amiri" w:cs="Amiri"/>
          <w:color w:val="111111"/>
          <w:sz w:val="28"/>
          <w:sz w:val="28"/>
          <w:szCs w:val="28"/>
          <w:rtl w:val="true"/>
          <w:lang w:bidi="ar-SA"/>
        </w:rPr>
        <w:t>، مع أنّه لم يقبل الطريقة السادسة لوقوع الثقة بعد مَن ابتدأ به من جهة الإمام حيث كان التعويض بالقسم الأوّل من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ذكر هناك من احتمال المشافهة يأتي هنا بلا فرق، ويأتي هنا أيضاً احتمال اختلاف النسخ فلا تتمّ هذه الطريقة أيضاً</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3056876_2870459653"/>
      <w:bookmarkStart w:id="594" w:name="_Toc229"/>
      <w:bookmarkEnd w:id="593"/>
      <w:r>
        <w:rPr>
          <w:rtl w:val="true"/>
        </w:rPr>
        <w:t>الطّريقة الثّامنة</w:t>
      </w:r>
      <w:bookmarkEnd w:id="594"/>
    </w:p>
    <w:p>
      <w:pPr>
        <w:pStyle w:val="Heading5"/>
        <w:numPr>
          <w:ilvl w:val="4"/>
          <w:numId w:val="1"/>
        </w:numPr>
        <w:rPr/>
      </w:pPr>
      <w:bookmarkStart w:id="595" w:name="__RefHeading___Toc3056878_2870459653"/>
      <w:bookmarkStart w:id="596" w:name="_Toc230"/>
      <w:bookmarkEnd w:id="595"/>
      <w:r>
        <w:rPr>
          <w:rtl w:val="true"/>
        </w:rPr>
        <w:t>اشارة</w:t>
      </w:r>
      <w:bookmarkEnd w:id="596"/>
    </w:p>
    <w:p>
      <w:pPr>
        <w:pStyle w:val="BookText"/>
        <w:rPr/>
      </w:pPr>
      <w:r>
        <w:rPr>
          <w:rFonts w:ascii="Amiri" w:hAnsi="Amiri" w:eastAsia="Amiri" w:cs="Amiri"/>
          <w:color w:val="111111"/>
          <w:sz w:val="28"/>
          <w:sz w:val="28"/>
          <w:szCs w:val="28"/>
          <w:rtl w:val="true"/>
          <w:lang w:bidi="ar-SA"/>
        </w:rPr>
        <w:t xml:space="preserve">ذكر هذه الطريقة الميرزا محمّد بن علي الأسترابادي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1028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منهجه</w:t>
      </w:r>
      <w:r>
        <w:rPr>
          <w:rStyle w:val="FootnoteAnchor"/>
          <w:rtl w:val="true"/>
        </w:rPr>
        <w:footnoteReference w:id="745"/>
      </w:r>
      <w:r>
        <w:rPr>
          <w:rFonts w:ascii="Amiri" w:hAnsi="Amiri" w:eastAsia="Amiri" w:cs="Amiri"/>
          <w:color w:val="111111"/>
          <w:sz w:val="28"/>
          <w:sz w:val="28"/>
          <w:szCs w:val="28"/>
          <w:rtl w:val="true"/>
          <w:lang w:bidi="ar-SA"/>
        </w:rPr>
        <w:t>، وصحّح بها بعض طرق الصدوق بالاستعانة بطرق الشيخ والنجاشي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وتَقرُب هذه الطريقة من الطريقة الرابعة لكن التوسّع هنا بالاستعانة؛ إذ عادة كنّا نستعين بطريق لتصحيح آخر أمّا هنا فنستعين بطريقين لتصحيح طريق آخر</w:t>
      </w:r>
      <w:r>
        <w:rPr>
          <w:rFonts w:eastAsia="Amiri" w:cs="Amiri" w:ascii="Amiri" w:hAnsi="Amiri"/>
          <w:color w:val="111111"/>
          <w:sz w:val="28"/>
          <w:szCs w:val="28"/>
          <w:rtl w:val="true"/>
          <w:lang w:bidi="ar-SA"/>
        </w:rPr>
        <w:t>.</w:t>
      </w:r>
    </w:p>
    <w:p>
      <w:pPr>
        <w:pStyle w:val="Heading5"/>
        <w:numPr>
          <w:ilvl w:val="4"/>
          <w:numId w:val="1"/>
        </w:numPr>
        <w:rPr/>
      </w:pPr>
      <w:bookmarkStart w:id="597" w:name="__RefHeading___Toc3056880_2870459653"/>
      <w:bookmarkStart w:id="598" w:name="_Toc231"/>
      <w:bookmarkEnd w:id="597"/>
      <w:r>
        <w:rPr>
          <w:rtl w:val="true"/>
        </w:rPr>
        <w:t>بعض موارد تطبيق هذه الطّريقة</w:t>
      </w:r>
      <w:bookmarkEnd w:id="598"/>
    </w:p>
    <w:p>
      <w:pPr>
        <w:pStyle w:val="Heading6"/>
        <w:numPr>
          <w:ilvl w:val="5"/>
          <w:numId w:val="1"/>
        </w:numPr>
        <w:rPr/>
      </w:pPr>
      <w:bookmarkStart w:id="599" w:name="__RefHeading___Toc3056882_2870459653"/>
      <w:bookmarkStart w:id="600" w:name="_Toc232"/>
      <w:bookmarkEnd w:id="599"/>
      <w:r>
        <w:rPr/>
        <w:t>1</w:t>
      </w:r>
      <w:r>
        <w:rPr>
          <w:rtl w:val="true"/>
        </w:rPr>
        <w:t xml:space="preserve">. </w:t>
      </w:r>
      <w:r>
        <w:rPr>
          <w:rtl w:val="true"/>
        </w:rPr>
        <w:t xml:space="preserve">ذكر الصدوق </w:t>
      </w:r>
      <w:r>
        <w:rPr>
          <w:rtl w:val="true"/>
        </w:rPr>
        <w:t>(</w:t>
      </w:r>
      <w:r>
        <w:rPr>
          <w:rtl w:val="true"/>
        </w:rPr>
        <w:t>قدس سره</w:t>
      </w:r>
      <w:r>
        <w:rPr>
          <w:rtl w:val="true"/>
        </w:rPr>
        <w:t xml:space="preserve">) </w:t>
      </w:r>
      <w:r>
        <w:rPr>
          <w:rtl w:val="true"/>
        </w:rPr>
        <w:t>في مشيخة الفقيه طريقه إلى عبيد بن زرارة</w:t>
      </w:r>
      <w:bookmarkEnd w:id="600"/>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عن سعد بن عبد الله الأشعري القميّ، عن محمّد بن الحسين بن أبي الخطّاب، عن الحكم بن </w:t>
      </w:r>
    </w:p>
    <w:p>
      <w:pPr>
        <w:pStyle w:val="BookText"/>
        <w:rPr/>
      </w:pPr>
      <w:r>
        <w:rPr>
          <w:rFonts w:ascii="Amiri" w:hAnsi="Amiri" w:eastAsia="Amiri" w:cs="Amiri"/>
          <w:color w:val="111111"/>
          <w:sz w:val="28"/>
          <w:sz w:val="28"/>
          <w:szCs w:val="28"/>
          <w:rtl w:val="true"/>
          <w:lang w:bidi="ar-SA"/>
        </w:rPr>
        <w:t>مسكين الثقفي، عن عبيد بن زرارة بن أعين</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والطريقُ ضعيف بالحكم بن مسكين، ولكن يمكن استخراج طريق صحيح للصدوق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عبيد بن زرارة وهو مبني على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الاستعانة بطريق صحيح للنجاشي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عبيد بن زرارة،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الخطّاب ومحمّد بن عبد الجبار وأحمد بن محمّد بن عيسى، عن محمّد بن إسماعيل بن بزيع، عن حمّاد بن عثمان، عن عبيد بكتابه</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الاستعانة بطريق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الفهرست إلى عبد الله بن جعفر الحميري الثقة،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ابن بابويه، عن أبيه ومحمّد بن الحسن، عنه</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فنلاحظ أنّ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روايات عبد الله بن جعفر بطريق صحيح لوقوعه في الطريق الصحيح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الحميري</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تحصيل طريق صحيح للصدوق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روايات الحميري بالاستعانة بطريق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،والحميري يروي روايات عبيد بالاستعانة بطريق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ينتج أنّ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جميع روايات عبيد بطريق صحيح،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عن أبيه ومحمّد بن الحسن، عن عبد الله بن جعفر الحميري، عن ابن أبي الخطاب ومحمّد بن عبد الجبار وأحمد بن محمّد بن عيسى، عن محمّد بن إسماعيل بن بزيع، عن حمّاد بن عثمان، </w:t>
      </w:r>
      <w:bookmarkStart w:id="601" w:name="pg10913_111037"/>
    </w:p>
    <w:p>
      <w:pPr>
        <w:pStyle w:val="BookText"/>
        <w:rPr/>
      </w:pPr>
      <w:bookmarkEnd w:id="601"/>
      <w:r>
        <w:rPr>
          <w:rFonts w:ascii="Amiri" w:hAnsi="Amiri" w:eastAsia="Amiri" w:cs="Amiri"/>
          <w:color w:val="111111"/>
          <w:sz w:val="28"/>
          <w:sz w:val="28"/>
          <w:szCs w:val="28"/>
          <w:rtl w:val="true"/>
          <w:lang w:bidi="ar-SA"/>
        </w:rPr>
        <w:t>عن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ويناقش في هذه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المحتمل أنّ الحكم بن 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عدم ثبوت وثاقته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اختلق الرواية أو زاد فيها فلا يمكن إثبات أنّ الرواية التي نقلها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وقع في طريقها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في كتاب عبيد ومن جملة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يتمّ ذلك لو أنّ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 الرواية من كتاب الحميري لا من كتاب عبيد، ولكن يُحتمل أنّ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أخذها من كتاب عبيد الذي وصله بواسطة الحكم بن مسكين</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2" w:name="__RefHeading___Toc3056884_2870459653"/>
      <w:bookmarkStart w:id="603" w:name="_Toc233"/>
      <w:bookmarkEnd w:id="602"/>
      <w:r>
        <w:rPr/>
        <w:t>2</w:t>
      </w:r>
      <w:r>
        <w:rPr>
          <w:rtl w:val="true"/>
        </w:rPr>
        <w:t xml:space="preserve">. </w:t>
      </w:r>
      <w:r>
        <w:rPr>
          <w:rtl w:val="true"/>
        </w:rPr>
        <w:t xml:space="preserve">ما طبّقه السّيّد الخوئي </w:t>
      </w:r>
      <w:r>
        <w:rPr>
          <w:rtl w:val="true"/>
        </w:rPr>
        <w:t>(</w:t>
      </w:r>
      <w:r>
        <w:rPr>
          <w:rtl w:val="true"/>
        </w:rPr>
        <w:t>قدس سره</w:t>
      </w:r>
      <w:r>
        <w:rPr>
          <w:rtl w:val="true"/>
        </w:rPr>
        <w:t xml:space="preserve">) </w:t>
      </w:r>
      <w:r>
        <w:rPr>
          <w:rtl w:val="true"/>
        </w:rPr>
        <w:t>في تصحيح طريق الصّدوق إلى جميل بن صالح</w:t>
      </w:r>
      <w:bookmarkEnd w:id="603"/>
    </w:p>
    <w:p>
      <w:pPr>
        <w:pStyle w:val="BookText"/>
        <w:rPr/>
      </w:pPr>
      <w:r>
        <w:rPr>
          <w:rFonts w:ascii="IRNazanin" w:hAnsi="IRNazanin" w:eastAsia="IRNazanin"/>
          <w:color w:val="111111"/>
          <w:sz w:val="28"/>
          <w:sz w:val="28"/>
          <w:szCs w:val="28"/>
          <w:rtl w:val="true"/>
          <w:lang w:bidi="fa-IR"/>
        </w:rPr>
        <w:t xml:space="preserve">حيث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طريق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جميل بن صالح مجهول، ولكن يمكن تصحيح طريقه إليه بالاستعانة بطريق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وإلى محمّد بن الحسن بن الوليد</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وطريق الشيخ إلى جميل بن صالح هو ابن أبي جيد، عن محمّد بن الحسن بن الوليد، عن الصفّار، عن محمّد بن الحسين بن أبي الخطاب، عن غير واحد، عن جميل بن صالح</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وطرق الشيخ إلى محمّد بن الحسن بن الوليد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 جيد،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جماعة، عن أحمد بن محمّد بن الحسن، عن أبيه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جماعة، عن أبي جعفر ابن بابويه، عن محمّد بن الحسن</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فيظهر من طريق الشيخ إلى محمّد بن الحسن بن الوليد أنّ الصدوق يروي كتب وروايات ابن الوليد، ومن الطريق السابق يظهر أنّ ابن الوليد يروي كتب وروايات جميل ابن صالح، فيتركّب طريق للصدوق إلى جميل بن صالح، ويحكم على روايات الفقيه التي ابتدأ بها بجميل هذا بالصحة</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استعنّا بطريقين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الشيخ إلى جميل، وطريق الشيخ إلى ابن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قبساته بأنّ هذا يعتمد على تمام أمرين،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أنّ الصدوق أخذ الرواية من كتاب مَن ابتدأ به، وهو جميل بن صالح في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أنّ الطريق المذكور إلى كتابه كان إلى نسخة معيّنة منه، وصلت إلى يد الصدوق بالمناولة أو القراءة أو السماع ونحوها ولم يكن من قبيل الإجازة الشرفيّة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فغير تامّ، فإنّه لا مؤشّر على أنّ كتاب جميل بن صالح هو من مصادر الصدوق في تأليفه للفقيه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يوجد مؤشّر على ذلك وأنّ الصدوق أخذ الرواية من كتاب جميل بن صالح، وذلك أنّه ابتدأ به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الواردة في الفقيه لم يثبت كونها مأخوذة من كتب مَن ابتدأ بأسمائهم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قليل من الموارد لبعض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المقطوع به خلاف ذلك في </w:t>
      </w:r>
    </w:p>
    <w:p>
      <w:pPr>
        <w:pStyle w:val="BookText"/>
        <w:rPr/>
      </w:pPr>
      <w:r>
        <w:rPr>
          <w:rFonts w:ascii="Amiri" w:hAnsi="Amiri" w:eastAsia="Amiri" w:cs="Amiri"/>
          <w:color w:val="111111"/>
          <w:sz w:val="28"/>
          <w:sz w:val="28"/>
          <w:szCs w:val="28"/>
          <w:rtl w:val="true"/>
          <w:lang w:bidi="ar-SA"/>
        </w:rPr>
        <w:t>كثير منها</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يضيّق من دائرة هذه الطريقة ولو إلى هذه الموارد القليلة أو غيرها ممّا يحرز بالقرائن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الآخر فإنّه لا قرينة على وصول كتاب جميل بن صالح إلى الصدوق بطريق ابن الوليد</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ذلك لما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 من أنّ الإجازات شرفيّة، إلّا في موارد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الطريقة غير تامّة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وقد طبّق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 في المقدّمة الثّانية كطريقة مستقلّة، وذلك في تصحيح طريق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جميل بن درّاج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صحيحاً إلى كتاب جميل بن درّاج،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 عن محمّد بن علي بن الحسين، عن محمّد بن الحسن بن الوليد، عن الصفار، عن يعقوب بن يزيد، عن ابن أبي عمير وصفوان، عن جميل بن درّاج</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الطريق يشتمل على الصدوق نفسه يروي فيه عن جميل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روى الكتاب إلى الشيخ فإنّه يستفاد من صحّة طريق الشيخ إلى جميل بن 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فيه الصدوق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طريق الصدوق إلى جميل</w:t>
      </w:r>
      <w:r>
        <w:rPr>
          <w:rFonts w:eastAsia="Amiri" w:cs="Amiri" w:ascii="Amiri" w:hAnsi="Amiri"/>
          <w:color w:val="111111"/>
          <w:sz w:val="28"/>
          <w:szCs w:val="28"/>
          <w:rtl w:val="true"/>
          <w:lang w:bidi="ar-SA"/>
        </w:rPr>
        <w:t xml:space="preserve">. </w:t>
      </w:r>
      <w:bookmarkStart w:id="604" w:name="pg10913_111043"/>
    </w:p>
    <w:p>
      <w:pPr>
        <w:pStyle w:val="BookText"/>
        <w:rPr/>
      </w:pPr>
      <w:bookmarkEnd w:id="604"/>
      <w:r>
        <w:rPr>
          <w:rFonts w:ascii="Amiri" w:hAnsi="Amiri" w:eastAsia="Amiri" w:cs="Amiri"/>
          <w:color w:val="111111"/>
          <w:sz w:val="28"/>
          <w:sz w:val="28"/>
          <w:szCs w:val="28"/>
          <w:rtl w:val="true"/>
          <w:lang w:bidi="ar-SA"/>
        </w:rPr>
        <w:t xml:space="preserve">وقد ارتضى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التصحيح في هذا المورد بهذه الطريقة، والتي يمكن اعتبارها طريقة مستقلّة</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5" w:name="__RefHeading___Toc3056886_2870459653"/>
      <w:bookmarkStart w:id="606" w:name="_Toc234"/>
      <w:bookmarkEnd w:id="605"/>
      <w:r>
        <w:rPr>
          <w:rtl w:val="true"/>
        </w:rPr>
        <w:t>الطّريقة التّاسعة</w:t>
      </w:r>
      <w:bookmarkEnd w:id="606"/>
    </w:p>
    <w:p>
      <w:pPr>
        <w:pStyle w:val="BookText"/>
        <w:rPr/>
      </w:pPr>
      <w:r>
        <w:rPr>
          <w:rFonts w:ascii="Amiri" w:hAnsi="Amiri" w:eastAsia="Amiri" w:cs="Amiri"/>
          <w:color w:val="111111"/>
          <w:sz w:val="28"/>
          <w:sz w:val="28"/>
          <w:szCs w:val="28"/>
          <w:rtl w:val="true"/>
          <w:lang w:bidi="ar-SA"/>
        </w:rPr>
        <w:t>وحاصلها التلفيق بين طريقي رواية واحدة كلٌّ منهما يشتمل على ضعف من ناحية خاصّة فنحصل على طريق ثالث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مورد لهذه الطريقة فهي طريقة فرضيّة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لتوضيحها نفرض مثالاً،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وردت روايةٌ بطريقين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للشيخ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المفيد، عن أحمد بن محمّد بن الحسن، عن أبيه، عن سعد بن عبد الله، عن أحمد بن محمّد بن عيسى، عن الحسين بن سعيد، عن أخيه الحسن ابن سعيد، عن زرعة، عن سماعة،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وطريقه ضعيف من ناحية أحمد بن محمّد بن الحسن بن 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بناءً على عدم كفاية شيخوخة الإجازة كما تكرّر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للكليني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يحيى العطّار، عن أحمد بن محمّد بن عيسى، عن علي بن إسماعيل، عن عثمان بن عيسى، عن زرعة، عن سماعة،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ونفرض أنّ الضعيف في طريق الكليني علي بن إسماعيل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فينتج طريق ثالث صحيح للرواية بطريق الكليني، وهو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العطّار، عن أحمد بن محمّد بن عيسى، عن الحسين بن سعيد، عن أخيه الحسن بن سعيد، عن زرعة، عن سماعة،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ويرد على هذه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اختلاق الضعيف للسند</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ووحدة المروي لا ترفع 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الدور حيث إنّ تصحيح الضعف في الطريق الأوّل يتوقّف على وصول الرواية إلى أحمد بن محمّد بن عيسى في الطريق الآخر المعلول فرضاً بعلي بن إسماعيل، وتصحيح الضعف في الطريق الآخر يتوقّف على عدم اختلاق الضعيف للسند في الطريق الأوّل، فتصحيح الضعف في السند الأوّل يتوقّف على تماميّة السند الآخر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يحصل اطمئنان بصدور الرواية من تعدّد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مسألة أخرى لا علاقة لها بتصحيح الأسانيد، فكلامنا في تحصيل سند تامّ بالاعتماد على هذه الطريقة بحيث يمكن أن نستعين به مثلاً في تصحيح سند رواية ما بأحد الطرائق السابقة بناءً على تماميّتها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لا يفيد إخبار الشيخ بروايات أحمد بن محمّد بن عيسى؛ لأنّه مع إخباره لا نحتاج إلى سند الرواية الآخر ونكون خرجنا عن هذه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يُستفاد من تعدّد السند الاطمئنان بعدم اختلاق الضعيف للسند، وليس الاطمئنان بصحة صدور الرواية حتى يُقال بأنّه يخرج الإشكال عن محلّ الكلام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الاطمئنان اطمئنانٌ شخصيٌّ، وهو حجّة لصاحبه، وبالتالي لا نحصل على سند يمكن الاستعانة به في تصحيح طريق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وكون الاطمئنان شخصيّاً وليس نوعيّاً في ما نحن فيه، لأنّ الفرض أنّ الرواية أتت بطريقين والاستعانة بهما فقط، لا بطرق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البعيد حصول هكذا اطمئنان من سندين مشكلين،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إشكال الاطمئنان الذي يأتي مع الإكثار في الطريقة الثالثة فيمكن هناك حصول اطمئنان نوعي</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الطريقة غير تامّة</w:t>
      </w:r>
      <w:r>
        <w:rPr>
          <w:rFonts w:eastAsia="Amiri" w:cs="Amiri" w:ascii="Amiri" w:hAnsi="Amiri"/>
          <w:color w:val="111111"/>
          <w:sz w:val="28"/>
          <w:szCs w:val="28"/>
          <w:rtl w:val="true"/>
          <w:lang w:bidi="ar-SA"/>
        </w:rPr>
        <w:t xml:space="preserve">. </w:t>
      </w:r>
      <w:bookmarkStart w:id="607" w:name="pg10913_111049"/>
    </w:p>
    <w:p>
      <w:pPr>
        <w:pStyle w:val="Heading3"/>
        <w:numPr>
          <w:ilvl w:val="2"/>
          <w:numId w:val="1"/>
        </w:numPr>
        <w:rPr/>
      </w:pPr>
      <w:bookmarkStart w:id="608" w:name="__RefHeading___Toc3056888_2870459653"/>
      <w:bookmarkStart w:id="609" w:name="_Toc235"/>
      <w:bookmarkEnd w:id="607"/>
      <w:bookmarkEnd w:id="608"/>
      <w:r>
        <w:rPr>
          <w:rtl w:val="true"/>
        </w:rPr>
        <w:t>ثمرة البحث</w:t>
      </w:r>
      <w:bookmarkEnd w:id="609"/>
    </w:p>
    <w:p>
      <w:pPr>
        <w:pStyle w:val="BookText"/>
        <w:rPr/>
      </w:pPr>
      <w:r>
        <w:rPr>
          <w:rFonts w:ascii="Amiri" w:hAnsi="Amiri" w:eastAsia="Amiri" w:cs="Amiri"/>
          <w:color w:val="111111"/>
          <w:sz w:val="28"/>
          <w:sz w:val="28"/>
          <w:szCs w:val="28"/>
          <w:rtl w:val="true"/>
          <w:lang w:bidi="ar-SA"/>
        </w:rPr>
        <w:t>تظهر الثمرة في تلك الروايات التي يمكن تصحيحها باستخدام نظرية التعويض ويكون لها تأثير دلالي على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من ناحية النتيجة حيث تغيّر الحكم الشرعي وعندها تكون ثمرة 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من ناحية نفس عمليّة استنباط الحكم الشرعي حيث لا يتغيّر الحكم الشرعي لوجود روايات حاكمة مثلاً أو غير ذلك، وعندها تكون ثمرة 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الموارد التي تظهر فيها الثمرة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صحّح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مستند الناسك طريق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جميل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سلف في الطريقة الثامنة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وإلى جميل بن 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سلف في ذيل الطريقة 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مناقشة رواية رواها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جميل عن محمّد بن مسلم وزرارة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محرم قتل نعامة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بدنة فإنْ لم يجد فإطعام ستّين مسكيناً، فإن كانت قيمة البدنة أكثر من طعام ستّين مسكيناً لم يزد على طعام ستّين مسكيناً، وإن كانت قيمة البدنة أقل من طعام ستّين مسكيناً لم يكن عليه إلّا قيمة البدنة</w:t>
      </w:r>
      <w:r>
        <w:rPr>
          <w:rFonts w:eastAsia="IRNazanin" w:cs="IRNazanin"/>
          <w:color w:val="111111"/>
          <w:sz w:val="28"/>
          <w:szCs w:val="28"/>
          <w:rtl w:val="true"/>
          <w:lang w:bidi="fa-IR"/>
        </w:rPr>
        <w:t>)</w:t>
      </w:r>
      <w:r>
        <w:rPr>
          <w:rStyle w:val="FootnoteAnchor"/>
          <w:rtl w:val="true"/>
        </w:rPr>
        <w:footnoteReference w:id="759"/>
      </w: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لو فرض مورد تحقّق فيه أنّ قيمة البدنة أقل من إطعام ستّين مسكيناً فلا بدّ من رفع اليد عن إطلاق روايات الإطعام على ستين مسكيناً بهذه الرواية</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المورد من موارد الثمرة العمليّة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 السيّد محمّد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الخمس رواية الريّان بن الصلت </w:t>
      </w:r>
    </w:p>
    <w:p>
      <w:pPr>
        <w:pStyle w:val="BookText"/>
        <w:rPr/>
      </w:pPr>
      <w:r>
        <w:rPr>
          <w:rFonts w:ascii="IRNazanin" w:hAnsi="IRNazanin" w:eastAsia="IRNazanin"/>
          <w:color w:val="111111"/>
          <w:sz w:val="28"/>
          <w:sz w:val="28"/>
          <w:szCs w:val="28"/>
          <w:rtl w:val="true"/>
          <w:lang w:bidi="fa-IR"/>
        </w:rPr>
        <w:t>وهي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كتبت إلى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يجب علي يا مولاي في غلّة رحى في أرض قطيعة لي، وفي ثمن سمك وبردي وقصب أبيعه من أجمة هذه القطيعة؟ فكتب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عليك فيه الخمس إن شاء الله تعالى</w:t>
      </w:r>
      <w:r>
        <w:rPr>
          <w:rFonts w:eastAsia="IRNazanin" w:cs="IRNazanin"/>
          <w:color w:val="111111"/>
          <w:sz w:val="28"/>
          <w:szCs w:val="28"/>
          <w:rtl w:val="true"/>
          <w:lang w:bidi="fa-IR"/>
        </w:rPr>
        <w:t>)</w:t>
      </w:r>
      <w:r>
        <w:rPr>
          <w:rStyle w:val="FootnoteAnchor"/>
          <w:rtl w:val="true"/>
        </w:rPr>
        <w:footnoteReference w:id="761"/>
      </w:r>
      <w:r>
        <w:rPr>
          <w:rFonts w:ascii="Amiri" w:hAnsi="Amiri" w:eastAsia="Amiri" w:cs="Amiri"/>
          <w:color w:val="111111"/>
          <w:sz w:val="28"/>
          <w:sz w:val="28"/>
          <w:szCs w:val="28"/>
          <w:rtl w:val="true"/>
          <w:lang w:bidi="ar-SA"/>
        </w:rPr>
        <w:t>كما تقدّم نقله بالاستعانة بطرق الشيخ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في مقام البحث الدلالي للرواية ذكر بأنّها قاصرة لاختصاصها بالأرض القطيعة</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المورد من موارد الثمرة النظريّة</w:t>
      </w:r>
      <w:r>
        <w:rPr>
          <w:rFonts w:eastAsia="Amiri" w:cs="Amiri" w:ascii="Amiri" w:hAnsi="Amiri"/>
          <w:color w:val="111111"/>
          <w:sz w:val="28"/>
          <w:szCs w:val="28"/>
          <w:rtl w:val="true"/>
          <w:lang w:bidi="ar-SA"/>
        </w:rPr>
        <w:t xml:space="preserve">. </w:t>
      </w:r>
      <w:bookmarkStart w:id="610" w:name="pg10913_111053"/>
    </w:p>
    <w:p>
      <w:pPr>
        <w:pStyle w:val="Heading3"/>
        <w:numPr>
          <w:ilvl w:val="2"/>
          <w:numId w:val="1"/>
        </w:numPr>
        <w:rPr/>
      </w:pPr>
      <w:bookmarkStart w:id="611" w:name="__RefHeading___Toc3056890_2870459653"/>
      <w:bookmarkStart w:id="612" w:name="_Toc236"/>
      <w:bookmarkEnd w:id="610"/>
      <w:bookmarkEnd w:id="611"/>
      <w:r>
        <w:rPr>
          <w:rtl w:val="true"/>
        </w:rPr>
        <w:t>نتائج البحث</w:t>
      </w:r>
      <w:bookmarkEnd w:id="612"/>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تصحيح الأسانيد بالتعويض صحيح في الجملة، وله جذور في كلام الأعلام السابقين ولكن لم تكن بهذا العرض العريض الذي يظهر من خلال تطبيقاتها عند مَنْ جاء بعدهم، وهناك مجال للتعمُّق في آليّة التعويض وتاريخها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المؤونة في تصحيح الأسانيد بالتعويض ودفع ما يرد تختلف بحسب موارد الطرائق، ففي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المؤونة أخفّ؛ لأنّ التعويض إلى مَن ابتدأ به الشيخ في السند، والمفروض أنّه صاحب كتاب، والتعويض بطريق تامّ إلى نفس صاحب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فالطريقة تامّة بشرط أن يكون مَن ابتدأ به صاحب كتاب مع إخبار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بكتبه ورواياته، ويكون ذلك في خصوص مَن أورد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أسانيده إليهم في المشيخة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والطّريقة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زادت فيها المؤونة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التعويض ليس إلى صاحب الكتاب الذي ابتدأ به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بل إلى ثقة وقع قبله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وحتّى يصحّ التعويض بهذه الطريقة يجب أن يكون هذا الثقة صاحب كتاب، وقد أخذ الرواية مِن كتاب مَنْ قبله، فمؤونة شمول الطريق البديل للمبدل منه هنا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فالطريقة غير تامّة، فشمول الطريق غير محرز، وإجازات الشيوخ شرفيّة إلّا في موارد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والطّريقة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بالرجوع إلى أسانيد الروايات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احتجنا إلى مؤونة أكثر من ذلك فكان علينا بالإضافة إلى ذلك دفع احتمال أنّه</w:t>
      </w:r>
    </w:p>
    <w:p>
      <w:pPr>
        <w:pStyle w:val="BookText"/>
        <w:rPr/>
      </w:pPr>
      <w:r>
        <w:rPr>
          <w:rFonts w:ascii="Amiri" w:hAnsi="Amiri" w:eastAsia="Amiri" w:cs="Amiri"/>
          <w:color w:val="111111"/>
          <w:sz w:val="28"/>
          <w:sz w:val="28"/>
          <w:szCs w:val="28"/>
          <w:rtl w:val="true"/>
          <w:lang w:bidi="ar-SA"/>
        </w:rPr>
        <w:t>أخذ الرواية من الأسبق مثلاً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المؤونة في الطريقة الثالثة أيضاً أنّ مَنْ يقع في سلسلة سند الرواية يكن مشمولاً بالإخبار كأصحاب الكتب الذين يُذكر لهم الطريق في الفهرست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فالطريقة غير تامّة؛ لأنّ شمول الطريق غير محرز فاحتمال اختصاصه قائم، والإجازات غالبها شرفيّة محضة، فضلاً عن وجود احتمال تعدّد النسخ، والمشافهة، والأخذ من الأسبق، واختلاف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والطّريقة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بالاستعانة بطرق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احتجنا إلى إثبات أنّ طرق الصدوق غير مختصّة بكتابه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إرجاع الشيخ إلى الفهارس يشمل مشيخة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فالطريقة غير تامّة؛ لاحتمال الاختصاص، وعدم شمول طريق الصدوق له، وتعدّد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والطّريقة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بالاستعانة بطرق النجاشي احتجنا إلى رفع احتمال تعدّد النسخ واختلاف الكتب وبقي أنّ الإجازات غالبها شرفية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إحراز الشمول ودفع اختلاف الكتب وتعدّد النسخ بالشرائط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تعدد الطرق مع كون الضعيف أحدها، وتفصيل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تتم الطريقة لشرفيّة الإجازات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والطّريقة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تعويض القسم الأوّل من السند إلى الثقة الواقع بين مَنْ ابتدأ به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احتجنا مؤونة إثبات شمول الإخبار لوقوع الثقة بين مَن ابتدأ به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واحتجنا لمؤونة أكثر في دفع احتمال المشافهة عن الطرائق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فالطريقة غير تامّة؛ لأنّه وإن أمكن إحراز شمول الطريق بالشرط المذكور لكن احتمال المشافهة قائم، وكذا الأخذ ممّن سبقه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والطّريقة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تعويض القسم الثاني من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احتجنا فيها أيضاً لمؤونة دفع احتمال المشافهة وتعدّد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فالطريقة لا تتمّ لاحتمال المشافهة واختلاف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والطّريقة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بأكثر من طريق، وهي لم تتم أيضاً؛ إذ لم يحرز شمول الطريق، والإجازات غالبها شرفيّة محضة، واحتمالا اختلاق السند، والأخذ من الأسبق قائمان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والطّريقة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التلفيق بين سندي رواية واحدة فيأتي احتمال اختلاق السند والدور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أيضاً غير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الضابطة المقترحة لتصحيح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الثقة المشترك بين الطريقين البديل والمبدل منه صاحب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يكون الطريق التامّ البديل يعمّ الطريق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لا تكون الإجازة شرفيّة، وأن نرفع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المشافهة، وتعدّد النسخ، واختلاف الكتب، واختلاق السند من الضعيف، وأخذ الثقة من الأسبق</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بالرجوع إلى ما ذكره في الفهرست من ذكر الكتب ومؤلّفيها، فنعلم أنّ مَن ابتدأ به صاحب كتاب أو لا، أو بأن يكون الإخبار بجميع كتبه ورواياته ممّا يفيد عموم الطريق على ما تقدّم في شرح العبارة، أو بأنّ الإخبار كان بالقراءة أو السماع أو نحو ذلك ممّا يدفع احتمال المشافهة والإجازة الشرفيّة، أو بتعدّد الطرق مع كون الطريق </w:t>
      </w:r>
    </w:p>
    <w:p>
      <w:pPr>
        <w:pStyle w:val="BookText"/>
        <w:rPr/>
      </w:pPr>
      <w:r>
        <w:rPr>
          <w:rFonts w:ascii="Amiri" w:hAnsi="Amiri" w:eastAsia="Amiri" w:cs="Amiri"/>
          <w:color w:val="111111"/>
          <w:sz w:val="28"/>
          <w:sz w:val="28"/>
          <w:szCs w:val="28"/>
          <w:rtl w:val="true"/>
          <w:lang w:bidi="ar-SA"/>
        </w:rPr>
        <w:t>الضعيف أحدها ممّا يدفع احتمال تعدّد النسخ على ما تقدّم بيانه في الطريقة الخامسة، أو بتفصيل الكتب وذكرها ممّا يدفع احتمال اختلاف الكتب، إلى غير ذلك من القرائن التي يمكن بها دفع ما يرد على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ممّا تقدّم أنّه في بعض الطرائق السابقة يمكن تصحيح بعض مواردها مع وجود قرائن تدفع ما يرد على المورد، ومن أمثلة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الطريقة الأولى عند عدم عطف الشيخ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يمكن تتميم التعويض عندما يكون سند الشيخ في فهرسته إلى نفس الكتاب الذي روى عنه الرواية، ويستفاد ذلك من خلال القرائن كتعدّد الطرق مع كون الضعيف أحدها وتفصيل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الطريقة الخامسة حيث يمكن تماميّة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بالشرائط التي ذكرت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الموارد التي يكون الإخبار فيها بالقراءة أو السماع أو نحوهما؛ فإنّ ذلك ممّا ينفي الإجازة الشرفيّة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تماميّة نظريّة التعويض بهذه الحدود أنّه استوجب تضييق دائرة النظريّة بإخراج أغلب موارد الطرائق</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للمتتبّع أن يحصل على موارد أخرى في تطبيقاتهم تصلح لأن تكون طرائق مستقلّة، فحيثيّات التعويض متعدّدة ممّا يجعل الطرائق تتعدّد بحسبها، ويمكن إلحاق بعض الطرائق ببعض باعتبار اشتراكها في جملة المناقشات التي ترد عليها، كما ألحقنا في الطريقة السادسة المورد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تصحيح سند حديث رفع التسعة لكن بالاستعانة بمشيخة الفقيه لا بالفهرست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للاشتراك في جملة المناقشات الواردة، ولذلك أيضاً لم نفرد الطريقة المستقلّة للسيد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شكّلت المقدّمة الثانية للطريقة </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 وصلّى الله على خير خلقه محمّد وآله الطّيّبين الطّاهرين</w:t>
      </w:r>
      <w:r>
        <w:rPr>
          <w:rFonts w:eastAsia="Amiri" w:cs="Amiri" w:ascii="Amiri" w:hAnsi="Amiri"/>
          <w:color w:val="111111"/>
          <w:sz w:val="28"/>
          <w:szCs w:val="28"/>
          <w:rtl w:val="true"/>
          <w:lang w:bidi="ar-SA"/>
        </w:rPr>
        <w:t>.</w:t>
      </w:r>
      <w:bookmarkStart w:id="613" w:name="pg10913_111063"/>
    </w:p>
    <w:p>
      <w:pPr>
        <w:pStyle w:val="Heading3"/>
        <w:numPr>
          <w:ilvl w:val="2"/>
          <w:numId w:val="1"/>
        </w:numPr>
        <w:rPr/>
      </w:pPr>
      <w:bookmarkStart w:id="614" w:name="__RefHeading___Toc3056892_2870459653"/>
      <w:bookmarkStart w:id="615" w:name="_Toc237"/>
      <w:bookmarkEnd w:id="613"/>
      <w:bookmarkEnd w:id="614"/>
      <w:r>
        <w:rPr>
          <w:rtl w:val="true"/>
        </w:rPr>
        <w:t>المراجع والمصادر</w:t>
      </w:r>
      <w:bookmarkEnd w:id="6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 فيما اختلف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الموسوي الخرسان،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ﻫ،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استقصاء الاعتبار في شرح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ابن الشهيد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ﻫ، مطبعة ستاره قم،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أصول علم الرجال بين النظرية والتطبيق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بحث الشيخ مسلم الداوري،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علي صالح المعلم،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منشورات الرافد،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بحوث في شرح العروة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باقر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 xml:space="preserve">م، مطبعة الآداب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في شرح 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أبحاث السيّد محمّد رضا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أمجد رياض والشيخ نزار يوسف،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المؤرخ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بحوث في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 بحث السيّد محمّد باقر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بقلم السيّد محمود الشاهرودي،،ط</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دائرة معارف الفقه الإسلامي طبقاً لمذهب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تاج العروس من جواهر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مرتضى الحسيني الواسطي الزبيدي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سنة الطبع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م، </w:t>
      </w:r>
    </w:p>
    <w:p>
      <w:pPr>
        <w:pStyle w:val="BookText"/>
        <w:rPr/>
      </w:pP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التنقيح في شرح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 لبحث السيّد أبو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علي الغروي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ﻫ، مطبعة 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دار الهادي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الأحكام في شرح المقنعة للشيخ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أبو جعفر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حسن الموسوي الخرسان، ط</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ﻫ، دار الكتب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الرواة وإزاحة الاشتباهات عن الطرق والإسناد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علي الأردبيلي الغروي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ﻫ، الجزء الأوَّل الناشر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المحمّدي، والجزء الثاني الناشر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المرعشي النجفي،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خاتمة 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حسين النوري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ﻫ،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ستارة قم،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الأقدم الصدوق أبو جعفر محمّد بن علي بن الحسين 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ﻫ، 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دروس تمهيدية في القواعد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باقر الإيرواني،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 xml:space="preserve">ﻫ، مؤسسة التاريخ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السيّد بحر العلوم المعروف بالفوائد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المهدي </w:t>
      </w:r>
    </w:p>
    <w:p>
      <w:pPr>
        <w:pStyle w:val="BookText"/>
        <w:rPr/>
      </w:pPr>
      <w:r>
        <w:rPr>
          <w:rFonts w:ascii="Amiri" w:hAnsi="Amiri" w:eastAsia="Amiri" w:cs="Amiri"/>
          <w:color w:val="111111"/>
          <w:sz w:val="28"/>
          <w:sz w:val="28"/>
          <w:szCs w:val="28"/>
          <w:rtl w:val="true"/>
          <w:lang w:bidi="ar-SA"/>
        </w:rPr>
        <w:t xml:space="preserve">بحر العلوم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بحر العلوم والسيّد حسين بحر العلوم،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مكتبة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الرسائل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المعالي محمّد بن محمّد إبراهيم الكلباسي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حسين الدرايتي،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المتقين في شرح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الموسوي الكرماني والشيخ علي بناه الإشتهاردي،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بنياد فرهنك إسلامي حاج محمّد حسين كوشانبور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سماء المقال في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أبو الهدى الكلباسي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الحسيني القزويني، 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ﻫ،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ولي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للدراسات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اللّغة وصحاح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الغفور العطّار،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بن أحمد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مهدي المخزومي والدكتور إبراهيم السامرائي،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ﻫ،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أسماء مصنّفي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أبو العباس أحمد بن علي بن أحمد بن العباس النجاشي الأسدي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 مؤسسة النشر الإسلامي التابعة لجماعة المدرسين بقم المشرفة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جواد القيومي،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نشر الفقاهة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قبسات من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أبحاث السيّد محمّد رضا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معاصر، بقلم السيد محمّد البكّاء، الطبعة الأولى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المؤرخ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القضاء في الفقه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كاظم الحسيني الحائري، معاصر،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ﻫ، مطبعة باقري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الفكر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العلمية قم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ﻫ، دار الكتب العلمية، إسماعيليان نجفي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الجوادي الطبري الآملي، مطبعة مهر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كلّيّات في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السبحاني،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 لبحث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كاظم الحسيني الحائري،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ﻫ،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النشر مكتب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مدارك الأحكام في شرح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بن علي الموسوي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قم،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مستند الناسك في شرح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 لأبحاث السيّد أبو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بقلم الشيخ مرتضى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المؤرّخ العربي،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المستند في شرح العروة الوثقى، كتاب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الإمام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 لأبحاث السيّد أبو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مرتضى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مؤسسة إحياء آثار الأمام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المستند في شرح العروة الوثقى، كتاب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الإمام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 لأبحاث السيّد أبو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مرتضى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م، مؤسسة إحياء آثار الأمام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أبو جعفر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فقه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رجال الحديث وتفصيل طبقات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فارس بن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فارس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سنة الطبع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ﻫ،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الإعلام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أبي جعفر محمّد بن علي بن الحسين 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ﻫ، مؤسسة النشر الإسلامي التابعة لجماعة </w:t>
      </w:r>
    </w:p>
    <w:p>
      <w:pPr>
        <w:pStyle w:val="BookText"/>
        <w:rPr/>
      </w:pPr>
      <w:r>
        <w:rPr>
          <w:rFonts w:ascii="Amiri" w:hAnsi="Amiri" w:eastAsia="Amiri" w:cs="Amiri"/>
          <w:color w:val="111111"/>
          <w:sz w:val="28"/>
          <w:sz w:val="28"/>
          <w:szCs w:val="28"/>
          <w:rtl w:val="true"/>
          <w:lang w:bidi="ar-SA"/>
        </w:rPr>
        <w:t>المدرسين بقم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منهج المقال في تحقيق أحوال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محمّد الأسترابادي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1028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مخطوط برقم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ر، المجموعة الأولى، المحفوظ في مكتبة الإمام الحكيم العامّة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6" w:name="pg10913_111077"/>
      <w:bookmarkStart w:id="617" w:name="pg10913_111077"/>
      <w:bookmarkEnd w:id="617"/>
    </w:p>
    <w:p>
      <w:pPr>
        <w:pStyle w:val="Heading2"/>
        <w:numPr>
          <w:ilvl w:val="1"/>
          <w:numId w:val="1"/>
        </w:numPr>
        <w:rPr/>
      </w:pPr>
      <w:bookmarkStart w:id="618" w:name="pg10913_111077"/>
      <w:bookmarkStart w:id="619" w:name="__RefHeading___Toc3056894_2870459653"/>
      <w:bookmarkStart w:id="620" w:name="_Toc238"/>
      <w:bookmarkEnd w:id="618"/>
      <w:bookmarkEnd w:id="619"/>
      <w:r>
        <w:rPr>
          <w:rtl w:val="true"/>
        </w:rPr>
        <w:t xml:space="preserve">تحقيق حال جابر الجعفي </w:t>
      </w:r>
      <w:r>
        <w:rPr>
          <w:rtl w:val="true"/>
        </w:rPr>
        <w:t>(</w:t>
      </w:r>
      <w:r>
        <w:rPr>
          <w:rtl w:val="true"/>
        </w:rPr>
        <w:t>الحلقة الخامسة</w:t>
      </w:r>
      <w:r>
        <w:rPr>
          <w:rtl w:val="true"/>
        </w:rPr>
        <w:t xml:space="preserve">) - </w:t>
      </w:r>
      <w:r>
        <w:rPr>
          <w:rtl w:val="true"/>
        </w:rPr>
        <w:t xml:space="preserve">الشَّيخ محمَّد الجعفري </w:t>
      </w:r>
      <w:r>
        <w:rPr>
          <w:rtl w:val="true"/>
        </w:rPr>
        <w:t>(</w:t>
      </w:r>
      <w:r>
        <w:rPr>
          <w:rtl w:val="true"/>
        </w:rPr>
        <w:t>دام عزه</w:t>
      </w:r>
      <w:r>
        <w:rPr>
          <w:rtl w:val="true"/>
        </w:rPr>
        <w:t>)</w:t>
      </w:r>
      <w:bookmarkEnd w:id="620"/>
    </w:p>
    <w:p>
      <w:pPr>
        <w:pStyle w:val="Heading3"/>
        <w:numPr>
          <w:ilvl w:val="2"/>
          <w:numId w:val="1"/>
        </w:numPr>
        <w:rPr/>
      </w:pPr>
      <w:bookmarkStart w:id="621" w:name="__RefHeading___Toc3056896_2870459653"/>
      <w:bookmarkStart w:id="622" w:name="_Toc239"/>
      <w:bookmarkEnd w:id="621"/>
      <w:r>
        <w:rPr>
          <w:rtl w:val="true"/>
        </w:rPr>
        <w:t>اشارة</w:t>
      </w:r>
      <w:bookmarkEnd w:id="622"/>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معرفة طبقة الرَّاوي تحدّد الفترة التي عاش فيها وتتيح التعرّف على عصره العلميّ والسّياسيّ والاجتماعيّ وما كان مطروحاً في ذلك العصر من الرُّؤى والأفكار والاتّجاهات الدّينيّة، وهو يساعد على تحديد منهجه الفكريّ العامّ وخلفيّاته الثّقافيّة وطريقة تفكيره وعرضه للرؤى والأفكار، كما أنَّها تنفع في معرفة مشايخ الرَّاوي وتلامذته</w:t>
      </w:r>
      <w:r>
        <w:rPr>
          <w:rFonts w:eastAsia="Amiri" w:cs="Amiri" w:ascii="Amiri" w:hAnsi="Amiri"/>
          <w:color w:val="111111"/>
          <w:sz w:val="28"/>
          <w:szCs w:val="28"/>
          <w:rtl w:val="true"/>
          <w:lang w:bidi="ar-SA"/>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3" w:name="pg10913_111081"/>
      <w:bookmarkStart w:id="624" w:name="pg10913_111081"/>
      <w:bookmarkEnd w:id="624"/>
    </w:p>
    <w:p>
      <w:pPr>
        <w:pStyle w:val="BookText"/>
        <w:rPr/>
      </w:pPr>
      <w:bookmarkStart w:id="625" w:name="pg10913_111081"/>
      <w:bookmarkEnd w:id="625"/>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هذه هي الحلقة الأخيرة من بحث تحقيق حال التابعي المعروف جابر بن يزيد الجعفي، وتناول البحث في الحلقتين الأولتين جهات تتعلّق بشخصيّة هذا الرجل، وتناولت الحلقة الثالثة علوم جابر وكتبه، وفي الحلقة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الكلام في وثاقة الرجل عند الفريقين، ووصل الكلام إلى</w:t>
      </w:r>
      <w:r>
        <w:rPr>
          <w:rFonts w:eastAsia="Amiri" w:cs="Amiri" w:ascii="Amiri" w:hAnsi="Amiri"/>
          <w:color w:val="111111"/>
          <w:sz w:val="28"/>
          <w:szCs w:val="28"/>
          <w:rtl w:val="true"/>
          <w:lang w:bidi="ar-SA"/>
        </w:rPr>
        <w:t>..</w:t>
      </w:r>
    </w:p>
    <w:p>
      <w:pPr>
        <w:pStyle w:val="Heading3"/>
        <w:numPr>
          <w:ilvl w:val="2"/>
          <w:numId w:val="1"/>
        </w:numPr>
        <w:rPr/>
      </w:pPr>
      <w:bookmarkStart w:id="626" w:name="__RefHeading___Toc3056898_2870459653"/>
      <w:bookmarkStart w:id="627" w:name="_Toc240"/>
      <w:bookmarkEnd w:id="626"/>
      <w:r>
        <w:rPr>
          <w:rtl w:val="true"/>
        </w:rPr>
        <w:t>المقام الرَّابع</w:t>
      </w:r>
      <w:r>
        <w:rPr>
          <w:rtl w:val="true"/>
        </w:rPr>
        <w:t xml:space="preserve">: </w:t>
      </w:r>
      <w:r>
        <w:rPr>
          <w:rtl w:val="true"/>
        </w:rPr>
        <w:t>معجم بأسماء أساتذة جابر الجعفي وتلاميذه</w:t>
      </w:r>
      <w:bookmarkEnd w:id="627"/>
    </w:p>
    <w:p>
      <w:pPr>
        <w:pStyle w:val="Heading4"/>
        <w:numPr>
          <w:ilvl w:val="3"/>
          <w:numId w:val="1"/>
        </w:numPr>
        <w:rPr/>
      </w:pPr>
      <w:bookmarkStart w:id="628" w:name="__RefHeading___Toc3056900_2870459653"/>
      <w:bookmarkStart w:id="629" w:name="_Toc241"/>
      <w:bookmarkEnd w:id="628"/>
      <w:r>
        <w:rPr>
          <w:rtl w:val="true"/>
        </w:rPr>
        <w:t>اشارة</w:t>
      </w:r>
      <w:bookmarkEnd w:id="629"/>
    </w:p>
    <w:p>
      <w:pPr>
        <w:pStyle w:val="BookText"/>
        <w:rPr/>
      </w:pPr>
      <w:r>
        <w:rPr>
          <w:rFonts w:ascii="Amiri" w:hAnsi="Amiri" w:eastAsia="Amiri" w:cs="Amiri"/>
          <w:color w:val="111111"/>
          <w:sz w:val="28"/>
          <w:sz w:val="28"/>
          <w:szCs w:val="28"/>
          <w:rtl w:val="true"/>
          <w:lang w:bidi="ar-SA"/>
        </w:rPr>
        <w:t>وقد ذكرنا في مستهلّ المقام الأوَّل المصادر التي تضمّنت الرواية عن جابر بحسب التسلسل الزمني وعدد ما ورد فيها، وذكرنا في الجهة الرابعة من ذاك المقام بعض الوجوه البارزة من مشايخه في العلم من الصحابة والتابعين، كما ذكرنا في الجهة الخامسة والسادسة مَن تصح روايته عنه من الصحابة والتابعين، وهذا المقام معقود لتفصيل مشايخه وتلاميذه في أسانيد الفريقين، وهو يشتمل على مطلبين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الراوي والمروي عنه في أسانيد الجمهور مع ترجمة موجزة لكل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الراوي والمروي عنه في كتبنا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ويعرف مثل هذا البحث في العرف الرجالي بطبقة الرجل؛ لأنّه يمثّل موقعه التاريخي ومحلّه بين رواة العلم والحديث، ومن ثمَّ لا بأس بذكر مقدّمة في الطبقات</w:t>
      </w:r>
      <w:r>
        <w:rPr>
          <w:rFonts w:eastAsia="Amiri" w:cs="Amiri" w:ascii="Amiri" w:hAnsi="Amiri"/>
          <w:color w:val="111111"/>
          <w:sz w:val="28"/>
          <w:szCs w:val="28"/>
          <w:rtl w:val="true"/>
          <w:lang w:bidi="ar-SA"/>
        </w:rPr>
        <w:t xml:space="preserve">: </w:t>
      </w:r>
      <w:bookmarkStart w:id="630" w:name="pg10913_111083"/>
    </w:p>
    <w:p>
      <w:pPr>
        <w:pStyle w:val="Heading4"/>
        <w:numPr>
          <w:ilvl w:val="3"/>
          <w:numId w:val="1"/>
        </w:numPr>
        <w:rPr/>
      </w:pPr>
      <w:bookmarkStart w:id="631" w:name="__RefHeading___Toc3056902_2870459653"/>
      <w:bookmarkStart w:id="632" w:name="_Toc242"/>
      <w:bookmarkEnd w:id="630"/>
      <w:bookmarkEnd w:id="631"/>
      <w:r>
        <w:rPr>
          <w:rtl w:val="true"/>
        </w:rPr>
        <w:t>الطَّبقات لغةًً واصطلاحاً</w:t>
      </w:r>
      <w:bookmarkEnd w:id="632"/>
    </w:p>
    <w:p>
      <w:pPr>
        <w:pStyle w:val="BookText"/>
        <w:rPr/>
      </w:pPr>
      <w:r>
        <w:rPr>
          <w:rFonts w:ascii="Amiri" w:hAnsi="Amiri" w:eastAsia="Amiri" w:cs="Amiri"/>
          <w:color w:val="111111"/>
          <w:sz w:val="28"/>
          <w:sz w:val="28"/>
          <w:szCs w:val="28"/>
          <w:rtl w:val="true"/>
          <w:lang w:bidi="ar-SA"/>
        </w:rPr>
        <w:t xml:space="preserve">أمّا لغة فقد قال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الناس يعدلون طبقاً مثل جماعة</w:t>
      </w:r>
      <w:r>
        <w:rPr>
          <w:rFonts w:eastAsia="Amiri" w:cs="Amiri" w:ascii="Amiri" w:hAnsi="Amiri"/>
          <w:color w:val="111111"/>
          <w:sz w:val="28"/>
          <w:szCs w:val="28"/>
          <w:rtl w:val="true"/>
          <w:lang w:bidi="ar-SA"/>
        </w:rPr>
        <w:t>)</w:t>
      </w:r>
      <w:r>
        <w:rPr>
          <w:rStyle w:val="FootnoteAnchor"/>
          <w:rtl w:val="true"/>
        </w:rPr>
        <w:footnoteReference w:id="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سيده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ساواه</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اصطلاحاً فالظاهر أنّ الطبقات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 بنفس معناها اللغوي؛ لأنّ الطبقة في علم الحديث عبارة عن جماعة أو جيل من المحدِّثين عاشت في زمن واحد تقريباً يمكنها أن تروي عمّن سبقها مباشرة</w:t>
      </w:r>
      <w:r>
        <w:rPr>
          <w:rFonts w:eastAsia="Amiri" w:cs="Amiri" w:ascii="Amiri" w:hAnsi="Amiri"/>
          <w:color w:val="111111"/>
          <w:sz w:val="28"/>
          <w:szCs w:val="28"/>
          <w:rtl w:val="true"/>
          <w:lang w:bidi="ar-SA"/>
        </w:rPr>
        <w:t>.</w:t>
      </w:r>
    </w:p>
    <w:p>
      <w:pPr>
        <w:pStyle w:val="Heading4"/>
        <w:numPr>
          <w:ilvl w:val="3"/>
          <w:numId w:val="1"/>
        </w:numPr>
        <w:rPr/>
      </w:pPr>
      <w:bookmarkStart w:id="633" w:name="__RefHeading___Toc3056904_2870459653"/>
      <w:bookmarkStart w:id="634" w:name="_Toc243"/>
      <w:bookmarkEnd w:id="633"/>
      <w:r>
        <w:rPr>
          <w:rtl w:val="true"/>
        </w:rPr>
        <w:t>الغاية من معرفة الطّبقة</w:t>
      </w:r>
      <w:bookmarkEnd w:id="634"/>
    </w:p>
    <w:p>
      <w:pPr>
        <w:pStyle w:val="BookText"/>
        <w:rPr/>
      </w:pPr>
      <w:r>
        <w:rPr>
          <w:rFonts w:ascii="Amiri" w:hAnsi="Amiri" w:eastAsia="Amiri" w:cs="Amiri"/>
          <w:color w:val="111111"/>
          <w:sz w:val="28"/>
          <w:sz w:val="28"/>
          <w:szCs w:val="28"/>
          <w:rtl w:val="true"/>
          <w:lang w:bidi="ar-SA"/>
        </w:rPr>
        <w:t xml:space="preserve">إنّ معرفة طبقة الراوي تحدّد الفترة التي عاش فيها هذا الراوي، وتتيح التعرّف على عصره العلميّ والسياسيّ والاجتماعيّ، وما كان مطروحاً في ذلك العصر من الرؤى والأفكار والاتجاهات الدينية، وهو يساعد على تحديد منهجه الفكريّ العامّ وخلفيّاته الثقافيّة وطريقة تفكيره وعرضه للرؤى والأفكار، كما أنّها تنفع في معرفة مشايخ الراوي وتلامذته، ومن خلال معرفة عدد مشايخ الراوي وتوطّنهم تتّضح صورة عن حياة الراوي العلميّة، وكيفية طلبه للحديث وما بذله من جهد في تحصيل الحديث من خلال تنقّله بين البلدان، كما أنّ اختلاف مدارس هؤلاء الشيوخ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يرسم لنا صورة عن معرفيّة الراوي ومدى تأثّره بمدرسةٍ ما حسب مدّة التلمّذ</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اعتنى علماء المسلمين من الفريقين اعتناء كبيراً بتدوين الطبقات على اختلافٍ في مناهجهم</w:t>
      </w:r>
      <w:r>
        <w:rPr>
          <w:rFonts w:eastAsia="Amiri" w:cs="Amiri" w:ascii="Amiri" w:hAnsi="Amiri"/>
          <w:color w:val="111111"/>
          <w:sz w:val="28"/>
          <w:szCs w:val="28"/>
          <w:rtl w:val="true"/>
          <w:lang w:bidi="ar-SA"/>
        </w:rPr>
        <w:t xml:space="preserve">. </w:t>
      </w:r>
      <w:bookmarkStart w:id="635" w:name="pg10913_111085"/>
    </w:p>
    <w:p>
      <w:pPr>
        <w:pStyle w:val="Heading4"/>
        <w:numPr>
          <w:ilvl w:val="3"/>
          <w:numId w:val="1"/>
        </w:numPr>
        <w:rPr/>
      </w:pPr>
      <w:bookmarkStart w:id="636" w:name="__RefHeading___Toc3056906_2870459653"/>
      <w:bookmarkStart w:id="637" w:name="_Toc244"/>
      <w:bookmarkEnd w:id="635"/>
      <w:bookmarkEnd w:id="636"/>
      <w:r>
        <w:rPr>
          <w:rtl w:val="true"/>
        </w:rPr>
        <w:t>كتب الطّبقات عند العامّة ومناهجهم فيها</w:t>
      </w:r>
      <w:r>
        <w:rPr>
          <w:rtl w:val="true"/>
        </w:rPr>
        <w:t>..</w:t>
      </w:r>
      <w:bookmarkEnd w:id="637"/>
    </w:p>
    <w:p>
      <w:pPr>
        <w:pStyle w:val="Heading5"/>
        <w:numPr>
          <w:ilvl w:val="4"/>
          <w:numId w:val="1"/>
        </w:numPr>
        <w:rPr/>
      </w:pPr>
      <w:bookmarkStart w:id="638" w:name="__RefHeading___Toc3056908_2870459653"/>
      <w:bookmarkStart w:id="639" w:name="_Toc245"/>
      <w:bookmarkEnd w:id="638"/>
      <w:r>
        <w:rPr>
          <w:rtl w:val="true"/>
        </w:rPr>
        <w:t>اشارة</w:t>
      </w:r>
      <w:bookmarkEnd w:id="639"/>
    </w:p>
    <w:p>
      <w:pPr>
        <w:pStyle w:val="BookText"/>
        <w:rPr/>
      </w:pPr>
      <w:r>
        <w:rPr>
          <w:rFonts w:ascii="Amiri" w:hAnsi="Amiri" w:eastAsia="Amiri" w:cs="Amiri"/>
          <w:color w:val="111111"/>
          <w:sz w:val="28"/>
          <w:sz w:val="28"/>
          <w:szCs w:val="28"/>
          <w:rtl w:val="true"/>
          <w:lang w:bidi="ar-SA"/>
        </w:rPr>
        <w:t xml:space="preserve">إنّ أقدم ما وصل من كتب الجمهور هو طبقات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الطبقات الكبرى لتلميذه محمَّد بن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استفاد من كتابي أستاذه في الطبقات والمغازي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اختلفت مناهج القوم في ترتيب الطبقات</w:t>
      </w:r>
      <w:r>
        <w:rPr>
          <w:rFonts w:eastAsia="Amiri" w:cs="Amiri" w:ascii="Amiri" w:hAnsi="Amiri"/>
          <w:color w:val="111111"/>
          <w:sz w:val="28"/>
          <w:szCs w:val="28"/>
          <w:rtl w:val="true"/>
          <w:lang w:bidi="ar-SA"/>
        </w:rPr>
        <w:t>..</w:t>
      </w:r>
    </w:p>
    <w:p>
      <w:pPr>
        <w:pStyle w:val="Heading5"/>
        <w:numPr>
          <w:ilvl w:val="4"/>
          <w:numId w:val="1"/>
        </w:numPr>
        <w:rPr/>
      </w:pPr>
      <w:bookmarkStart w:id="640" w:name="__RefHeading___Toc3056910_2870459653"/>
      <w:bookmarkStart w:id="641" w:name="_Toc246"/>
      <w:bookmarkEnd w:id="640"/>
      <w:r>
        <w:rPr>
          <w:rtl w:val="true"/>
        </w:rPr>
        <w:t>المنهج الأوَّل</w:t>
      </w:r>
      <w:bookmarkEnd w:id="641"/>
    </w:p>
    <w:p>
      <w:pPr>
        <w:pStyle w:val="BookText"/>
        <w:rPr/>
      </w:pPr>
      <w:r>
        <w:rPr>
          <w:rFonts w:ascii="IRNazanin" w:hAnsi="IRNazanin" w:eastAsia="IRNazanin"/>
          <w:color w:val="111111"/>
          <w:sz w:val="28"/>
          <w:sz w:val="28"/>
          <w:szCs w:val="28"/>
          <w:rtl w:val="true"/>
          <w:lang w:bidi="fa-IR"/>
        </w:rPr>
        <w:t>منهج ابن سعد</w:t>
      </w:r>
      <w:r>
        <w:rPr>
          <w:rStyle w:val="FootnoteAnchor"/>
          <w:rtl w:val="true"/>
        </w:rPr>
        <w:footnoteReference w:id="765"/>
      </w:r>
      <w:r>
        <w:rPr>
          <w:rFonts w:ascii="IRNazanin" w:hAnsi="IRNazanin" w:eastAsia="IRNazanin"/>
          <w:color w:val="111111"/>
          <w:sz w:val="28"/>
          <w:sz w:val="28"/>
          <w:szCs w:val="28"/>
          <w:rtl w:val="true"/>
          <w:lang w:bidi="fa-IR"/>
        </w:rPr>
        <w:t>، وقد راعى في التراجم عنصرين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الزمان، وعنصر المكان،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قبل ذكر التراجم ترجم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آبائه وأمهاته، وكلُّ ما يتعلّق بحياته الشريفة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عنصر الزمان فقد راعاه في بناء الطبقات من أوّلها إلى آخرها، وكانت السابقة إلى الإسلام هي المحور الأكبر فيه، سواء اتّصلت بالهجرة إلى الحبشة ثمَّ بمعركة بدر أم بما قبل الفتح، أو غير ذلك من المفاصل الزمنيّة التي وجّهت التقسيم، فالبدريّون مفضّلون على مَن عداهم، ومن ثمَّ بدأ بالمهاجرين البدريين، ثمَّ بالأنصار البدريين، ثمَّ بمن أسلم قديماً ولم يشهد بدراً وإنّما هاجر إلى الحبشة أو شهد أُحداً، ثمَّ من أسلم قبل فتح مكة وهكذا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العنصر المكاني فأخذ يترجم للصحابة ومَن بعدهم على حسب الأمصار التي نزلوها فسمّى من كان بالمدينة ومكّة والطائف واليمن واليمامة، ثُمَّ مَن نزل الكوفة، ثُمَّ مَن نزل البصرة، ومَن كان موطنه الشام ومصر وغيرهما، وترجم للنساء الصحابيّات في </w:t>
      </w:r>
      <w:bookmarkStart w:id="642" w:name="pg10913_111087"/>
    </w:p>
    <w:p>
      <w:pPr>
        <w:pStyle w:val="BookText"/>
        <w:rPr/>
      </w:pPr>
      <w:bookmarkEnd w:id="642"/>
      <w:r>
        <w:rPr>
          <w:rFonts w:ascii="Amiri" w:hAnsi="Amiri" w:eastAsia="Amiri" w:cs="Amiri"/>
          <w:color w:val="111111"/>
          <w:sz w:val="28"/>
          <w:sz w:val="28"/>
          <w:szCs w:val="28"/>
          <w:rtl w:val="true"/>
          <w:lang w:bidi="ar-SA"/>
        </w:rPr>
        <w:t>الجزء الأخير من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سعد خصّص المجلّد الأوَّل والثاني في السيرة والشمائل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الثالث لتراجم أهل بدر ونقباء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 للحديث عن الطبقة الثانية من الصحابة، ثمَّ الصحابة الذين أسلموا قبل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 لتابعي المدينة، ثمَّ للصحابة والتابعين في مكّة والطائف واليمن واليمامة والبحرين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والسادس للصحابة والتابعين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والسابع للصحابة والتابعين في البصرة والشام ومصر وخراسان وبقيّة الأمصار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والثامن للنساء الصحابيّات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تقسيمه لطبقات التابعين جعل الطبقة تساوي عشرين سنة، فمثلاً تتراوح نهاية الطبقة الثالثة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وتتراوح نهاية الطبقة الرابعة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Heading5"/>
        <w:numPr>
          <w:ilvl w:val="4"/>
          <w:numId w:val="1"/>
        </w:numPr>
        <w:rPr/>
      </w:pPr>
      <w:bookmarkStart w:id="643" w:name="__RefHeading___Toc3056912_2870459653"/>
      <w:bookmarkStart w:id="644" w:name="_Toc247"/>
      <w:bookmarkEnd w:id="643"/>
      <w:r>
        <w:rPr>
          <w:rtl w:val="true"/>
        </w:rPr>
        <w:t>المنهج الثَّاني</w:t>
      </w:r>
      <w:bookmarkEnd w:id="644"/>
    </w:p>
    <w:p>
      <w:pPr>
        <w:pStyle w:val="BookText"/>
        <w:rPr/>
      </w:pPr>
      <w:r>
        <w:rPr>
          <w:rFonts w:ascii="Amiri" w:hAnsi="Amiri" w:eastAsia="Amiri" w:cs="Amiri"/>
          <w:color w:val="111111"/>
          <w:sz w:val="28"/>
          <w:sz w:val="28"/>
          <w:szCs w:val="28"/>
          <w:rtl w:val="true"/>
          <w:lang w:bidi="ar-SA"/>
        </w:rPr>
        <w:t xml:space="preserve">منهج خليفة بن خيّاط العصفري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طبقاته</w:t>
      </w:r>
      <w:r>
        <w:rPr>
          <w:rStyle w:val="FootnoteAnchor"/>
          <w:rtl w:val="true"/>
        </w:rPr>
        <w:footnoteReference w:id="766"/>
      </w:r>
      <w:r>
        <w:rPr>
          <w:rFonts w:ascii="IRNazanin" w:hAnsi="IRNazanin" w:eastAsia="IRNazanin"/>
          <w:color w:val="111111"/>
          <w:sz w:val="28"/>
          <w:sz w:val="28"/>
          <w:szCs w:val="28"/>
          <w:rtl w:val="true"/>
          <w:lang w:bidi="fa-IR"/>
        </w:rPr>
        <w:t xml:space="preserve">، وهو يغاير منهج معاصره ابن سعد، إذ رتّبه على نسب الصحابة وقرابتهم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،فبدأ كتابه بترجمة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عمّه العباس، ثمَّ بقيّة بني هاشم، ثمَّ ترجم للأمويين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تناول سائر بطون قريش بطناً بطناً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ألمَّ بسائر القبائل المضريّة فالعدنانيّة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ذلك بدأ بالصحابة من القبائل اليمانيّة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أنهى تراجم الصحابة جميعاً ترجم التابعين وفق أنسابهم أيضاً</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 ابن سعد وخليفة اختلاف في تعداد الطبقات، فطبقات أهل البصرة عند ابن سعد ثماني طبقات، وعند خليفة اثنتا عشرة طبقة، وطبقات أهل الكوفة عند ابن سعد تسع، وعند خليفة إحدى عشرة 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الشام عند ابن سعد ثماني طبقات وعند خليفة ست</w:t>
      </w:r>
      <w:r>
        <w:rPr>
          <w:rFonts w:eastAsia="Amiri" w:cs="Amiri" w:ascii="Amiri" w:hAnsi="Amiri"/>
          <w:color w:val="111111"/>
          <w:sz w:val="28"/>
          <w:szCs w:val="28"/>
          <w:rtl w:val="true"/>
          <w:lang w:bidi="ar-SA"/>
        </w:rPr>
        <w:t xml:space="preserve">. </w:t>
      </w:r>
      <w:bookmarkStart w:id="645" w:name="pg10913_111089"/>
    </w:p>
    <w:p>
      <w:pPr>
        <w:pStyle w:val="BookText"/>
        <w:rPr/>
      </w:pPr>
      <w:bookmarkEnd w:id="645"/>
      <w:r>
        <w:rPr>
          <w:rFonts w:ascii="Amiri" w:hAnsi="Amiri" w:eastAsia="Amiri" w:cs="Amiri"/>
          <w:color w:val="111111"/>
          <w:sz w:val="28"/>
          <w:sz w:val="28"/>
          <w:szCs w:val="28"/>
          <w:rtl w:val="true"/>
          <w:lang w:bidi="ar-SA"/>
        </w:rPr>
        <w:t>ومن أهم الأمور أنّنا نجد عند خليفة ذكراً كاملاً لتابعي المدينة، ولكن سقطت من ابن سعد من تابعي المدينة الطبقتان الرابعة والخامسة حيث انتقل من الطبقة الثالثة إلى الطبقة السادسة</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6" w:name="__RefHeading___Toc3056914_2870459653"/>
      <w:bookmarkStart w:id="647" w:name="_Toc248"/>
      <w:bookmarkEnd w:id="646"/>
      <w:r>
        <w:rPr>
          <w:rtl w:val="true"/>
        </w:rPr>
        <w:t>المنهج الثَّالث</w:t>
      </w:r>
      <w:bookmarkEnd w:id="647"/>
    </w:p>
    <w:p>
      <w:pPr>
        <w:pStyle w:val="BookText"/>
        <w:rPr/>
      </w:pPr>
      <w:r>
        <w:rPr>
          <w:rFonts w:ascii="Amiri" w:hAnsi="Amiri" w:eastAsia="Amiri" w:cs="Amiri"/>
          <w:color w:val="111111"/>
          <w:sz w:val="28"/>
          <w:sz w:val="28"/>
          <w:szCs w:val="28"/>
          <w:rtl w:val="true"/>
          <w:lang w:bidi="ar-SA"/>
        </w:rPr>
        <w:t xml:space="preserve">تعداد طبقات مدينةٍ ما، ومثاله طبقات المحدّثين بأصبهان لعبد الله ابن محمَّد بن جعفر بن حيّان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جعلها إحدى عشرة طبقة، والطبقة تساوي عنده ثلاثين عاماً</w:t>
      </w:r>
      <w:r>
        <w:rPr>
          <w:rFonts w:eastAsia="Amiri" w:cs="Amiri" w:ascii="Amiri" w:hAnsi="Amiri"/>
          <w:color w:val="111111"/>
          <w:sz w:val="28"/>
          <w:szCs w:val="28"/>
          <w:rtl w:val="true"/>
          <w:lang w:bidi="ar-SA"/>
        </w:rPr>
        <w:t>.</w:t>
      </w:r>
    </w:p>
    <w:p>
      <w:pPr>
        <w:pStyle w:val="Heading5"/>
        <w:numPr>
          <w:ilvl w:val="4"/>
          <w:numId w:val="1"/>
        </w:numPr>
        <w:rPr/>
      </w:pPr>
      <w:bookmarkStart w:id="648" w:name="__RefHeading___Toc3056916_2870459653"/>
      <w:bookmarkStart w:id="649" w:name="_Toc249"/>
      <w:bookmarkEnd w:id="648"/>
      <w:r>
        <w:rPr>
          <w:rtl w:val="true"/>
        </w:rPr>
        <w:t>المنهج الرَّابع</w:t>
      </w:r>
      <w:bookmarkEnd w:id="649"/>
    </w:p>
    <w:p>
      <w:pPr>
        <w:pStyle w:val="BookText"/>
        <w:rPr/>
      </w:pPr>
      <w:r>
        <w:rPr>
          <w:rFonts w:ascii="Amiri" w:hAnsi="Amiri" w:eastAsia="Amiri" w:cs="Amiri"/>
          <w:color w:val="111111"/>
          <w:sz w:val="28"/>
          <w:sz w:val="28"/>
          <w:szCs w:val="28"/>
          <w:rtl w:val="true"/>
          <w:lang w:bidi="ar-SA"/>
        </w:rPr>
        <w:t>تعداد طبقات مذهبٍ ما، ونجد لذلك ثلاثة أمثلة بحسب الترتيب الزمني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الصوفيّة، طبقات الحنابلة، طبقات الشافعيّة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فلأبي عبد الرحمن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على خمس طبقات من أئمّتهم في كلّ طبقة عشرون شيخاً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فلأبي الحسين محمَّد بن أبي يعلى المتوفّى بعد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الطبقة الأولى حسب ترتيبه هي في مَن روى عن أحمد ابن حنبل وهكذا إلى الطبقة السادسة وهي طبقة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 بن خلف الفرّاء الحنبلي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الأخير فلعبد الوهاب بن علي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ورتّبه على سبع طبقات، كلّ مائة عام طبقة</w:t>
      </w:r>
      <w:r>
        <w:rPr>
          <w:rFonts w:eastAsia="Amiri" w:cs="Amiri" w:ascii="Amiri" w:hAnsi="Amiri"/>
          <w:color w:val="111111"/>
          <w:sz w:val="28"/>
          <w:szCs w:val="28"/>
          <w:rtl w:val="true"/>
          <w:lang w:bidi="ar-SA"/>
        </w:rPr>
        <w:t>.</w:t>
      </w:r>
    </w:p>
    <w:p>
      <w:pPr>
        <w:pStyle w:val="Heading5"/>
        <w:numPr>
          <w:ilvl w:val="4"/>
          <w:numId w:val="1"/>
        </w:numPr>
        <w:rPr/>
      </w:pPr>
      <w:bookmarkStart w:id="650" w:name="__RefHeading___Toc3056918_2870459653"/>
      <w:bookmarkStart w:id="651" w:name="_Toc250"/>
      <w:bookmarkEnd w:id="650"/>
      <w:r>
        <w:rPr>
          <w:rtl w:val="true"/>
        </w:rPr>
        <w:t>المنهج الخامس</w:t>
      </w:r>
      <w:bookmarkEnd w:id="651"/>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منهج شمس الدين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صنّف في طبقات الحفّاظ، وجعلها إحدى وعشرين طبقة، فكانت الطبقة الأولى في الحفّاظ من الصحابة، والثانية في الحفّاظ من كبار التابعين، والثالثة في الحفّاظ من الطبقة الوسطى من التابعين، والرابعة في الحفّاظ من الطبقة الثالثة من التابعين، وهكذا إلى الطبقة الأخيرة في مشايخه</w:t>
      </w:r>
      <w:r>
        <w:rPr>
          <w:rFonts w:eastAsia="Amiri" w:cs="Amiri" w:ascii="Amiri" w:hAnsi="Amiri"/>
          <w:color w:val="111111"/>
          <w:sz w:val="28"/>
          <w:szCs w:val="28"/>
          <w:rtl w:val="true"/>
          <w:lang w:bidi="ar-SA"/>
        </w:rPr>
        <w:t xml:space="preserve">. </w:t>
      </w:r>
      <w:bookmarkStart w:id="652" w:name="pg10913_111091"/>
    </w:p>
    <w:p>
      <w:pPr>
        <w:pStyle w:val="BookText"/>
        <w:rPr/>
      </w:pPr>
      <w:bookmarkEnd w:id="652"/>
      <w:r>
        <w:rPr>
          <w:rFonts w:ascii="Amiri" w:hAnsi="Amiri" w:eastAsia="Amiri" w:cs="Amiri"/>
          <w:color w:val="111111"/>
          <w:sz w:val="28"/>
          <w:sz w:val="28"/>
          <w:szCs w:val="28"/>
          <w:rtl w:val="true"/>
          <w:lang w:bidi="ar-SA"/>
        </w:rPr>
        <w:t>والملاحَظ أنّه لم يترجم لجابر الجعفي في ضمن الحفّاظ من الطبقة الوسطى من التابعين مع أنّه ترجم لأساتذته وتلاميذه</w:t>
      </w:r>
      <w:r>
        <w:rPr>
          <w:rFonts w:eastAsia="Amiri" w:cs="Amiri" w:ascii="Amiri" w:hAnsi="Amiri"/>
          <w:color w:val="111111"/>
          <w:sz w:val="28"/>
          <w:szCs w:val="28"/>
          <w:rtl w:val="true"/>
          <w:lang w:bidi="ar-SA"/>
        </w:rPr>
        <w:t>.</w:t>
      </w:r>
    </w:p>
    <w:p>
      <w:pPr>
        <w:pStyle w:val="Heading5"/>
        <w:numPr>
          <w:ilvl w:val="4"/>
          <w:numId w:val="1"/>
        </w:numPr>
        <w:rPr/>
      </w:pPr>
      <w:bookmarkStart w:id="653" w:name="__RefHeading___Toc3056920_2870459653"/>
      <w:bookmarkStart w:id="654" w:name="_Toc251"/>
      <w:bookmarkEnd w:id="653"/>
      <w:r>
        <w:rPr>
          <w:rtl w:val="true"/>
        </w:rPr>
        <w:t>المنهج السَّادس</w:t>
      </w:r>
      <w:bookmarkEnd w:id="654"/>
    </w:p>
    <w:p>
      <w:pPr>
        <w:pStyle w:val="BookText"/>
        <w:rPr/>
      </w:pPr>
      <w:r>
        <w:rPr>
          <w:rFonts w:ascii="Amiri" w:hAnsi="Amiri" w:eastAsia="Amiri" w:cs="Amiri"/>
          <w:color w:val="111111"/>
          <w:sz w:val="28"/>
          <w:sz w:val="28"/>
          <w:szCs w:val="28"/>
          <w:rtl w:val="true"/>
          <w:lang w:bidi="ar-SA"/>
        </w:rPr>
        <w:t xml:space="preserve">منهج 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تقريب التهذيب</w:t>
      </w:r>
      <w:r>
        <w:rPr>
          <w:rStyle w:val="FootnoteAnchor"/>
          <w:rtl w:val="true"/>
        </w:rPr>
        <w:footnoteReference w:id="768"/>
      </w:r>
      <w:r>
        <w:rPr>
          <w:rFonts w:ascii="Amiri" w:hAnsi="Amiri" w:eastAsia="Amiri" w:cs="Amiri"/>
          <w:color w:val="111111"/>
          <w:sz w:val="28"/>
          <w:sz w:val="28"/>
          <w:szCs w:val="28"/>
          <w:rtl w:val="true"/>
          <w:lang w:bidi="ar-SA"/>
        </w:rPr>
        <w:t>، حيث جعل الطبقات اثنتي عشرة طبقة إلى آخر زمن تابعي التابعين، فكانت الطبقة الأولى في الصحابة على اختلاف مراتبهم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والطبقات الأربع بعدها في التابعين، وقد قسّمهم إلى أربع طبقات حسب مقدار إدراك الصحابة، فالطبقة الثانية في كبار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 أدرك عدداً كبيراً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في الطبقة الوسطى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 أدرك عدداً أقلَّ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كالحسن وابن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والرابعة في مَن أدرك بعض الصحابة ولكن جلّ روايتهم عن كبار التابعين، كالزهري وقتادة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وجابر الجعفي من هذه الطبقة، كما تقدّم تحقيق ذلك في الجهة السابعة من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والخامسة في الطبقة الصغرى منهم، وهم الذين رأوا الواحد والاثنين من الصحابة، ولم يثبت لبعضهم السماع منهم، كالأعمش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والسادسة في طبقة مَن عاصر الخامسة، ولكن لم يثبت لهم لقاء أحد من الصحابة، كابن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والسابعة في أتباع التابعين، كمالك والثوري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والثامنة في الطبقة الوسطى منهم، كابن عيينة وابن 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والتاسعة في الطبقة الصغرى من أتباع التابعين، كيزيد بن هارون، والشافعي وأبي داود الطيالسي، وعبد الرزاق الصنعاني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والعاشرة في كبار الآخذين عن تبع الأتباع، ممّن لم يلقَ التابعين، كأحمد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والحادية عشرة في الطبقة الوسطى من ذلك، كالذهلي والبخاري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والطبقة الثانية عشرة في صغار الآخذين عن تبع الأتباع، كالترمذي</w:t>
      </w:r>
      <w:r>
        <w:rPr>
          <w:rFonts w:eastAsia="Amiri" w:cs="Amiri" w:ascii="Amiri" w:hAnsi="Amiri"/>
          <w:color w:val="111111"/>
          <w:sz w:val="28"/>
          <w:szCs w:val="28"/>
          <w:rtl w:val="true"/>
          <w:lang w:bidi="ar-SA"/>
        </w:rPr>
        <w:t xml:space="preserve">. </w:t>
      </w:r>
      <w:bookmarkStart w:id="655" w:name="pg10913_111093"/>
    </w:p>
    <w:p>
      <w:pPr>
        <w:pStyle w:val="BookText"/>
        <w:rPr/>
      </w:pPr>
      <w:bookmarkEnd w:id="655"/>
      <w:r>
        <w:rPr>
          <w:rFonts w:ascii="Amiri" w:hAnsi="Amiri" w:eastAsia="Amiri" w:cs="Amiri"/>
          <w:color w:val="111111"/>
          <w:sz w:val="28"/>
          <w:sz w:val="28"/>
          <w:szCs w:val="28"/>
          <w:rtl w:val="true"/>
          <w:lang w:bidi="ar-SA"/>
        </w:rPr>
        <w:t>وأمّا في تحديد عمر الطبقة فذكر أنّ الطبقة الأولى والثانية هم من مات قبل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الطبقة الثالثة إلى آخر الثامنة فتكون وفياتهم بعد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الطبقة التاسعة إلى الأخيرة فتكون وفياتهم بعد المائتين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نبذة عن مناهج الطبقات عند الجمهور</w:t>
      </w:r>
      <w:r>
        <w:rPr>
          <w:rFonts w:eastAsia="Amiri" w:cs="Amiri" w:ascii="Amiri" w:hAnsi="Amiri"/>
          <w:color w:val="111111"/>
          <w:sz w:val="28"/>
          <w:szCs w:val="28"/>
          <w:rtl w:val="true"/>
          <w:lang w:bidi="ar-SA"/>
        </w:rPr>
        <w:t>.</w:t>
      </w:r>
    </w:p>
    <w:p>
      <w:pPr>
        <w:pStyle w:val="Heading4"/>
        <w:numPr>
          <w:ilvl w:val="3"/>
          <w:numId w:val="1"/>
        </w:numPr>
        <w:rPr/>
      </w:pPr>
      <w:bookmarkStart w:id="656" w:name="__RefHeading___Toc3056922_2870459653"/>
      <w:bookmarkStart w:id="657" w:name="_Toc252"/>
      <w:bookmarkEnd w:id="656"/>
      <w:r>
        <w:rPr>
          <w:rtl w:val="true"/>
        </w:rPr>
        <w:t>كتب الطَّبقات عند الخاصّة</w:t>
      </w:r>
      <w:bookmarkEnd w:id="657"/>
    </w:p>
    <w:p>
      <w:pPr>
        <w:pStyle w:val="BookText"/>
        <w:rPr/>
      </w:pPr>
      <w:r>
        <w:rPr>
          <w:rFonts w:ascii="IRNazanin" w:hAnsi="IRNazanin" w:eastAsia="IRNazanin"/>
          <w:color w:val="111111"/>
          <w:sz w:val="28"/>
          <w:sz w:val="28"/>
          <w:szCs w:val="28"/>
          <w:rtl w:val="true"/>
          <w:lang w:bidi="fa-IR"/>
        </w:rPr>
        <w:t>وأمّا عندنا فأقدم كتاب وصل إلينا في الطبقات هو كتاب الرجال المنسوب إلى البرقي، وقد اختلف فيه على أقوال،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لأبي جعفر أحمد بن محمَّد بن خالد البرقي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قسّمه إلى اثنتي عشرة طبقة ابتداءً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،وانتهاءً بأصحاب أبي محمَّد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،وبعد ذلك ذكر النساء الراويات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تسلسلهم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فالضابط عنده في الطبقة هو المصاحبة لأحد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ثمَّ فقد يمتد عمر طبقة إلى ثلاثين سنة وأخرى قد يكون عمرها عشر سنين أو أقلّ، وأيضاً نجد راوياً قد روى عن أربعة من 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فهكذا راوٍ يندرج عنده في طبقات أربع</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اتّبع هذا الأسلوب أيضاً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رجاله، حيث جعل طبقات رجاله أيضاً اثنتي عشرة طبقة بعدد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روى الرواة عنهم، ورتّب كلّ طبقة على حسب حروف المعجم، وأضاف طبقة أخرى وهي </w:t>
      </w:r>
    </w:p>
    <w:p>
      <w:pPr>
        <w:pStyle w:val="BookText"/>
        <w:rPr/>
      </w:pPr>
      <w:r>
        <w:rPr>
          <w:rFonts w:ascii="IRNazanin" w:hAnsi="IRNazanin" w:eastAsia="IRNazanin"/>
          <w:color w:val="111111"/>
          <w:sz w:val="28"/>
          <w:sz w:val="28"/>
          <w:szCs w:val="28"/>
          <w:rtl w:val="true"/>
          <w:lang w:bidi="fa-IR"/>
        </w:rPr>
        <w:t xml:space="preserve">ذكر أسماء مَن لم يروِ عن أحد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وجابر الجعفي يكون وفق هذا المنهج من الطبقتين السادسة والسابعة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ويأتي نفس الكلام الذي ذكرناه في رجال البرقي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فمنهج البرقي والشيخ واحد، وهذا المنهج لم يفرز بين الطبقات فرزاً واضحاً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غالب الطبقات متداخلة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عند العامّة، ومن ثمَّ كثر تعداد الطبقات إلى عصر الغيبة الصغرى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يؤلَّف بعد ذلك كتاب في الطبقات عندنا إلى عصر متأخّري المتأخّرين، بل انصبّ التأليف في الجرح والتعديل في الرجال المبني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حروف الهجاء من دون ملاحظة الطبقة وإن كان يذكر ضمناً أنّ 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الباقر أو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من الطبقات المتأخّرة عن زمن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رجال الكشي وابن الغضائري وفهرستي النجاشي</w:t>
      </w:r>
      <w:r>
        <w:rPr>
          <w:rStyle w:val="FootnoteAnchor"/>
          <w:rtl w:val="true"/>
        </w:rPr>
        <w:footnoteReference w:id="770"/>
      </w:r>
      <w:r>
        <w:rPr>
          <w:rFonts w:ascii="Amiri" w:hAnsi="Amiri" w:eastAsia="Amiri" w:cs="Amiri"/>
          <w:color w:val="111111"/>
          <w:sz w:val="28"/>
          <w:sz w:val="28"/>
          <w:szCs w:val="28"/>
          <w:rtl w:val="true"/>
          <w:lang w:bidi="ar-SA"/>
        </w:rPr>
        <w:t>والشيخ والكتب الرجالية المتأخّرة عنهم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أن جاء التقي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رتب طبقات محدّثي الشيعة في شرحه لمشيخة الفقيه على اثنتي عشرة طبقة، وجعل الطبقة الأولى طبقة الشيخ الطوسي والنجاشي وأضرابهما، وهكذا صعوداً إلى الطبقة الأخيرة طبقة أصحاب الحسنين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7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ترتيبه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جابر الجعفي من الطبقتين التاسعة والعاشرة وهما طبقتا أصحاب أبي عبد الله الصادق وأبي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bookmarkStart w:id="658" w:name="pg10913_111097"/>
    </w:p>
    <w:p>
      <w:pPr>
        <w:pStyle w:val="BookText"/>
        <w:rPr/>
      </w:pPr>
      <w:bookmarkEnd w:id="658"/>
      <w:r>
        <w:rPr>
          <w:rFonts w:ascii="Amiri" w:hAnsi="Amiri" w:eastAsia="Amiri" w:cs="Amiri"/>
          <w:color w:val="111111"/>
          <w:sz w:val="28"/>
          <w:sz w:val="28"/>
          <w:szCs w:val="28"/>
          <w:rtl w:val="true"/>
          <w:lang w:bidi="ar-SA"/>
        </w:rPr>
        <w:t>وتعدّد نظام الطبقات المقترح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تلك النظم ما جرى عليه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كتاب ترتيب أسانيد الكافي، حيث رتّب طبقات محدثي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سطّره في المقدّمة الثانية من المقدّمات الأربع التي عقدها في مقدّمة الكتاب</w:t>
      </w:r>
      <w:r>
        <w:rPr>
          <w:rStyle w:val="FootnoteAnchor"/>
          <w:rtl w:val="true"/>
        </w:rPr>
        <w:footnoteReference w:id="7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وجعلها حتى الشيخ الطوسي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كجدّه المجلسي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اثنتي عشرة طبقة، ولكن عكس الترتيب فجعل الطبقة الأولى في الصحابة الذين رووا الحديث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،وهكذا إلى الطبقة الثانية عشرة، وهي طبقة الشيخ أبي جعفر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وأضرابه على حسب العمر المتعارف للرجال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والطبقة عنده تساوي جيلاً كاملاً وهي بحدود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بشرطين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يكون المحدِّث قد عمّر عمراً متعارفاً، وتحمّل الحديث في سنٍّ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ترتيبه هذا يكون جابر الجعفي من الطبقة الرابعة، وهو المعتمد كما تقدّم في 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الترتيب يقرب من ترتيب طبقات المحدّثين بأصبهان ومنهج الذهبي وابن حجر</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3056924_2870459653"/>
      <w:bookmarkStart w:id="660" w:name="_Toc253"/>
      <w:bookmarkEnd w:id="659"/>
      <w:r>
        <w:rPr>
          <w:rtl w:val="true"/>
        </w:rPr>
        <w:t>فائدة معرفة الرَّاوي والمروي عنه</w:t>
      </w:r>
      <w:bookmarkEnd w:id="660"/>
    </w:p>
    <w:p>
      <w:pPr>
        <w:pStyle w:val="Heading5"/>
        <w:numPr>
          <w:ilvl w:val="4"/>
          <w:numId w:val="1"/>
        </w:numPr>
        <w:rPr/>
      </w:pPr>
      <w:bookmarkStart w:id="661" w:name="__RefHeading___Toc3056926_2870459653"/>
      <w:bookmarkStart w:id="662" w:name="_Toc254"/>
      <w:bookmarkEnd w:id="661"/>
      <w:r>
        <w:rPr>
          <w:rtl w:val="true"/>
        </w:rPr>
        <w:t>اشارة</w:t>
      </w:r>
      <w:bookmarkEnd w:id="662"/>
    </w:p>
    <w:p>
      <w:pPr>
        <w:pStyle w:val="BookText"/>
        <w:rPr/>
      </w:pPr>
      <w:r>
        <w:rPr>
          <w:rFonts w:ascii="Amiri" w:hAnsi="Amiri" w:eastAsia="Amiri" w:cs="Amiri"/>
          <w:color w:val="111111"/>
          <w:sz w:val="28"/>
          <w:sz w:val="28"/>
          <w:szCs w:val="28"/>
          <w:rtl w:val="true"/>
          <w:lang w:bidi="ar-SA"/>
        </w:rPr>
        <w:t>وأمّا ما يترتّب على معرفة الرَّاوي والمروي عنه فأمور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تمييز المراد بالعنوان المشترك بينه وبين غيره من خلال الذين روى عنهم أو رووا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مقدار طلب الراوي للحديث وعنايته به، وهو من أبعاد شخصيّته كمحدِّث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مقدار تتلمذ الرواة عنده ومكانتهم، وهو يمثّل مكانة الرجل كمحدِّث في </w:t>
      </w:r>
    </w:p>
    <w:p>
      <w:pPr>
        <w:pStyle w:val="BookText"/>
        <w:rPr/>
      </w:pPr>
      <w:r>
        <w:rPr>
          <w:rFonts w:ascii="Amiri" w:hAnsi="Amiri" w:eastAsia="Amiri" w:cs="Amiri"/>
          <w:color w:val="111111"/>
          <w:sz w:val="28"/>
          <w:sz w:val="28"/>
          <w:szCs w:val="28"/>
          <w:rtl w:val="true"/>
          <w:lang w:bidi="ar-SA"/>
        </w:rPr>
        <w:t>الأوساط الحديثيّة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الرجل وطبقته في الحديث، فإنّ ملاحظة عمر الرواة عنه والذين روى عنهم يلقي ضوءاً على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الخلل المحتمل في أحاديثه من جهته أو من جهة الرواة عنه أو النسّاخ للكتب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لتدليس، أو لسقط ونحوه كما يكثر ذلك في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يتّصل بذلك معرفة نوع الإسناد من حيث كونه اعتياديّاً أو عالياً أو طويلاً، فالسند الاعتيادي إلى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يتكوّن من اثني عشر راوياً حسب عدد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الإسناد عالياً إذا عمّر الراوي عمراً طويلاً فروى عن طبقتين أو أكثر، وكذلك إذا تحمّل الحديث مبكراً، أو بالأمرين معاً، وبالطبع إذا تعدّد أمثال هؤلاء الرواة في السند يكون السند أعلى، ويكون السند طويلاً فيما إذا روى المعاصر عن معاصره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فوائد متفرقة من قبيل تحقيق مقولة النجاشي في شأن جابر من أنّ جلّ الرواة عنه 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للرجل روايات في كتب الفريقين فلا بُدَّ من ذكر الرواة عنه والذين روى عنهم لدى كلٍّ منهما، وقد قدّمنا ذكر ما وقع في كتب الجمهور 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كونه عاميّاً في أوَّل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حقّقنا القول في ذلك في الجهة الثامنة من المقام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جملة من الأسانيد التي وقع فيها في كتب الإماميّة أسانيد عامّيّة فيحسن الاطّلاع المسبق على أسانيدهم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وتفصيل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مطلبين</w:t>
      </w:r>
      <w:r>
        <w:rPr>
          <w:rFonts w:eastAsia="Amiri" w:cs="Amiri" w:ascii="Amiri" w:hAnsi="Amiri"/>
          <w:color w:val="111111"/>
          <w:sz w:val="28"/>
          <w:szCs w:val="28"/>
          <w:rtl w:val="true"/>
          <w:lang w:bidi="ar-SA"/>
        </w:rPr>
        <w:t xml:space="preserve">: </w:t>
      </w:r>
      <w:bookmarkStart w:id="663" w:name="pg10913_111100"/>
    </w:p>
    <w:p>
      <w:pPr>
        <w:pStyle w:val="Heading5"/>
        <w:numPr>
          <w:ilvl w:val="4"/>
          <w:numId w:val="1"/>
        </w:numPr>
        <w:rPr/>
      </w:pPr>
      <w:bookmarkStart w:id="664" w:name="__RefHeading___Toc3056928_2870459653"/>
      <w:bookmarkStart w:id="665" w:name="_Toc255"/>
      <w:bookmarkEnd w:id="663"/>
      <w:bookmarkEnd w:id="664"/>
      <w:r>
        <w:rPr>
          <w:rtl w:val="true"/>
        </w:rPr>
        <w:t>المطلب الأوَّل</w:t>
      </w:r>
      <w:r>
        <w:rPr>
          <w:rtl w:val="true"/>
        </w:rPr>
        <w:t xml:space="preserve">: </w:t>
      </w:r>
      <w:r>
        <w:rPr>
          <w:rtl w:val="true"/>
        </w:rPr>
        <w:t>في ذكر الرَّاوي والمروي عنه في أسانيد العامة</w:t>
      </w:r>
      <w:r>
        <w:rPr>
          <w:rtl w:val="true"/>
        </w:rPr>
        <w:t>..</w:t>
      </w:r>
      <w:bookmarkEnd w:id="665"/>
    </w:p>
    <w:p>
      <w:pPr>
        <w:pStyle w:val="Heading6"/>
        <w:numPr>
          <w:ilvl w:val="5"/>
          <w:numId w:val="1"/>
        </w:numPr>
        <w:rPr/>
      </w:pPr>
      <w:bookmarkStart w:id="666" w:name="__RefHeading___Toc3056930_2870459653"/>
      <w:bookmarkStart w:id="667" w:name="_Toc256"/>
      <w:bookmarkEnd w:id="666"/>
      <w:r>
        <w:rPr>
          <w:rtl w:val="true"/>
        </w:rPr>
        <w:t>اشارة</w:t>
      </w:r>
      <w:bookmarkEnd w:id="667"/>
    </w:p>
    <w:p>
      <w:pPr>
        <w:pStyle w:val="BookText"/>
        <w:rPr/>
      </w:pPr>
      <w:r>
        <w:rPr>
          <w:rFonts w:ascii="Amiri" w:hAnsi="Amiri" w:eastAsia="Amiri" w:cs="Amiri"/>
          <w:color w:val="111111"/>
          <w:sz w:val="28"/>
          <w:sz w:val="28"/>
          <w:szCs w:val="28"/>
          <w:rtl w:val="true"/>
          <w:lang w:bidi="ar-SA"/>
        </w:rPr>
        <w:t>وسوف نذكر تعريفاً موجزاً لكلّ واحد نقلاً عن ابن حجر في تقريب التهذيب أو بعض آخر من مصادرهم، ويتضمّن ذكرهم لطبقة هؤلاء وفق اصطلاحهم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المطلب قسمان</w:t>
      </w:r>
      <w:r>
        <w:rPr>
          <w:rFonts w:eastAsia="Amiri" w:cs="Amiri" w:ascii="Amiri" w:hAnsi="Amiri"/>
          <w:color w:val="111111"/>
          <w:sz w:val="28"/>
          <w:szCs w:val="28"/>
          <w:rtl w:val="true"/>
          <w:lang w:bidi="ar-SA"/>
        </w:rPr>
        <w:t>:</w:t>
      </w:r>
    </w:p>
    <w:p>
      <w:pPr>
        <w:pStyle w:val="Heading6"/>
        <w:numPr>
          <w:ilvl w:val="5"/>
          <w:numId w:val="1"/>
        </w:numPr>
        <w:rPr/>
      </w:pPr>
      <w:bookmarkStart w:id="668" w:name="__RefHeading___Toc3056932_2870459653"/>
      <w:bookmarkStart w:id="669" w:name="_Toc257"/>
      <w:bookmarkEnd w:id="668"/>
      <w:r>
        <w:rPr>
          <w:rtl w:val="true"/>
        </w:rPr>
        <w:t>القسم الأوَّل</w:t>
      </w:r>
      <w:r>
        <w:rPr>
          <w:rtl w:val="true"/>
        </w:rPr>
        <w:t xml:space="preserve">: </w:t>
      </w:r>
      <w:r>
        <w:rPr>
          <w:rtl w:val="true"/>
        </w:rPr>
        <w:t>مشايخ جابر في أسانيد العامّة</w:t>
      </w:r>
      <w:bookmarkEnd w:id="669"/>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مشايخ جابر في أسانيد العامّة</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وردت روايات جابر في أسانيد العامّة عن الإمام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تقدّم الكلام في ذلك في الجهة الرابعة من المقام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مشايخه في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المقام الثاني علوم جابر وكتبه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مشايخه من العامة فهم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يزيد بن قيس بن الأسود النخعي أبو عمران الكوفي الفقيه، ثقة، من الخامسة</w:t>
      </w:r>
      <w:r>
        <w:rPr>
          <w:rStyle w:val="FootnoteAnchor"/>
          <w:rtl w:val="true"/>
        </w:rPr>
        <w:footnoteReference w:id="7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خمسين أو نحوها</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جيم مضمومة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سلمة الخير بن قشير، أم ثور وبشر وخزيمة وعمرو، وهبيرة بني الوحيد، وهو عامر بن كعب بن عامر بن كلاب</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الحارث بن مسلم بن الحارث التميمي، تابعي</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الحكم بن عتيبة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بالمثنّاة ثمَّ الموحّدة مصغّراً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الكندي الكوفي، ثقة، ثبت، فقيه، إلّا أنّه ربّما دلّس، من 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بعدها، وله نيّف وستون</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خالته أم عثمان، ولم تُترجم لا في كتب العامّة ولا في كتب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جابر رواية واحدة عنها في مسند أحمد</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خيثمة بن أبي خيثمة أبو نصر البصري، ويقال اسم أبيه عبد الرحمن، ليّن الحديث، من الرابعة</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ذو قرابة لجويرية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هذا العنوان في مورد واحد، وهو ما نقله عبد الرزاق الصنعاني في المصنف</w:t>
      </w:r>
      <w:r>
        <w:rPr>
          <w:rStyle w:val="FootnoteAnchor"/>
          <w:rtl w:val="true"/>
        </w:rPr>
        <w:footnoteReference w:id="7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قرابةٍ لجويرية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تتوضّأ بفضل وضوئي</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المقصود بذي قرابة هو ابن أخيها الطفيل، ولكن على هذا الاحتمال تكون الرواية مرسلة؛ لأنّه تقدّم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روى عنه بواسطة خالته أم عثمان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زياد بن عبد الله النميري البصري، ضعيف، من الخامسة</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زياد بن عياض الأشعري، وقد وردت رواية جابر في مصنّف عبد الرزاق عن زياد بن عياض،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بنا عمر بن الخطاب العشاء بالجابية فلم أسمعه قرأ فيها</w:t>
      </w:r>
      <w:r>
        <w:rPr>
          <w:rFonts w:eastAsia="Amiri" w:cs="Amiri" w:ascii="Amiri" w:hAnsi="Amiri"/>
          <w:color w:val="111111"/>
          <w:sz w:val="28"/>
          <w:szCs w:val="28"/>
          <w:rtl w:val="true"/>
          <w:lang w:bidi="ar-SA"/>
        </w:rPr>
        <w:t>)</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نقل ابن سعد نفس الرواية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جابر، عن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زياد بن عياض</w:t>
      </w:r>
      <w:r>
        <w:rPr>
          <w:rFonts w:eastAsia="Amiri" w:cs="Amiri" w:ascii="Amiri" w:hAnsi="Amiri"/>
          <w:color w:val="111111"/>
          <w:sz w:val="28"/>
          <w:szCs w:val="28"/>
          <w:rtl w:val="true"/>
          <w:lang w:bidi="ar-SA"/>
        </w:rPr>
        <w:t>)</w:t>
      </w:r>
      <w:r>
        <w:rPr>
          <w:rStyle w:val="FootnoteAnchor"/>
          <w:rtl w:val="true"/>
        </w:rPr>
        <w:footnoteReference w:id="784"/>
      </w:r>
      <w:r>
        <w:rPr>
          <w:rFonts w:ascii="Amiri" w:hAnsi="Amiri" w:eastAsia="Amiri" w:cs="Amiri"/>
          <w:color w:val="111111"/>
          <w:sz w:val="28"/>
          <w:sz w:val="28"/>
          <w:szCs w:val="28"/>
          <w:rtl w:val="true"/>
          <w:lang w:bidi="ar-SA"/>
        </w:rPr>
        <w:t>، وذكر ابن حجر في الإصابة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زياد بن عياض الأشعري ختن أبي موسى له 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سعد في الطبقة الأولى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قاله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زياد بن عياض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مشايخ جابر الجعفي المباشرين، وإنَّما رواها جابر عن عامر لكن سقط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المصنّف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الحواري أبو الحواري العمي البصري قاضي هراة يقال اسم أبيه مُرّة، وهو مولى زياد ابن أبيه، ضعيف، من الخامسة</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سالم بن أبي الجعد رافع الأشجعي مولاهم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سالم بن عبد الله بن عمر بن الخطاب القرشي العدوي أبو عمر، أو أبو عبد </w:t>
      </w:r>
    </w:p>
    <w:p>
      <w:pPr>
        <w:pStyle w:val="BookText"/>
        <w:rPr/>
      </w:pPr>
      <w:r>
        <w:rPr>
          <w:rFonts w:ascii="Amiri" w:hAnsi="Amiri" w:eastAsia="Amiri" w:cs="Amiri"/>
          <w:color w:val="111111"/>
          <w:sz w:val="28"/>
          <w:sz w:val="28"/>
          <w:szCs w:val="28"/>
          <w:rtl w:val="true"/>
          <w:lang w:bidi="ar-SA"/>
        </w:rPr>
        <w:t xml:space="preserve">الله المدني، أحد الفقهاء السبعة من كبار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توفّى في آخر سنة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الصحيح</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بن عبيدة السلمي أبو حمزة الكوفي، ثقة من الثالثة، مات في ولاية عمر ابن هبيرة</w:t>
      </w:r>
      <w:r>
        <w:rPr>
          <w:rStyle w:val="FootnoteAnchor"/>
          <w:rtl w:val="true"/>
        </w:rPr>
        <w:footnoteReference w:id="789"/>
      </w:r>
      <w:r>
        <w:rPr>
          <w:rFonts w:ascii="IRNazanin" w:hAnsi="IRNazanin" w:eastAsia="IRNazanin"/>
          <w:color w:val="111111"/>
          <w:sz w:val="28"/>
          <w:sz w:val="28"/>
          <w:szCs w:val="28"/>
          <w:rtl w:val="true"/>
          <w:lang w:bidi="fa-IR"/>
        </w:rPr>
        <w:t>على العراق</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عبد الرحمن بن أبزى الخزاعي مولاهم الكوفي، ثقة، من الثالثة</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سلمة بن كهيل الحضرمي أبو يحيى الكوفي، ثقة من الرابعة، مات يوم عاشوراء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طاووس بن كيسان اليماني أبو عبد الرحمن الحميري الجندي، ثقة، فقيه، فاضل، من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بعد ذلك</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عامر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عامر بن شراحيل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ثقة، مشهور، فقيه، فاضل، من الثالثة، المولود لست سنين خلت من خلافة عمر بن الخطاب، على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الطفيل عامر بن واثلة بن عبد الله بن عمرو بن جحش الليثي ولد عام </w:t>
      </w:r>
    </w:p>
    <w:p>
      <w:pPr>
        <w:pStyle w:val="BookText"/>
        <w:rPr/>
      </w:pP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قاله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آخر من مات من الصحابة</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حريز عبد الله بن الحسين الأزدي البصري، قاضي سجستان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أن يكون أبو حريز شيعيّاً إماميّاً؛ وذلك أنّهم طعنوا عليه بأنّه يؤمن بالرجعة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يعدّ عندهم من خصائص الرفض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نقل الآجري عن أبي داود، عن الحسن بن علي، عن أبي سلمة، عن هشام السجستاني،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أبو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 بالرجعة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اثنتين وسبعين آية من كتاب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وثّقه أبو زرعة وأبو حاتم وابن حبّان، واختلف النقل عن ابن معين فقد نقل عنه التوثيق والتضعيف</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هذا الرجل والد حريز بن عبد الله تلميذ زرارة المعروف، بل وقفت على جزم ابن حجر بهذا الاحتمال، فأفاد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حريز بن أبي حريز عبد الله بن الحسين الأزدي الكوفي ابن قاضي سجستان، عن زرارة بن أعين</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ووجه الاحتمال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تَناسب الطبقة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تَناسب الاسم، فإنّ الأب يكنّى بأبي حريز واسمه عبد الله ووالد حريز أيضاً اسمه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تَناسب الانتساب فإنّ كليهما ينسب إلى الأزد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تواجدهما بسجستان، فأبو حريز كان قاضياً بها، وحريز كان يتّجر بها</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الرجلين من رواة 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يذكر مبعّدان لذلك،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حريز كان قاضياً بسجستان، وحريز ذُكر أنّ تجارته كانت بها ممّا يقتضي أنّه لم تكن محلّ سكنه، بل كان أهله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ليس بذلك المبعِّد، إذ من الممكن أنّه بعد وفاة والده أو قبلها رجع إلى الكوفة واستقرّ بها فترة من الزمن ولكن بقيت تجارته إلى سجستان، ثمّ انتقل إليها وقُتل بها، كما ذكر البرقي والكشّي</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أنّهم قالوا إنّ أبا حريز بصري، وحريز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الجائز هجرة أبي حريز لطلب العلم من البصرة إلى الكوفة وتوطّنه بها كما هو شأن كثير من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جلّ أساتذته وتلاميذه من أهل الكوفة، فمن شيوخه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النخعي، وأيفع، وحبيب بن أبي ثابت، والحكم بن عتيبة، وسعيد بن جبير، وشهر ابن حوشب، وعامر الشعبي، وأبو إسحاق السبيعي، وأبو بردة بن أبي موسى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شيوخه البصريين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رأس الطبقة الثالثة</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تلامذته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أبي عروبة، وأبو ليلى عبد الله بن ميسرة الكوفي، </w:t>
      </w:r>
    </w:p>
    <w:p>
      <w:pPr>
        <w:pStyle w:val="BookText"/>
        <w:rPr/>
      </w:pPr>
      <w:r>
        <w:rPr>
          <w:rFonts w:ascii="Amiri" w:hAnsi="Amiri" w:eastAsia="Amiri" w:cs="Amiri"/>
          <w:color w:val="111111"/>
          <w:sz w:val="28"/>
          <w:sz w:val="28"/>
          <w:szCs w:val="28"/>
          <w:rtl w:val="true"/>
          <w:lang w:bidi="ar-SA"/>
        </w:rPr>
        <w:t xml:space="preserve">وقتادة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أقرانه</w:t>
      </w: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وجابر بن يزيد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تلامذته البصريين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مطر الشيباني</w:t>
      </w:r>
      <w:r>
        <w:rPr>
          <w:rStyle w:val="FootnoteAnchor"/>
          <w:rtl w:val="true"/>
        </w:rPr>
        <w:footnoteReference w:id="802"/>
      </w:r>
      <w:r>
        <w:rPr>
          <w:rFonts w:ascii="Amiri" w:hAnsi="Amiri" w:eastAsia="Amiri" w:cs="Amiri"/>
          <w:color w:val="111111"/>
          <w:sz w:val="28"/>
          <w:sz w:val="28"/>
          <w:szCs w:val="28"/>
          <w:rtl w:val="true"/>
          <w:lang w:bidi="ar-SA"/>
        </w:rPr>
        <w:t>، والفضيل بن ميسرة الأزدي البصري</w:t>
      </w:r>
      <w:r>
        <w:rPr>
          <w:rStyle w:val="FootnoteAnchor"/>
          <w:rtl w:val="true"/>
        </w:rPr>
        <w:footnoteReference w:id="803"/>
      </w:r>
      <w:r>
        <w:rPr>
          <w:rFonts w:ascii="Amiri" w:hAnsi="Amiri" w:eastAsia="Amiri" w:cs="Amiri"/>
          <w:color w:val="111111"/>
          <w:sz w:val="28"/>
          <w:sz w:val="28"/>
          <w:szCs w:val="28"/>
          <w:rtl w:val="true"/>
          <w:lang w:bidi="ar-SA"/>
        </w:rPr>
        <w:t>، ومحمَّد بن زياد البرجمي</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بنون وجيم مصغر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سلمة الحضرمي الكوفي، أبو لقمان، صدوق، من الثالثة</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يسار الجهني الكوفي، ثقة، من كبار الثالثة</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كيسان التيمي أبو عمر المدني مولى أسماء بنت أبي بكر، ثقة، من الثالثة</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الجبار بن وائل 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المهملة وسكون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الحضرمي، الكوفي، ثقة، لكنّه أرسل عن أبيه، من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معبد بن العباس بن عبد المطلب العباسي المدني، ثقة، قليل </w:t>
      </w:r>
    </w:p>
    <w:p>
      <w:pPr>
        <w:pStyle w:val="BookText"/>
        <w:rPr/>
      </w:pPr>
      <w:r>
        <w:rPr>
          <w:rFonts w:ascii="Amiri" w:hAnsi="Amiri" w:eastAsia="Amiri" w:cs="Amiri"/>
          <w:color w:val="111111"/>
          <w:sz w:val="28"/>
          <w:sz w:val="28"/>
          <w:szCs w:val="28"/>
          <w:rtl w:val="true"/>
          <w:lang w:bidi="ar-SA"/>
        </w:rPr>
        <w:t>الحديث، من الثالثة</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الأسود بن يزيد بن قيس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من الثالثة</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بن سابط، ويقال ابن عبد الله بن سابط وهو الصحيح، ويقال ابن عبد الله بن عبد الرحمن الجمحي المكي، ثقة، كثير الإرسال، من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عدي بن ثابت الأنصاري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رمي بالتشيّع، من الرابعة</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عطاء بن أبي 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والموحدة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أبي رباح أسلم القرشي مولاهم المكي، ثقة، فقيه، فاضل، من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عطيّة بن سعد بن جُنادة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بعدها نون خفيفة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العوفي الجَدلي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والمهملة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أبو الحسن، صدوق، يخطئ كثيراً، وكان شيعيّاً مدلّساً من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8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الطعن عليه من جهة إكثاره نقل 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عكرمة أبو عبد الله مولى ابن عباس أصله بربري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الثالثة</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عمّار بن معاوية الدُهني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أوَّله وسكون الهاء بعدها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معاوية البجلي الكوفي، صدوق، يتشيّع، من 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المهملة وسكون الموحدة ثمَّ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مقبول، من الثالثة</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القاسم بن محمَّد بن أبي بكر التيمي، ثقة، أحد الفقهاء بالمدينة، من كبار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القاسم بن عبد الرحمن بن عبد الله بن مسعود، أبو عبد الرحمن الكوفي، ثقة، عابد، من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مجاهد بن 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وسكون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الحجّاج المخزومي مولاهم المكي، ثقة، من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بحدود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ثلاث وثمانون</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قرظة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والراء والمعجمة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كعب الأنصاري، مجهول، من الرابعة</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مسلم بن تَدرس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المثناة وسكون الدال المهملة وضم الراء </w:t>
      </w:r>
      <w:r>
        <w:rPr>
          <w:rFonts w:eastAsia="Amiri" w:cs="Amiri" w:ascii="Amiri" w:hAnsi="Amiri"/>
          <w:color w:val="111111"/>
          <w:sz w:val="28"/>
          <w:szCs w:val="28"/>
          <w:rtl w:val="true"/>
          <w:lang w:bidi="ar-SA"/>
        </w:rPr>
        <w:t xml:space="preserve">- </w:t>
      </w:r>
      <w:bookmarkStart w:id="670" w:name="pg10913_111118"/>
    </w:p>
    <w:p>
      <w:pPr>
        <w:pStyle w:val="BookText"/>
        <w:rPr/>
      </w:pPr>
      <w:bookmarkEnd w:id="670"/>
      <w:r>
        <w:rPr>
          <w:rFonts w:ascii="Amiri" w:hAnsi="Amiri" w:eastAsia="Amiri" w:cs="Amiri"/>
          <w:color w:val="111111"/>
          <w:sz w:val="28"/>
          <w:sz w:val="28"/>
          <w:szCs w:val="28"/>
          <w:rtl w:val="true"/>
          <w:lang w:bidi="ar-SA"/>
        </w:rPr>
        <w:t xml:space="preserve">الأسدي مولاهم أبو الزبير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صدوق إلّا أنّه يدلّس، من الرابعة</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بن صبيح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الهمداني أبو الضحى الكوفي العطار، مشهور بكنيته، ثقة، فاضل، من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عازب الكوفي اسمه مسلم بن عمرو، أو ابن أراك، مستور</w:t>
      </w:r>
      <w:r>
        <w:rPr>
          <w:rStyle w:val="FootnoteAnchor"/>
          <w:rtl w:val="true"/>
        </w:rPr>
        <w:footnoteReference w:id="824"/>
      </w:r>
      <w:r>
        <w:rPr>
          <w:rFonts w:ascii="Amiri" w:hAnsi="Amiri" w:eastAsia="Amiri" w:cs="Amiri"/>
          <w:color w:val="111111"/>
          <w:sz w:val="28"/>
          <w:sz w:val="28"/>
          <w:szCs w:val="28"/>
          <w:rtl w:val="true"/>
          <w:lang w:bidi="ar-SA"/>
        </w:rPr>
        <w:t>، من الرابعة</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المغيرة بن شبل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المعجمة وسكون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بالتصغير، البجلي الأحمسي أبو الطفيل الكوفي، ثقة، من الرابعة</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نافع أبو عبد الله المدني مولى ابن عمر، ثقة، ثبت، فقيه، مشهور، من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 ذلك</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مرّة الجعفي، روى عن عمر بن الخطاب مرسلاً، وعن سلمة بن يزيد الجعفي</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1" w:name="__RefHeading___Toc3056934_2870459653"/>
      <w:bookmarkStart w:id="672" w:name="_Toc258"/>
      <w:bookmarkEnd w:id="671"/>
      <w:r>
        <w:rPr>
          <w:rtl w:val="true"/>
        </w:rPr>
        <w:t>القسم الثَّاني</w:t>
      </w:r>
      <w:r>
        <w:rPr>
          <w:rtl w:val="true"/>
        </w:rPr>
        <w:t xml:space="preserve">: </w:t>
      </w:r>
      <w:r>
        <w:rPr>
          <w:rtl w:val="true"/>
        </w:rPr>
        <w:t>تلاميذ جابر عند العامّة</w:t>
      </w:r>
      <w:bookmarkEnd w:id="6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بن طهمان بن شعبة الخراساني أبو سعيد، سكن نيسابور ثمَّ مكّة، ثقة،</w:t>
      </w:r>
    </w:p>
    <w:p>
      <w:pPr>
        <w:pStyle w:val="BookText"/>
        <w:rPr/>
      </w:pPr>
      <w:r>
        <w:rPr>
          <w:rFonts w:ascii="Amiri" w:hAnsi="Amiri" w:eastAsia="Amiri" w:cs="Amiri"/>
          <w:color w:val="111111"/>
          <w:sz w:val="28"/>
          <w:sz w:val="28"/>
          <w:szCs w:val="28"/>
          <w:rtl w:val="true"/>
          <w:lang w:bidi="ar-SA"/>
        </w:rPr>
        <w:t xml:space="preserve">من السابعة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إسرائيل بن يونس بن أبي إسحاق السبيعي الهمداني أبو يوسف الكوفي، ثقة، تُكلّم فيه بلا حجّة، من السابعة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بحدود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صالح بن صالح بن حي وهو حيان بن شفي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بالمعجمة والفاء مصغر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فقيه، عابد، رمي بالتشيّع، من السابعة</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زهير بن معاوية بن حديج أبو خيثمة الجعفي الكوفي نزيل الجزيرة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ثبت، من السابعة</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بن أبي أنيسة الجزري أبو أسامة أصله من الكوفة ثمَّ سكن الرها، ثقة، من السادسة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ستّ وثلاثون سنة</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سلام بن أبي مطيع أبو سعيد الخزاعي مولاهم البصري، ثقة، من السابعة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سفيان بن سعيد بن مسروق الثوري أبو عبد الله الكوفي، ثقة، حافظ، فقيه، عابد، إمام، حجّة، من رؤوس الطبقة السابعة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سفيان بن عيينة بن أبي عمران ميمون الهلالي أبو محمَّد الكوفي، ثمَّ المكّي، ثقة، حافظ، فقيه، إمام، حجّة، من رؤوس الطبقة الثامنة، وكان أثبت الناس في عمرو بن دينار، توفى في رجب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ﻫ، وله إحدى وتسعون سنة</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شريك بن عبد الله النخعي الكوفي القاضي بواسط ثمَّ الكوفة أبو عبد الله، صدوق، يخطئ كثيراً، تغيّر حفظه منذ ولي القضاء بالكوفة</w:t>
      </w:r>
      <w:r>
        <w:rPr>
          <w:rStyle w:val="FootnoteAnchor"/>
          <w:rtl w:val="true"/>
        </w:rPr>
        <w:footnoteReference w:id="837"/>
      </w:r>
      <w:r>
        <w:rPr>
          <w:rFonts w:ascii="Amiri" w:hAnsi="Amiri" w:eastAsia="Amiri" w:cs="Amiri"/>
          <w:color w:val="111111"/>
          <w:sz w:val="28"/>
          <w:sz w:val="28"/>
          <w:szCs w:val="28"/>
          <w:rtl w:val="true"/>
          <w:lang w:bidi="ar-SA"/>
        </w:rPr>
        <w:t>، وكان عادلاً، فاضلاً، عابداً، وشديداً على أهل البدع</w:t>
      </w:r>
      <w:r>
        <w:rPr>
          <w:rStyle w:val="FootnoteAnchor"/>
          <w:rtl w:val="true"/>
        </w:rPr>
        <w:footnoteReference w:id="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الثامنة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شعبة بن الحجّاج بن الورد العتكي مولاهم أبو بسطام الواسطي، ثمَّ البصري، ثقة، حافظ، متقن، من السابعة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شيبان بن عبد الرحمن التميمي مولاهم النحوي أبو معاوية البصري نزيل الكوفة، ثقة، من السابعة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الرحمن بن عبد الله بن عتبة بن عبد الله بن مسعود الكوفي المسعودي، صدوق، من السابعة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عيسى بن فرقد المروزي، قالوا عنه شيخ، ولم يوثّق صريحاً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ولعلّه لروايته 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عيسى بن المسيب البجلي الكوفي قاضي الكوفة، عمّر، توفّي في خلافة المنصور، ضعّفه أكثر علماء العامّة، ولعلّ السبب في ذلك جلوس جابر بن يزيد الجعفي معه إذا جلس للقضاء، كما ذكروا في ترجمته</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فضيل بن مرزوق الأغر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بالمعجمة والراء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الرقاشي الكوفي أبو عبد الرحمن، صدوق، 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له أوهام</w:t>
      </w:r>
      <w:r>
        <w:rPr>
          <w:rStyle w:val="FootnoteAnchor"/>
          <w:rtl w:val="true"/>
        </w:rPr>
        <w:footnoteReference w:id="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ورمي بالتشيّع، من السابعة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في حدود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قيس بن الربيع الأسدي أبو محمَّد الكوفي، صدوق، تغيّر لمّا كبر، من السابعة، تُوفّي سنة بضع وستّين ومائة</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ميمون المروزي أبو حمزة السكري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فاضل، من السابعة</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مسعود بن سعد الجعفي أبو سعد الكوفي، ثقة، عابد، من التاسعة</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معمّر بن راشد الأزدي، مولاهم أبو عروة البصري، نزيل اليمن، ثقة، ثبت، </w:t>
      </w:r>
    </w:p>
    <w:p>
      <w:pPr>
        <w:pStyle w:val="BookText"/>
        <w:rPr/>
      </w:pPr>
      <w:r>
        <w:rPr>
          <w:rFonts w:ascii="Amiri" w:hAnsi="Amiri" w:eastAsia="Amiri" w:cs="Amiri"/>
          <w:color w:val="111111"/>
          <w:sz w:val="28"/>
          <w:sz w:val="28"/>
          <w:szCs w:val="28"/>
          <w:rtl w:val="true"/>
          <w:lang w:bidi="ar-SA"/>
        </w:rPr>
        <w:t xml:space="preserve">فاضل، من كبار السابعة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ثمان وخمسين سنة</w:t>
      </w:r>
      <w:r>
        <w:rPr>
          <w:rStyle w:val="FootnoteAnchor"/>
          <w:rtl w:val="true"/>
        </w:rPr>
        <w:footnoteReference w:id="84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عثمان الحضرمي المؤدّب الكوفي</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النعمان بن ثابت بن زوطي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المعروف صاحب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بوزن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القاسم بن دينار السلمي أبو معاوية ابن أبي خازم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بمعجمتين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الواسطي، ثقة، ثبت، كثير التدليس والإرسال الخفي، من السابعة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قارب الثمانين</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المعجمة ثمَّ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اليشكري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الواسطي البزّاز، أبو عوانة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مشهور بكنيته، ثقة، ثبت، من السابعة</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أبي أنيسة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بنون ومهملة مصغراً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 زيد،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أسامة الغنوي، مولاهم أبو زيد الجزري، ضعيف، من السادسة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من هذا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تحمّلوا عن جابر الحديث في كتب العامّة جلّهم وصف بالثقة والصدق صريحاً، فكانوا تسعة عشر رجلاً من أصل أربعة وعشرين، والباقون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وثّق صريحاً لكن القدح كان في حفظه، ورجل لم يذكر بشيء </w:t>
      </w:r>
      <w:bookmarkStart w:id="673" w:name="pg10913_111129"/>
    </w:p>
    <w:p>
      <w:pPr>
        <w:pStyle w:val="BookText"/>
        <w:rPr/>
      </w:pPr>
      <w:bookmarkEnd w:id="673"/>
      <w:r>
        <w:rPr>
          <w:rFonts w:ascii="Amiri" w:hAnsi="Amiri" w:eastAsia="Amiri" w:cs="Amiri"/>
          <w:color w:val="111111"/>
          <w:sz w:val="28"/>
          <w:sz w:val="28"/>
          <w:szCs w:val="28"/>
          <w:rtl w:val="true"/>
          <w:lang w:bidi="ar-SA"/>
        </w:rPr>
        <w:t>من المدح أو الذم، والثلاثة الباقون ضعّفوا على أساس تهمة التشيّع</w:t>
      </w:r>
      <w:r>
        <w:rPr>
          <w:rFonts w:eastAsia="Amiri" w:cs="Amiri" w:ascii="Amiri" w:hAnsi="Amiri"/>
          <w:color w:val="111111"/>
          <w:sz w:val="28"/>
          <w:szCs w:val="28"/>
          <w:rtl w:val="true"/>
          <w:lang w:bidi="ar-SA"/>
        </w:rPr>
        <w:t>.</w:t>
      </w:r>
    </w:p>
    <w:p>
      <w:pPr>
        <w:pStyle w:val="Heading5"/>
        <w:numPr>
          <w:ilvl w:val="4"/>
          <w:numId w:val="1"/>
        </w:numPr>
        <w:rPr/>
      </w:pPr>
      <w:bookmarkStart w:id="674" w:name="__RefHeading___Toc3056936_2870459653"/>
      <w:bookmarkStart w:id="675" w:name="_Toc259"/>
      <w:bookmarkEnd w:id="674"/>
      <w:r>
        <w:rPr>
          <w:rtl w:val="true"/>
        </w:rPr>
        <w:t>المطلب الآخر</w:t>
      </w:r>
      <w:r>
        <w:rPr>
          <w:rtl w:val="true"/>
        </w:rPr>
        <w:t xml:space="preserve">: </w:t>
      </w:r>
      <w:r>
        <w:rPr>
          <w:rtl w:val="true"/>
        </w:rPr>
        <w:t>في ذكر الرَّاوي والمروي عنه في كتب الخاصّة</w:t>
      </w:r>
      <w:bookmarkEnd w:id="675"/>
    </w:p>
    <w:p>
      <w:pPr>
        <w:pStyle w:val="Heading6"/>
        <w:numPr>
          <w:ilvl w:val="5"/>
          <w:numId w:val="1"/>
        </w:numPr>
        <w:rPr/>
      </w:pPr>
      <w:bookmarkStart w:id="676" w:name="__RefHeading___Toc3056938_2870459653"/>
      <w:bookmarkStart w:id="677" w:name="_Toc260"/>
      <w:bookmarkEnd w:id="676"/>
      <w:r>
        <w:rPr>
          <w:rtl w:val="true"/>
        </w:rPr>
        <w:t>اشارة</w:t>
      </w:r>
      <w:bookmarkEnd w:id="677"/>
    </w:p>
    <w:p>
      <w:pPr>
        <w:pStyle w:val="BookText"/>
        <w:rPr/>
      </w:pPr>
      <w:r>
        <w:rPr>
          <w:rFonts w:ascii="Amiri" w:hAnsi="Amiri" w:eastAsia="Amiri" w:cs="Amiri"/>
          <w:color w:val="111111"/>
          <w:sz w:val="28"/>
          <w:sz w:val="28"/>
          <w:szCs w:val="28"/>
          <w:rtl w:val="true"/>
          <w:lang w:bidi="ar-SA"/>
        </w:rPr>
        <w:t>وهذا أيضاً فيه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الروايات والأسانيد العاميّة التي ذكرها بعض علماء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الروايات والأسانيد الإماميّة</w:t>
      </w:r>
      <w:r>
        <w:rPr>
          <w:rFonts w:eastAsia="Amiri" w:cs="Amiri" w:ascii="Amiri" w:hAnsi="Amiri"/>
          <w:color w:val="111111"/>
          <w:sz w:val="28"/>
          <w:szCs w:val="28"/>
          <w:rtl w:val="true"/>
          <w:lang w:bidi="ar-SA"/>
        </w:rPr>
        <w:t>.</w:t>
      </w:r>
    </w:p>
    <w:p>
      <w:pPr>
        <w:pStyle w:val="Heading6"/>
        <w:numPr>
          <w:ilvl w:val="5"/>
          <w:numId w:val="1"/>
        </w:numPr>
        <w:rPr/>
      </w:pPr>
      <w:bookmarkStart w:id="678" w:name="__RefHeading___Toc3056940_2870459653"/>
      <w:bookmarkStart w:id="679" w:name="_Toc261"/>
      <w:bookmarkEnd w:id="678"/>
      <w:r>
        <w:rPr>
          <w:rtl w:val="true"/>
        </w:rPr>
        <w:t>القسم الأوَّل</w:t>
      </w:r>
      <w:r>
        <w:rPr>
          <w:rtl w:val="true"/>
        </w:rPr>
        <w:t xml:space="preserve">: </w:t>
      </w:r>
      <w:r>
        <w:rPr>
          <w:rtl w:val="true"/>
        </w:rPr>
        <w:t>ما ورد في الروايات والأسانيد العاميّة التي ذكرها بعض علماء الخاصّة</w:t>
      </w:r>
      <w:bookmarkEnd w:id="679"/>
    </w:p>
    <w:p>
      <w:pPr>
        <w:pStyle w:val="Heading6"/>
        <w:numPr>
          <w:ilvl w:val="5"/>
          <w:numId w:val="1"/>
        </w:numPr>
        <w:rPr/>
      </w:pPr>
      <w:bookmarkStart w:id="680" w:name="__RefHeading___Toc3056942_2870459653"/>
      <w:bookmarkStart w:id="681" w:name="_Toc262"/>
      <w:bookmarkEnd w:id="680"/>
      <w:r>
        <w:rPr>
          <w:rtl w:val="true"/>
        </w:rPr>
        <w:t>اشارة</w:t>
      </w:r>
      <w:bookmarkEnd w:id="681"/>
    </w:p>
    <w:p>
      <w:pPr>
        <w:pStyle w:val="BookText"/>
        <w:rPr/>
      </w:pPr>
      <w:r>
        <w:rPr>
          <w:rFonts w:ascii="Amiri" w:hAnsi="Amiri" w:eastAsia="Amiri" w:cs="Amiri"/>
          <w:color w:val="111111"/>
          <w:sz w:val="28"/>
          <w:sz w:val="28"/>
          <w:szCs w:val="28"/>
          <w:rtl w:val="true"/>
          <w:lang w:bidi="ar-SA"/>
        </w:rPr>
        <w:t>أمّا القسم الأوَّل فينقسم إلى المروي عنهم في الأسانيد العاميّة، والرواة عنه فيها</w:t>
      </w:r>
      <w:r>
        <w:rPr>
          <w:rFonts w:eastAsia="Amiri" w:cs="Amiri" w:ascii="Amiri" w:hAnsi="Amiri"/>
          <w:color w:val="111111"/>
          <w:sz w:val="28"/>
          <w:szCs w:val="28"/>
          <w:rtl w:val="true"/>
          <w:lang w:bidi="ar-SA"/>
        </w:rPr>
        <w:t>.</w:t>
      </w:r>
    </w:p>
    <w:p>
      <w:pPr>
        <w:pStyle w:val="Heading6"/>
        <w:numPr>
          <w:ilvl w:val="5"/>
          <w:numId w:val="1"/>
        </w:numPr>
        <w:rPr/>
      </w:pPr>
      <w:bookmarkStart w:id="682" w:name="__RefHeading___Toc3056944_2870459653"/>
      <w:bookmarkStart w:id="683" w:name="_Toc263"/>
      <w:bookmarkEnd w:id="682"/>
      <w:r>
        <w:rPr>
          <w:rtl w:val="true"/>
        </w:rPr>
        <w:t>أوَّلاً</w:t>
      </w:r>
      <w:r>
        <w:rPr>
          <w:rtl w:val="true"/>
        </w:rPr>
        <w:t xml:space="preserve">: </w:t>
      </w:r>
      <w:r>
        <w:rPr>
          <w:rtl w:val="true"/>
        </w:rPr>
        <w:t>المروي عنهم</w:t>
      </w:r>
      <w:bookmarkEnd w:id="6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القرشي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وردت رواية جابر عنه في مورد واحد في العلل</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إسحاق بن عبد الله بن الحارث بن نوفل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الحارث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الهاشمي، ثقة، من الثالثة أيضاً</w:t>
      </w:r>
      <w:r>
        <w:rPr>
          <w:rStyle w:val="FootnoteAnchor"/>
          <w:rtl w:val="true"/>
        </w:rPr>
        <w:footnoteReference w:id="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رواية جابر عنه في مورد واحد في أمالي الطوسي</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سعيد بن المسيّب القرشي المخزومي أحد العلماء الأثبات الفقهاء الكبار، من كبار الثانية، اتّفقوا على أنّ مرسلاته أصحّ المراسيل، مات بعد التسعين وقد ناهز الثمانين</w:t>
      </w:r>
      <w:r>
        <w:rPr>
          <w:rStyle w:val="FootnoteAnchor"/>
          <w:rtl w:val="true"/>
        </w:rPr>
        <w:footnoteReference w:id="8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رواية جابر عنه في ثلاثة مواضع في الأمالي وكمال الدين للصدوق ودلائل الإمامة</w:t>
      </w:r>
      <w:r>
        <w:rPr>
          <w:rStyle w:val="FootnoteAnchor"/>
          <w:rtl w:val="true"/>
        </w:rPr>
        <w:footnoteReference w:id="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نقّحنا القول في رواية جابر الجعفي عن سعيد بن المسيب في </w:t>
      </w:r>
    </w:p>
    <w:p>
      <w:pPr>
        <w:pStyle w:val="BookText"/>
        <w:rPr/>
      </w:pPr>
      <w:r>
        <w:rPr>
          <w:rFonts w:ascii="Amiri" w:hAnsi="Amiri" w:eastAsia="Amiri" w:cs="Amiri"/>
          <w:color w:val="111111"/>
          <w:sz w:val="28"/>
          <w:sz w:val="28"/>
          <w:szCs w:val="28"/>
          <w:rtl w:val="true"/>
          <w:lang w:bidi="ar-SA"/>
        </w:rPr>
        <w:t>الجهة الخامسة من المقام الأوَّل، وقلنا إنّه لا وثوق بالرواية عنه مباشرة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سويد بن غفلة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المعجمة والفاء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أمية الجعفي، مخضرم من كبار التابعين، قدم المدينة يوم دفن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مسلماً في حياته ثمَّ نزل الكوفة،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ﻫأو يزيد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مائة وثلاثون 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عدّه البرقي في رجاله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من أولياء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وثّقه العامّة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وردت رواية جابر عنه في التهذيب</w:t>
      </w:r>
      <w:r>
        <w:rPr>
          <w:rStyle w:val="FootnoteAnchor"/>
          <w:rtl w:val="true"/>
        </w:rPr>
        <w:footnoteReference w:id="859"/>
      </w:r>
      <w:r>
        <w:rPr>
          <w:rFonts w:ascii="IRNazanin" w:hAnsi="IRNazanin" w:eastAsia="IRNazanin"/>
          <w:color w:val="111111"/>
          <w:sz w:val="28"/>
          <w:sz w:val="28"/>
          <w:szCs w:val="28"/>
          <w:rtl w:val="true"/>
          <w:lang w:bidi="fa-IR"/>
        </w:rPr>
        <w:t xml:space="preserve">في ميراث ابنة وزوجة وموالي حيث لم يعطِ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للموالي شيئاً وردّ الباقي على الابنة</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من البعيد رواية جابر بن يزيد الجعفي عنه مباشرة؛ لأنّ سويداً عند ولادة جابر الجعفي يكون قد تجاوز المائة ونيف، وقد وردت رواية جابر عنه 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الكافي</w:t>
      </w:r>
      <w:r>
        <w:rPr>
          <w:rStyle w:val="FootnoteAnchor"/>
          <w:rtl w:val="true"/>
        </w:rPr>
        <w:footnoteReference w:id="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قد سقط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بدلالة ما في أمالي الطوسي</w:t>
      </w:r>
      <w:r>
        <w:rPr>
          <w:rStyle w:val="FootnoteAnchor"/>
          <w:rtl w:val="true"/>
        </w:rPr>
        <w:footnoteReference w:id="861"/>
      </w:r>
      <w:r>
        <w:rPr>
          <w:rFonts w:ascii="Amiri" w:hAnsi="Amiri" w:eastAsia="Amiri" w:cs="Amiri"/>
          <w:color w:val="111111"/>
          <w:sz w:val="28"/>
          <w:sz w:val="28"/>
          <w:szCs w:val="28"/>
          <w:rtl w:val="true"/>
          <w:lang w:bidi="ar-SA"/>
        </w:rPr>
        <w:t xml:space="preserve">حيث روى عن إبراهيم بن عبد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الجعفي مولاهم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حديثين بإسناد بعضه عامّي</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وعليه فيكون من روى عنه جابر هو إبراهيم بن عبد الأعلى وليس سويد بن غفلة بدلالة ما ورد في ترجمة سويد بن غفلة في كتب العامّة من أنّه روى عنه إبراهيم بن عبد الأعلى</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الرجل ذكره الشيخ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إبراهيم بن أبي المثنى، عبد الأعلى،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ووثّقه ابن حنبل في العلل، والعجلي، وقال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من السادسة</w:t>
      </w:r>
      <w:r>
        <w:rPr>
          <w:rFonts w:eastAsia="IRNazanin" w:cs="IRNazanin"/>
          <w:color w:val="111111"/>
          <w:sz w:val="28"/>
          <w:szCs w:val="28"/>
          <w:rtl w:val="true"/>
          <w:lang w:bidi="fa-IR"/>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شرحبيل بن سعد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الوسائل بطبعتيها</w:t>
      </w:r>
      <w:r>
        <w:rPr>
          <w:rStyle w:val="FootnoteAnchor"/>
          <w:rtl w:val="true"/>
        </w:rPr>
        <w:footnoteReference w:id="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سعد المدني مولى الأنصار، صدوق، اختلط في آخر عمره، من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قارب المائة</w:t>
      </w:r>
      <w:r>
        <w:rPr>
          <w:rStyle w:val="FootnoteAnchor"/>
          <w:rtl w:val="true"/>
        </w:rPr>
        <w:footnoteReference w:id="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رواية جابر عنه في موضع واحد</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الرحمن بن سابط، وقد وردت رواية جابر عنه في مورد واحد في الخصال</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نجي، وقد وردت رواية جابر عنه في موضعين في أمالي الطوسي</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عامر الشعبي، وقد وردت رواية جابر عنه في موضعين في كتاب الغارات لإبراهيم بن محمَّد الثقفي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عكرمة، وقد وردت رواية جابر عنه في موضعين في أمالي الطوسي وتفسير البرهان</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مجاهد بن جبر، وقد وردت رواية جابر عنه في مورد واحد في أمالي الطوسي</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الهيثم بن عبد العزيز</w:t>
      </w:r>
      <w:r>
        <w:rPr>
          <w:rStyle w:val="FootnoteAnchor"/>
          <w:rtl w:val="true"/>
        </w:rPr>
        <w:footnoteReference w:id="873"/>
      </w:r>
      <w:r>
        <w:rPr>
          <w:rFonts w:ascii="Amiri" w:hAnsi="Amiri" w:eastAsia="Amiri" w:cs="Amiri"/>
          <w:color w:val="111111"/>
          <w:sz w:val="28"/>
          <w:sz w:val="28"/>
          <w:szCs w:val="28"/>
          <w:rtl w:val="true"/>
          <w:lang w:bidi="ar-SA"/>
        </w:rPr>
        <w:t>، وقد وردت رواية جابر عنه في موضع واحد في التهذيب</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قارنا بين مشايخ جابر في الأسانيد العاميّة التي وردت في بعض كتب الإماميّة وما ورد في كتب العامّة نجد أنّ خمسة من الشيوخ قد تكررّت أسماؤهم في أسانيدنا،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سابط، وعبد الله بن نجي، وعامر الشعبي، وعكرمة، ومجاهد بن 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ستّة رجال ممّن وردوا في أسانيدنا،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وقلنا إنّه تستبعد رواية جابر عنه، ورجل مشترك وهو إبراهيم القرشي، وآخر مهمل وهو الهيثم بن عبد العزيز، وبقي ثلاثة رجال وثّقوا صريحاً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عبد الله بن الحارث بن نوفل، </w:t>
      </w:r>
      <w:bookmarkStart w:id="684" w:name="pg10913_111136"/>
    </w:p>
    <w:p>
      <w:pPr>
        <w:pStyle w:val="BookText"/>
        <w:rPr/>
      </w:pPr>
      <w:bookmarkEnd w:id="684"/>
      <w:r>
        <w:rPr>
          <w:rFonts w:ascii="Amiri" w:hAnsi="Amiri" w:eastAsia="Amiri" w:cs="Amiri"/>
          <w:color w:val="111111"/>
          <w:sz w:val="28"/>
          <w:sz w:val="28"/>
          <w:szCs w:val="28"/>
          <w:rtl w:val="true"/>
          <w:lang w:bidi="ar-SA"/>
        </w:rPr>
        <w:t>وسويد بن غفلة، وشرحبيل بن سعد الأنباري</w:t>
      </w:r>
      <w:r>
        <w:rPr>
          <w:rFonts w:eastAsia="Amiri" w:cs="Amiri" w:ascii="Amiri" w:hAnsi="Amiri"/>
          <w:color w:val="111111"/>
          <w:sz w:val="28"/>
          <w:szCs w:val="28"/>
          <w:rtl w:val="true"/>
          <w:lang w:bidi="ar-SA"/>
        </w:rPr>
        <w:t>.</w:t>
      </w:r>
    </w:p>
    <w:p>
      <w:pPr>
        <w:pStyle w:val="Heading6"/>
        <w:numPr>
          <w:ilvl w:val="5"/>
          <w:numId w:val="1"/>
        </w:numPr>
        <w:rPr/>
      </w:pPr>
      <w:bookmarkStart w:id="685" w:name="__RefHeading___Toc3056946_2870459653"/>
      <w:bookmarkStart w:id="686" w:name="_Toc264"/>
      <w:bookmarkEnd w:id="685"/>
      <w:r>
        <w:rPr>
          <w:rtl w:val="true"/>
        </w:rPr>
        <w:t>ثانياً</w:t>
      </w:r>
      <w:r>
        <w:rPr>
          <w:rtl w:val="true"/>
        </w:rPr>
        <w:t xml:space="preserve">: </w:t>
      </w:r>
      <w:r>
        <w:rPr>
          <w:rtl w:val="true"/>
        </w:rPr>
        <w:t>الرَّواة عن جابر في كتبنا بأسانيد عاميّة</w:t>
      </w:r>
      <w:bookmarkEnd w:id="6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إسحاق البنّاء، وردت روايته عن جابر في مورد واحد في غيبة الطوسي، وعنه في البحار، وهو أيضاً مهمل لم يذكر في كتب الرجال</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الأشعث الخزاعي، وقد وردت له رواية واحدة عن جابر الجعفي في طب الأئمّة، وهذا الرجل كذلك مهمل لم يذكر في كتب الرجال</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إسرائيل بن يونس بن أبي إسحاق السبيعي الهمداني</w:t>
      </w:r>
      <w:r>
        <w:rPr>
          <w:rStyle w:val="FootnoteAnchor"/>
          <w:rtl w:val="true"/>
        </w:rPr>
        <w:footnoteReference w:id="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روايته عن جابر في ثلاثة موارد</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بن جبير بن حَرْمل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المهملة وسكون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الطائي، ثقة، من الرابعة</w:t>
      </w:r>
      <w:r>
        <w:rPr>
          <w:rStyle w:val="FootnoteAnchor"/>
          <w:rtl w:val="true"/>
        </w:rPr>
        <w:footnoteReference w:id="879"/>
      </w:r>
      <w:r>
        <w:rPr>
          <w:rFonts w:ascii="Amiri" w:hAnsi="Amiri" w:eastAsia="Amiri" w:cs="Amiri"/>
          <w:color w:val="111111"/>
          <w:sz w:val="28"/>
          <w:sz w:val="28"/>
          <w:szCs w:val="28"/>
          <w:rtl w:val="true"/>
          <w:lang w:bidi="ar-SA"/>
        </w:rPr>
        <w:t>، وقع في إسناد رواية واحدة للصدوق</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سفيان بن سعيد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روايته عن جابر في ثلاثة موارد</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سليمان بن مهران، أبو محمَّد الأسدي، مولاهم الأعمش الكوفي، وذكر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 ونقل البخاري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ولدت قبل مقتل الحسين بسنتين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ثقة حافظ عارف بالقراءات ورع، لكنّه يدلّس، من 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سنة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وردت روايته عن جابر في أمالي الطوسي</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شريك بن عبد الله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روايته عن جابر في ستّة موارد</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شعيب بن راشد التميمي الأنماطي الكوفي، ذكره الشيخ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وردت روايته عن جابر في موردين</w:t>
      </w:r>
      <w:r>
        <w:rPr>
          <w:rStyle w:val="FootnoteAnchor"/>
          <w:rtl w:val="true"/>
        </w:rPr>
        <w:footnoteReference w:id="8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العامّة فذكر ابن أبي حاتم أنّه مجهول، وذكره ابن حبان في الثقات، ووثقه الدارقطني</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شيبان بن عبد الرحمن التميمي مولاهم النحوي أبو معاوية البصري المؤدّب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روايته عن جابر في موضع واحد في العلل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بن سعيد الجهني، وقع في إسناد رواية في تفسير العياشي</w:t>
      </w:r>
      <w:r>
        <w:rPr>
          <w:rStyle w:val="FootnoteAnchor"/>
          <w:rtl w:val="true"/>
        </w:rPr>
        <w:footnoteReference w:id="886"/>
      </w:r>
      <w:r>
        <w:rPr>
          <w:rFonts w:ascii="Amiri" w:hAnsi="Amiri" w:eastAsia="Amiri" w:cs="Amiri"/>
          <w:color w:val="111111"/>
          <w:sz w:val="28"/>
          <w:sz w:val="28"/>
          <w:szCs w:val="28"/>
          <w:rtl w:val="true"/>
          <w:lang w:bidi="ar-SA"/>
        </w:rPr>
        <w:t>عن جابر الجعفي، وأيضاً وقع في سند روايةٍ حصل فيه ترديد، كما جاء في كتاب القراءات للسياري حيث نقل روايتين فيها عامر بن سعيد الجهني عن جابر بن يزيد الجعفي</w:t>
      </w:r>
      <w:r>
        <w:rPr>
          <w:rStyle w:val="FootnoteAnchor"/>
          <w:rtl w:val="true"/>
        </w:rPr>
        <w:footnoteReference w:id="887"/>
      </w:r>
      <w:r>
        <w:rPr>
          <w:rFonts w:ascii="Amiri" w:hAnsi="Amiri" w:eastAsia="Amiri" w:cs="Amiri"/>
          <w:color w:val="111111"/>
          <w:sz w:val="28"/>
          <w:sz w:val="28"/>
          <w:szCs w:val="28"/>
          <w:rtl w:val="true"/>
          <w:lang w:bidi="ar-SA"/>
        </w:rPr>
        <w:t>، وفي نسخة بدل عن أبيه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وأبوه لم يذكرا في كتب رجال الفريقين، فهما مهملان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بكر بن تميم السكسكي الشامي، متروك، من التاسعة</w:t>
      </w:r>
      <w:r>
        <w:rPr>
          <w:rStyle w:val="FootnoteAnchor"/>
          <w:rtl w:val="true"/>
        </w:rPr>
        <w:footnoteReference w:id="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 الصدوق له رواية واحدة عن جابر</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وأيّاً كان فهذا الرجل من البعيد روايته عن جابر الجعفي مباشرة؛ لأنّه يروي عن سفيان الثوري الذي يروي عن جابر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ميمون المروزي أبو حمزة السكري، وقد تقدّمت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روايته عن جابر في موضعين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نوح بن أبي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واسمه مابنة،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مافنة،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جعونة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عصمة المروزي القرشي مولاهم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 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مشهور بكنيته ويعرف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مناقب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المغازلي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لجمعه العلوم، لكن كذّبوه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يضع، من السابعة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وردت روايته عن جابر في الكافي</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يعقوب بن بشير، وهو مهمل لم يُذكر في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في إسناد رواية للصدوق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قارنا بين الرواة عن جابر في الأسانيد العامّيّة التي وردت في بعض كتب الإماميّة وما ورد في كتب العامّة نفسها نجد أنّ الرواة عن جابر في كتبهم أربعة وعشرين راوياً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عشر رجلاً منهم وُصِف بالثقة والصدق صريحاً، ورجل وُثّق صريحاً لكن قُدِح في حفظه، ورجل لم يذكر بشيء من المدح أو الذم، والثلاثة الباقون ضعّفوا على أساس تهمة التشيّع</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رواة العامّة الذين رووا عن جابر الجعفي في كتبنا فهم أربعة عشر راوياً، سبعة منهم قد وثّقهم العامّة، وواحد يمكن توثيقه على مباني القوم، وأربعة منهم مهملون، واثنان منهم ضُعّفوا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نسبة الثقات في كتبهم أكثر من أربعة أخماس، بينما نسبة الثقات في كتبنا هي النصف</w:t>
      </w:r>
      <w:r>
        <w:rPr>
          <w:rFonts w:eastAsia="Amiri" w:cs="Amiri" w:ascii="Amiri" w:hAnsi="Amiri"/>
          <w:color w:val="111111"/>
          <w:sz w:val="28"/>
          <w:szCs w:val="28"/>
          <w:rtl w:val="true"/>
          <w:lang w:bidi="ar-SA"/>
        </w:rPr>
        <w:t xml:space="preserve">. </w:t>
      </w:r>
      <w:bookmarkStart w:id="687" w:name="pg10913_111145"/>
    </w:p>
    <w:p>
      <w:pPr>
        <w:pStyle w:val="Heading6"/>
        <w:numPr>
          <w:ilvl w:val="5"/>
          <w:numId w:val="1"/>
        </w:numPr>
        <w:rPr/>
      </w:pPr>
      <w:bookmarkStart w:id="688" w:name="__RefHeading___Toc3056948_2870459653"/>
      <w:bookmarkStart w:id="689" w:name="_Toc265"/>
      <w:bookmarkEnd w:id="687"/>
      <w:bookmarkEnd w:id="688"/>
      <w:r>
        <w:rPr>
          <w:rtl w:val="true"/>
        </w:rPr>
        <w:t>القسم الثَّاني</w:t>
      </w:r>
      <w:r>
        <w:rPr>
          <w:rtl w:val="true"/>
        </w:rPr>
        <w:t xml:space="preserve">: </w:t>
      </w:r>
      <w:r>
        <w:rPr>
          <w:rtl w:val="true"/>
        </w:rPr>
        <w:t>ما ورد في الرَّوايات والأسانيد الإماميّة</w:t>
      </w:r>
      <w:bookmarkEnd w:id="689"/>
    </w:p>
    <w:p>
      <w:pPr>
        <w:pStyle w:val="Heading6"/>
        <w:numPr>
          <w:ilvl w:val="5"/>
          <w:numId w:val="1"/>
        </w:numPr>
        <w:rPr/>
      </w:pPr>
      <w:bookmarkStart w:id="690" w:name="__RefHeading___Toc3056950_2870459653"/>
      <w:bookmarkStart w:id="691" w:name="_Toc266"/>
      <w:bookmarkEnd w:id="690"/>
      <w:r>
        <w:rPr>
          <w:rtl w:val="true"/>
        </w:rPr>
        <w:t>اشارة</w:t>
      </w:r>
      <w:bookmarkEnd w:id="691"/>
    </w:p>
    <w:p>
      <w:pPr>
        <w:pStyle w:val="BookText"/>
        <w:rPr/>
      </w:pPr>
      <w:r>
        <w:rPr>
          <w:rFonts w:ascii="IRNazanin" w:hAnsi="IRNazanin" w:eastAsia="IRNazanin"/>
          <w:color w:val="111111"/>
          <w:sz w:val="28"/>
          <w:sz w:val="28"/>
          <w:szCs w:val="28"/>
          <w:rtl w:val="true"/>
          <w:lang w:bidi="fa-IR"/>
        </w:rPr>
        <w:t xml:space="preserve">تقدّم تنقيح القول في رواية جابر الجعفي عن الإمامين الهمامين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الجهة الرابعة من المقام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مشايخه في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المقام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جابر وكتبه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والكلام معقود هنا في غير الإمامين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وسوف يكون الكلام في المروي عنهم من الشيعة، والرواة عنه كذلك</w:t>
      </w:r>
      <w:r>
        <w:rPr>
          <w:rFonts w:eastAsia="IRNazanin" w:cs="IRNazanin"/>
          <w:color w:val="111111"/>
          <w:sz w:val="28"/>
          <w:szCs w:val="28"/>
          <w:rtl w:val="true"/>
          <w:lang w:bidi="fa-IR"/>
        </w:rPr>
        <w:t>.</w:t>
      </w:r>
    </w:p>
    <w:p>
      <w:pPr>
        <w:pStyle w:val="Heading6"/>
        <w:numPr>
          <w:ilvl w:val="5"/>
          <w:numId w:val="1"/>
        </w:numPr>
        <w:rPr/>
      </w:pPr>
      <w:bookmarkStart w:id="692" w:name="__RefHeading___Toc3056952_2870459653"/>
      <w:bookmarkStart w:id="693" w:name="_Toc267"/>
      <w:bookmarkEnd w:id="692"/>
      <w:r>
        <w:rPr>
          <w:rtl w:val="true"/>
        </w:rPr>
        <w:t>أوَّلاً</w:t>
      </w:r>
      <w:r>
        <w:rPr>
          <w:rtl w:val="true"/>
        </w:rPr>
        <w:t xml:space="preserve">: </w:t>
      </w:r>
      <w:r>
        <w:rPr>
          <w:rtl w:val="true"/>
        </w:rPr>
        <w:t>المروي عنهم من الشيعة</w:t>
      </w:r>
      <w:bookmarkEnd w:id="6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تميم، وردت رواية جابر الجعفي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أمالي الشيخ الطوسي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ووردت رواية جابر الجعفي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تميم بن جذيم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علل الشرائع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وفي البحار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روى أبو مخنف عن جابر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تميم بن حذيم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كتاب وقعة صفّين لنصر بن مزاحم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جابر </w:t>
      </w:r>
    </w:p>
    <w:p>
      <w:pPr>
        <w:pStyle w:val="BookText"/>
        <w:rPr/>
      </w:pPr>
      <w:r>
        <w:rPr>
          <w:rFonts w:ascii="Amiri" w:hAnsi="Amiri" w:eastAsia="Amiri" w:cs="Amiri"/>
          <w:color w:val="111111"/>
          <w:sz w:val="28"/>
          <w:sz w:val="28"/>
          <w:szCs w:val="28"/>
          <w:rtl w:val="true"/>
          <w:lang w:bidi="ar-SA"/>
        </w:rPr>
        <w:t xml:space="preserve">الجعفي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في ستّة مواضع</w:t>
      </w:r>
      <w:r>
        <w:rPr>
          <w:rStyle w:val="FootnoteAnchor"/>
          <w:rtl w:val="true"/>
        </w:rPr>
        <w:footnoteReference w:id="892"/>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حذيم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واحد</w:t>
      </w:r>
      <w:r>
        <w:rPr>
          <w:rStyle w:val="FootnoteAnchor"/>
          <w:rtl w:val="true"/>
        </w:rPr>
        <w:footnoteReference w:id="893"/>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حذيم الناجي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موضعين</w:t>
      </w:r>
      <w:r>
        <w:rPr>
          <w:rStyle w:val="FootnoteAnchor"/>
          <w:rtl w:val="true"/>
        </w:rPr>
        <w:footnoteReference w:id="894"/>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الناجي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واحد</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حذيم أو حذلم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لشهادة ما في كتب الرجال</w:t>
      </w:r>
      <w:r>
        <w:rPr>
          <w:rStyle w:val="FootnoteAnchor"/>
          <w:rtl w:val="true"/>
        </w:rPr>
        <w:footnoteReference w:id="8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تميم بن حذيم الناجي، شهد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العلّامة في خلاصة الأقوال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تميم بن حذلم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غير المعجمة، والذال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الناجي، شهد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داود في رجاله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تميم بن حذيم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الحاء المهملة وسكون الذال المعجمة وفتح الياء المثناة تحت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الناجي، شهد معه وكان من خواصّه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أثبته الشيخ بخطه، ورأيت بعض أصحابنا قد أثبته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تميم بن حذلم من التابعين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ورأيت هذا المصنف قد أثبت هذا الاسم بعينه في خواص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تميم بن خزيم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بالخاء المعجمة والزاي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لاختيار العلّامة وابن داود ما قاله ابن سعد في 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تميم بن حذلم الضبي روى عن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أخبرنا مؤمل بن إسماعيل عن سفيان قال حدّثنا أبو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تميم بن حذلم وكان من أصحاب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وعنونه البخاري في تاريخه الكبير تارة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حذلم أبو سلمة الضبي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تميم ابن حذيم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ذكر ابن أبي حاتم عنواناً واحداً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تميم بن حذلم أبو سلمة الضبّي روى عن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ابن حبان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تميم بن حذلم الضبّي كنيته أبو سلمة من أهل الكوفة يروي عن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كنيته أبو حذلم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تميم بن حذلم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الضبي أبو سلمة الكوفي، ثقة، من الثانية مات سنة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وترجمه في تهذيب التهذيب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تميم بن حذلم الضبي أبو سلمة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ابن مسعود وأدرك أبا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قليل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الأبواب للشيخ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خلاصة 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الطبقات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التاريخ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الجرح والتعديل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2/442</w:t>
      </w:r>
      <w:r>
        <w:rPr>
          <w:rFonts w:ascii="Amiri" w:hAnsi="Amiri" w:eastAsia="Amiri" w:cs="Amiri"/>
          <w:color w:val="111111"/>
          <w:sz w:val="28"/>
          <w:sz w:val="28"/>
          <w:szCs w:val="28"/>
          <w:rtl w:val="true"/>
          <w:lang w:bidi="ar-SA"/>
        </w:rPr>
        <w:t>، كتاب الثقات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تقريب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1/143</w:t>
      </w:r>
      <w:r>
        <w:rPr>
          <w:rFonts w:ascii="Amiri" w:hAnsi="Amiri" w:eastAsia="Amiri" w:cs="Amiri"/>
          <w:color w:val="111111"/>
          <w:sz w:val="28"/>
          <w:sz w:val="28"/>
          <w:szCs w:val="28"/>
          <w:rtl w:val="true"/>
          <w:lang w:bidi="ar-SA"/>
        </w:rPr>
        <w:t>، تهذيب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الرجل واحد وهو من المعمّرين وقد أدركه جابر الجعفي وروى عنه، إذ كانت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مائة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ثقة بلا إشكال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ثابت بن أبي صفيّة أبو حمزة الثمالي، واسم أبي صفيّة دينار، مولى، كوفي،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 الجعابي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 علي بن الحسين وأبا جعفر وأبا عبد الله وأبا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عنهم، وكان من خيار أصحابنا وثقاتهم ومعتمديهم في الرواية والحديث،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وردت رواية جابر عنه في موضعين</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جابر عن أبي حمزة لا تخلو من غرابة بعض الشيء؛ لأنّهما متعاصران بل جابر أسبق بعض الشيء منه، بل سيأتي روايته هو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في كلا الطريقين إلى جابر ضعفاً، ففي الأوَّل عمرو بن شمر، وفي الثاني المفضل بن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الطفيل عامر بن واثلة بن الأسقع الكناني، قال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عامر بن واثلة كيسانيّاً ممّن يقول بحياة محمَّد بن الحنفية، وله في ذلك شعر، وخرج تحت راية المختار بن</w:t>
      </w:r>
      <w:bookmarkStart w:id="694" w:name="pg10913_111151"/>
    </w:p>
    <w:p>
      <w:pPr>
        <w:pStyle w:val="BookText"/>
        <w:rPr/>
      </w:pPr>
      <w:bookmarkEnd w:id="694"/>
      <w:r>
        <w:rPr>
          <w:rFonts w:ascii="Amiri" w:hAnsi="Amiri" w:eastAsia="Amiri" w:cs="Amiri"/>
          <w:color w:val="111111"/>
          <w:sz w:val="28"/>
          <w:sz w:val="28"/>
          <w:szCs w:val="28"/>
          <w:rtl w:val="true"/>
          <w:lang w:bidi="ar-SA"/>
        </w:rPr>
        <w:t>أبي عبيدة</w:t>
      </w:r>
      <w:r>
        <w:rPr>
          <w:rFonts w:eastAsia="Amiri" w:cs="Amiri" w:ascii="Amiri" w:hAnsi="Amiri"/>
          <w:color w:val="111111"/>
          <w:sz w:val="28"/>
          <w:szCs w:val="28"/>
          <w:rtl w:val="true"/>
          <w:lang w:bidi="ar-SA"/>
        </w:rPr>
        <w:t>)</w:t>
      </w:r>
      <w:r>
        <w:rPr>
          <w:rStyle w:val="FootnoteAnchor"/>
          <w:rtl w:val="true"/>
        </w:rPr>
        <w:footnoteReference w:id="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رواية جابر عنه في مواضع خمسة</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يحيى الحضرمي، وردت رواية جابر عنه في موضعين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والرجل من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البرقي في رجاله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الرضا عبد الله بن يحيى الحضرمي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الكشي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لعبد الله بن يحيى الحضرمي يوم الجمل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أبشر يا ابن يحيى فإنّك وأبوك من شرطة الخميس حقّاً، لقد أخبرني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باسمك واسم أبيك في شرطة الخميس، والله سمّاكم شرطة الخميس على لسان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ابن محيمة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وإنّي قرأت كتاب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معاوية يعدّ عليه ذنوبه إليه وإلى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فبدأ بذكر عبد الله بن يحيى الحضرمي ومن قتلهم معه</w:t>
      </w:r>
      <w:r>
        <w:rPr>
          <w:rFonts w:eastAsia="IRNazanin" w:cs="IRNazanin"/>
          <w:color w:val="111111"/>
          <w:sz w:val="28"/>
          <w:szCs w:val="28"/>
          <w:rtl w:val="true"/>
          <w:lang w:bidi="fa-IR"/>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وعليه فهذا الرجل استُشهد في حياة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يمكن رواية جابر الجعفي عنه مباشرة، ولا أقل من سقوط واسطة بينهما</w:t>
      </w:r>
      <w:r>
        <w:rPr>
          <w:rFonts w:eastAsia="IRNazanin" w:cs="IRNazanin"/>
          <w:color w:val="111111"/>
          <w:sz w:val="28"/>
          <w:szCs w:val="28"/>
          <w:rtl w:val="true"/>
          <w:lang w:bidi="fa-IR"/>
        </w:rPr>
        <w:t>.</w:t>
      </w:r>
    </w:p>
    <w:p>
      <w:pPr>
        <w:pStyle w:val="Heading6"/>
        <w:numPr>
          <w:ilvl w:val="5"/>
          <w:numId w:val="1"/>
        </w:numPr>
        <w:rPr/>
      </w:pPr>
      <w:bookmarkStart w:id="695" w:name="__RefHeading___Toc3056954_2870459653"/>
      <w:bookmarkStart w:id="696" w:name="_Toc268"/>
      <w:bookmarkEnd w:id="695"/>
      <w:r>
        <w:rPr>
          <w:rtl w:val="true"/>
        </w:rPr>
        <w:t>ثانياً</w:t>
      </w:r>
      <w:r>
        <w:rPr>
          <w:rtl w:val="true"/>
        </w:rPr>
        <w:t xml:space="preserve">: </w:t>
      </w:r>
      <w:r>
        <w:rPr>
          <w:rtl w:val="true"/>
        </w:rPr>
        <w:t>الرَّواة عن جابر من الشَّيعة</w:t>
      </w:r>
      <w:bookmarkEnd w:id="696"/>
    </w:p>
    <w:p>
      <w:pPr>
        <w:pStyle w:val="Heading6"/>
        <w:numPr>
          <w:ilvl w:val="5"/>
          <w:numId w:val="1"/>
        </w:numPr>
        <w:rPr/>
      </w:pPr>
      <w:bookmarkStart w:id="697" w:name="__RefHeading___Toc3056956_2870459653"/>
      <w:bookmarkStart w:id="698" w:name="_Toc269"/>
      <w:bookmarkEnd w:id="697"/>
      <w:r>
        <w:rPr>
          <w:rtl w:val="true"/>
        </w:rPr>
        <w:t>اشارة</w:t>
      </w:r>
      <w:bookmarkEnd w:id="698"/>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نشير هنا إلى أنّ ذكر اسم الراوي عن جابر هو بحسب ما موجود في المصادر بغض النظر عن ثبوت الطريق إذا كان في الطريق ضعيف أو أكثر</w:t>
      </w:r>
      <w:r>
        <w:rPr>
          <w:rFonts w:eastAsia="Amiri" w:cs="Amiri" w:ascii="Amiri" w:hAnsi="Amiri"/>
          <w:color w:val="111111"/>
          <w:sz w:val="28"/>
          <w:szCs w:val="28"/>
          <w:rtl w:val="true"/>
          <w:lang w:bidi="ar-SA"/>
        </w:rPr>
        <w:t xml:space="preserve">. </w:t>
      </w:r>
      <w:bookmarkStart w:id="699" w:name="pg10913_111153"/>
    </w:p>
    <w:p>
      <w:pPr>
        <w:pStyle w:val="Heading6"/>
        <w:numPr>
          <w:ilvl w:val="5"/>
          <w:numId w:val="1"/>
        </w:numPr>
        <w:rPr/>
      </w:pPr>
      <w:bookmarkStart w:id="700" w:name="__RefHeading___Toc3056958_2870459653"/>
      <w:bookmarkStart w:id="701" w:name="_Toc270"/>
      <w:bookmarkEnd w:id="699"/>
      <w:bookmarkEnd w:id="700"/>
      <w:r>
        <w:rPr>
          <w:rtl w:val="true"/>
        </w:rPr>
        <w:t>أ</w:t>
      </w:r>
      <w:r>
        <w:rPr>
          <w:rtl w:val="true"/>
        </w:rPr>
        <w:t xml:space="preserve">. </w:t>
      </w:r>
      <w:r>
        <w:rPr>
          <w:rtl w:val="true"/>
        </w:rPr>
        <w:t>الثَّقات الذّين رووا عن جابر مباشرة</w:t>
      </w:r>
      <w:bookmarkEnd w:id="7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إبراهيم بن نعيم العبدي أبو الصباح الكناني، قال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 فيهم فنسب إليهم، مولى آل سام، كان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يسمّيه الميزان لثقته، رأى أبا جعفر وروى عن أبي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وردت روايته عن جابر في موضعين من الكافي</w:t>
      </w:r>
      <w:r>
        <w:rPr>
          <w:rStyle w:val="FootnoteAnchor"/>
          <w:rtl w:val="true"/>
        </w:rPr>
        <w:footnoteReference w:id="9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 معتبر في المورد الأوَّل إلى جابر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ثابت بن أبي صفيّة أبو حمزة الثمالي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واسم أبي صفيّة دينار، مولى، كوفي، ثقة، لقي علي بن الحسين وأبا جعفر وأبا عبد الله وأبا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عنهم، وكان من خيار أصحابنا وثقاتهم ومعتمديهم في الرواية والحديث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وردت روايته عن جابر في موضعين في بصائر الدرجات</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يسيروا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 معتبر إلى جابر في المورد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بن السري الكاتب الكرخي، 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العلّامة</w:t>
      </w:r>
    </w:p>
    <w:p>
      <w:pPr>
        <w:pStyle w:val="BookText"/>
        <w:rPr/>
      </w:pPr>
      <w:r>
        <w:rPr>
          <w:rFonts w:ascii="Amiri" w:hAnsi="Amiri" w:eastAsia="Amiri" w:cs="Amiri"/>
          <w:color w:val="111111"/>
          <w:sz w:val="28"/>
          <w:sz w:val="28"/>
          <w:szCs w:val="28"/>
          <w:rtl w:val="true"/>
          <w:lang w:bidi="ar-SA"/>
        </w:rPr>
        <w:t>توثيقه عن النجاشي، وكذا ابن داود وزاد أنّه وثّقه الشيخ في الفهرست والرجال، ولم نعثر عليه في النسخ الواصلة إلينا منها</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وردت روايته عن جابر في المحاسن</w:t>
      </w:r>
      <w:r>
        <w:rPr>
          <w:rStyle w:val="FootnoteAnchor"/>
          <w:rtl w:val="true"/>
        </w:rPr>
        <w:footnoteReference w:id="904"/>
      </w:r>
      <w:r>
        <w:rPr>
          <w:rFonts w:ascii="Amiri" w:hAnsi="Amiri" w:eastAsia="Amiri" w:cs="Amiri"/>
          <w:color w:val="111111"/>
          <w:sz w:val="28"/>
          <w:sz w:val="28"/>
          <w:szCs w:val="28"/>
          <w:rtl w:val="true"/>
          <w:lang w:bidi="ar-SA"/>
        </w:rPr>
        <w:t>، وأوردها في الكافي</w:t>
      </w:r>
      <w:r>
        <w:rPr>
          <w:rStyle w:val="FootnoteAnchor"/>
          <w:rtl w:val="true"/>
        </w:rPr>
        <w:footnoteReference w:id="905"/>
      </w:r>
      <w:r>
        <w:rPr>
          <w:rFonts w:ascii="Amiri" w:hAnsi="Amiri" w:eastAsia="Amiri" w:cs="Amiri"/>
          <w:color w:val="111111"/>
          <w:sz w:val="28"/>
          <w:sz w:val="28"/>
          <w:szCs w:val="28"/>
          <w:rtl w:val="true"/>
          <w:lang w:bidi="ar-SA"/>
        </w:rPr>
        <w:t>، والصدوق في توحيده</w:t>
      </w:r>
      <w:r>
        <w:rPr>
          <w:rStyle w:val="FootnoteAnchor"/>
          <w:rtl w:val="true"/>
        </w:rPr>
        <w:footnoteReference w:id="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الطرق معتبرة إلى جابر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زياد بن أبي الحلال، كوفي، مولى، ثقة، 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 أنّه سمع من جابر أحاديث وسأل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وتقدّم تحقيق الكلام في ذلك في الطريق الأوَّل من المقام الثَّالث في توثيق جابر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الرحمن بن محمَّد الملقب بالعرزمي، كما ورد تلقيبه بذلك في المحاسن والكافي، وبقيّة الأسانيد، وهو موافق لما ذكره الشيخ ونقله ابن داود عن خطه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Style w:val="FootnoteAnchor"/>
          <w:rtl w:val="true"/>
        </w:rPr>
        <w:footnoteReference w:id="908"/>
      </w:r>
      <w:r>
        <w:rPr>
          <w:rFonts w:ascii="Amiri" w:hAnsi="Amiri" w:eastAsia="Amiri" w:cs="Amiri"/>
          <w:color w:val="111111"/>
          <w:sz w:val="28"/>
          <w:sz w:val="28"/>
          <w:szCs w:val="28"/>
          <w:rtl w:val="true"/>
          <w:lang w:bidi="ar-SA"/>
        </w:rPr>
        <w:t xml:space="preserve">، ولكن ذكره النجاشي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والأوَّل هو الصحيح، وقد وثّقه النجاشي صريحاً</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العلّامة القهبائي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ق</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نسخته من كتاب النجاشي توصيفه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يرجّح قول الشيخ قول أهل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جبانة عرزم بالكوفة نزلها عبد الملك بن ميسرة العرزمي</w:t>
      </w:r>
      <w:r>
        <w:rPr>
          <w:rFonts w:eastAsia="Amiri" w:cs="Amiri" w:ascii="Amiri" w:hAnsi="Amiri"/>
          <w:color w:val="111111"/>
          <w:sz w:val="28"/>
          <w:szCs w:val="28"/>
          <w:rtl w:val="true"/>
          <w:lang w:bidi="ar-SA"/>
        </w:rPr>
        <w:t>)</w:t>
      </w:r>
      <w:r>
        <w:rPr>
          <w:rStyle w:val="FootnoteAnchor"/>
          <w:rtl w:val="true"/>
        </w:rPr>
        <w:footnoteReference w:id="9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يعلم سقوط حرف العين من النسخ الواصلة إلينا من كتاب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وردت روايته عن جابر في موضع واحد</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 xml:space="preserve">ويلاحظ أنّ رواية عبد الرحمن العرزمي عن جابر في هذا المورد مبني على أنّ المراد بالعرزمي الأب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هناك احتمال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يكون المقصود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وبأبيه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عبيد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كلا الرجلين من أصحاب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ذكر الشيخ في رجاله</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والطبقة تساعد؛ إذ كانت وفاة الأب </w:t>
      </w:r>
      <w:r>
        <w:rPr>
          <w:rFonts w:eastAsia="IRNazanin" w:cs="IRNazanin"/>
          <w:color w:val="111111"/>
          <w:sz w:val="28"/>
          <w:szCs w:val="28"/>
          <w:rtl w:val="true"/>
          <w:lang w:bidi="fa-IR"/>
        </w:rPr>
        <w:t>(</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ذكر البخاري في التاريخ الكبير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ووفاة الابن </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ذكر البخاري في التاريخ الصغير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ضعّف محمَّد بن عبيد الله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ابن معين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برواية الدوري، الضعفاء والمتروكين</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تقريب التهذيب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يدفع هذا الاحتمال تكرّر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كما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وأيضاً قد يعبّر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الرحمن العرزمي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وكذلك في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وأمّا في حال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العرزمي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فيعبّر عن اسمه الصريح ولا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العرزمي،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ابن أبي حاتم الرازي ذكر في الجرح والتعديل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محمَّد ابن عبيد الله الفزاري العرزمي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روى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يذكر ذلك في شأن محمَّد بن عبيد الله العرزمي</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 غير معتبر إلى جابر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الغفار بن القاسم بن قيس بن قيس بن قهد أبو مريم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روى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وردت روايته عن جابر في موضع من الكافي</w:t>
      </w:r>
      <w:r>
        <w:rPr>
          <w:rStyle w:val="FootnoteAnchor"/>
          <w:rtl w:val="true"/>
        </w:rPr>
        <w:footnoteReference w:id="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 إلى جابر غير معتبر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غالب الأسدي، الشاعر، الفقيه، أبو علي روى عن أبي جعفر وأبي عبد الله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ثقة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وردت روايته عن جابر في ثلاثة موارد</w:t>
      </w:r>
      <w:r>
        <w:rPr>
          <w:rStyle w:val="FootnoteAnchor"/>
          <w:rtl w:val="true"/>
        </w:rPr>
        <w:footnoteReference w:id="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الطرق معتبرة إلى جابر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المؤمن بن القاسم بن قيس بن قيس بن قهد الأنصاري، أبو عبد الله، 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إحدى وثمانين سنة، روى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وردت روايته عن جابر في موضعين في الكافي</w:t>
      </w:r>
      <w:r>
        <w:rPr>
          <w:rStyle w:val="FootnoteAnchor"/>
          <w:rtl w:val="true"/>
        </w:rPr>
        <w:footnoteReference w:id="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 الطريقين معتبران إلى </w:t>
      </w:r>
    </w:p>
    <w:p>
      <w:p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أبان الكلبي أبو حفص مولى، كوفي، ثقة</w:t>
      </w:r>
      <w:r>
        <w:rPr>
          <w:rStyle w:val="FootnoteAnchor"/>
          <w:rtl w:val="true"/>
        </w:rPr>
        <w:footnoteReference w:id="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روايته عن جابر في موضع واحد في علل الشرائع</w:t>
      </w:r>
      <w:r>
        <w:rPr>
          <w:rStyle w:val="FootnoteAnchor"/>
          <w:rtl w:val="true"/>
        </w:rPr>
        <w:footnoteReference w:id="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 غير معتبر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سنان ويحيى بن محمَّد بن أيوب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عنبسة بن بجاد العابد مولى بني أسد، كان قاضياً، ثقة، 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وردت روايته عن جابر في أربعة موارد</w:t>
      </w:r>
      <w:r>
        <w:rPr>
          <w:rStyle w:val="FootnoteAnchor"/>
          <w:rtl w:val="true"/>
        </w:rPr>
        <w:footnoteReference w:id="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 إلى جابر في المورد الثالث معتبر بخلاف البواقي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عيسى بن أبي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روايته عن جابر في مورد واحد في توحيد الصدوق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 معتبر إلى جابر</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مشيخة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طريقه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كنيته أبو صالح وهو كوفي 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رواية بطريق صحيح في مدحه وهي ما ذكره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الحسن الصفار، عن يعقوب بن يزيد، عن ابن أبي عمير، عن إبراهيم بن عبد الحميد، عن عبد الله بن سنان، عن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w:t>
      </w:r>
    </w:p>
    <w:p>
      <w:pPr>
        <w:pStyle w:val="BookText"/>
        <w:rPr/>
      </w:pPr>
      <w:r>
        <w:rPr>
          <w:rFonts w:ascii="IRNazanin" w:hAnsi="IRNazanin" w:eastAsia="IRNazanin"/>
          <w:color w:val="111111"/>
          <w:sz w:val="28"/>
          <w:sz w:val="28"/>
          <w:szCs w:val="28"/>
          <w:rtl w:val="true"/>
          <w:lang w:bidi="fa-IR"/>
        </w:rPr>
        <w:t xml:space="preserve">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أقبل عيسى بن أبي منصور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تنظر خياراً في الدنيا خياراً في الآخرة فانظر إليه</w:t>
      </w:r>
      <w:r>
        <w:rPr>
          <w:rFonts w:eastAsia="IRNazanin" w:cs="IRNazanin"/>
          <w:color w:val="111111"/>
          <w:sz w:val="28"/>
          <w:szCs w:val="28"/>
          <w:rtl w:val="true"/>
          <w:lang w:bidi="fa-IR"/>
        </w:rPr>
        <w:t>)</w:t>
      </w:r>
      <w:r>
        <w:rPr>
          <w:rStyle w:val="FootnoteAnchor"/>
          <w:rtl w:val="true"/>
        </w:rPr>
        <w:footnoteReference w:id="9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الكشي هذا الحديث أيضاً بسند صحيح بعد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عيسى بن أبي منصور شلقان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حمدويه بن نصير عن عيسى؟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فاضل هو المعروف بشلقان، وهو ابن أبي منصور، واسم أبي منصور صبيح</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فالرجل بعد صدور هذا المدح والثناء عليه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أقلّ يكون ممدوحاً، وسيأتي مزيد تفصيل فيه في محلّ آخر إن شاء الله 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ميسر بن عبد العزيز النخعي بيّاع الزطي، كوفي، ثقة، روى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في حياة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روايته عن جابر في مورد واحد</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نجيّة بن الحارث العطار، روى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التهذيب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 xml:space="preserve">، وروى 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والراوي عنه صفوان، فالرجل يمكن أن يعد من شباب الطبقة الرابعة وشيوخ الخامسة حيث روت عنه الطبقتان الخامسة والسادسة</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والرجل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w:t>
      </w:r>
    </w:p>
    <w:p>
      <w:pPr>
        <w:pStyle w:val="BookText"/>
        <w:rPr/>
      </w:pPr>
      <w:r>
        <w:rPr>
          <w:rFonts w:ascii="Amiri" w:hAnsi="Amiri" w:eastAsia="Amiri" w:cs="Amiri"/>
          <w:color w:val="111111"/>
          <w:sz w:val="28"/>
          <w:sz w:val="28"/>
          <w:szCs w:val="28"/>
          <w:rtl w:val="true"/>
          <w:lang w:bidi="ar-SA"/>
        </w:rPr>
        <w:t xml:space="preserve">رواية صفوان بن يحيى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نقل الكشي عن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نجيّة بن الحارث شيخ صادق، كوفي، صديق علي بن يقطين</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وقعت روايته عن جابر في مورد واحد</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 غير معتبر إلى جابر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يحيى بن العلاء البجلي الرازي أبو جعفر، ثقة، أصله كوفي، وقد وثّقه النجاشي مرّة أخرى في ترجمة ابنه جعفر،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أبوه يحيى ابن العلاء قاضياً بالري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الشيخ في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العلاء بن خالد البجلي، كوفي،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الرازي، ولكن في الفهرست ذكره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ابن أبي العلاء الرازي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وردت روايته عن جابر في مورد واحد</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الخريف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عن محمَّد بن يحيى العطار، عن محمَّد ابن أحمد بن يحيى بن عمران الأشعري، عن الحسن بن علي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الله بن المغيرة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العباس 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أحمد بن رزق الغمشاني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يحيى بن أبي العلاء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 معتبر إلى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والموجود في جلّ الأسانيد يحيى بن أبي العلاء</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من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أربعة عشر رجلاً من الرواة المباشرين عن جابر متّفق </w:t>
      </w:r>
      <w:bookmarkStart w:id="702" w:name="pg10913_111168"/>
    </w:p>
    <w:p>
      <w:pPr>
        <w:pStyle w:val="BookText"/>
        <w:rPr/>
      </w:pPr>
      <w:bookmarkEnd w:id="702"/>
      <w:r>
        <w:rPr>
          <w:rFonts w:ascii="Amiri" w:hAnsi="Amiri" w:eastAsia="Amiri" w:cs="Amiri"/>
          <w:color w:val="111111"/>
          <w:sz w:val="28"/>
          <w:sz w:val="28"/>
          <w:szCs w:val="28"/>
          <w:rtl w:val="true"/>
          <w:lang w:bidi="ar-SA"/>
        </w:rPr>
        <w:t>على وثاقتهم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والطرق المعتبرة إلى جابر هي ثمانية، وغير المعتبرة خمسة، وطريق زياد بن أبي الحلال غير معلوم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رواية هؤلاء عن جابر قليلة جداً، فإنّ جلّ رواياته مرويّة عن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يظهر أنّ أكثر التراث الروائي عن جابر ليس ثابتاً عنه حقيقة على مسلك خبر الثقة، اللهم إلَّا أن يحصل اطمئنان بالصدور على مسلك حجّيّة الخبر الموثوق به، إن كانت هناك روايات أُخر بنفس المضمون سواء كانت بطرق معتبرة أو لا</w:t>
      </w:r>
      <w:r>
        <w:rPr>
          <w:rFonts w:eastAsia="Amiri" w:cs="Amiri" w:ascii="Amiri" w:hAnsi="Amiri"/>
          <w:color w:val="111111"/>
          <w:sz w:val="28"/>
          <w:szCs w:val="28"/>
          <w:rtl w:val="true"/>
          <w:lang w:bidi="ar-SA"/>
        </w:rPr>
        <w:t>.</w:t>
      </w:r>
    </w:p>
    <w:p>
      <w:pPr>
        <w:pStyle w:val="Heading6"/>
        <w:numPr>
          <w:ilvl w:val="5"/>
          <w:numId w:val="1"/>
        </w:numPr>
        <w:rPr/>
      </w:pPr>
      <w:bookmarkStart w:id="703" w:name="__RefHeading___Toc3056960_2870459653"/>
      <w:bookmarkStart w:id="704" w:name="_Toc271"/>
      <w:bookmarkEnd w:id="703"/>
      <w:r>
        <w:rPr>
          <w:rtl w:val="true"/>
        </w:rPr>
        <w:t>ب</w:t>
      </w:r>
      <w:r>
        <w:rPr>
          <w:rtl w:val="true"/>
        </w:rPr>
        <w:t xml:space="preserve">. </w:t>
      </w:r>
      <w:r>
        <w:rPr>
          <w:rtl w:val="true"/>
        </w:rPr>
        <w:t>مَن تعارض فيه التَّوثيق والتَّضعيف ممّن روى عن جابر</w:t>
      </w:r>
      <w:bookmarkEnd w:id="7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إبراهيم بن عمر اليماني الصنعاني، قال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شيخ من أصحابنا، ثقة، روى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ذلك أبو العباس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ضعّفه ابن الغضائري جداً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وردت روايته عن جابر في موضعين من الكافي</w:t>
      </w:r>
      <w:r>
        <w:rPr>
          <w:rStyle w:val="FootnoteAnchor"/>
          <w:rtl w:val="true"/>
        </w:rPr>
        <w:footnoteReference w:id="927"/>
      </w:r>
      <w:r>
        <w:rPr>
          <w:rFonts w:ascii="Amiri" w:hAnsi="Amiri" w:eastAsia="Amiri" w:cs="Amiri"/>
          <w:color w:val="111111"/>
          <w:sz w:val="28"/>
          <w:sz w:val="28"/>
          <w:szCs w:val="28"/>
          <w:rtl w:val="true"/>
          <w:lang w:bidi="ar-SA"/>
        </w:rPr>
        <w:t>، وأيضاً في موضع من أمالي الطوسي</w:t>
      </w:r>
      <w:r>
        <w:rPr>
          <w:rStyle w:val="FootnoteAnchor"/>
          <w:rtl w:val="true"/>
        </w:rPr>
        <w:footnoteReference w:id="9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الطرق معتبرة إلى إبراهيم بن عمر الصنعاني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زكريا بن الحرّ الجعفي، قال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أخو أُدَيْم وأيوب، 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وثّق النجاشي أخويه، وذكر ابن داود أنّه كان وجهاً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يوثّق بناءً على كفاية ذلك في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الموجود في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تعريفه بأخويه فيظهر أنّهما أعرف منه، وأعرف الثلاثة أُدَيْم؛ لأنّ النجاشي قال في ترجمة أيوب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بأخي أُدَيْم</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وردت روايته عن جابر في الكافي</w:t>
      </w:r>
      <w:r>
        <w:rPr>
          <w:rStyle w:val="FootnoteAnchor"/>
          <w:rtl w:val="true"/>
        </w:rPr>
        <w:footnoteReference w:id="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 معتبر إلى زكريا بن الحرّ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صباح بن يحيى، 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محمَّد المزني كوفي، ثقة، روى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ذكر ابن الغضائري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زَيْديٌّ، حديثُهُ في حديث أصحابِنا ضَعِيْفٌ، يَجُوْزُ أنْ يُخَرَّجَ شاهِداً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الرجل ممّن تعارض فيه التوثيق والتضعيف، ولكن ظاهر كلام ابن الغضائري أنّ ضعفه ليس بتلك الدرجة فيمكن أن يعتمد على حديثه مع بعض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روايته عن جابر في ثلاثة مواضع</w:t>
      </w:r>
      <w:r>
        <w:rPr>
          <w:rStyle w:val="FootnoteAnchor"/>
          <w:rtl w:val="true"/>
        </w:rPr>
        <w:footnoteReference w:id="9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الطرق غير معتبرة إلى جابر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يعقوب السراج، كوفي، ثقة، وزاد الشيخ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العليم السراج، ولكن ضعّفه ابن الغضائري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وردت روايته عن جابر في ثلاثة مواضع</w:t>
      </w:r>
      <w:r>
        <w:rPr>
          <w:rStyle w:val="FootnoteAnchor"/>
          <w:rtl w:val="true"/>
        </w:rPr>
        <w:footnoteReference w:id="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والطريق إلى يعقوب السراج معتبر </w:t>
      </w:r>
      <w:bookmarkStart w:id="705" w:name="pg10913_111172"/>
    </w:p>
    <w:p>
      <w:pPr>
        <w:pStyle w:val="BookText"/>
        <w:rPr/>
      </w:pPr>
      <w:bookmarkEnd w:id="705"/>
      <w:r>
        <w:rPr>
          <w:rFonts w:ascii="Amiri" w:hAnsi="Amiri" w:eastAsia="Amiri" w:cs="Amiri"/>
          <w:color w:val="111111"/>
          <w:sz w:val="28"/>
          <w:sz w:val="28"/>
          <w:szCs w:val="28"/>
          <w:rtl w:val="true"/>
          <w:lang w:bidi="ar-SA"/>
        </w:rPr>
        <w:t>في الكافي، وأمّا في الغيبة فتوجد شائبة إرسال بين الرجال الأربعة والحسن بن محبوب</w:t>
      </w:r>
      <w:r>
        <w:rPr>
          <w:rFonts w:eastAsia="Amiri" w:cs="Amiri" w:ascii="Amiri" w:hAnsi="Amiri"/>
          <w:color w:val="111111"/>
          <w:sz w:val="28"/>
          <w:szCs w:val="28"/>
          <w:rtl w:val="true"/>
          <w:lang w:bidi="ar-SA"/>
        </w:rPr>
        <w:t>.</w:t>
      </w:r>
    </w:p>
    <w:p>
      <w:pPr>
        <w:pStyle w:val="Heading6"/>
        <w:numPr>
          <w:ilvl w:val="5"/>
          <w:numId w:val="1"/>
        </w:numPr>
        <w:rPr/>
      </w:pPr>
      <w:bookmarkStart w:id="706" w:name="__RefHeading___Toc3056962_2870459653"/>
      <w:bookmarkStart w:id="707" w:name="_Toc272"/>
      <w:bookmarkEnd w:id="706"/>
      <w:r>
        <w:rPr>
          <w:rtl w:val="true"/>
        </w:rPr>
        <w:t>ج</w:t>
      </w:r>
      <w:r>
        <w:rPr>
          <w:rtl w:val="true"/>
        </w:rPr>
        <w:t xml:space="preserve">. </w:t>
      </w:r>
      <w:r>
        <w:rPr>
          <w:rtl w:val="true"/>
        </w:rPr>
        <w:t>الضَّعفاء والمهملون الذين رووا عن جابر</w:t>
      </w:r>
      <w:bookmarkEnd w:id="7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خالد الزيدي، وردت روايته عن جابر في موضعين من الكافي</w:t>
      </w:r>
      <w:r>
        <w:rPr>
          <w:rStyle w:val="FootnoteAnchor"/>
          <w:rtl w:val="true"/>
        </w:rPr>
        <w:footnoteReference w:id="933"/>
      </w:r>
      <w:r>
        <w:rPr>
          <w:rFonts w:ascii="Amiri" w:hAnsi="Amiri" w:eastAsia="Amiri" w:cs="Amiri"/>
          <w:color w:val="111111"/>
          <w:sz w:val="28"/>
          <w:sz w:val="28"/>
          <w:szCs w:val="28"/>
          <w:rtl w:val="true"/>
          <w:lang w:bidi="ar-SA"/>
        </w:rPr>
        <w:t>، وهو مهمل لم يذكر في كتب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الربيع القزّاز، وردت روايته عن جابر في موضع واحد من الكافي</w:t>
      </w:r>
      <w:r>
        <w:rPr>
          <w:rStyle w:val="FootnoteAnchor"/>
          <w:rtl w:val="true"/>
        </w:rPr>
        <w:footnoteReference w:id="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مهمل لم يذكر في كتب الرجال، ولكن يمكن توثيقه على مسلك مَن يقول بوثاقة مشايخ ابن أبي عمير، إذ إنّه الراوي عنه في هذا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 معتبر إلى أبي الربيع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أيوب العطّار، وقد وردت روايته عن جابر في موضع واحد من الكافي</w:t>
      </w:r>
      <w:r>
        <w:rPr>
          <w:rStyle w:val="FootnoteAnchor"/>
          <w:rtl w:val="true"/>
        </w:rPr>
        <w:footnoteReference w:id="9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مهمل لم يذكر في كتب الرجال، ولم يقع في الأسانيد في غير هذا الموضع، والإسناد إليه ضعيف بمحمَّد بن سنان والمفضّل بن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أسد بن إسماعيل، وردت روايته عن جابر في موضع من المحاسن</w:t>
      </w:r>
      <w:r>
        <w:rPr>
          <w:rStyle w:val="FootnoteAnchor"/>
          <w:rtl w:val="true"/>
        </w:rPr>
        <w:footnoteReference w:id="936"/>
      </w:r>
      <w:r>
        <w:rPr>
          <w:rFonts w:ascii="Amiri" w:hAnsi="Amiri" w:eastAsia="Amiri" w:cs="Amiri"/>
          <w:color w:val="111111"/>
          <w:sz w:val="28"/>
          <w:sz w:val="28"/>
          <w:szCs w:val="28"/>
          <w:rtl w:val="true"/>
          <w:lang w:bidi="ar-SA"/>
        </w:rPr>
        <w:t>، والسند معتبر إلى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رواية أخرى مرسلة في مختصر البصائر</w:t>
      </w:r>
      <w:r>
        <w:rPr>
          <w:rStyle w:val="FootnoteAnchor"/>
          <w:rtl w:val="true"/>
        </w:rPr>
        <w:footnoteReference w:id="9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البرقي والشيخ في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38"/>
      </w:r>
      <w:r>
        <w:rPr>
          <w:rFonts w:ascii="Amiri" w:hAnsi="Amiri" w:eastAsia="Amiri" w:cs="Amiri"/>
          <w:color w:val="111111"/>
          <w:sz w:val="28"/>
          <w:sz w:val="28"/>
          <w:szCs w:val="28"/>
          <w:rtl w:val="true"/>
          <w:lang w:bidi="ar-SA"/>
        </w:rPr>
        <w:t>، ولم يذكر بشيء فهو مهمل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أيوب البزّاز، وردت روايته عن جابر في تفسير ابن الماهيار</w:t>
      </w:r>
      <w:r>
        <w:rPr>
          <w:rStyle w:val="FootnoteAnchor"/>
          <w:rtl w:val="true"/>
        </w:rPr>
        <w:footnoteReference w:id="939"/>
      </w:r>
      <w:r>
        <w:rPr>
          <w:rFonts w:ascii="Amiri" w:hAnsi="Amiri" w:eastAsia="Amiri" w:cs="Amiri"/>
          <w:color w:val="111111"/>
          <w:sz w:val="28"/>
          <w:sz w:val="28"/>
          <w:szCs w:val="28"/>
          <w:rtl w:val="true"/>
          <w:lang w:bidi="ar-SA"/>
        </w:rPr>
        <w:t xml:space="preserve">، وهذا الطريق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أيوب البزّاز الذي هو مهمل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بالسياري وأبي أسلم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ثابت بن هرمز أبو المقدام الحداد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نسخة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،رواها عنه ابنه عمرو بن ثابت، وعدّ في رواية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رجال الكشي من البترية</w:t>
      </w:r>
      <w:r>
        <w:rPr>
          <w:rStyle w:val="FootnoteAnchor"/>
          <w:rtl w:val="true"/>
        </w:rPr>
        <w:footnoteReference w:id="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روايته عن جابر في تفسير القمي، ولكن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الحذّاء</w:t>
      </w:r>
      <w:r>
        <w:rPr>
          <w:rFonts w:eastAsia="Amiri" w:cs="Amiri" w:ascii="Amiri" w:hAnsi="Amiri"/>
          <w:color w:val="111111"/>
          <w:sz w:val="28"/>
          <w:szCs w:val="28"/>
          <w:rtl w:val="true"/>
          <w:lang w:bidi="ar-SA"/>
        </w:rPr>
        <w:t>)</w:t>
      </w:r>
      <w:r>
        <w:rPr>
          <w:rStyle w:val="FootnoteAnchor"/>
          <w:rtl w:val="true"/>
        </w:rPr>
        <w:footnoteReference w:id="941"/>
      </w:r>
      <w:r>
        <w:rPr>
          <w:rFonts w:ascii="Amiri" w:hAnsi="Amiri" w:eastAsia="Amiri" w:cs="Amiri"/>
          <w:color w:val="111111"/>
          <w:sz w:val="28"/>
          <w:sz w:val="28"/>
          <w:szCs w:val="28"/>
          <w:rtl w:val="true"/>
          <w:lang w:bidi="ar-SA"/>
        </w:rPr>
        <w:t xml:space="preserve">، والظاهر أنّه 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لم نعثر على هذا العنوان إلّا في هذه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حُمَيْد بن شعيب السبيعي الهمداني، كوفي،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عن جابر، وقال ابن الغضائري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يُعْرَفُ حديثُهُ تارةً، ويُنْكَرُ أُخْرى، وأكْثَرُهُ تَخْلِيْطٌ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وأكثر تخليطه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يَرْوِيْهِ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مُظْلِمٌ</w:t>
      </w:r>
      <w:r>
        <w:rPr>
          <w:rFonts w:eastAsia="Amiri" w:cs="Amiri" w:ascii="Amiri" w:hAnsi="Amiri"/>
          <w:color w:val="111111"/>
          <w:sz w:val="28"/>
          <w:szCs w:val="28"/>
          <w:rtl w:val="true"/>
          <w:lang w:bidi="ar-SA"/>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وردت روايته عن جابر في موضعين</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داود بن عبد الجبار أبو سليمان الكوفي، ذكره الشيخ في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،وذكره الخطيب البغداديّ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 بن عبد الجبار، أبو سليمان الكوفي المؤذن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ضعّفه ابن معين والبخاري والنسائي</w:t>
      </w:r>
      <w:r>
        <w:rPr>
          <w:rStyle w:val="FootnoteAnchor"/>
          <w:rtl w:val="true"/>
        </w:rPr>
        <w:footnoteReference w:id="9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روايته عن جابر في موضعين</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الربيع بن محمَّد بن عمر بن حسّان الأصم المُسلي الكوفي،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كتاب</w:t>
      </w:r>
      <w:r>
        <w:rPr>
          <w:rStyle w:val="FootnoteAnchor"/>
          <w:rtl w:val="true"/>
        </w:rPr>
        <w:footnoteReference w:id="946"/>
      </w:r>
      <w:r>
        <w:rPr>
          <w:rFonts w:ascii="Amiri" w:hAnsi="Amiri" w:eastAsia="Amiri" w:cs="Amiri"/>
          <w:color w:val="111111"/>
          <w:sz w:val="28"/>
          <w:sz w:val="28"/>
          <w:szCs w:val="28"/>
          <w:rtl w:val="true"/>
          <w:lang w:bidi="ar-SA"/>
        </w:rPr>
        <w:t>، والرجل مذكور في الفهارس وكتب الرجال ولكن لم نجد له مدحاً أو ذمّاً فيها، فهو 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روايته عن جابر في موضع واحد في بصائر الدرجات</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ثواب طالب 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ونجد في كتب الحديث اختلافاً في اللقب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مُسلية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السلمي</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زياد بن المنذر، قال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الجارود، الهمداني الخارفي الأعمى، كوفي، كان من أصحاب أبي جعفر، وروى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،وتغيّر لمّا خرج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أبو العباس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ثقفي</w:t>
      </w:r>
      <w:r>
        <w:rPr>
          <w:rFonts w:eastAsia="Amiri" w:cs="Amiri" w:ascii="Amiri" w:hAnsi="Amiri"/>
          <w:color w:val="111111"/>
          <w:sz w:val="28"/>
          <w:szCs w:val="28"/>
          <w:rtl w:val="true"/>
          <w:lang w:bidi="ar-SA"/>
        </w:rPr>
        <w:t>)</w:t>
      </w:r>
      <w:r>
        <w:rPr>
          <w:rStyle w:val="FootnoteAnchor"/>
          <w:rtl w:val="true"/>
        </w:rPr>
        <w:footnoteReference w:id="9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الغضائري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حديثُهُ في حديث أصحابِنا أكْثَرُ منهُ في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وأصحابُنا يكرهُون ما رواهُ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 عنهُ، ويَعْتَمِدُون ما رواهُ مُحَمَّدُ بنُ بَكْر الأرجنيّ</w:t>
      </w:r>
      <w:r>
        <w:rPr>
          <w:rFonts w:eastAsia="Amiri" w:cs="Amiri" w:ascii="Amiri" w:hAnsi="Amiri"/>
          <w:color w:val="111111"/>
          <w:sz w:val="28"/>
          <w:szCs w:val="28"/>
          <w:rtl w:val="true"/>
          <w:lang w:bidi="ar-SA"/>
        </w:rPr>
        <w:t>)</w:t>
      </w:r>
      <w:r>
        <w:rPr>
          <w:rStyle w:val="FootnoteAnchor"/>
          <w:rtl w:val="true"/>
        </w:rPr>
        <w:footnoteReference w:id="9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روايته عن جابر في مورد واحد</w:t>
      </w:r>
      <w:r>
        <w:rPr>
          <w:rStyle w:val="FootnoteAnchor"/>
          <w:rtl w:val="true"/>
        </w:rPr>
        <w:footnoteReference w:id="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المبحوث عنه وقع في طريقه محمَّد بن سنان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بن طريف الحنظلّي الإسكاف، مولى بني تميم الكوفيّ،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الخفاف، روى عن الأصبغ بن نباتة، وهو صحيح الحديث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يعرف وينكر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الأصبغ بن نباتة، وروى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قاضياً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ابن الغضائري أنّه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حمدويه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ناووسياً وَفَدَ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الرجل وقعت روايته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موارد كثيرة</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وردت روايته عن جابر الجعفي في مورد واحد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w:t>
      </w:r>
    </w:p>
    <w:p>
      <w:pPr>
        <w:pStyle w:val="BookText"/>
        <w:rPr/>
      </w:pPr>
      <w:r>
        <w:rPr>
          <w:rFonts w:ascii="Amiri" w:hAnsi="Amiri" w:eastAsia="Amiri" w:cs="Amiri"/>
          <w:color w:val="111111"/>
          <w:sz w:val="28"/>
          <w:sz w:val="28"/>
          <w:szCs w:val="28"/>
          <w:rtl w:val="true"/>
          <w:lang w:bidi="ar-SA"/>
        </w:rPr>
        <w:t>يَسْتَوِي الَّذِينَ يَعْلَمُونَ وَالَّذِينَ لَا يَعْلَمُونَ</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 معتبر إلى سعد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سلام بن سالم، روى له الحاكم ووثّقه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والطبراني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وابن عبد البر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وترجمه ابن حجر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سليم أو سلم أو سليمان، أبو سليمان، ويقال له الطويل المدائني، متروك من السابعة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ابن المديني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له أحاديث منكرة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وقال العقيلي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ابن سليمان المدائني في حديثه عن الثقات 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زيدان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سلام بن سليمان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زيد العمي، عن أبي الصدّيق الناجي،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 يا علي يوم القيامة عصا من عصا الجنة تذود بها الناس عن حوضي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أصل من حديث شعبة ولا من حديث ثقة</w:t>
      </w:r>
      <w:r>
        <w:rPr>
          <w:rFonts w:eastAsia="Amiri" w:cs="Amiri" w:ascii="Amiri" w:hAnsi="Amiri"/>
          <w:color w:val="111111"/>
          <w:sz w:val="28"/>
          <w:szCs w:val="28"/>
          <w:rtl w:val="true"/>
          <w:lang w:bidi="ar-SA"/>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تضعيف الرجل منشؤه نقله روايات فضائل أمير المؤمنين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لم يُذكر في مصادرنا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وردت روايته عن جابر في خمسة مواضع</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الأحاديث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وواحد في بشارة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لشيعة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والأسانيد غير معتبرة إلى 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 بن أبي الأسود الحنّاط الليثي، مولاهم كوفي، ذكر في بعض الفهارس والرجال بأنّه 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،أُسند عنه، له كتاب، وقد ذكره العامّة وضعّفوه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ووردت روايته عن جابر في موضع واحد في دلائل الإمامة</w:t>
      </w:r>
      <w:r>
        <w:rPr>
          <w:rStyle w:val="FootnoteAnchor"/>
          <w:rtl w:val="true"/>
        </w:rPr>
        <w:footnoteReference w:id="956"/>
      </w:r>
      <w:r>
        <w:rPr>
          <w:rFonts w:ascii="IRNazanin" w:hAnsi="IRNazanin" w:eastAsia="IRNazanin"/>
          <w:color w:val="111111"/>
          <w:sz w:val="28"/>
          <w:sz w:val="28"/>
          <w:szCs w:val="28"/>
          <w:rtl w:val="true"/>
          <w:lang w:bidi="fa-IR"/>
        </w:rPr>
        <w:t xml:space="preserve">في ذكر معاجز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والسند غير معتبر إلى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الوابشي الكوفي، ذكر الشيخ أنّه روى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روايته عن جابر في موارد كثيرة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كلّ هذه الموارد الطريق معتبر إلى محمَّد بن الفضيل الراوي عن ضريس</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والرجل لم نجد له مدحاً أو ذمّاً في كتب الرجال، فهو مهمل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القهّار، وقد وردت روايته عن جابر في مورد واحد في الكافي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الرجل ليست له إلّا هذه الرواية اليتيمة في كتب الفريقين، ومن ثمَّ لم يذكر في كتب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يحتمل أن يكون هناك تصحيف في هذا الاسم وأن يكون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الغفار بن حبيب الطائي الجازي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وثّقه النجاشي</w:t>
      </w:r>
      <w:r>
        <w:rPr>
          <w:rStyle w:val="FootnoteAnchor"/>
          <w:rtl w:val="true"/>
        </w:rPr>
        <w:footnoteReference w:id="9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الاحتمال بعيد</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الجائز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الغفّار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اصطناعاً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تعهد روايته عن عبد الغفّار في أسانيد غيره، إذ إنّ الوضّاع والضعفاء لم تكن طريقتهم في وضعهم للأسانيد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الأسانيد المعهودة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الحكم الأرمني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ابن الغضائري والنجاشي</w:t>
      </w:r>
      <w:r>
        <w:rPr>
          <w:rStyle w:val="FootnoteAnchor"/>
          <w:rtl w:val="true"/>
        </w:rPr>
        <w:footnoteReference w:id="9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روايته عن جابر في موضع من الكافي</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الحارث الهمداني، وردت روايته عن جابر في موضعين</w:t>
      </w:r>
      <w:r>
        <w:rPr>
          <w:rStyle w:val="FootnoteAnchor"/>
          <w:rtl w:val="true"/>
        </w:rPr>
        <w:footnoteReference w:id="9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مهمل لم يذكر في كتب الرجال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يحتمل أن يكون الرجل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ورد فيه الذمّ الشديد وهو من رؤوس الغلاة الذين نسبوا إلى جابر الأفكار الغالية</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قد يستبعد هذا الاحتمال من جهة أنّ المضامين التي رواها الهمداني بعيدة عن متبنّيات الغلاة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يَدفع هذا الاستبعاد أنّ من الجائز خلو بعض روايات الغالي عن الغلو،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نفى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عن أن يكون المعدود من جملة السبعة المذكورين في الرواية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الحارث الشامي</w:t>
      </w:r>
      <w:r>
        <w:rPr>
          <w:rFonts w:eastAsia="Amiri" w:cs="Amiri" w:ascii="Amiri" w:hAnsi="Amiri"/>
          <w:color w:val="111111"/>
          <w:sz w:val="28"/>
          <w:szCs w:val="28"/>
          <w:rtl w:val="true"/>
          <w:lang w:bidi="ar-SA"/>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الملك بن أبي الحارث، وقد وردت روايته عن جابر في مورد واحد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الرجل مهمل لم يذكر في كتب الرجال</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شائبة إرسال بين إسماعيل بن مهران وعبد الملك بن أبي الحارث؛ وذلك لأنّ إسماعيل من الطبقة السابعة والمفروض أنّ عبد الملك من كبار الخامسة، وقد روى إسماعيل بن مهران، عن أيمن بن محرز، عن عمرو بن شمر، عن جابر</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عثمان بن زيد، ذكره الشيخ في الرجال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 زيد بن عدي، أبو عدي الجهني، أُسند عنه، كوفي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والرجل لم نجد له مدحاً أو ذمّاً في كتب الرجال، فهو 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وردت روايته عن جابر في مواضع عشرة</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عروة بن موسى الجعفي، وقد روى عن جابر حديثاً واحداً أورده في البصائر مرّتين، في الثانية منهما الطريق معتبر إلى عروة</w:t>
      </w:r>
      <w:r>
        <w:rPr>
          <w:rStyle w:val="FootnoteAnchor"/>
          <w:rtl w:val="true"/>
        </w:rPr>
        <w:footnoteReference w:id="9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الرجل مهمل لم يذكر في كتب الرجال، وهو ممّن يروي الخوارق</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أبي المقدام، واسم أبي المقدام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ثابت بن هرمز الحدّاد مولى بني عجل، روى عن علي بن الحسين وأبي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كتاب لطيف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 ابن الغضائري أنّه ضَعِيْفٌ جِدّاً</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وروى عن جابر بعنوان عمرو بن ثابت في ثلاثة موارد</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بعنوان عمرو بن أبي المقدام في موارد عديدة</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شمر، قال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عبد الله الجعفي عربي، 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 جداً، زِيْدَ أحاديث في كتب جابر الجعفي ينسب بعضها إليه، والأمر ملبس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وأيضاً ضعّفه ابن الغضائري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الراوي المكثر جدّاً عن جابر وراوي كتبه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عنبسة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مصعب، والعنوان الوارد في الرواية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ذكر له إلّا في رواية واحدة في كامل الزيارات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 معتبر إلى إبراهيم بن موسى الأنصاري الراوي عن عنبسة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ورد في الهداية الكبرى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 عن ابن مصعب عن جابر بن يزيد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عنبسة فلمّا قبض أبو جعفر 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بذلك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جابر</w:t>
      </w:r>
      <w:r>
        <w:rPr>
          <w:rFonts w:eastAsia="IRNazanin" w:cs="IRNazanin"/>
          <w:color w:val="111111"/>
          <w:sz w:val="28"/>
          <w:szCs w:val="28"/>
          <w:rtl w:val="true"/>
          <w:lang w:bidi="fa-IR"/>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وعلى هذا تكون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ساقطة، ونقل الكشي عن حمدويه بأنّ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عنبسة بن مصعب ناووسي، وقف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ذكر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الفصول المختارة في بيان افتراق الشيعة بعد وفاة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الناووسية تعلّقت بحديث رواه عنبسة بن مصعب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وذكره الشيخ تارة في أصحاب الإمام الباقر، وأخرى في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مضيفاً في الأخير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العجلي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ووصفه البرقي بالشيباني، ونسب إلى القيل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عجلي كوفي</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هذا، ويمكن توثيقه على مسلك وثاقة مشايخ صفوان وابن أبي عمير حيث وردت رواية صفوان عنه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واختيار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ووردت رواية محمَّد بن أبي عمير عنه في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4463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لا وثوق بهذا؛ لعدم مساعدة طبقتهما على ذلك؛ من جهة أنّ مصعب بن عنبسة من الطبقة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ما ذكره الشيخ من أنّه من أصحاب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وقد وردت رواية صفوان عن عنبسة ابن مصعب بواسطة منصور بن حازم كما في التهذيب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وبواسطة عبد الله بن مسكان أيضاً فيه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وإسحاق بن عمار كذلك فيه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وجود احتمال تقديم وتأخير في سند الكافي بأن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يحيى عن سماعة عن مصعب بن عنبسة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ووردت رواية ابن أبي عمير عنه بواسطة جميل كما في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 وبواسطة أبي المغرا في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من سأل الناس وعنده قوت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خال أبي المغرا حميد بن المثنى العجلي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الفضل أبو مُحَمَّد بن أبي قرة التميمي السهندي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الفقيه والأمالي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انتقل إلى أرمينية، أصْلُهُ كُوْفيٌّ، قال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بذاك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الغضائري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وردت روايته عن جابر في موضع واحد</w:t>
      </w:r>
      <w:r>
        <w:rPr>
          <w:rStyle w:val="FootnoteAnchor"/>
          <w:rtl w:val="true"/>
        </w:rPr>
        <w:footnoteReference w:id="9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روايات متعدّدة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كتب الحديث</w:t>
      </w:r>
      <w:r>
        <w:rPr>
          <w:rStyle w:val="FootnoteAnchor"/>
          <w:rtl w:val="true"/>
        </w:rPr>
        <w:footnoteReference w:id="9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هاجر إلى تفليس</w:t>
      </w:r>
      <w:r>
        <w:rPr>
          <w:rStyle w:val="FootnoteAnchor"/>
          <w:rtl w:val="true"/>
        </w:rPr>
        <w:footnoteReference w:id="976"/>
      </w:r>
      <w:r>
        <w:rPr>
          <w:rFonts w:ascii="Amiri" w:hAnsi="Amiri" w:eastAsia="Amiri" w:cs="Amiri"/>
          <w:color w:val="111111"/>
          <w:sz w:val="28"/>
          <w:sz w:val="28"/>
          <w:szCs w:val="28"/>
          <w:rtl w:val="true"/>
          <w:lang w:bidi="ar-SA"/>
        </w:rPr>
        <w:t xml:space="preserve">وحدّث بها، والراوي الوحيد عنه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 بن سابق التفليسي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إسماعيل بن أبي زينب، وقد وردت روايته عن جابر في خمسة مواضع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العنوان مهمل لم يذكر في كتب الرجال</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وردت لهذا الرجل في طب الأئمّة سبع روايات، في ست منها وقع في </w:t>
      </w:r>
    </w:p>
    <w:p>
      <w:pPr>
        <w:pStyle w:val="BookText"/>
        <w:rPr/>
      </w:pPr>
      <w:r>
        <w:rPr>
          <w:rFonts w:ascii="IRNazanin" w:hAnsi="IRNazanin" w:eastAsia="IRNazanin"/>
          <w:color w:val="111111"/>
          <w:sz w:val="28"/>
          <w:sz w:val="28"/>
          <w:szCs w:val="28"/>
          <w:rtl w:val="true"/>
          <w:lang w:bidi="fa-IR"/>
        </w:rPr>
        <w:t xml:space="preserve">إسنادها محمَّد بن سنان، ثلاث رواها عن المفضل بن عمر مباشرة، وثلاث بتوسط يونس بن ظبيان، وعليه فيحتمل أن يكون هذا الرجل هو أبا الخطاب الملعون على لسان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ابن إسماعيل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ذكر الكشي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روي في محمَّد بن أبي زينب اسمه مقلاص بن الخطاب البراد الأجدع الأسدي، ويكنّى أبا إسماعيل، ويكنّى أيضاً أبا الخطاب، وأبا الظبيات</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لكن 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بعد لعنه من 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تروى رواياته وتسطّر في كتب الحديث؟</w:t>
      </w:r>
    </w:p>
    <w:p>
      <w:pPr>
        <w:pStyle w:val="BookText"/>
        <w:rPr/>
      </w:pPr>
      <w:r>
        <w:rPr>
          <w:rFonts w:ascii="Amiri" w:hAnsi="Amiri" w:eastAsia="Amiri" w:cs="Amiri"/>
          <w:color w:val="111111"/>
          <w:sz w:val="28"/>
          <w:sz w:val="28"/>
          <w:szCs w:val="28"/>
          <w:rtl w:val="true"/>
          <w:lang w:bidi="ar-SA"/>
        </w:rPr>
        <w:t xml:space="preserve">وأجاب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كان له حالان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استقامة، وحال انحراف، يؤخذ بما رواه الراوي في حال استقامته، ومن ثَمَّ عملت الطائفة بما رواه أبو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استقامته وتركوا ما رواه في حال تخليطه، وكذلك القول في أحمد بن هلال العبرتائي، وطاهر بن حاتم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في أصول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نرى أنّ الأصحاب قد يقيّدون بحال الاستقامة عند ذكر الراوي المنحرف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كمال الدين وتمام النعمة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ابن الغضائري لم يرتضِ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يزيد في قوّة هذا الاحتمال أنّه قد وردت رواية أبي الظبيان عن جابر بن يزيد الجعفي أيضاً في طب الأئمّة، والراوي عنه المفضل بن عمر الجعفي</w:t>
      </w:r>
      <w:r>
        <w:rPr>
          <w:rStyle w:val="FootnoteAnchor"/>
          <w:rtl w:val="true"/>
        </w:rPr>
        <w:footnoteReference w:id="979"/>
      </w:r>
      <w:r>
        <w:rPr>
          <w:rFonts w:ascii="Amiri" w:hAnsi="Amiri" w:eastAsia="Amiri" w:cs="Amiri"/>
          <w:color w:val="111111"/>
          <w:sz w:val="28"/>
          <w:sz w:val="28"/>
          <w:szCs w:val="28"/>
          <w:rtl w:val="true"/>
          <w:lang w:bidi="ar-SA"/>
        </w:rPr>
        <w:t xml:space="preserve">، وتقدّم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هامش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أبا الظبيان كنية لأبي الخطاب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ويضاف إلى ذلك أنّه قد وردت أيضاً في الكتاب المشار إليه روايتان لمحمَّد بن أبي زينب إحداهما رواها عنه المفضّل بن عمر، والأخرى يونس بن ظبيان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أبي زينب هو أبو الخطاب</w:t>
      </w:r>
      <w:r>
        <w:rPr>
          <w:rStyle w:val="FootnoteAnchor"/>
          <w:rtl w:val="true"/>
        </w:rPr>
        <w:footnoteReference w:id="980"/>
      </w:r>
      <w:r>
        <w:rPr>
          <w:rFonts w:ascii="Amiri" w:hAnsi="Amiri" w:eastAsia="Amiri" w:cs="Amiri"/>
          <w:color w:val="111111"/>
          <w:sz w:val="28"/>
          <w:sz w:val="28"/>
          <w:szCs w:val="28"/>
          <w:rtl w:val="true"/>
          <w:lang w:bidi="ar-SA"/>
        </w:rPr>
        <w:t xml:space="preserve">، ففي كلّ هذه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 الطريق، وهو لا 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الاطمئنان بأنّ الرجل واحد وهو ما احتملناه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وبسبر الكتاب المشار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المؤلِّفَين حيث لا توثيق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يصعب العثور على سند تامّ فيه؛ فإنّ أسانيده مشحونة بالضعفاء والمهملين والمتّهمين بالغلو، فضلاً عن الإرسال بين الرواة نتيجة السقط أو التدليس، يضاف إلى ذلك التصحيف والقلب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سنان العبدي، هذا الرجل مهمل لم يذكر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روايته عن جابر في مورد واحد</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فرات خال أبي عمّار الصيرفي، وقد وردت روايته عن جابر في مورد واحد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ترجمه العامّة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الفرات التميمي،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الجرمي، أبو علي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بغداد وحدّث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الحسين بن علي بن أبي طالب، وأبيه الفرات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والحكم بن عتيبة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إسحاق السبيعي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الرحمن العرزمي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عمر بن الوليد بن لاحق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w:t>
      </w:r>
    </w:p>
    <w:p>
      <w:pPr>
        <w:pStyle w:val="BookText"/>
        <w:rPr/>
      </w:pPr>
      <w:r>
        <w:rPr>
          <w:rFonts w:ascii="Amiri" w:hAnsi="Amiri" w:eastAsia="Amiri" w:cs="Amiri"/>
          <w:color w:val="111111"/>
          <w:sz w:val="28"/>
          <w:sz w:val="28"/>
          <w:szCs w:val="28"/>
          <w:rtl w:val="true"/>
          <w:lang w:bidi="ar-SA"/>
        </w:rPr>
        <w:t>المزي تضعيفاتهم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حجر أنّهم كذّبوه، وهو من الثامنة</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وقد وردت روايات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بلعن محمَّد بن الفرات رواها الكشي</w:t>
      </w:r>
      <w:r>
        <w:rPr>
          <w:rStyle w:val="FootnoteAnchor"/>
          <w:rtl w:val="true"/>
        </w:rPr>
        <w:footnoteReference w:id="983"/>
      </w:r>
      <w:r>
        <w:rPr>
          <w:rFonts w:ascii="Amiri" w:hAnsi="Amiri" w:eastAsia="Amiri" w:cs="Amiri"/>
          <w:color w:val="111111"/>
          <w:sz w:val="28"/>
          <w:sz w:val="28"/>
          <w:szCs w:val="28"/>
          <w:rtl w:val="true"/>
          <w:lang w:bidi="ar-SA"/>
        </w:rPr>
        <w:t xml:space="preserve">، وقد بنى جماعة من الأعاظم على تعدّد الرجل كالسيّد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المعجم</w:t>
      </w:r>
      <w:r>
        <w:rPr>
          <w:rStyle w:val="FootnoteAnchor"/>
          <w:rtl w:val="true"/>
        </w:rPr>
        <w:footnoteReference w:id="984"/>
      </w:r>
      <w:r>
        <w:rPr>
          <w:rFonts w:ascii="Amiri" w:hAnsi="Amiri" w:eastAsia="Amiri" w:cs="Amiri"/>
          <w:color w:val="111111"/>
          <w:sz w:val="28"/>
          <w:sz w:val="28"/>
          <w:szCs w:val="28"/>
          <w:rtl w:val="true"/>
          <w:lang w:bidi="ar-SA"/>
        </w:rPr>
        <w:t xml:space="preserve">والمحقّق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قاموس الرجال</w:t>
      </w:r>
      <w:r>
        <w:rPr>
          <w:rStyle w:val="FootnoteAnchor"/>
          <w:rtl w:val="true"/>
        </w:rPr>
        <w:footnoteReference w:id="985"/>
      </w:r>
      <w:r>
        <w:rPr>
          <w:rFonts w:ascii="Amiri" w:hAnsi="Amiri" w:eastAsia="Amiri" w:cs="Amiri"/>
          <w:color w:val="111111"/>
          <w:sz w:val="28"/>
          <w:sz w:val="28"/>
          <w:szCs w:val="28"/>
          <w:rtl w:val="true"/>
          <w:lang w:bidi="ar-SA"/>
        </w:rPr>
        <w:t>،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البعيد أنّ من أدرك الأصبغ</w:t>
      </w:r>
      <w:r>
        <w:rPr>
          <w:rStyle w:val="FootnoteAnchor"/>
          <w:rtl w:val="true"/>
        </w:rPr>
        <w:footnoteReference w:id="986"/>
      </w:r>
      <w:r>
        <w:rPr>
          <w:rFonts w:ascii="IRNazanin" w:hAnsi="IRNazanin" w:eastAsia="IRNazanin"/>
          <w:color w:val="111111"/>
          <w:sz w:val="28"/>
          <w:sz w:val="28"/>
          <w:szCs w:val="28"/>
          <w:rtl w:val="true"/>
          <w:lang w:bidi="fa-IR"/>
        </w:rPr>
        <w:t xml:space="preserve">يبقى إلى زمان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قد يخطر في البال اتّحاده فإنّه عمّر مائة وعشرين سنة</w:t>
      </w:r>
      <w:r>
        <w:rPr>
          <w:rStyle w:val="FootnoteAnchor"/>
          <w:rtl w:val="true"/>
        </w:rPr>
        <w:footnoteReference w:id="987"/>
      </w:r>
      <w:r>
        <w:rPr>
          <w:rFonts w:ascii="Amiri" w:hAnsi="Amiri" w:eastAsia="Amiri" w:cs="Amiri"/>
          <w:color w:val="111111"/>
          <w:sz w:val="28"/>
          <w:sz w:val="28"/>
          <w:szCs w:val="28"/>
          <w:rtl w:val="true"/>
          <w:lang w:bidi="ar-SA"/>
        </w:rPr>
        <w:t>، وهذا العمر الطويل يمكنه عادة من إدراك الأصبغ والرواية عنه، ورؤية عباية</w:t>
      </w:r>
      <w:r>
        <w:rPr>
          <w:rStyle w:val="FootnoteAnchor"/>
          <w:rtl w:val="true"/>
        </w:rPr>
        <w:footnoteReference w:id="988"/>
      </w:r>
      <w:r>
        <w:rPr>
          <w:rFonts w:ascii="IRNazanin" w:hAnsi="IRNazanin" w:eastAsia="IRNazanin"/>
          <w:color w:val="111111"/>
          <w:sz w:val="28"/>
          <w:sz w:val="28"/>
          <w:szCs w:val="28"/>
          <w:rtl w:val="true"/>
          <w:lang w:bidi="fa-IR"/>
        </w:rPr>
        <w:t xml:space="preserve">وهو صبي والبقاء إلى زمان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المضامين التي رواها محمَّد بن الفرات عن هؤلاء مضامين تكاد تكون </w:t>
      </w:r>
    </w:p>
    <w:p>
      <w:pPr>
        <w:pStyle w:val="BookText"/>
        <w:rPr/>
      </w:pPr>
      <w:r>
        <w:rPr>
          <w:rFonts w:ascii="Amiri" w:hAnsi="Amiri" w:eastAsia="Amiri" w:cs="Amiri"/>
          <w:color w:val="111111"/>
          <w:sz w:val="28"/>
          <w:sz w:val="28"/>
          <w:szCs w:val="28"/>
          <w:rtl w:val="true"/>
          <w:lang w:bidi="ar-SA"/>
        </w:rPr>
        <w:t>متواترة عند الشيعة</w:t>
      </w:r>
      <w:r>
        <w:rPr>
          <w:rStyle w:val="FootnoteAnchor"/>
          <w:rtl w:val="true"/>
        </w:rPr>
        <w:footnoteReference w:id="989"/>
      </w:r>
      <w:r>
        <w:rPr>
          <w:rFonts w:ascii="IRNazanin" w:hAnsi="IRNazanin" w:eastAsia="IRNazanin"/>
          <w:color w:val="111111"/>
          <w:sz w:val="28"/>
          <w:sz w:val="28"/>
          <w:szCs w:val="28"/>
          <w:rtl w:val="true"/>
          <w:lang w:bidi="fa-IR"/>
        </w:rPr>
        <w:t xml:space="preserve">، فمن يروي هكذا كيف يقول في حقّه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يونس أما ترى إلى محمَّد بن الفرات وما يكذب عليّ؟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أبعده الله وأسحقه وأشقاه،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 الله ذلك به، أذاقه الله حرّ الحديد كما أذاق مَن كان قبله ممّن كذب علينا، يا يونس، إنّما قلت ذلك لتحذّر عنه أصحابي وتأمرهم بلعنه والبراءة منه؛ فإنّ الله برئ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وأيضاً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آذاني محمَّد بن الفرات آذاه الله وأذاقه حرّ الحديد، آذاني لعنه الله ما آذى أبو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بمثله، وما كذب علينا خطّابيّ مثل ما كذب محمَّد بن الفرات</w:t>
      </w:r>
      <w:r>
        <w:rPr>
          <w:rFonts w:eastAsia="IRNazanin" w:cs="IRNazanin"/>
          <w:color w:val="111111"/>
          <w:sz w:val="28"/>
          <w:szCs w:val="28"/>
          <w:rtl w:val="true"/>
          <w:lang w:bidi="fa-IR"/>
        </w:rPr>
        <w:t>)</w:t>
      </w:r>
      <w:r>
        <w:rPr>
          <w:rStyle w:val="FootnoteAnchor"/>
          <w:rtl w:val="true"/>
        </w:rPr>
        <w:footnoteReference w:id="99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استبعاد في ذلك فقد تكون الروايات التي رواها آنفاً إنّما كانت في حال استقامته، ولكنّه في آخر عمره تغيّر كما حدث لبعض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ويساعد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حجر عدّه من الثامنة وهذه الطبقة عادة تبقى إلى حدود المائتين، وزمان تولّي ابن شكلة</w:t>
      </w:r>
      <w:r>
        <w:rPr>
          <w:rStyle w:val="FootnoteAnchor"/>
          <w:rtl w:val="true"/>
        </w:rPr>
        <w:footnoteReference w:id="991"/>
      </w:r>
      <w:r>
        <w:rPr>
          <w:rFonts w:ascii="Amiri" w:hAnsi="Amiri" w:eastAsia="Amiri" w:cs="Amiri"/>
          <w:color w:val="111111"/>
          <w:sz w:val="28"/>
          <w:sz w:val="28"/>
          <w:szCs w:val="28"/>
          <w:rtl w:val="true"/>
          <w:lang w:bidi="ar-SA"/>
        </w:rPr>
        <w:t xml:space="preserve">للخلافة كان في الخامس من محرم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ومدّة خلافته أربعة عشر يوماً فقط</w:t>
      </w:r>
      <w:r>
        <w:rPr>
          <w:rStyle w:val="FootnoteAnchor"/>
          <w:rtl w:val="true"/>
        </w:rPr>
        <w:footnoteReference w:id="992"/>
      </w:r>
      <w:r>
        <w:rPr>
          <w:rFonts w:ascii="Amiri" w:hAnsi="Amiri" w:eastAsia="Amiri" w:cs="Amiri"/>
          <w:color w:val="111111"/>
          <w:sz w:val="28"/>
          <w:sz w:val="28"/>
          <w:szCs w:val="28"/>
          <w:rtl w:val="true"/>
          <w:lang w:bidi="ar-SA"/>
        </w:rPr>
        <w:t>، فهو في هذه الفترة أخذ محمَّد بن الفرات وقتله شرّ قتلة كما نقل ذلك الكشي</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 xml:space="preserve">نصر بن صباح في رجال الكشي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بغدادياً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المزي في تهذيب الكمال أنّه روى عن أبيه فرات التميمي، وذكر ابن الغضائري محمَّد بن الفرات وأنّه يروي عن أبيه وضعّفهما جميعاً</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المزي ذكر أنّه التميمي،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الجرمي، والنجاشي ذكر أنّه جعفي، مع اتفاق الجميع على أنّه كوفي</w:t>
      </w:r>
      <w:r>
        <w:rPr>
          <w:rStyle w:val="FootnoteAnchor"/>
          <w:rtl w:val="true"/>
        </w:rPr>
        <w:footnoteReference w:id="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بالانتساب سهل، إذ قد يتغيّر بالولاء، أو السكن أو يكون هناك 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بنى بعضٌ على تعدّد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وبنى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9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واحد ولكن روايته عن الأصبغ 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قد خطر في البال ربّما يظهر من الفاضل 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997"/>
      </w:r>
      <w:r>
        <w:rPr>
          <w:rFonts w:ascii="Amiri" w:hAnsi="Amiri" w:eastAsia="Amiri" w:cs="Amiri"/>
          <w:color w:val="111111"/>
          <w:sz w:val="28"/>
          <w:sz w:val="28"/>
          <w:szCs w:val="28"/>
          <w:rtl w:val="true"/>
          <w:lang w:bidi="ar-SA"/>
        </w:rPr>
        <w:t>، والله العالم بحقيقة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مرّة بن قبيصة بن عبد الحميد، هذا الرجل مهمل لم يذكر في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إسناد روايةٍ إسنادها مظلم، واضحة الوضع</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مسعود بن سعد، أبو سعد الجعفي، الكوفي، وثّقه العامة</w:t>
      </w:r>
      <w:r>
        <w:rPr>
          <w:rStyle w:val="FootnoteAnchor"/>
          <w:rtl w:val="true"/>
        </w:rPr>
        <w:footnoteReference w:id="999"/>
      </w:r>
      <w:r>
        <w:rPr>
          <w:rFonts w:ascii="IRNazanin" w:hAnsi="IRNazanin" w:eastAsia="IRNazanin"/>
          <w:color w:val="111111"/>
          <w:sz w:val="28"/>
          <w:sz w:val="28"/>
          <w:szCs w:val="28"/>
          <w:rtl w:val="true"/>
          <w:lang w:bidi="fa-IR"/>
        </w:rPr>
        <w:t xml:space="preserve">، وأمّا عندنا فقد </w:t>
      </w:r>
    </w:p>
    <w:p>
      <w:pPr>
        <w:pStyle w:val="BookText"/>
        <w:rPr/>
      </w:pPr>
      <w:r>
        <w:rPr>
          <w:rFonts w:ascii="IRNazanin" w:hAnsi="IRNazanin" w:eastAsia="IRNazanin"/>
          <w:color w:val="111111"/>
          <w:sz w:val="28"/>
          <w:sz w:val="28"/>
          <w:szCs w:val="28"/>
          <w:rtl w:val="true"/>
          <w:lang w:bidi="fa-IR"/>
        </w:rPr>
        <w:t xml:space="preserve">ذكره الشيخ في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في أماليه بإسناده،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غسان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في جعفي أفضل من مسعود بن سعد</w:t>
      </w:r>
      <w:r>
        <w:rPr>
          <w:rFonts w:eastAsia="Amiri" w:cs="Amiri" w:ascii="Amiri" w:hAnsi="Amiri"/>
          <w:color w:val="111111"/>
          <w:sz w:val="28"/>
          <w:szCs w:val="28"/>
          <w:rtl w:val="true"/>
          <w:lang w:bidi="ar-SA"/>
        </w:rPr>
        <w:t>)</w:t>
      </w:r>
      <w:r>
        <w:rPr>
          <w:rStyle w:val="FootnoteAnchor"/>
          <w:rtl w:val="true"/>
        </w:rPr>
        <w:footnoteReference w:id="10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الصدوق في الخصال</w:t>
      </w:r>
      <w:r>
        <w:rPr>
          <w:rStyle w:val="FootnoteAnchor"/>
          <w:rtl w:val="true"/>
        </w:rPr>
        <w:footnoteReference w:id="1002"/>
      </w:r>
      <w:r>
        <w:rPr>
          <w:rFonts w:ascii="Amiri" w:hAnsi="Amiri" w:eastAsia="Amiri" w:cs="Amiri"/>
          <w:color w:val="111111"/>
          <w:sz w:val="28"/>
          <w:sz w:val="28"/>
          <w:szCs w:val="28"/>
          <w:rtl w:val="true"/>
          <w:lang w:bidi="ar-SA"/>
        </w:rPr>
        <w:t>بإسناده إلى أبي غسان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مسعود بن سعد الجعفي، وكان من خيار من أدركنا</w:t>
      </w:r>
      <w:r>
        <w:rPr>
          <w:rFonts w:eastAsia="Amiri" w:cs="Amiri" w:ascii="Amiri" w:hAnsi="Amiri"/>
          <w:color w:val="111111"/>
          <w:sz w:val="28"/>
          <w:szCs w:val="28"/>
          <w:rtl w:val="true"/>
          <w:lang w:bidi="ar-SA"/>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البناء على وثاقته بناءً على اتّفاق كلمة العامّة على توثيقه وما ورد من مدحه في هاتين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روايته عن جابر في موضعين</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روايته عن جابر في مورد واحد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ويحتمل أن يكون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سلام التميمي الكوفي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ذكر الشيخ أنّ له كتاباً، وذكره في الرجال في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الرجل وثّقه العامّة بالرغم من وصفهم له بأنّه شيعي، وأيضاً ذكروا أنّه روى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وعليه فيمكن البناء على وثاقته، وإلّا فهو مهمل لم يذكر في كتب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بن راشد الأزدي، مولاهم أبو عروة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ﻫأو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العامّة، وأثنوا عليه كثيراً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يمكن البناء على وثاقته، وذكره الشيخ في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وردت روايته عن جابر في موضعين</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المفضّل بن سالم، وقد وردت روايته عن جابر في موضع واحد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هو من عنونه الخطيب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المفضّل بن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المجهولين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سليمان الأعمش حديث 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القيامة راكب غيرنا ونحن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بروايته أهل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أكتبه إلّا بهذا الإسناد، ورجاله فيهم غير واحد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 معروفون بغير الثقة</w:t>
      </w:r>
      <w:r>
        <w:rPr>
          <w:rFonts w:eastAsia="Amiri" w:cs="Amiri" w:ascii="Amiri" w:hAnsi="Amiri"/>
          <w:color w:val="111111"/>
          <w:sz w:val="28"/>
          <w:szCs w:val="28"/>
          <w:rtl w:val="true"/>
          <w:lang w:bidi="ar-SA"/>
        </w:rPr>
        <w:t>)</w:t>
      </w:r>
      <w:r>
        <w:rPr>
          <w:rStyle w:val="FootnoteAnchor"/>
          <w:rtl w:val="true"/>
        </w:rPr>
        <w:footnoteReference w:id="1006"/>
      </w:r>
      <w:r>
        <w:rPr>
          <w:rFonts w:ascii="Amiri" w:hAnsi="Amiri" w:eastAsia="Amiri" w:cs="Amiri"/>
          <w:color w:val="111111"/>
          <w:sz w:val="28"/>
          <w:sz w:val="28"/>
          <w:szCs w:val="28"/>
          <w:rtl w:val="true"/>
          <w:lang w:bidi="ar-SA"/>
        </w:rPr>
        <w:t>، بدلالة ما في تاريخ مدينة دمشق واليقين</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والرجل مهمل عندنا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المفضّل بن صالح أبو جميلة، قال ابن الغضائري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الأسَديُّ، مولاهُم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كذّابٌ، يَضَعُ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روايات كثيرة عن جابر</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المفضّل بن عمر، 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عبد الله، وقيل أبو محمَّد، الجعفي،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الرجل اختلفت أقوال العلماء فيه بين مضعّف وموثقّ، فقد ضعّفه كلٌّ من النجاشي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فاسد المذهب، مضطرب الرواية، لا يعبأ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إنّه كان خطّابيّاً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الغضائري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مُتَهافِتٌ، مُرْتَفِع القول، خَطّابِيّ، وقد زِيْدَ عليهِ شَيءٌ كَثِيرٌ، وحَمَلَ الغُلاةُ في حديثِهِ حَمْلاً عَظيْماً ولا يَجُوزُ أنْ يُكْتَبَ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والكشي بعد إيراد الروايات المادحة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الكشي رواية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بلعنه والبراءة منه</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وقد ترضّى عليه الشيخ المفيد في المقنعة</w:t>
      </w:r>
      <w:r>
        <w:rPr>
          <w:rStyle w:val="FootnoteAnchor"/>
          <w:rtl w:val="true"/>
        </w:rPr>
        <w:footnoteReference w:id="10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والترضّي عند القدماء آية الجلالة، وصرّح في الإرشاد بوثاقته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فممّن روى صريح النصّ بالإمامة من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ابنه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شيوخ أصحاب أبي عبد الله وخاصّته، وبطانته، وثقاته الفقهاء الصالحين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المفضّل بن عمر الجعفي</w:t>
      </w:r>
      <w:r>
        <w:rPr>
          <w:rFonts w:eastAsia="IRNazanin" w:cs="IRNazanin"/>
          <w:color w:val="111111"/>
          <w:sz w:val="28"/>
          <w:szCs w:val="28"/>
          <w:rtl w:val="true"/>
          <w:lang w:bidi="fa-IR"/>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وثّقه الشيخ الطوسي في غيبته</w:t>
      </w:r>
      <w:r>
        <w:rPr>
          <w:rStyle w:val="FootnoteAnchor"/>
          <w:rtl w:val="true"/>
        </w:rPr>
        <w:footnoteReference w:id="1012"/>
      </w:r>
      <w:r>
        <w:rPr>
          <w:rFonts w:ascii="IRNazanin" w:hAnsi="IRNazanin" w:eastAsia="IRNazanin"/>
          <w:color w:val="111111"/>
          <w:sz w:val="28"/>
          <w:sz w:val="28"/>
          <w:szCs w:val="28"/>
          <w:rtl w:val="true"/>
          <w:lang w:bidi="fa-IR"/>
        </w:rPr>
        <w:t xml:space="preserve">في ذكر الممدوحين من وكلاء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إلى ورود بعض الروايات في مدحه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والمختار عدم وثاقته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وقد وردت روايته عن جابر مباشرةً في موارد عديدة تبلغ اثني عشر مورداً</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المنخل بن جميل بيّاع الجواري، قال علي بن الحسن بن فضّال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لا شيء، متّهم بالغلوّ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كُوْفيٌّ، ضَعِيْفٌ، في مذهبِهِ غُلُوّ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وردت روايته عن جابر في خمسة عشر مورداً</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نصير بن زياد الطائي الكوفي، قال الدارقطني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عند</w:t>
      </w:r>
    </w:p>
    <w:p>
      <w:pPr>
        <w:pStyle w:val="BookText"/>
        <w:rPr/>
      </w:pPr>
      <w:r>
        <w:rPr>
          <w:rFonts w:ascii="Amiri" w:hAnsi="Amiri" w:eastAsia="Amiri" w:cs="Amiri"/>
          <w:color w:val="111111"/>
          <w:sz w:val="28"/>
          <w:sz w:val="28"/>
          <w:szCs w:val="28"/>
          <w:rtl w:val="true"/>
          <w:lang w:bidi="ar-SA"/>
        </w:rPr>
        <w:t>العامّة</w:t>
      </w:r>
      <w:r>
        <w:rPr>
          <w:rStyle w:val="FootnoteAnchor"/>
          <w:rtl w:val="true"/>
        </w:rPr>
        <w:footnoteReference w:id="1015"/>
      </w:r>
      <w:r>
        <w:rPr>
          <w:rFonts w:ascii="Amiri" w:hAnsi="Amiri" w:eastAsia="Amiri" w:cs="Amiri"/>
          <w:color w:val="111111"/>
          <w:sz w:val="28"/>
          <w:sz w:val="28"/>
          <w:szCs w:val="28"/>
          <w:rtl w:val="true"/>
          <w:lang w:bidi="ar-SA"/>
        </w:rPr>
        <w:t>، وعندنا مهمل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روايته عن جابر في موضع واحد</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النعمان بن يعلي، وقد وردت له روايتان عن جابر الجعفي</w:t>
      </w:r>
      <w:r>
        <w:rPr>
          <w:rStyle w:val="FootnoteAnchor"/>
          <w:rtl w:val="true"/>
        </w:rPr>
        <w:footnoteReference w:id="10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الرجل مهمل أيضاً، لم يذكر في كتب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يعقوب بيّاع الأرز، وقد وردت رواية هذا العنوان عن جابر في مورد واحد</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العنوان لم يذكر في كتب الرجال، والوارد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بن السخت البصري أبو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ذكره الشيخ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أصحاب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 لم يروِ عن واحد من الأئمّة</w:t>
      </w:r>
      <w:r>
        <w:rPr>
          <w:rStyle w:val="FootnoteAnchor"/>
          <w:rtl w:val="true"/>
        </w:rPr>
        <w:footnoteReference w:id="10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ابن الغضائري صريحاً</w:t>
      </w:r>
      <w:r>
        <w:rPr>
          <w:rStyle w:val="FootnoteAnchor"/>
          <w:rtl w:val="true"/>
        </w:rPr>
        <w:footnoteReference w:id="10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النجاشي والشيخ</w:t>
      </w:r>
      <w:r>
        <w:rPr>
          <w:rStyle w:val="FootnoteAnchor"/>
          <w:rtl w:val="true"/>
        </w:rPr>
        <w:footnoteReference w:id="1021"/>
      </w:r>
      <w:r>
        <w:rPr>
          <w:rFonts w:ascii="Amiri" w:hAnsi="Amiri" w:eastAsia="Amiri" w:cs="Amiri"/>
          <w:color w:val="111111"/>
          <w:sz w:val="28"/>
          <w:sz w:val="28"/>
          <w:szCs w:val="28"/>
          <w:rtl w:val="true"/>
          <w:lang w:bidi="ar-SA"/>
        </w:rPr>
        <w:t>أنّ القميين استثنوه من روايات محمَّد بن أحمد بن يحيى الأشعري القمّي مع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p>
    <w:p>
      <w:pPr>
        <w:pStyle w:val="BookText"/>
        <w:rPr/>
      </w:pPr>
      <w:r>
        <w:rPr>
          <w:rFonts w:ascii="Amiri" w:hAnsi="Amiri" w:eastAsia="Amiri" w:cs="Amiri"/>
          <w:color w:val="111111"/>
          <w:sz w:val="28"/>
          <w:sz w:val="28"/>
          <w:szCs w:val="28"/>
          <w:rtl w:val="true"/>
          <w:lang w:bidi="ar-SA"/>
        </w:rPr>
        <w:t>الرجل من الطبقة السادسة، وعليه فإذا كان المقصود به هو يوسف بن السخت فتكون روايته عن جابر فيها إرسال لا أقل بواسطتين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هنا تصحيف في الاسم، 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الرجل هو الراوي عن جابر بن يزيد الجعفي في هذه الطبقة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ترجمه كلّ من النجاشي وابن الغضائري، قال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بن يعقوب الجعفي كوفي، ضعيف،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 بنُ يَعْقُوْب،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مُرْتَفِعُ القَوْلِ</w:t>
      </w:r>
      <w:r>
        <w:rPr>
          <w:rFonts w:eastAsia="Amiri" w:cs="Amiri" w:ascii="Amiri" w:hAnsi="Amiri"/>
          <w:color w:val="111111"/>
          <w:sz w:val="28"/>
          <w:szCs w:val="28"/>
          <w:rtl w:val="true"/>
          <w:lang w:bidi="ar-SA"/>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جميع التقادير الرجل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من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خمسة رجال ربّما يمكن توثيقهم على بعض المباني،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الربيع القزّاز، ومصعب بن سلام، ومسعود بن سعد الجعفي، ومعمّر بن راشد الأزدي والمفضّل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 إلى اثنين منهم معتبر،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الربيع القزّاز، والمفضّل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 إلى مصعب بن سلام معتبر إلى الراوي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الرَّواة المتفق على ضعفهم فهناك طرق معتبرة إلى ستّة منهم،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بن إسماعيل، وسعد الأسكاف، وعروة بن موسى، وعمرو بن أبي المقدام، وعمرو بن شمر، والمفضّل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طريقان معتبران إلى ما قبل الراوي المباشر عن جابر،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ضريس الوابشي، وعنبسة بن مصعب</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آخر ما أردنا بيانه في تحقيق حال التابعي المشهور جابر بن يزيد الجعفي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مَن وردت روايته عن جابر مباشرة بحسب الأسانيد الواصلة إلينا ولكن الطبقة لا تساعد على ذلك، يأتي تفصيلها في محل آخر إن شاء الله تعالى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والحمد لله ربِّ العالمين، وصلّى الله على خير خلقه، وأشرف بريته محمَّد وآله الطيّبين الطاهرين</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تمّ الفراغ منه ليلة الاثنين السابع من شوال المكرم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 xml:space="preserve">ﻫبجوار مولى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 ما طلعت شمس وما غربت</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8" w:name="pg10913_111222"/>
      <w:bookmarkStart w:id="709" w:name="pg10913_111222"/>
      <w:bookmarkEnd w:id="709"/>
    </w:p>
    <w:p>
      <w:pPr>
        <w:pStyle w:val="Heading2"/>
        <w:numPr>
          <w:ilvl w:val="1"/>
          <w:numId w:val="1"/>
        </w:numPr>
        <w:rPr/>
      </w:pPr>
      <w:bookmarkStart w:id="710" w:name="pg10913_111222"/>
      <w:bookmarkStart w:id="711" w:name="__RefHeading___Toc3056964_2870459653"/>
      <w:bookmarkStart w:id="712" w:name="_Toc273"/>
      <w:bookmarkEnd w:id="710"/>
      <w:bookmarkEnd w:id="711"/>
      <w:r>
        <w:rPr>
          <w:rtl w:val="true"/>
        </w:rPr>
        <w:t xml:space="preserve">أربع رسائل لأوّل مرّة تُنشر </w:t>
      </w:r>
      <w:r>
        <w:rPr>
          <w:rtl w:val="true"/>
        </w:rPr>
        <w:t xml:space="preserve">- </w:t>
      </w:r>
      <w:r>
        <w:rPr>
          <w:rtl w:val="true"/>
        </w:rPr>
        <w:t>الشّيخ قاسم خضير الطائي</w:t>
      </w:r>
      <w:r>
        <w:rPr>
          <w:rtl w:val="true"/>
        </w:rPr>
        <w:t>(</w:t>
      </w:r>
      <w:r>
        <w:rPr>
          <w:rtl w:val="true"/>
        </w:rPr>
        <w:t>دام عزه</w:t>
      </w:r>
      <w:r>
        <w:rPr>
          <w:rtl w:val="true"/>
        </w:rPr>
        <w:t>)</w:t>
      </w:r>
      <w:bookmarkEnd w:id="712"/>
    </w:p>
    <w:p>
      <w:pPr>
        <w:pStyle w:val="Heading3"/>
        <w:numPr>
          <w:ilvl w:val="2"/>
          <w:numId w:val="1"/>
        </w:numPr>
        <w:rPr/>
      </w:pPr>
      <w:bookmarkStart w:id="713" w:name="__RefHeading___Toc3056966_2870459653"/>
      <w:bookmarkStart w:id="714" w:name="_Toc274"/>
      <w:bookmarkEnd w:id="713"/>
      <w:r>
        <w:rPr>
          <w:rtl w:val="true"/>
        </w:rPr>
        <w:t>اشارة</w:t>
      </w:r>
      <w:bookmarkEnd w:id="714"/>
    </w:p>
    <w:p>
      <w:pPr>
        <w:pStyle w:val="BookText"/>
        <w:rPr/>
      </w:pPr>
      <w:r>
        <w:rPr>
          <w:rFonts w:ascii="IRNazanin" w:hAnsi="IRNazanin" w:eastAsia="IRNazanin"/>
          <w:color w:val="111111"/>
          <w:sz w:val="28"/>
          <w:sz w:val="28"/>
          <w:szCs w:val="28"/>
          <w:rtl w:val="true"/>
          <w:lang w:bidi="fa-IR"/>
        </w:rPr>
        <w:t>أربع 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مسائل في حَجّ الوَدعيّ</w:t>
      </w:r>
    </w:p>
    <w:p>
      <w:pPr>
        <w:pStyle w:val="BookText"/>
        <w:rPr/>
      </w:pPr>
      <w:r>
        <w:rPr>
          <w:rFonts w:ascii="IRNazanin" w:hAnsi="IRNazanin" w:eastAsia="IRNazanin"/>
          <w:color w:val="111111"/>
          <w:sz w:val="28"/>
          <w:sz w:val="28"/>
          <w:szCs w:val="28"/>
          <w:rtl w:val="true"/>
          <w:lang w:bidi="fa-IR"/>
        </w:rPr>
        <w:t>للشیخ محمدبن مکی العاملی المعروف</w:t>
      </w:r>
    </w:p>
    <w:p>
      <w:pPr>
        <w:pStyle w:val="BookText"/>
        <w:rPr/>
      </w:pPr>
      <w:r>
        <w:rPr>
          <w:rFonts w:ascii="Amiri" w:hAnsi="Amiri" w:eastAsia="Amiri" w:cs="Amiri"/>
          <w:color w:val="111111"/>
          <w:sz w:val="28"/>
          <w:sz w:val="28"/>
          <w:szCs w:val="28"/>
          <w:rtl w:val="true"/>
          <w:lang w:bidi="ar-SA"/>
        </w:rPr>
        <w:t xml:space="preserve">بالشهيد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والثالثة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ضابطة حلّيّة المأخوذ من الأرض المشكوك فتحها عنوة</w:t>
      </w:r>
    </w:p>
    <w:p>
      <w:pPr>
        <w:pStyle w:val="BookText"/>
        <w:rPr/>
      </w:pPr>
      <w:r>
        <w:rPr>
          <w:rFonts w:ascii="Amiri" w:hAnsi="Amiri" w:eastAsia="Amiri" w:cs="Amiri"/>
          <w:color w:val="111111"/>
          <w:sz w:val="28"/>
          <w:sz w:val="28"/>
          <w:szCs w:val="28"/>
          <w:rtl w:val="true"/>
          <w:lang w:bidi="ar-SA"/>
        </w:rPr>
        <w:t>المقدار اللّازم من المعرفة</w:t>
      </w:r>
    </w:p>
    <w:p>
      <w:pPr>
        <w:pStyle w:val="BookText"/>
        <w:rPr/>
      </w:pPr>
      <w:r>
        <w:rPr>
          <w:rFonts w:ascii="IRNazanin" w:hAnsi="IRNazanin" w:eastAsia="IRNazanin"/>
          <w:color w:val="111111"/>
          <w:sz w:val="28"/>
          <w:sz w:val="28"/>
          <w:szCs w:val="28"/>
          <w:rtl w:val="true"/>
          <w:lang w:bidi="fa-IR"/>
        </w:rPr>
        <w:t>للشیخ علی بن الحسین ابن عبدالعالی العاملی الکرکی المعروف بالمحقق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أحكام الصداق</w:t>
      </w:r>
    </w:p>
    <w:p>
      <w:pPr>
        <w:pStyle w:val="BookText"/>
        <w:rPr/>
      </w:pPr>
      <w:r>
        <w:rPr>
          <w:rFonts w:ascii="IRNazanin" w:hAnsi="IRNazanin" w:eastAsia="IRNazanin"/>
          <w:color w:val="111111"/>
          <w:sz w:val="28"/>
          <w:sz w:val="28"/>
          <w:szCs w:val="28"/>
          <w:rtl w:val="true"/>
          <w:lang w:bidi="fa-IR"/>
        </w:rPr>
        <w:t xml:space="preserve">للشيخ محيي الدين بن أحمد بن تاج الدین العاملی الميسيّ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حيّاً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قاسم خضير 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أنبيائه المرسلين محمّد بن عبد الله وعلى آل بيته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فإنَّه لا يخفى ما لحفظ التراث ونشره من الأهمّيّة؛ حيث إنَّه حلقة الوصل بين ماضي الأمم وحاضرها ومستقبلها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يبرزه من حوادث ونشاطات وفعّاليّات تشكّل المعالم البارزة في هويّة الأجيال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ركيزة من ركائز هويتها الثقافيّة، وعنوان اعتزازها، والنبع الذي ترتوي منه أجيالها، وهو الخبرات المتراكمة لأفرادها، المعبِّر عن التعاطي بين الإنسان ومحيطه في تجاربها، وهو الذاكرة الحيَّة للفرد والمجتمع المتعرَّف عليه من خلالها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يعدّ المصدر الأساس للثقافة؛ إذ الوجدان حاكم بطرديّة العلاقة بين الإبداع والرقي في مجتمع وبين ما تختزنه ذاكرة التراث الثقافي لذلك المجتمع؛ حيث إنَّ لكلّ مجتمع موروثاته الخاصّة به، وبمقدار استحضار تلك الموروثات، ومعايشتها منهاجاً يومياً في الحياة، واستخلاص العبر، واستلهام النتائج منها، يتكوّن تفاعل حيوي بين تلك الموروثات وبين المجتمع، يثمر بمرور الزمن ما يكون بمثابة المحرّك الذي يضمن استمراره في الوجود بأرقى صوره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هذا المنطلق، ولضخامة الموروث الثقافي الذي تميّز به علماء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،تولّدت إرادة جدّيّة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المهتمّين في تتبّع وإحياء آثارهم وما </w:t>
      </w:r>
    </w:p>
    <w:p>
      <w:pPr>
        <w:pStyle w:val="BookText"/>
        <w:rPr/>
      </w:pPr>
      <w:r>
        <w:rPr>
          <w:rFonts w:ascii="Amiri" w:hAnsi="Amiri" w:eastAsia="Amiri" w:cs="Amiri"/>
          <w:color w:val="111111"/>
          <w:sz w:val="28"/>
          <w:sz w:val="28"/>
          <w:szCs w:val="28"/>
          <w:rtl w:val="true"/>
          <w:lang w:bidi="ar-SA"/>
        </w:rPr>
        <w:t xml:space="preserve">سطّره يراعهم وجادت به قرائحهم من مؤلّفات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زال الكثير منها مخطوطاً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تشكّل الركن الأساس في ذلك الموروث الثقافي العظيم، فخرج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منها إلى النور بعد أن نفضوا عنها غبار الزمن، نشراً للعلم وكجزء من ردّ الجميل لجهود تلك الثلّة الطيّبة من العلماء الذين لم يعرف المللُ والكلل طريقاً إليهم، رغم الصعوبات التي أدّت بالبعض منهم إلى هجران الوطن والأحباب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الإطار وُفّقنا لتحقيق أربع 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للشهيد الأوّل، والثانية والثالثة للمحقّق الشيخ عليّ ابن عبد العالي الكركيّ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المحقّق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والأخيرة للشيخ محيي الدين بن أحمد بن تاج الدين الميسيّ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كانت الرسالة الأولى عبارة عن تعليق من الشهيد على فقرة من كلام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تحرير الأحكام حول شخص مات وله وديعة عند شخص آخر، وكان قد وجب عليه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فرّع عليه بعض الفروع التي لم يُشر إليها فقهاؤنا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والرسالة الثانية عبارة عن سؤال وجّه للمحقّق الكركيّ عن بعض القرى في بلاد استرآباد، وهل هي من الأراضي الخراجيّة أو لا؟ وقد أجاب عنها بإبداء طريق تكون صحته واقعة على كلّ واحد من التقديرين؛ إذ على تقدير كون هذه الأرض خراجيّة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فتحت عنوةً وكانت عامرةً حين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ملكٌ لجميع المسلمين، ولها أحكام خاصّة ذكرها الفقهاء في مظانّها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الرسالة الثالثة فهي عبارة عن جواب لسؤال ورده عن معنى كلامٍ للعلّامة في الباب الحادي عشر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الصلاح في اختصار المصباح</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وتجدر الإشارة إلى أنَّه وبالرغم من الجهود الطيبة والمشكورة التي أخرجت الكثير من مؤلفات 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الوجود وبصورة بهيّة وأنيقة إلّا أنَّها لسبب أو لآخر </w:t>
      </w:r>
      <w:bookmarkStart w:id="715" w:name="pg10913_111230"/>
    </w:p>
    <w:p>
      <w:pPr>
        <w:pStyle w:val="BookText"/>
        <w:rPr/>
      </w:pPr>
      <w:bookmarkEnd w:id="715"/>
      <w:r>
        <w:rPr>
          <w:rFonts w:ascii="Amiri" w:hAnsi="Amiri" w:eastAsia="Amiri" w:cs="Amiri"/>
          <w:color w:val="111111"/>
          <w:sz w:val="28"/>
          <w:sz w:val="28"/>
          <w:szCs w:val="28"/>
          <w:rtl w:val="true"/>
          <w:lang w:bidi="ar-SA"/>
        </w:rPr>
        <w:t>لم تتوفّر على جميع تراثه وهو المعروف بكثرة التحقيق والتصنيف</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والعمل جارٍ إن شاء الله تعالى في تحقيق وإخراج ما بقي من مؤلّفاته، ومنها حاشيته المهمّة على كتاب تحرير الأحكام للعلّامة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الرسالة الأخيرة فكانت للشيخ محيي الدين بن أحمد بن تاج الدين العامليّ الميسيّ، وهي في أحكام الصداق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عرض الرسائل للقارئ الكريم نذكر مقدّمة تتضمّن تسليط الضوء على مؤلِّفي هذه الرسائل الأربع، والتعريف بنسخها المعتمدة في التحقيق، وبيان منهج العمل</w:t>
      </w:r>
      <w:r>
        <w:rPr>
          <w:rFonts w:eastAsia="Amiri" w:cs="Amiri" w:ascii="Amiri" w:hAnsi="Amiri"/>
          <w:color w:val="111111"/>
          <w:sz w:val="28"/>
          <w:szCs w:val="28"/>
          <w:rtl w:val="true"/>
          <w:lang w:bidi="ar-SA"/>
        </w:rPr>
        <w:t>.</w:t>
      </w:r>
    </w:p>
    <w:p>
      <w:pPr>
        <w:pStyle w:val="Heading3"/>
        <w:numPr>
          <w:ilvl w:val="2"/>
          <w:numId w:val="1"/>
        </w:numPr>
        <w:rPr/>
      </w:pPr>
      <w:bookmarkStart w:id="716" w:name="__RefHeading___Toc3056968_2870459653"/>
      <w:bookmarkStart w:id="717" w:name="_Toc275"/>
      <w:bookmarkEnd w:id="716"/>
      <w:r>
        <w:rPr>
          <w:rtl w:val="true"/>
        </w:rPr>
        <w:t>مؤلّف و الرسائل</w:t>
      </w:r>
      <w:bookmarkEnd w:id="717"/>
    </w:p>
    <w:p>
      <w:pPr>
        <w:pStyle w:val="Heading4"/>
        <w:numPr>
          <w:ilvl w:val="3"/>
          <w:numId w:val="1"/>
        </w:numPr>
        <w:rPr/>
      </w:pPr>
      <w:bookmarkStart w:id="718" w:name="__RefHeading___Toc3056970_2870459653"/>
      <w:bookmarkStart w:id="719" w:name="_Toc276"/>
      <w:bookmarkEnd w:id="718"/>
      <w:r>
        <w:rPr/>
        <w:t>1</w:t>
      </w:r>
      <w:r>
        <w:rPr>
          <w:rtl w:val="true"/>
        </w:rPr>
        <w:t xml:space="preserve">. </w:t>
      </w:r>
      <w:r>
        <w:rPr>
          <w:rtl w:val="true"/>
        </w:rPr>
        <w:t xml:space="preserve">الشهيد الأوَّل </w:t>
      </w:r>
      <w:r>
        <w:rPr>
          <w:rtl w:val="true"/>
        </w:rPr>
        <w:t>(</w:t>
      </w:r>
      <w:r>
        <w:rPr>
          <w:rtl w:val="true"/>
        </w:rPr>
        <w:t>رحمة الله</w:t>
      </w:r>
      <w:r>
        <w:rPr>
          <w:rtl w:val="true"/>
        </w:rPr>
        <w:t>)</w:t>
      </w:r>
      <w:bookmarkEnd w:id="719"/>
    </w:p>
    <w:p>
      <w:pPr>
        <w:pStyle w:val="BookText"/>
        <w:rPr/>
      </w:pPr>
      <w:r>
        <w:rPr>
          <w:rFonts w:ascii="Amiri" w:hAnsi="Amiri" w:eastAsia="Amiri" w:cs="Amiri"/>
          <w:color w:val="111111"/>
          <w:sz w:val="28"/>
          <w:sz w:val="28"/>
          <w:szCs w:val="28"/>
          <w:rtl w:val="true"/>
          <w:lang w:bidi="ar-SA"/>
        </w:rPr>
        <w:t xml:space="preserve">هو شمس الدين أبو عبد اللَّه محمّد بن مكيّ بن محمّد بن حامد بن أحمد المطَّلبي العامليّ الجِزّيني النبطيّ الأصل، المعروف بالشهيد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بمقامه وشهرته وما كتب عنه من تراجم ودراسات وبحوث في غنى عن التعريف</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من المهم التنبيه على أنَّ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صغيرة وحواشٍ وفوائد دوّنها تلاميذه أو المعاصرون له، ونُقلت عنه في النسخ الخطيّة، وخير دليل على ذلك نسختنا هذه التي ضمّت رسالتين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حاشيّة له على عبارة من كتاب تحرير الأحكام الشرعيّة على مذهب الإماميّة للعلّامة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،والأخرى رسالة النّعمة، وهذا الأمر يدعو إلى تفحّصٍ تامٍّ يغني الطالب لآثار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،فهناك جملة من تراثه المفقود لم يطبع بعدُ، كما وضمّت مجاميع الشيخ محمّد بن عليّ الجباعيّ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فوائده ومختصراته</w:t>
      </w:r>
      <w:r>
        <w:rPr>
          <w:rFonts w:eastAsia="Amiri" w:cs="Amiri" w:ascii="Amiri" w:hAnsi="Amiri"/>
          <w:color w:val="111111"/>
          <w:sz w:val="28"/>
          <w:szCs w:val="28"/>
          <w:rtl w:val="true"/>
          <w:lang w:bidi="ar-SA"/>
        </w:rPr>
        <w:t xml:space="preserve">. </w:t>
      </w:r>
      <w:bookmarkStart w:id="720" w:name="pg10913_111232"/>
    </w:p>
    <w:p>
      <w:pPr>
        <w:pStyle w:val="Heading4"/>
        <w:numPr>
          <w:ilvl w:val="3"/>
          <w:numId w:val="1"/>
        </w:numPr>
        <w:rPr/>
      </w:pPr>
      <w:bookmarkStart w:id="721" w:name="__RefHeading___Toc3056972_2870459653"/>
      <w:bookmarkStart w:id="722" w:name="_Toc277"/>
      <w:bookmarkEnd w:id="720"/>
      <w:bookmarkEnd w:id="721"/>
      <w:r>
        <w:rPr/>
        <w:t>2</w:t>
      </w:r>
      <w:r>
        <w:rPr>
          <w:rtl w:val="true"/>
        </w:rPr>
        <w:t xml:space="preserve">. </w:t>
      </w:r>
      <w:r>
        <w:rPr>
          <w:rtl w:val="true"/>
        </w:rPr>
        <w:t xml:space="preserve">المحقّق الكركيّ </w:t>
      </w:r>
      <w:r>
        <w:rPr>
          <w:rtl w:val="true"/>
        </w:rPr>
        <w:t>(</w:t>
      </w:r>
      <w:r>
        <w:rPr>
          <w:rtl w:val="true"/>
        </w:rPr>
        <w:t>رحمة الله</w:t>
      </w:r>
      <w:r>
        <w:rPr>
          <w:rtl w:val="true"/>
        </w:rPr>
        <w:t>)</w:t>
      </w:r>
      <w:bookmarkEnd w:id="722"/>
    </w:p>
    <w:p>
      <w:pPr>
        <w:pStyle w:val="Heading5"/>
        <w:numPr>
          <w:ilvl w:val="4"/>
          <w:numId w:val="1"/>
        </w:numPr>
        <w:rPr/>
      </w:pPr>
      <w:bookmarkStart w:id="723" w:name="__RefHeading___Toc3056974_2870459653"/>
      <w:bookmarkStart w:id="724" w:name="_Toc278"/>
      <w:bookmarkEnd w:id="723"/>
      <w:r>
        <w:rPr>
          <w:rtl w:val="true"/>
        </w:rPr>
        <w:t>اشارة</w:t>
      </w:r>
      <w:bookmarkEnd w:id="724"/>
    </w:p>
    <w:p>
      <w:pPr>
        <w:pStyle w:val="BookText"/>
        <w:rPr/>
      </w:pPr>
      <w:r>
        <w:rPr>
          <w:rFonts w:ascii="Amiri" w:hAnsi="Amiri" w:eastAsia="Amiri" w:cs="Amiri"/>
          <w:color w:val="111111"/>
          <w:sz w:val="28"/>
          <w:sz w:val="28"/>
          <w:szCs w:val="28"/>
          <w:rtl w:val="true"/>
          <w:lang w:bidi="ar-SA"/>
        </w:rPr>
        <w:t xml:space="preserve">هو الشيخ عليّ بن الحسين ابن عبد العالي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في الاشتهار كالنار على المنار وكالشمس في رابعة النهار؛ ولذا ترجم له كلّ من كتب في الرجال ممّن تأخّروا عنه، فهو من هذه الجهة ليس بحاجة إلى التعريف به، إلّا أنَّا سنركّز باختصار على بعض الجوانب من حياته التي لم يُسلّط عليها الضوء كما ينبغي، وخصوصاً فترة وجوده في النجف الأشرف؛ لأنَّها الفترة التي تمثّل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ذروة عطائه العلمي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 الله تعالى يوفّق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لكتابة شيء مفصّل عن حياته في النجف الأشرف رغم قلّة المصادر التي تعرّضت لذلك</w:t>
      </w:r>
      <w:r>
        <w:rPr>
          <w:rFonts w:eastAsia="Amiri" w:cs="Amiri" w:ascii="Amiri" w:hAnsi="Amiri"/>
          <w:color w:val="111111"/>
          <w:sz w:val="28"/>
          <w:szCs w:val="28"/>
          <w:rtl w:val="true"/>
          <w:lang w:bidi="ar-SA"/>
        </w:rPr>
        <w:t>.</w:t>
      </w:r>
    </w:p>
    <w:p>
      <w:pPr>
        <w:pStyle w:val="Heading5"/>
        <w:numPr>
          <w:ilvl w:val="4"/>
          <w:numId w:val="1"/>
        </w:numPr>
        <w:rPr/>
      </w:pPr>
      <w:bookmarkStart w:id="725" w:name="__RefHeading___Toc3056976_2870459653"/>
      <w:bookmarkStart w:id="726" w:name="_Toc279"/>
      <w:bookmarkEnd w:id="725"/>
      <w:r>
        <w:rPr>
          <w:rtl w:val="true"/>
        </w:rPr>
        <w:t>نسبه</w:t>
      </w:r>
      <w:bookmarkEnd w:id="726"/>
    </w:p>
    <w:p>
      <w:pPr>
        <w:pStyle w:val="BookText"/>
        <w:rPr/>
      </w:pPr>
      <w:r>
        <w:rPr>
          <w:rFonts w:ascii="Amiri" w:hAnsi="Amiri" w:eastAsia="Amiri" w:cs="Amiri"/>
          <w:color w:val="111111"/>
          <w:sz w:val="28"/>
          <w:sz w:val="28"/>
          <w:szCs w:val="28"/>
          <w:rtl w:val="true"/>
          <w:lang w:bidi="ar-SA"/>
        </w:rPr>
        <w:t>هو المولى الشيخ زين الدين</w:t>
      </w:r>
      <w:r>
        <w:rPr>
          <w:rStyle w:val="FootnoteAnchor"/>
          <w:rtl w:val="true"/>
        </w:rPr>
        <w:footnoteReference w:id="1025"/>
      </w:r>
      <w:r>
        <w:rPr>
          <w:rFonts w:ascii="Amiri" w:hAnsi="Amiri" w:eastAsia="Amiri" w:cs="Amiri"/>
          <w:color w:val="111111"/>
          <w:sz w:val="28"/>
          <w:sz w:val="28"/>
          <w:szCs w:val="28"/>
          <w:rtl w:val="true"/>
          <w:lang w:bidi="ar-SA"/>
        </w:rPr>
        <w:t>أو نور الدين</w:t>
      </w:r>
      <w:r>
        <w:rPr>
          <w:rStyle w:val="FootnoteAnchor"/>
          <w:rtl w:val="true"/>
        </w:rPr>
        <w:footnoteReference w:id="1026"/>
      </w:r>
      <w:r>
        <w:rPr>
          <w:rFonts w:ascii="Amiri" w:hAnsi="Amiri" w:eastAsia="Amiri" w:cs="Amiri"/>
          <w:color w:val="111111"/>
          <w:sz w:val="28"/>
          <w:sz w:val="28"/>
          <w:szCs w:val="28"/>
          <w:rtl w:val="true"/>
          <w:lang w:bidi="ar-SA"/>
        </w:rPr>
        <w:t>علي أعلى الله مجده، ابن الشيخ عزّ الدين حسين، ابن الشيخ زين الدين علي بن عبد العالي</w:t>
      </w:r>
      <w:r>
        <w:rPr>
          <w:rStyle w:val="FootnoteAnchor"/>
          <w:rtl w:val="true"/>
        </w:rPr>
        <w:footnoteReference w:id="10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اختصاراً بعليّ ابن عبد العالي، كما كان يوقّع به في ما منحه من إجازاتٍ، وكَتبَه من مؤلّفاتٍ، وأجاب عنه من استفتاءاتٍ</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في بعض المصادر أنَّ نسبه التامّ،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عليّ بن محمّد بن عليّ بن عبد العالي؛ استناداً إلى ما وجد بخط يده مؤرّخاً لولادة ابنه الشيخ عبد العالي، </w:t>
      </w:r>
      <w:bookmarkStart w:id="727" w:name="pg10913_111233"/>
    </w:p>
    <w:p>
      <w:pPr>
        <w:pStyle w:val="BookText"/>
        <w:rPr/>
      </w:pPr>
      <w:bookmarkEnd w:id="727"/>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على هبته، ولد المولود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وأهله، تاج الدّين أبو محمّد عبد العالي بن عليّ بن حسين بن عليّ بن محمّد بن عبد العالي، تاسع عشر شهر ذي القعدة ليلة الجمعة سنة ستّ وعشرين وتسعمائة أنشأه الله سبحانه، إنشاءً مباركاً، وجعله خلفاً صالحاً، بحقّ محمّد وآله صلوات الله عليه وعليهم أجمعين</w:t>
      </w:r>
      <w:r>
        <w:rPr>
          <w:rFonts w:eastAsia="Amiri" w:cs="Amiri" w:ascii="Amiri" w:hAnsi="Amiri"/>
          <w:color w:val="111111"/>
          <w:sz w:val="28"/>
          <w:szCs w:val="28"/>
          <w:rtl w:val="true"/>
          <w:lang w:bidi="ar-SA"/>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8" w:name="__RefHeading___Toc3056978_2870459653"/>
      <w:bookmarkStart w:id="729" w:name="_Toc280"/>
      <w:bookmarkEnd w:id="728"/>
      <w:r>
        <w:rPr>
          <w:rtl w:val="true"/>
        </w:rPr>
        <w:t>ولادته</w:t>
      </w:r>
      <w:bookmarkEnd w:id="729"/>
    </w:p>
    <w:p>
      <w:p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عامي </w:t>
      </w:r>
      <w:r>
        <w:rPr>
          <w:rFonts w:eastAsia="Amiri" w:cs="Amiri" w:ascii="Amiri" w:hAnsi="Amiri"/>
          <w:color w:val="111111"/>
          <w:sz w:val="28"/>
          <w:szCs w:val="28"/>
          <w:lang w:bidi="ar-SA"/>
        </w:rPr>
        <w:t>868</w:t>
      </w:r>
      <w:r>
        <w:rPr>
          <w:rFonts w:ascii="Amiri" w:hAnsi="Amiri" w:eastAsia="Amiri" w:cs="Amiri"/>
          <w:color w:val="111111"/>
          <w:sz w:val="28"/>
          <w:sz w:val="28"/>
          <w:szCs w:val="28"/>
          <w:rtl w:val="true"/>
          <w:lang w:bidi="ar-SA"/>
        </w:rPr>
        <w:t>ﻫو</w:t>
      </w:r>
      <w:r>
        <w:rPr>
          <w:rFonts w:eastAsia="Amiri" w:cs="Amiri" w:ascii="Amiri" w:hAnsi="Amiri"/>
          <w:color w:val="111111"/>
          <w:sz w:val="28"/>
          <w:szCs w:val="28"/>
          <w:lang w:bidi="ar-SA"/>
        </w:rPr>
        <w:t>870</w:t>
      </w:r>
      <w:r>
        <w:rPr>
          <w:rFonts w:ascii="Amiri" w:hAnsi="Amiri" w:eastAsia="Amiri" w:cs="Amiri"/>
          <w:color w:val="111111"/>
          <w:sz w:val="28"/>
          <w:sz w:val="28"/>
          <w:szCs w:val="28"/>
          <w:rtl w:val="true"/>
          <w:lang w:bidi="ar-SA"/>
        </w:rPr>
        <w:t>ﻫ، فإنَّ أغلب المصادر التي تعرّضت لترجمته لم تذكر على وجه التحديد سنة تولّده إلّا أنَّه يمكن استفادة ذلك ممّا ذكر في أمل الآمل من أنَّ عمره الشريف قد زاد على السبعين سنة</w:t>
      </w:r>
      <w:r>
        <w:rPr>
          <w:rStyle w:val="FootnoteAnchor"/>
          <w:rtl w:val="true"/>
        </w:rPr>
        <w:footnoteReference w:id="1030"/>
      </w:r>
      <w:r>
        <w:rPr>
          <w:rFonts w:ascii="Amiri" w:hAnsi="Amiri" w:eastAsia="Amiri" w:cs="Amiri"/>
          <w:color w:val="111111"/>
          <w:sz w:val="28"/>
          <w:sz w:val="28"/>
          <w:szCs w:val="28"/>
          <w:rtl w:val="true"/>
          <w:lang w:bidi="ar-SA"/>
        </w:rPr>
        <w:t xml:space="preserve">بناءً على أنّ تاريخ وفاته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ومحلُّ ولادته كرك نوح التي هي قرية كبيرة قرب بعلبك بها قبر طويل يزعم أهل تلك النواحي أنه قبر نوح</w:t>
      </w:r>
      <w:r>
        <w:rPr>
          <w:rStyle w:val="FootnoteAnchor"/>
          <w:rtl w:val="true"/>
        </w:rPr>
        <w:footnoteReference w:id="1031"/>
      </w:r>
      <w:r>
        <w:rPr>
          <w:rFonts w:ascii="Amiri" w:hAnsi="Amiri" w:eastAsia="Amiri" w:cs="Amiri"/>
          <w:color w:val="111111"/>
          <w:sz w:val="28"/>
          <w:sz w:val="28"/>
          <w:szCs w:val="28"/>
          <w:rtl w:val="true"/>
          <w:lang w:bidi="ar-SA"/>
        </w:rPr>
        <w:t>، وهي من بلدان الشيعة التي خرّجت عدداً وافراً من العلماء وكانت إليها الرحلة لطلب العلم</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 xml:space="preserve">. </w:t>
      </w:r>
      <w:bookmarkStart w:id="730" w:name="pg10913_111235"/>
    </w:p>
    <w:p>
      <w:pPr>
        <w:pStyle w:val="Heading5"/>
        <w:numPr>
          <w:ilvl w:val="4"/>
          <w:numId w:val="1"/>
        </w:numPr>
        <w:rPr/>
      </w:pPr>
      <w:bookmarkStart w:id="731" w:name="__RefHeading___Toc3056980_2870459653"/>
      <w:bookmarkStart w:id="732" w:name="_Toc281"/>
      <w:bookmarkEnd w:id="730"/>
      <w:bookmarkEnd w:id="731"/>
      <w:r>
        <w:rPr>
          <w:rtl w:val="true"/>
        </w:rPr>
        <w:t>نشأته</w:t>
      </w:r>
      <w:bookmarkEnd w:id="732"/>
    </w:p>
    <w:p>
      <w:pPr>
        <w:pStyle w:val="BookText"/>
        <w:rPr/>
      </w:pPr>
      <w:r>
        <w:rPr>
          <w:rFonts w:ascii="Amiri" w:hAnsi="Amiri" w:eastAsia="Amiri" w:cs="Amiri"/>
          <w:color w:val="111111"/>
          <w:sz w:val="28"/>
          <w:sz w:val="28"/>
          <w:szCs w:val="28"/>
          <w:rtl w:val="true"/>
          <w:lang w:bidi="ar-SA"/>
        </w:rPr>
        <w:t>نشأ في أسرة عدّت من الأسر العلميّة، فوالده الشيخ عزّ الدين الحسين ابن عبد العالي هو الذي وصفه الشيخ محمّد بن خاتون في إجازته للمحقّق الكركيّ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الورع، التقي، النقي، الزاهد، العابد</w:t>
      </w:r>
      <w:r>
        <w:rPr>
          <w:rFonts w:eastAsia="Amiri" w:cs="Amiri" w:ascii="Amiri" w:hAnsi="Amiri"/>
          <w:color w:val="111111"/>
          <w:sz w:val="28"/>
          <w:szCs w:val="28"/>
          <w:rtl w:val="true"/>
          <w:lang w:bidi="ar-SA"/>
        </w:rPr>
        <w:t>)</w:t>
      </w:r>
      <w:r>
        <w:rPr>
          <w:rStyle w:val="FootnoteAnchor"/>
          <w:rtl w:val="true"/>
        </w:rPr>
        <w:footnoteReference w:id="1033"/>
      </w:r>
      <w:r>
        <w:rPr>
          <w:rFonts w:ascii="Amiri" w:hAnsi="Amiri" w:eastAsia="Amiri" w:cs="Amiri"/>
          <w:color w:val="111111"/>
          <w:sz w:val="28"/>
          <w:sz w:val="28"/>
          <w:szCs w:val="28"/>
          <w:rtl w:val="true"/>
          <w:lang w:bidi="ar-SA"/>
        </w:rPr>
        <w:t xml:space="preserve">، ووصفه الشيخ نعمة الله عليّ بن أحمد ابن محمّد بن عليّ بن خاتون العامليّ في إجازته للسيّد الحسن بن عليّ بن شدقم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كتاب الجواهر النظامشاهيّة من حديث خير البريّة للسيد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الزاهد العابد</w:t>
      </w:r>
      <w:r>
        <w:rPr>
          <w:rFonts w:eastAsia="Amiri" w:cs="Amiri" w:ascii="Amiri" w:hAnsi="Amiri"/>
          <w:color w:val="111111"/>
          <w:sz w:val="28"/>
          <w:szCs w:val="28"/>
          <w:rtl w:val="true"/>
          <w:lang w:bidi="ar-SA"/>
        </w:rPr>
        <w:t>)</w:t>
      </w:r>
      <w:r>
        <w:rPr>
          <w:rStyle w:val="FootnoteAnchor"/>
          <w:rtl w:val="true"/>
        </w:rPr>
        <w:footnoteReference w:id="10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ووصفه السيّد ابن شدقم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طرقه في الرواية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الفاضل حسين ابن عبد العالي الكركي</w:t>
      </w:r>
      <w:r>
        <w:rPr>
          <w:rFonts w:eastAsia="Amiri" w:cs="Amiri" w:ascii="Amiri" w:hAnsi="Amiri"/>
          <w:color w:val="111111"/>
          <w:sz w:val="28"/>
          <w:szCs w:val="28"/>
          <w:rtl w:val="true"/>
          <w:lang w:bidi="ar-SA"/>
        </w:rPr>
        <w:t>)</w:t>
      </w:r>
      <w:r>
        <w:rPr>
          <w:rStyle w:val="FootnoteAnchor"/>
          <w:rtl w:val="true"/>
        </w:rPr>
        <w:footnoteReference w:id="1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استفاد الشيخ آغا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الوصف أنَّه من العلماء</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والملاحظ أنَّ الميرزا الأفندي في رياض العلماء ترجم لوالد المحقّق الكركيّ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عزّ الدين حسين ابن عبد العالي الكركيّ، والد الشيخ عليّ ابن عبد العالي الكركيّ العامليّ، كان من أكابر العلماء، ويروي عنه عليّ بن هلال الجزائريّ أستاذ سبطه</w:t>
      </w:r>
      <w:r>
        <w:rPr>
          <w:rStyle w:val="FootnoteAnchor"/>
          <w:rtl w:val="true"/>
        </w:rPr>
        <w:footnoteReference w:id="1037"/>
      </w:r>
      <w:r>
        <w:rPr>
          <w:rFonts w:ascii="Amiri" w:hAnsi="Amiri" w:eastAsia="Amiri" w:cs="Amiri"/>
          <w:color w:val="111111"/>
          <w:sz w:val="28"/>
          <w:sz w:val="28"/>
          <w:szCs w:val="28"/>
          <w:rtl w:val="true"/>
          <w:lang w:bidi="ar-SA"/>
        </w:rPr>
        <w:t>الشيخ عليّ المذكور، وهو يروي عن أحد ولدي الشهيد عن والده الشهيد</w:t>
      </w:r>
      <w:r>
        <w:rPr>
          <w:rFonts w:eastAsia="Amiri" w:cs="Amiri" w:ascii="Amiri" w:hAnsi="Amiri"/>
          <w:color w:val="111111"/>
          <w:sz w:val="28"/>
          <w:szCs w:val="28"/>
          <w:rtl w:val="true"/>
          <w:lang w:bidi="ar-SA"/>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 في موضعين آخرين من نفس الكتاب</w:t>
      </w:r>
      <w:r>
        <w:rPr>
          <w:rStyle w:val="FootnoteAnchor"/>
          <w:rtl w:val="true"/>
        </w:rPr>
        <w:footnoteReference w:id="1039"/>
      </w:r>
      <w:r>
        <w:rPr>
          <w:rFonts w:ascii="Amiri" w:hAnsi="Amiri" w:eastAsia="Amiri" w:cs="Amiri"/>
          <w:color w:val="111111"/>
          <w:sz w:val="28"/>
          <w:sz w:val="28"/>
          <w:szCs w:val="28"/>
          <w:rtl w:val="true"/>
          <w:lang w:bidi="ar-SA"/>
        </w:rPr>
        <w:t xml:space="preserve">نقلاً عن نفس إجازة الشيخ نعمة الله بن خاتون العامليّ للسيّد ابن شدقم الحسينيّ أنَّ الذي يروي عنه الشيخ عليّ بن هلال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 المحقّق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جدّ المحقّق الكركيّ لا والده، وهو الذي يروي عن أحد وَلَدَي الشهيد الأوّل عن والده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الذي اختاره السيّد الخوانساري في ترجمة الشيخ عبد العالي ولد المحقّق الكركيّ،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جدّ والده الذي سمّي هذا باسمه المطهّر أيضاً من أجلّة الفقهاء، بل من جملة مشايخ شيخ والده المحقّق عليّ بن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الإيماء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الرياض</w:t>
      </w:r>
      <w:r>
        <w:rPr>
          <w:rFonts w:eastAsia="Amiri" w:cs="Amiri" w:ascii="Amiri" w:hAnsi="Amiri"/>
          <w:color w:val="111111"/>
          <w:sz w:val="28"/>
          <w:szCs w:val="28"/>
          <w:rtl w:val="true"/>
          <w:lang w:bidi="ar-SA"/>
        </w:rPr>
        <w:t xml:space="preserve">)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والد المحقّق الكركيّ من كبار العلماء ليس بذلك الوضوح؛ نظراً إلى أنَّ معظم ما وصف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وصف الشيخ محمّد بن خاتون المعاصر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أكثر من جلالة قدره من جهة الورع والتقوى والعبادة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جدّه الشيخ عبد العالي الكركيّ فقد وصف بأنَّه كان من العلماء الفقهاء</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قد يتأمّل فيه أيضاً؛ إذ إنَّ الشيخ الحرّ العاملي ترجم في أمل الآمل للشيخ عبد العالي الشهير بابن مفلح والد الشيخ عليّ الميسيّ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عبد العالي العامليّ الميسيّ، والد شيخنا الشّيخ عليّ الآتي، كان عالماً فاضلاً، وقد أثنى عليه الشّيخ عليّ بن عبد العالي الكركيّ، في إجازته لولده، فقال عند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المرحوم المبرور المقدّس المتوّج المحبور، الشيخ الأجلّ العالم الكامل، تاج الملّة والحقّ والدّين، عبد العالي العامليّ </w:t>
      </w:r>
      <w:bookmarkStart w:id="733" w:name="pg10913_111240"/>
    </w:p>
    <w:p>
      <w:pPr>
        <w:pStyle w:val="BookText"/>
        <w:rPr/>
      </w:pPr>
      <w:bookmarkEnd w:id="733"/>
      <w:r>
        <w:rPr>
          <w:rFonts w:ascii="Amiri" w:hAnsi="Amiri" w:eastAsia="Amiri" w:cs="Amiri"/>
          <w:color w:val="111111"/>
          <w:sz w:val="28"/>
          <w:sz w:val="28"/>
          <w:szCs w:val="28"/>
          <w:rtl w:val="true"/>
          <w:lang w:bidi="ar-SA"/>
        </w:rPr>
        <w:t>الميسيّ</w:t>
      </w:r>
      <w:r>
        <w:rPr>
          <w:rFonts w:eastAsia="Amiri" w:cs="Amiri" w:ascii="Amiri" w:hAnsi="Amiri"/>
          <w:color w:val="111111"/>
          <w:sz w:val="28"/>
          <w:szCs w:val="28"/>
          <w:rtl w:val="true"/>
          <w:lang w:bidi="ar-SA"/>
        </w:rPr>
        <w:t>)</w:t>
      </w:r>
      <w:r>
        <w:rPr>
          <w:rStyle w:val="FootnoteAnchor"/>
          <w:rtl w:val="true"/>
        </w:rPr>
        <w:footnoteReference w:id="1042"/>
      </w:r>
      <w:r>
        <w:rPr>
          <w:rFonts w:ascii="Amiri" w:hAnsi="Amiri" w:eastAsia="Amiri" w:cs="Amiri"/>
          <w:color w:val="111111"/>
          <w:sz w:val="28"/>
          <w:sz w:val="28"/>
          <w:szCs w:val="28"/>
          <w:rtl w:val="true"/>
          <w:lang w:bidi="ar-SA"/>
        </w:rPr>
        <w:t>فإنَّه لو كان الشيخ عبد العالي جدّ المحقّق الكركيّ عالماً لكان من المناسب جدّاً الإشارة إليه، لأنَّ الكتاب معدّ لاستقصاء علماء هذا البلد، لكنّه رغم ذلك لم يذكره مع أنَّ المعهود من طريقته هو التنبيه في حال اشتراك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ويمكن التأمّل أيضاً في رواية الشيخ عليّ بن هلال الجزائريّ عن الشيخ عبد العالي الكركيّ جدّ المحقّق الثاني الذي يروي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أحد وَلَدَي الشهيد عن الشهيد؛ إذ لو كان الأمر كما ذكر لكان من المناسب جدّاً للشيخ عليّ بن هلال الجزائريّ أن يذكر في إجازته للمحقّق الكركيّ في ضمن الطرق التي ذكرها له في الرواية عن الشهيد طريقه الذي يمرّ بجدّه الشيخ عبد العالي الكركيّ كما ذكر غيره من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وأنَّ الإجازة لحفيده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اكتفى بذكر طرقه في الرواية عن الشهيد من دون الإشارة إلى ذلك، وظاهره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لفظ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مقام بسط تلك الطرق إلى مؤلّفات الشهيد ورواياته</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4" w:name="__RefHeading___Toc3056982_2870459653"/>
      <w:bookmarkStart w:id="735" w:name="_Toc282"/>
      <w:bookmarkEnd w:id="734"/>
      <w:r>
        <w:rPr>
          <w:rtl w:val="true"/>
        </w:rPr>
        <w:t>مشايخه من العامة</w:t>
      </w:r>
      <w:bookmarkEnd w:id="735"/>
    </w:p>
    <w:p>
      <w:pPr>
        <w:pStyle w:val="BookText"/>
        <w:rPr/>
      </w:pPr>
      <w:r>
        <w:rPr>
          <w:rFonts w:ascii="Amiri" w:hAnsi="Amiri" w:eastAsia="Amiri" w:cs="Amiri"/>
          <w:color w:val="111111"/>
          <w:sz w:val="28"/>
          <w:sz w:val="28"/>
          <w:szCs w:val="28"/>
          <w:rtl w:val="true"/>
          <w:lang w:bidi="ar-SA"/>
        </w:rPr>
        <w:t>مشايخه من العامة</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الحافظ أبو يحيى زكريا بن محمّد بن أحمد بن زكريا الأنصاريّ السُّنَيْكي ثم القاهريّ الأزهريّ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الإبانة الأنصاريّ</w:t>
      </w:r>
      <w:r>
        <w:rPr>
          <w:rFonts w:eastAsia="Amiri" w:cs="Amiri" w:ascii="Amiri" w:hAnsi="Amiri"/>
          <w:color w:val="111111"/>
          <w:sz w:val="28"/>
          <w:szCs w:val="28"/>
          <w:rtl w:val="true"/>
          <w:lang w:bidi="ar-SA"/>
        </w:rPr>
        <w:t xml:space="preserve">. </w:t>
      </w:r>
      <w:bookmarkStart w:id="736" w:name="pg10913_111243"/>
    </w:p>
    <w:p>
      <w:pPr>
        <w:pStyle w:val="BookText"/>
        <w:rPr/>
      </w:pPr>
      <w:bookmarkEnd w:id="73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بن يوسف بن أحمد الدمشقيّ البصرويّ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أبو المعالي محمّد بن محمّد بن أبي بكر بن عليّ بن مسعود بن 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Heading5"/>
        <w:numPr>
          <w:ilvl w:val="4"/>
          <w:numId w:val="1"/>
        </w:numPr>
        <w:rPr/>
      </w:pPr>
      <w:bookmarkStart w:id="737" w:name="__RefHeading___Toc3056984_2870459653"/>
      <w:bookmarkStart w:id="738" w:name="_Toc283"/>
      <w:bookmarkEnd w:id="737"/>
      <w:r>
        <w:rPr>
          <w:rtl w:val="true"/>
        </w:rPr>
        <w:t>مشايخه من الخاصّة</w:t>
      </w:r>
      <w:bookmarkEnd w:id="7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الشيخ عليّ بن هلال الجزائريّ</w:t>
      </w:r>
      <w:r>
        <w:rPr>
          <w:rStyle w:val="FootnoteAnchor"/>
          <w:rtl w:val="true"/>
        </w:rPr>
        <w:footnoteReference w:id="10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أجازه يوم الثلاثاء منتصف شهر رمضان من شهور سنة </w:t>
      </w:r>
      <w:r>
        <w:rPr>
          <w:rFonts w:eastAsia="Amiri" w:cs="Amiri" w:ascii="Amiri" w:hAnsi="Amiri"/>
          <w:color w:val="111111"/>
          <w:sz w:val="28"/>
          <w:szCs w:val="28"/>
          <w:lang w:bidi="ar-SA"/>
        </w:rPr>
        <w:t>909</w:t>
      </w:r>
      <w:r>
        <w:rPr>
          <w:rFonts w:ascii="Amiri" w:hAnsi="Amiri" w:eastAsia="Amiri" w:cs="Amiri"/>
          <w:color w:val="111111"/>
          <w:sz w:val="28"/>
          <w:sz w:val="28"/>
          <w:szCs w:val="28"/>
          <w:rtl w:val="true"/>
          <w:lang w:bidi="ar-SA"/>
        </w:rPr>
        <w:t>ﻫ</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شمس الدّين محمّد بن داود الشهير بابن المؤذّن الجزينيّ</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شمس الدين محمّد بن أحمد الصهيونيّ</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 xml:space="preserve">رأيت إجازة منه للشيخ عليّ بن عبد العالي العامليّ الميسيّ سنة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معجم البلدان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صهيوني نسبة إلى صهيون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أوّله ثمّ السكون، وياء مثناة من تحت مفتوحة، وواو ساكنة، وآخره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حصن حصين من أعمال سواحل بحر الشام من أعمال حمص</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شمس الدين محمّد بن محمّد بن خاتون</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وللمحقّق الكركيّ إجازة منه نقلها في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السّيد الأمين في 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المحقّق الكركيّ شريك الشيخ أحمد بن محمد بن خاتون في الإجازة عن والده محمّد بن خاتون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إبراهيم بن الحسن الورّاق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الدراق</w:t>
      </w:r>
      <w:r>
        <w:rPr>
          <w:rFonts w:eastAsia="Amiri" w:cs="Amiri" w:ascii="Amiri" w:hAnsi="Amiri"/>
          <w:color w:val="111111"/>
          <w:sz w:val="28"/>
          <w:szCs w:val="28"/>
          <w:rtl w:val="true"/>
          <w:lang w:bidi="ar-SA"/>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وقد عُدّ من جملة مشايخ المحقّق الكركيّ كلّ من الشيخ أحمد ابن الحاج عليّ العامليّ، والشيخ زين الدين جعفر ابن الحسام العامليّ</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لا شاهد عليه بحسب ما تتبّعت من المصادر، بل قد يكون الشاهد على خلافه؛ إذ إنَّ الشيخ محمّد بن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شيخ المحقّق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الشيخ أحمد ابن الحاج عليّ وهو يروي عن الشيخ جعفر ابن الحسام العامليّ، فكيف يروي المحقّق الكركيّ عن كلٍّ منهما مباشرةً </w:t>
      </w:r>
      <w:r>
        <w:rPr>
          <w:rStyle w:val="FootnoteAnchor"/>
          <w:rtl w:val="true"/>
        </w:rPr>
        <w:footnoteReference w:id="105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وأيضاً يمكن استفادة شبه ذلك من إجازة شمس الدين محمّد بن خاتون للمحقّق الكركيّ، حيث ذكر فيها أنَّه يروي عن الشيخ أحمد ابن الحاج عليّ عن شيخه جعفر ابن الحسام، وكذلك في إجازة المحقّق الكركيّ للشيخ حسين ابن شمس الدين محمّد الاسترآباديّ التي ذكر فيها أنَّه أجازه الرواية عنه عن الشيخ شمس الدين محمّد الصهيونيّ عن الشيخ جمال الدين ابن الحاج عليّ عن الشيخ زين الدين جعفر ابن الحسام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تكون رواية المحقّق الكركيّ عن الشيخ أحمد ابن الحاج عليّ بواسطة واحدة، وعن الشيخ جعفر ابن الحسام بواسطتين، ومعه يكون احتمال روايته عن كلّ منهما مباشرةً مرجوحاً لا سيما عن الشيخ جعفر ابن الحسام</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يقرب هذا أنَّه لم أعثر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تتبّعت في ضمن الموجود من الإجازات التي وقع اسم المحقّق الكركيّ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روى عن كلٍّ من الشيخين المذكورين مباشرةً</w:t>
      </w:r>
      <w:r>
        <w:rPr>
          <w:rFonts w:eastAsia="Amiri" w:cs="Amiri" w:ascii="Amiri" w:hAnsi="Amiri"/>
          <w:color w:val="111111"/>
          <w:sz w:val="28"/>
          <w:szCs w:val="28"/>
          <w:rtl w:val="true"/>
          <w:lang w:bidi="ar-SA"/>
        </w:rPr>
        <w:t xml:space="preserve">. </w:t>
      </w:r>
      <w:bookmarkStart w:id="739" w:name="pg10913_111249"/>
    </w:p>
    <w:p>
      <w:pPr>
        <w:pStyle w:val="Heading5"/>
        <w:numPr>
          <w:ilvl w:val="4"/>
          <w:numId w:val="1"/>
        </w:numPr>
        <w:rPr/>
      </w:pPr>
      <w:bookmarkStart w:id="740" w:name="__RefHeading___Toc3056986_2870459653"/>
      <w:bookmarkStart w:id="741" w:name="_Toc284"/>
      <w:bookmarkEnd w:id="739"/>
      <w:bookmarkEnd w:id="740"/>
      <w:r>
        <w:rPr>
          <w:rtl w:val="true"/>
        </w:rPr>
        <w:t>هجرته إلى العراق</w:t>
      </w:r>
      <w:bookmarkEnd w:id="741"/>
    </w:p>
    <w:p>
      <w:pPr>
        <w:pStyle w:val="Heading6"/>
        <w:numPr>
          <w:ilvl w:val="5"/>
          <w:numId w:val="1"/>
        </w:numPr>
        <w:rPr/>
      </w:pPr>
      <w:bookmarkStart w:id="742" w:name="__RefHeading___Toc3056988_2870459653"/>
      <w:bookmarkStart w:id="743" w:name="_Toc285"/>
      <w:bookmarkEnd w:id="742"/>
      <w:r>
        <w:rPr>
          <w:rtl w:val="true"/>
        </w:rPr>
        <w:t>اشارة</w:t>
      </w:r>
      <w:bookmarkEnd w:id="743"/>
    </w:p>
    <w:p>
      <w:pPr>
        <w:pStyle w:val="BookText"/>
        <w:rPr/>
      </w:pPr>
      <w:r>
        <w:rPr>
          <w:rFonts w:ascii="Amiri" w:hAnsi="Amiri" w:eastAsia="Amiri" w:cs="Amiri"/>
          <w:color w:val="111111"/>
          <w:sz w:val="28"/>
          <w:sz w:val="28"/>
          <w:szCs w:val="28"/>
          <w:rtl w:val="true"/>
          <w:lang w:bidi="ar-SA"/>
        </w:rPr>
        <w:t xml:space="preserve">هاجر إلى العراق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1053"/>
      </w:r>
      <w:r>
        <w:rPr>
          <w:rFonts w:ascii="IRNazanin" w:hAnsi="IRNazanin" w:eastAsia="IRNazanin"/>
          <w:color w:val="111111"/>
          <w:sz w:val="28"/>
          <w:sz w:val="28"/>
          <w:szCs w:val="28"/>
          <w:rtl w:val="true"/>
          <w:lang w:bidi="fa-IR"/>
        </w:rPr>
        <w:t xml:space="preserve">، فاستقرّ بجوار مرقد سيّد الأوصياء، وإمام الأتقياء، والنبأ العظيم المولى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النجف الأشرف مستفيداً من بركات هذا المرقد الشريف، الذي أصبح مهوىً لقلوب العلماء وعشّاق العلم، والمحقّق الكركيّ بما عرف عنه من الجِدّ والمثابرة في طلب العلم واحدٌ من الأعلام الذين أمّوا النجف للاستفادة من عطائها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والملاحظ أنَّ مدّة تواجده في النجف الأشرف كانت عبارة عن فترتين رئيسيتين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سنة </w:t>
      </w:r>
      <w:r>
        <w:rPr>
          <w:rFonts w:eastAsia="Amiri" w:cs="Amiri" w:ascii="Amiri" w:hAnsi="Amiri"/>
          <w:color w:val="111111"/>
          <w:sz w:val="28"/>
          <w:szCs w:val="28"/>
          <w:lang w:bidi="ar-SA"/>
        </w:rPr>
        <w:t>909</w:t>
      </w:r>
      <w:r>
        <w:rPr>
          <w:rFonts w:ascii="Amiri" w:hAnsi="Amiri" w:eastAsia="Amiri" w:cs="Amiri"/>
          <w:color w:val="111111"/>
          <w:sz w:val="28"/>
          <w:sz w:val="28"/>
          <w:szCs w:val="28"/>
          <w:rtl w:val="true"/>
          <w:lang w:bidi="ar-SA"/>
        </w:rPr>
        <w:t xml:space="preserve">ﻫإلى أواخر سنة </w:t>
      </w:r>
      <w:r>
        <w:rPr>
          <w:rFonts w:eastAsia="Amiri" w:cs="Amiri" w:ascii="Amiri" w:hAnsi="Amiri"/>
          <w:color w:val="111111"/>
          <w:sz w:val="28"/>
          <w:szCs w:val="28"/>
          <w:lang w:bidi="ar-SA"/>
        </w:rPr>
        <w:t>916</w:t>
      </w:r>
      <w:r>
        <w:rPr>
          <w:rFonts w:ascii="Amiri" w:hAnsi="Amiri" w:eastAsia="Amiri" w:cs="Amiri"/>
          <w:color w:val="111111"/>
          <w:sz w:val="28"/>
          <w:sz w:val="28"/>
          <w:szCs w:val="28"/>
          <w:rtl w:val="true"/>
          <w:lang w:bidi="ar-SA"/>
        </w:rPr>
        <w:t>ﻫحيث هاجر إلى إيران</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سنة </w:t>
      </w:r>
      <w:r>
        <w:rPr>
          <w:rFonts w:eastAsia="Amiri" w:cs="Amiri" w:ascii="Amiri" w:hAnsi="Amiri"/>
          <w:color w:val="111111"/>
          <w:sz w:val="28"/>
          <w:szCs w:val="28"/>
          <w:lang w:bidi="ar-SA"/>
        </w:rPr>
        <w:t>920</w:t>
      </w:r>
      <w:r>
        <w:rPr>
          <w:rFonts w:ascii="Amiri" w:hAnsi="Amiri" w:eastAsia="Amiri" w:cs="Amiri"/>
          <w:color w:val="111111"/>
          <w:sz w:val="28"/>
          <w:sz w:val="28"/>
          <w:szCs w:val="28"/>
          <w:rtl w:val="true"/>
          <w:lang w:bidi="ar-SA"/>
        </w:rPr>
        <w:t xml:space="preserve">ﻫإلى سنة </w:t>
      </w:r>
      <w:r>
        <w:rPr>
          <w:rFonts w:eastAsia="Amiri" w:cs="Amiri" w:ascii="Amiri" w:hAnsi="Amiri"/>
          <w:color w:val="111111"/>
          <w:sz w:val="28"/>
          <w:szCs w:val="28"/>
          <w:lang w:bidi="ar-SA"/>
        </w:rPr>
        <w:t>936</w:t>
      </w:r>
      <w:r>
        <w:rPr>
          <w:rFonts w:ascii="Amiri" w:hAnsi="Amiri" w:eastAsia="Amiri" w:cs="Amiri"/>
          <w:color w:val="111111"/>
          <w:sz w:val="28"/>
          <w:sz w:val="28"/>
          <w:szCs w:val="28"/>
          <w:rtl w:val="true"/>
          <w:lang w:bidi="ar-SA"/>
        </w:rPr>
        <w:t>ﻫحيث عاد إلى إيران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يقرب تواجده في النجف الأشرف في سنة </w:t>
      </w:r>
      <w:r>
        <w:rPr>
          <w:rFonts w:eastAsia="Amiri" w:cs="Amiri" w:ascii="Amiri" w:hAnsi="Amiri"/>
          <w:color w:val="111111"/>
          <w:sz w:val="28"/>
          <w:szCs w:val="28"/>
          <w:lang w:bidi="ar-SA"/>
        </w:rPr>
        <w:t>920</w:t>
      </w:r>
      <w:r>
        <w:rPr>
          <w:rFonts w:ascii="Amiri" w:hAnsi="Amiri" w:eastAsia="Amiri" w:cs="Amiri"/>
          <w:color w:val="111111"/>
          <w:sz w:val="28"/>
          <w:sz w:val="28"/>
          <w:szCs w:val="28"/>
          <w:rtl w:val="true"/>
          <w:lang w:bidi="ar-SA"/>
        </w:rPr>
        <w:t>ﻫشاهدين</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المتتبّع لكلماته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صلاة الجمعة التي ألّفها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921</w:t>
      </w:r>
      <w:r>
        <w:rPr>
          <w:rFonts w:ascii="Amiri" w:hAnsi="Amiri" w:eastAsia="Amiri" w:cs="Amiri"/>
          <w:color w:val="111111"/>
          <w:sz w:val="28"/>
          <w:sz w:val="28"/>
          <w:szCs w:val="28"/>
          <w:rtl w:val="true"/>
          <w:lang w:bidi="ar-SA"/>
        </w:rPr>
        <w:t>ﻫيجد بأنَّه ألَّفها في جوٍّ من الاختلاف الفقهيّ المستمر لزمن طويل، بحيث انعكس على الناس فأصبحوا كالحيارى لا يدرون ما يصنعون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والمحتمل قوياً أن تكون بيئة هذا الاختلاف هي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أنَّ الشيخ إبراهيم القطيفي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يعيش في النجف الأشرف ألّف رسالة في حرمة صلاة الجمعة ردّاً على المحقّق الكركيّ</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 xml:space="preserve">. </w:t>
      </w:r>
      <w:bookmarkStart w:id="744" w:name="pg10913_111251"/>
    </w:p>
    <w:p>
      <w:pPr>
        <w:pStyle w:val="BookText"/>
        <w:rPr/>
      </w:pPr>
      <w:bookmarkEnd w:id="744"/>
      <w:r>
        <w:rPr>
          <w:rFonts w:ascii="Amiri" w:hAnsi="Amiri" w:eastAsia="Amiri" w:cs="Amiri"/>
          <w:color w:val="111111"/>
          <w:sz w:val="28"/>
          <w:sz w:val="28"/>
          <w:szCs w:val="28"/>
          <w:rtl w:val="true"/>
          <w:lang w:bidi="ar-SA"/>
        </w:rPr>
        <w:t>وهذا الاحتمال يقوى بعد استبعاد أن يكون مثل هذا الاختلاف قد حدث أثناء تواجد المحقّق الكركيّ في إيران؛ لأنَّ زعامته العلميّة فيها كانت بلا منازع؛ إذ هو شيخ الإسلام، مضافاً إلى أنَّ الإفتاء بالوجوب التخييري وإقامة صلاة الجمعة لم يكن معاكساً لرغبة السلطان فلماذا يحصل الاختلاف إذاً؟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من أنَّ آخر تاريخ عثر عليه لتواجد المحقّق الكركيّ في إيران إبّان رحلته الأولى هو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919</w:t>
      </w:r>
      <w:r>
        <w:rPr>
          <w:rFonts w:ascii="Amiri" w:hAnsi="Amiri" w:eastAsia="Amiri" w:cs="Amiri"/>
          <w:color w:val="111111"/>
          <w:sz w:val="28"/>
          <w:sz w:val="28"/>
          <w:szCs w:val="28"/>
          <w:rtl w:val="true"/>
          <w:lang w:bidi="ar-SA"/>
        </w:rPr>
        <w:t xml:space="preserve">ﻫ، وهذا يؤشّر على عدم تواجده بعد هذا التاريخ فيها؛ إذ هو شخص معروف، ومؤثّر مهم في أحداث تلك الفترة، فمن البعيد عدم رصد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لوكان متواجداً في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لحركته في تلك الفترة</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ثَمَّ لا يصحّ ما في بعض الكتب من أنَّه عاد إلى النجف الأشرف بعد رحلته الأولى إلى إيران في سنة </w:t>
      </w:r>
      <w:r>
        <w:rPr>
          <w:rFonts w:eastAsia="Amiri" w:cs="Amiri" w:ascii="Amiri" w:hAnsi="Amiri"/>
          <w:color w:val="111111"/>
          <w:sz w:val="28"/>
          <w:szCs w:val="28"/>
          <w:lang w:bidi="ar-SA"/>
        </w:rPr>
        <w:t>929</w:t>
      </w:r>
      <w:r>
        <w:rPr>
          <w:rFonts w:ascii="Amiri" w:hAnsi="Amiri" w:eastAsia="Amiri" w:cs="Amiri"/>
          <w:color w:val="111111"/>
          <w:sz w:val="28"/>
          <w:sz w:val="28"/>
          <w:szCs w:val="28"/>
          <w:rtl w:val="true"/>
          <w:lang w:bidi="ar-SA"/>
        </w:rPr>
        <w:t>ﻫ، وسيأتي عند ذكر إجازاته في هذه الفترة ما نُصّ على أنَّه كتبها في المرقد المقدّس الغروي</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من سنة </w:t>
      </w:r>
      <w:r>
        <w:rPr>
          <w:rFonts w:eastAsia="Amiri" w:cs="Amiri" w:ascii="Amiri" w:hAnsi="Amiri"/>
          <w:color w:val="111111"/>
          <w:sz w:val="28"/>
          <w:szCs w:val="28"/>
          <w:lang w:bidi="ar-SA"/>
        </w:rPr>
        <w:t>939</w:t>
      </w:r>
      <w:r>
        <w:rPr>
          <w:rFonts w:ascii="Amiri" w:hAnsi="Amiri" w:eastAsia="Amiri" w:cs="Amiri"/>
          <w:color w:val="111111"/>
          <w:sz w:val="28"/>
          <w:sz w:val="28"/>
          <w:szCs w:val="28"/>
          <w:rtl w:val="true"/>
          <w:lang w:bidi="ar-SA"/>
        </w:rPr>
        <w:t xml:space="preserve">ﻫإلى حين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 xml:space="preserve">ﻫعلى المشهور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موجوداً في النجف الأشرف إلّا أنَّها فترة قصيرة نسبيّاً لم تحدّثنا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المتاحة بأيدينا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Heading6"/>
        <w:numPr>
          <w:ilvl w:val="5"/>
          <w:numId w:val="1"/>
        </w:numPr>
        <w:rPr/>
      </w:pPr>
      <w:bookmarkStart w:id="745" w:name="__RefHeading___Toc3056990_2870459653"/>
      <w:bookmarkStart w:id="746" w:name="_Toc286"/>
      <w:bookmarkEnd w:id="745"/>
      <w:r>
        <w:rPr/>
        <w:t>1</w:t>
      </w:r>
      <w:r>
        <w:rPr>
          <w:rtl w:val="true"/>
        </w:rPr>
        <w:t xml:space="preserve">. </w:t>
      </w:r>
      <w:r>
        <w:rPr>
          <w:rtl w:val="true"/>
        </w:rPr>
        <w:t xml:space="preserve">الفترة الأولى </w:t>
      </w:r>
      <w:r>
        <w:rPr>
          <w:rtl w:val="true"/>
        </w:rPr>
        <w:t>(</w:t>
      </w:r>
      <w:r>
        <w:rPr/>
        <w:t>909</w:t>
      </w:r>
      <w:r>
        <w:rPr>
          <w:rtl w:val="true"/>
        </w:rPr>
        <w:t xml:space="preserve"> - </w:t>
      </w:r>
      <w:r>
        <w:rPr/>
        <w:t>916</w:t>
      </w:r>
      <w:r>
        <w:rPr>
          <w:rtl w:val="true"/>
        </w:rPr>
        <w:t>ﻫ</w:t>
      </w:r>
      <w:r>
        <w:rPr>
          <w:rtl w:val="true"/>
        </w:rPr>
        <w:t>)</w:t>
      </w:r>
      <w:bookmarkEnd w:id="746"/>
    </w:p>
    <w:p>
      <w:pPr>
        <w:pStyle w:val="Heading6"/>
        <w:numPr>
          <w:ilvl w:val="5"/>
          <w:numId w:val="1"/>
        </w:numPr>
        <w:rPr/>
      </w:pPr>
      <w:bookmarkStart w:id="747" w:name="__RefHeading___Toc3056992_2870459653"/>
      <w:bookmarkStart w:id="748" w:name="_Toc287"/>
      <w:bookmarkEnd w:id="747"/>
      <w:r>
        <w:rPr>
          <w:rtl w:val="true"/>
        </w:rPr>
        <w:t>اشارة</w:t>
      </w:r>
      <w:bookmarkEnd w:id="748"/>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عثرت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التتبع القاصر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منجزاته في هذه الفترة أضعه في نقاط حسب التسلسل الزمني</w:t>
      </w:r>
      <w:r>
        <w:rPr>
          <w:rFonts w:eastAsia="Amiri" w:cs="Amiri" w:ascii="Amiri" w:hAnsi="Amiri"/>
          <w:color w:val="111111"/>
          <w:sz w:val="28"/>
          <w:szCs w:val="28"/>
          <w:rtl w:val="true"/>
          <w:lang w:bidi="ar-SA"/>
        </w:rPr>
        <w:t xml:space="preserve">: </w:t>
      </w:r>
      <w:bookmarkStart w:id="749" w:name="pg10913_111253"/>
    </w:p>
    <w:p>
      <w:pPr>
        <w:pStyle w:val="Heading6"/>
        <w:numPr>
          <w:ilvl w:val="5"/>
          <w:numId w:val="1"/>
        </w:numPr>
        <w:rPr/>
      </w:pPr>
      <w:bookmarkStart w:id="750" w:name="__RefHeading___Toc3056994_2870459653"/>
      <w:bookmarkStart w:id="751" w:name="_Toc288"/>
      <w:bookmarkEnd w:id="749"/>
      <w:bookmarkEnd w:id="750"/>
      <w:r>
        <w:rPr>
          <w:rtl w:val="true"/>
        </w:rPr>
        <w:t xml:space="preserve">أ </w:t>
      </w:r>
      <w:r>
        <w:rPr>
          <w:rtl w:val="true"/>
        </w:rPr>
        <w:t xml:space="preserve">- </w:t>
      </w:r>
      <w:r>
        <w:rPr>
          <w:rtl w:val="true"/>
        </w:rPr>
        <w:t>مستوى الحركة العلميّة</w:t>
      </w:r>
      <w:bookmarkEnd w:id="7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الآخر </w:t>
      </w:r>
      <w:r>
        <w:rPr>
          <w:rFonts w:eastAsia="Amiri" w:cs="Amiri" w:ascii="Amiri" w:hAnsi="Amiri"/>
          <w:color w:val="111111"/>
          <w:sz w:val="28"/>
          <w:szCs w:val="28"/>
          <w:lang w:bidi="ar-SA"/>
        </w:rPr>
        <w:t>916</w:t>
      </w:r>
      <w:r>
        <w:rPr>
          <w:rFonts w:ascii="Amiri" w:hAnsi="Amiri" w:eastAsia="Amiri" w:cs="Amiri"/>
          <w:color w:val="111111"/>
          <w:sz w:val="28"/>
          <w:sz w:val="28"/>
          <w:szCs w:val="28"/>
          <w:rtl w:val="true"/>
          <w:lang w:bidi="ar-SA"/>
        </w:rPr>
        <w:t>ﻫفرغ من تأليف الرسالة الرضاعيّة وذهب فيها إلى أنَّ عموم المنزلة لا يفيد نشر الحرمة، في ثلاث عشرة مسألة، ثمّ ذكر المسائل الثلاث الخلافيّة</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ربيع الآخر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 من تأليف قاطعة اللجاج في تحقيق حلّ الخراج، وقد رتّبها على مقدّمة في أقسام الأرضين وخمس مقالات</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المحتمل أن يكون خلال هذه الفترة قد شرع في تدريس بعض المتون الفقهيّة وربّما يكون قد ألّف بعض الكتب غير ما ذكر؛ فهو لم يترك الوطن والأهل ويهاجر إلى النجف إلّا وقد جعل الهدف الأسمى له وصوله إلى مراتب العلم العليا في هذه المدينة التي تزخر بالكثير من العلماء، ومثل هكذا أمر يوجب عليه السعي الحثيث في البحث العلمي، والاشتغال بالدرس والتدريس خصوصاً وأنَّه لم تكن لديه في تلك الفترة شواغل عن طلب العلم</w:t>
      </w:r>
      <w:r>
        <w:rPr>
          <w:rFonts w:eastAsia="Amiri" w:cs="Amiri" w:ascii="Amiri" w:hAnsi="Amiri"/>
          <w:color w:val="111111"/>
          <w:sz w:val="28"/>
          <w:szCs w:val="28"/>
          <w:rtl w:val="true"/>
          <w:lang w:bidi="ar-SA"/>
        </w:rPr>
        <w:t>.</w:t>
      </w:r>
    </w:p>
    <w:p>
      <w:pPr>
        <w:pStyle w:val="Heading6"/>
        <w:numPr>
          <w:ilvl w:val="5"/>
          <w:numId w:val="1"/>
        </w:numPr>
        <w:rPr/>
      </w:pPr>
      <w:bookmarkStart w:id="752" w:name="__RefHeading___Toc3056996_2870459653"/>
      <w:bookmarkStart w:id="753" w:name="_Toc289"/>
      <w:bookmarkEnd w:id="752"/>
      <w:r>
        <w:rPr>
          <w:rtl w:val="true"/>
        </w:rPr>
        <w:t xml:space="preserve">ب </w:t>
      </w:r>
      <w:r>
        <w:rPr>
          <w:rtl w:val="true"/>
        </w:rPr>
        <w:t xml:space="preserve">- </w:t>
      </w:r>
      <w:r>
        <w:rPr>
          <w:rtl w:val="true"/>
        </w:rPr>
        <w:t>مستوى الخدمات الاجتماعية</w:t>
      </w:r>
      <w:bookmarkEnd w:id="753"/>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تذكر مصادر ترجمته على وجه الخصوص الأعمال التي قام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خلال هذه الفترة إلّا أنَّه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ماضي النجف وحاضرها</w:t>
      </w:r>
      <w:r>
        <w:rPr>
          <w:rFonts w:eastAsia="Amiri" w:cs="Amiri" w:ascii="Amiri" w:hAnsi="Amiri"/>
          <w:color w:val="111111"/>
          <w:sz w:val="28"/>
          <w:szCs w:val="28"/>
          <w:rtl w:val="true"/>
          <w:lang w:bidi="ar-SA"/>
        </w:rPr>
        <w:t>)</w:t>
      </w:r>
      <w:r>
        <w:rPr>
          <w:rStyle w:val="FootnoteAnchor"/>
          <w:rtl w:val="true"/>
        </w:rPr>
        <w:footnoteReference w:id="1060"/>
      </w:r>
      <w:r>
        <w:rPr>
          <w:rFonts w:ascii="Amiri" w:hAnsi="Amiri" w:eastAsia="Amiri" w:cs="Amiri"/>
          <w:color w:val="111111"/>
          <w:sz w:val="28"/>
          <w:sz w:val="28"/>
          <w:szCs w:val="28"/>
          <w:rtl w:val="true"/>
          <w:lang w:bidi="ar-SA"/>
        </w:rPr>
        <w:t xml:space="preserve">أنَّ الشاه إسماعيل الأوّل الصفوي قد زار المراقد المقدّسة في العراق في عام </w:t>
      </w:r>
      <w:r>
        <w:rPr>
          <w:rFonts w:eastAsia="Amiri" w:cs="Amiri" w:ascii="Amiri" w:hAnsi="Amiri"/>
          <w:color w:val="111111"/>
          <w:sz w:val="28"/>
          <w:szCs w:val="28"/>
          <w:lang w:bidi="ar-SA"/>
        </w:rPr>
        <w:t>914</w:t>
      </w:r>
      <w:r>
        <w:rPr>
          <w:rFonts w:ascii="Amiri" w:hAnsi="Amiri" w:eastAsia="Amiri" w:cs="Amiri"/>
          <w:color w:val="111111"/>
          <w:sz w:val="28"/>
          <w:sz w:val="28"/>
          <w:szCs w:val="28"/>
          <w:rtl w:val="true"/>
          <w:lang w:bidi="ar-SA"/>
        </w:rPr>
        <w:t xml:space="preserve">ﻫومنها مرقد </w:t>
      </w:r>
    </w:p>
    <w:p>
      <w:pPr>
        <w:pStyle w:val="BookText"/>
        <w:rPr/>
      </w:pP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وحينها أمر بحفر نهر من الفرات إلى النجف سمّي فيما بعد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ولارتفاع مستوى أرض النجف عن باقي الأراضي أوصل الماء إليها عن طريق قناة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المحتمل جداً أنْ يكون للمحقّق الكركيّ دور في ذلك؛ حيث إنَّه عاش في النجف الأشرف وأحسّ بمعاناة أهلها من شربهم مياه الآبار المالحة أو المرّة، وشق نهرٍ لمسافة تزيد على السبعين كيلو متراً من الحلة إلى الكوفة بما يتطلّبه من إمكانات في تلك الأزمنة ليس بمقدور أحد توفيرها إلّا الملوك والسلاطين، ولا تدخل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المشاريع في صلب اهتمامهم إلا إذا شكّلت مصلحةً لهم أو طلبها مَن له مكانة عندهم، وليس هناك غير المحقّق الكركيّ المعروفة مكانته عند السلطان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يدعم هذا الاحتمال ما ذُكر في نفس الكتاب من أنَّ الشاه المذكور أوقف الأراضي المحياة على ضفّتي هذا النهر على المحقّق الكركيّ وعلى أولاده من بعده</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التصرّف في هذه الأراضي المعدودة من الأراضي الخراجية هو السبب الذي أدى بالبعض إلى الاعتراض وبشكل مستمر على المحقّق الكركيّ في تناوله لحاصل هذه الأراضي، ما حداه إلى تأليف رسالة قاطعة اللجاج في حِلّ الخراج سنة </w:t>
      </w:r>
      <w:r>
        <w:rPr>
          <w:rFonts w:eastAsia="Amiri" w:cs="Amiri" w:ascii="Amiri" w:hAnsi="Amiri"/>
          <w:color w:val="111111"/>
          <w:sz w:val="28"/>
          <w:szCs w:val="28"/>
          <w:lang w:bidi="ar-SA"/>
        </w:rPr>
        <w:t>916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وعباراته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مقدمتها تشير إلى ذلك</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 xml:space="preserve">. </w:t>
      </w:r>
      <w:bookmarkStart w:id="754" w:name="pg10913_111257"/>
    </w:p>
    <w:p>
      <w:pPr>
        <w:pStyle w:val="Heading6"/>
        <w:numPr>
          <w:ilvl w:val="5"/>
          <w:numId w:val="1"/>
        </w:numPr>
        <w:rPr/>
      </w:pPr>
      <w:bookmarkStart w:id="755" w:name="__RefHeading___Toc3056998_2870459653"/>
      <w:bookmarkStart w:id="756" w:name="_Toc290"/>
      <w:bookmarkEnd w:id="754"/>
      <w:bookmarkEnd w:id="755"/>
      <w:r>
        <w:rPr/>
        <w:t>2</w:t>
      </w:r>
      <w:r>
        <w:rPr>
          <w:rtl w:val="true"/>
        </w:rPr>
        <w:t xml:space="preserve">. </w:t>
      </w:r>
      <w:r>
        <w:rPr>
          <w:rtl w:val="true"/>
        </w:rPr>
        <w:t xml:space="preserve">الفترة الثانية </w:t>
      </w:r>
      <w:r>
        <w:rPr>
          <w:rtl w:val="true"/>
        </w:rPr>
        <w:t>(</w:t>
      </w:r>
      <w:r>
        <w:rPr/>
        <w:t>920</w:t>
      </w:r>
      <w:r>
        <w:rPr>
          <w:rtl w:val="true"/>
        </w:rPr>
        <w:t xml:space="preserve"> - </w:t>
      </w:r>
      <w:r>
        <w:rPr/>
        <w:t>936</w:t>
      </w:r>
      <w:r>
        <w:rPr>
          <w:rtl w:val="true"/>
        </w:rPr>
        <w:t xml:space="preserve"> </w:t>
      </w:r>
      <w:r>
        <w:rPr>
          <w:rtl w:val="true"/>
        </w:rPr>
        <w:t>ﻫ</w:t>
      </w:r>
      <w:r>
        <w:rPr>
          <w:rtl w:val="true"/>
        </w:rPr>
        <w:t>)</w:t>
      </w:r>
      <w:bookmarkEnd w:id="756"/>
    </w:p>
    <w:p>
      <w:pPr>
        <w:pStyle w:val="Heading6"/>
        <w:numPr>
          <w:ilvl w:val="5"/>
          <w:numId w:val="1"/>
        </w:numPr>
        <w:rPr/>
      </w:pPr>
      <w:bookmarkStart w:id="757" w:name="__RefHeading___Toc3057000_2870459653"/>
      <w:bookmarkStart w:id="758" w:name="_Toc291"/>
      <w:bookmarkEnd w:id="757"/>
      <w:r>
        <w:rPr>
          <w:rtl w:val="true"/>
        </w:rPr>
        <w:t>اشارة</w:t>
      </w:r>
      <w:bookmarkEnd w:id="758"/>
    </w:p>
    <w:p>
      <w:pPr>
        <w:pStyle w:val="BookText"/>
        <w:rPr/>
      </w:pPr>
      <w:r>
        <w:rPr>
          <w:rFonts w:ascii="Amiri" w:hAnsi="Amiri" w:eastAsia="Amiri" w:cs="Amiri"/>
          <w:color w:val="111111"/>
          <w:sz w:val="28"/>
          <w:sz w:val="28"/>
          <w:szCs w:val="28"/>
          <w:rtl w:val="true"/>
          <w:lang w:bidi="ar-SA"/>
        </w:rPr>
        <w:t xml:space="preserve">وهي فترة طويلة نسبيّاً ونجد فيها للمحقّق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نشاطاً غير عادي تمثّل في النقاط التالية حسب التسلسل الزمني</w:t>
      </w:r>
      <w:r>
        <w:rPr>
          <w:rFonts w:eastAsia="Amiri" w:cs="Amiri" w:ascii="Amiri" w:hAnsi="Amiri"/>
          <w:color w:val="111111"/>
          <w:sz w:val="28"/>
          <w:szCs w:val="28"/>
          <w:rtl w:val="true"/>
          <w:lang w:bidi="ar-SA"/>
        </w:rPr>
        <w:t>:</w:t>
      </w:r>
    </w:p>
    <w:p>
      <w:pPr>
        <w:pStyle w:val="Heading6"/>
        <w:numPr>
          <w:ilvl w:val="5"/>
          <w:numId w:val="1"/>
        </w:numPr>
        <w:rPr/>
      </w:pPr>
      <w:bookmarkStart w:id="759" w:name="__RefHeading___Toc3057002_2870459653"/>
      <w:bookmarkStart w:id="760" w:name="_Toc292"/>
      <w:bookmarkEnd w:id="759"/>
      <w:r>
        <w:rPr>
          <w:rtl w:val="true"/>
        </w:rPr>
        <w:t xml:space="preserve">أ </w:t>
      </w:r>
      <w:r>
        <w:rPr>
          <w:rtl w:val="true"/>
        </w:rPr>
        <w:t xml:space="preserve">- </w:t>
      </w:r>
      <w:r>
        <w:rPr>
          <w:rtl w:val="true"/>
        </w:rPr>
        <w:t>مستوى الممارسات الدينية</w:t>
      </w:r>
      <w:bookmarkEnd w:id="760"/>
    </w:p>
    <w:p>
      <w:pPr>
        <w:pStyle w:val="Heading6"/>
        <w:numPr>
          <w:ilvl w:val="5"/>
          <w:numId w:val="1"/>
        </w:numPr>
        <w:rPr/>
      </w:pPr>
      <w:bookmarkStart w:id="761" w:name="__RefHeading___Toc3057004_2870459653"/>
      <w:bookmarkStart w:id="762" w:name="_Toc293"/>
      <w:bookmarkEnd w:id="761"/>
      <w:r>
        <w:rPr>
          <w:rtl w:val="true"/>
        </w:rPr>
        <w:t>إقامته لصلاة الجمعة والجماعة</w:t>
      </w:r>
      <w:bookmarkEnd w:id="762"/>
    </w:p>
    <w:p>
      <w:pPr>
        <w:pStyle w:val="BookText"/>
        <w:rPr/>
      </w:pPr>
      <w:r>
        <w:rPr>
          <w:rFonts w:ascii="Amiri" w:hAnsi="Amiri" w:eastAsia="Amiri" w:cs="Amiri"/>
          <w:color w:val="111111"/>
          <w:sz w:val="28"/>
          <w:sz w:val="28"/>
          <w:szCs w:val="28"/>
          <w:rtl w:val="true"/>
          <w:lang w:bidi="ar-SA"/>
        </w:rPr>
        <w:t xml:space="preserve">فقد ذكر الشيخ آغا بزرك الطهراني نقلاً عن الشيخ محمّد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المحقّق الكركيّ كان يقيم صلاة الجمعة في مسجده الواقع على الجبل المسمّى بجبل النور 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المسجد هو المعروف اليوم بمسجد الطريحي</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 يكون شروعه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إقامة صلاة الجمعة في سنة </w:t>
      </w:r>
      <w:r>
        <w:rPr>
          <w:rFonts w:eastAsia="Amiri" w:cs="Amiri" w:ascii="Amiri" w:hAnsi="Amiri"/>
          <w:color w:val="111111"/>
          <w:sz w:val="28"/>
          <w:szCs w:val="28"/>
          <w:lang w:bidi="ar-SA"/>
        </w:rPr>
        <w:t>920</w:t>
      </w:r>
      <w:r>
        <w:rPr>
          <w:rFonts w:ascii="Amiri" w:hAnsi="Amiri" w:eastAsia="Amiri" w:cs="Amiri"/>
          <w:color w:val="111111"/>
          <w:sz w:val="28"/>
          <w:sz w:val="28"/>
          <w:szCs w:val="28"/>
          <w:rtl w:val="true"/>
          <w:lang w:bidi="ar-SA"/>
        </w:rPr>
        <w:t xml:space="preserve">ﻫ؛ حيث إنَّه فرغ من تأليفه لرسالته في صلاة الجمعة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921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Heading6"/>
        <w:numPr>
          <w:ilvl w:val="5"/>
          <w:numId w:val="1"/>
        </w:numPr>
        <w:rPr/>
      </w:pPr>
      <w:bookmarkStart w:id="763" w:name="__RefHeading___Toc3057006_2870459653"/>
      <w:bookmarkStart w:id="764" w:name="_Toc294"/>
      <w:bookmarkEnd w:id="763"/>
      <w:r>
        <w:rPr>
          <w:rtl w:val="true"/>
        </w:rPr>
        <w:t>ب</w:t>
      </w:r>
      <w:r>
        <w:rPr>
          <w:rtl w:val="true"/>
        </w:rPr>
        <w:t xml:space="preserve">. </w:t>
      </w:r>
      <w:r>
        <w:rPr>
          <w:rtl w:val="true"/>
        </w:rPr>
        <w:t>مستوى الكتابة والتأليف</w:t>
      </w:r>
      <w:bookmarkEnd w:id="7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6</w:t>
      </w:r>
      <w:r>
        <w:rPr>
          <w:rStyle w:val="FootnoteAnchor"/>
          <w:rtl w:val="true"/>
        </w:rPr>
        <w:footnoteReference w:id="1064"/>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ﻫفرغ من تأليف رسالة في صلاة الجمعة وانتهى فيها إلى أنَّها أفضل أفراد الواجب التخييري، ويتعيّن وجوبها مع الفقيه الجامع للشرائط بوصفه نائباً عن الإمام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933</w:t>
      </w:r>
      <w:r>
        <w:rPr>
          <w:rFonts w:ascii="Amiri" w:hAnsi="Amiri" w:eastAsia="Amiri" w:cs="Amiri"/>
          <w:color w:val="111111"/>
          <w:sz w:val="28"/>
          <w:sz w:val="28"/>
          <w:szCs w:val="28"/>
          <w:rtl w:val="true"/>
          <w:lang w:bidi="ar-SA"/>
        </w:rPr>
        <w:t xml:space="preserve">ﻫفرغ من تأليف رسالة السجود على التربة المشويّة التي ردّ فيها </w:t>
      </w:r>
    </w:p>
    <w:p>
      <w:pPr>
        <w:pStyle w:val="BookText"/>
        <w:rPr/>
      </w:pPr>
      <w:r>
        <w:rPr>
          <w:rFonts w:ascii="Amiri" w:hAnsi="Amiri" w:eastAsia="Amiri" w:cs="Amiri"/>
          <w:color w:val="111111"/>
          <w:sz w:val="28"/>
          <w:sz w:val="28"/>
          <w:szCs w:val="28"/>
          <w:rtl w:val="true"/>
          <w:lang w:bidi="ar-SA"/>
        </w:rPr>
        <w:t xml:space="preserve">على معاصره الشيخ إبراهيم القطيفي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من صحة السجود عليها</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جمادى الأولى سنة </w:t>
      </w:r>
      <w:r>
        <w:rPr>
          <w:rFonts w:eastAsia="Amiri" w:cs="Amiri" w:ascii="Amiri" w:hAnsi="Amiri"/>
          <w:color w:val="111111"/>
          <w:sz w:val="28"/>
          <w:szCs w:val="28"/>
          <w:lang w:bidi="ar-SA"/>
        </w:rPr>
        <w:t>935</w:t>
      </w:r>
      <w:r>
        <w:rPr>
          <w:rFonts w:ascii="Amiri" w:hAnsi="Amiri" w:eastAsia="Amiri" w:cs="Amiri"/>
          <w:color w:val="111111"/>
          <w:sz w:val="28"/>
          <w:sz w:val="28"/>
          <w:szCs w:val="28"/>
          <w:rtl w:val="true"/>
          <w:lang w:bidi="ar-SA"/>
        </w:rPr>
        <w:t>ﻫوصل في شرحه على قواعد الأحكام للعلّامة الحليّ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مبحث تفويض البضع من كتاب النكاح، ولم يتيسّر له إكماله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شروعه فيه في النجف الأشرف أيضاً</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ما عثر عليه منصوص التاريخ من مؤلفاته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الباقي فالمنصوص على أنَّه قد ألّفه في إيران كتابان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الجعفريّة في الصلاة ومقدّماتها من الطهارات وسائر الواجبات والمندوبات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فرغ من تأليفها بمشهد خراسان في وسط نهار الخميس العاشر من جمادى الثانية سنة </w:t>
      </w:r>
      <w:r>
        <w:rPr>
          <w:rFonts w:eastAsia="Amiri" w:cs="Amiri" w:ascii="Amiri" w:hAnsi="Amiri"/>
          <w:color w:val="111111"/>
          <w:sz w:val="28"/>
          <w:szCs w:val="28"/>
          <w:lang w:bidi="ar-SA"/>
        </w:rPr>
        <w:t>917</w:t>
      </w:r>
      <w:r>
        <w:rPr>
          <w:rFonts w:ascii="Amiri" w:hAnsi="Amiri" w:eastAsia="Amiri" w:cs="Amiri"/>
          <w:color w:val="111111"/>
          <w:sz w:val="28"/>
          <w:sz w:val="28"/>
          <w:szCs w:val="28"/>
          <w:rtl w:val="true"/>
          <w:lang w:bidi="ar-SA"/>
        </w:rPr>
        <w:t>ﻫ، كما في آخر نسخة خط المؤلّف الموجودة في الخزانة الرضوية</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نفحات اللاهوت في لعن الجبت والطاغوت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فرغ من تأليفه إمّا في ليلة </w:t>
      </w:r>
      <w:r>
        <w:rPr>
          <w:rFonts w:eastAsia="Amiri" w:cs="Amiri" w:ascii="Amiri" w:hAnsi="Amiri"/>
          <w:color w:val="111111"/>
          <w:sz w:val="28"/>
          <w:szCs w:val="28"/>
          <w:lang w:bidi="ar-SA"/>
        </w:rPr>
        <w:t>917</w:t>
      </w:r>
      <w:r>
        <w:rPr>
          <w:rFonts w:ascii="Amiri" w:hAnsi="Amiri" w:eastAsia="Amiri" w:cs="Amiri"/>
          <w:color w:val="111111"/>
          <w:sz w:val="28"/>
          <w:sz w:val="28"/>
          <w:szCs w:val="28"/>
          <w:rtl w:val="true"/>
          <w:lang w:bidi="ar-SA"/>
        </w:rPr>
        <w:t xml:space="preserve">ﻫأو يوم الجمعة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916</w:t>
      </w:r>
      <w:r>
        <w:rPr>
          <w:rFonts w:ascii="Amiri" w:hAnsi="Amiri" w:eastAsia="Amiri" w:cs="Amiri"/>
          <w:color w:val="111111"/>
          <w:sz w:val="28"/>
          <w:sz w:val="28"/>
          <w:szCs w:val="28"/>
          <w:rtl w:val="true"/>
          <w:lang w:bidi="ar-SA"/>
        </w:rPr>
        <w:t>ﻫفي مشهد خراسان</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الباقي من مؤلّفاته فالاحتمال الراجح أنَّه ألّفها في النجف الأشرف أيضاً، وذلك</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لاستبعاد وجود مؤلّف له قبل مجيئه إلى النجف الأشرف؛ إذ ليس على ذلك </w:t>
      </w:r>
      <w:bookmarkStart w:id="765" w:name="pg10913_111261"/>
    </w:p>
    <w:p>
      <w:pPr>
        <w:pStyle w:val="BookText"/>
        <w:rPr/>
      </w:pPr>
      <w:bookmarkEnd w:id="765"/>
      <w:r>
        <w:rPr>
          <w:rFonts w:ascii="Amiri" w:hAnsi="Amiri" w:eastAsia="Amiri" w:cs="Amiri"/>
          <w:color w:val="111111"/>
          <w:sz w:val="28"/>
          <w:sz w:val="28"/>
          <w:szCs w:val="28"/>
          <w:rtl w:val="true"/>
          <w:lang w:bidi="ar-SA"/>
        </w:rPr>
        <w:t>شاهد في كلمات من تعرّض لترجمته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فترة تواجده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إيران كانت بما يقرب من خمس سنوات لفترتين منفصلتين أي ما يقرب من سنتين ونصف في كلّ فترة، وهي فترة قصيرة نسبياًً إذا ما لوحظ معها انشغاله في كلٍّ من الفترتين بالترويج لمذهب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تلك البلاد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الفترة الأطول من تفرّغه للعلم كان قد قضاها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ملاحظة ما وصف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كثرة التحقيق والتأليف</w:t>
      </w:r>
      <w:r>
        <w:rPr>
          <w:rStyle w:val="FootnoteAnchor"/>
          <w:rtl w:val="true"/>
        </w:rPr>
        <w:footnoteReference w:id="1070"/>
      </w:r>
      <w:r>
        <w:rPr>
          <w:rFonts w:ascii="Amiri" w:hAnsi="Amiri" w:eastAsia="Amiri" w:cs="Amiri"/>
          <w:color w:val="111111"/>
          <w:sz w:val="28"/>
          <w:sz w:val="28"/>
          <w:szCs w:val="28"/>
          <w:rtl w:val="true"/>
          <w:lang w:bidi="ar-SA"/>
        </w:rPr>
        <w:t>يكون الاحتمال الأقرب أنَّ جلّ مؤلفاته إن لم نقل كلّها قد ألّفها في أثناء تواجده في مدينة النجف الأشرف عدا ما عُلِمَ تأليفه له في إيران</w:t>
      </w:r>
      <w:r>
        <w:rPr>
          <w:rFonts w:eastAsia="Amiri" w:cs="Amiri" w:ascii="Amiri" w:hAnsi="Amiri"/>
          <w:color w:val="111111"/>
          <w:sz w:val="28"/>
          <w:szCs w:val="28"/>
          <w:rtl w:val="true"/>
          <w:lang w:bidi="ar-SA"/>
        </w:rPr>
        <w:t>.</w:t>
      </w:r>
    </w:p>
    <w:p>
      <w:pPr>
        <w:pStyle w:val="Heading6"/>
        <w:numPr>
          <w:ilvl w:val="5"/>
          <w:numId w:val="1"/>
        </w:numPr>
        <w:rPr/>
      </w:pPr>
      <w:bookmarkStart w:id="766" w:name="__RefHeading___Toc3057008_2870459653"/>
      <w:bookmarkStart w:id="767" w:name="_Toc295"/>
      <w:bookmarkEnd w:id="766"/>
      <w:r>
        <w:rPr>
          <w:rtl w:val="true"/>
        </w:rPr>
        <w:t>ج</w:t>
      </w:r>
      <w:r>
        <w:rPr>
          <w:rtl w:val="true"/>
        </w:rPr>
        <w:t xml:space="preserve">. </w:t>
      </w:r>
      <w:r>
        <w:rPr>
          <w:rtl w:val="true"/>
        </w:rPr>
        <w:t>مستوى رعايته لتلاميذه بعقد مجالس الدرس والمذاكرة</w:t>
      </w:r>
      <w:bookmarkEnd w:id="767"/>
    </w:p>
    <w:p>
      <w:pPr>
        <w:pStyle w:val="BookText"/>
        <w:rPr/>
      </w:pPr>
      <w:r>
        <w:rPr>
          <w:rFonts w:ascii="Amiri" w:hAnsi="Amiri" w:eastAsia="Amiri" w:cs="Amiri"/>
          <w:color w:val="111111"/>
          <w:sz w:val="28"/>
          <w:sz w:val="28"/>
          <w:szCs w:val="28"/>
          <w:rtl w:val="true"/>
          <w:lang w:bidi="ar-SA"/>
        </w:rPr>
        <w:t>ويتجلّى ذلك من خلال عدد الإجازات الممنوحة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عبارات جملة منها تؤشر إلى طبيعة ومقدار الجهد العلمي المبذول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الفترة،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المظنون أنَّه في سنة </w:t>
      </w:r>
      <w:r>
        <w:rPr>
          <w:rFonts w:eastAsia="Amiri" w:cs="Amiri" w:ascii="Amiri" w:hAnsi="Amiri"/>
          <w:color w:val="111111"/>
          <w:sz w:val="28"/>
          <w:szCs w:val="28"/>
          <w:lang w:bidi="ar-SA"/>
        </w:rPr>
        <w:t>922</w:t>
      </w:r>
      <w:r>
        <w:rPr>
          <w:rFonts w:ascii="Amiri" w:hAnsi="Amiri" w:eastAsia="Amiri" w:cs="Amiri"/>
          <w:color w:val="111111"/>
          <w:sz w:val="28"/>
          <w:sz w:val="28"/>
          <w:szCs w:val="28"/>
          <w:rtl w:val="true"/>
          <w:lang w:bidi="ar-SA"/>
        </w:rPr>
        <w:t>ﻫأجاز الشيخ تاج الدين حسن ابن غياث الدين عبد الحميد الاسترآباديّ الجرجانيّ نزيل كاشان، وقد كتبها له في المشهد المقدّس الغرويّ بعد أن قرأ عليه كتاب الشرائع بكلا جزئيه، كما ذكر ذلك في طبقات أعلام الشيعة</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924</w:t>
      </w:r>
      <w:r>
        <w:rPr>
          <w:rFonts w:ascii="Amiri" w:hAnsi="Amiri" w:eastAsia="Amiri" w:cs="Amiri"/>
          <w:color w:val="111111"/>
          <w:sz w:val="28"/>
          <w:sz w:val="28"/>
          <w:szCs w:val="28"/>
          <w:rtl w:val="true"/>
          <w:lang w:bidi="ar-SA"/>
        </w:rPr>
        <w:t xml:space="preserve">ﻫأجاز الشيخ برهان الدين أبا إسحاق إبراهيم بن الشيخ زين الدين أبي الحسن عليّ ابن جمال الدين أبي يعقوب الحاج يوسف بن عليّ الخوانساريّ </w:t>
      </w:r>
    </w:p>
    <w:p>
      <w:pPr>
        <w:pStyle w:val="BookText"/>
        <w:rPr/>
      </w:pPr>
      <w:r>
        <w:rPr>
          <w:rFonts w:ascii="Amiri" w:hAnsi="Amiri" w:eastAsia="Amiri" w:cs="Amiri"/>
          <w:color w:val="111111"/>
          <w:sz w:val="28"/>
          <w:sz w:val="28"/>
          <w:szCs w:val="28"/>
          <w:rtl w:val="true"/>
          <w:lang w:bidi="ar-SA"/>
        </w:rPr>
        <w:t xml:space="preserve">الأصفهانيّ، وقد كتبها في المشهد المقدّس الغروي، وقد قرأ على المحقّق الكركيّ جملة من الكتب الفقهيّة إلّا أنَّ الإجازة المذكورة كانت بعدما شرع في كتاب كشف الغمّة للأربلي في الثاني عشر من ذي الحجة سنة </w:t>
      </w:r>
      <w:r>
        <w:rPr>
          <w:rFonts w:eastAsia="Amiri" w:cs="Amiri" w:ascii="Amiri" w:hAnsi="Amiri"/>
          <w:color w:val="111111"/>
          <w:sz w:val="28"/>
          <w:szCs w:val="28"/>
          <w:lang w:bidi="ar-SA"/>
        </w:rPr>
        <w:t>922</w:t>
      </w:r>
      <w:r>
        <w:rPr>
          <w:rFonts w:ascii="Amiri" w:hAnsi="Amiri" w:eastAsia="Amiri" w:cs="Amiri"/>
          <w:color w:val="111111"/>
          <w:sz w:val="28"/>
          <w:sz w:val="28"/>
          <w:szCs w:val="28"/>
          <w:rtl w:val="true"/>
          <w:lang w:bidi="ar-SA"/>
        </w:rPr>
        <w:t>ﻫ</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925</w:t>
      </w:r>
      <w:r>
        <w:rPr>
          <w:rFonts w:ascii="Amiri" w:hAnsi="Amiri" w:eastAsia="Amiri" w:cs="Amiri"/>
          <w:color w:val="111111"/>
          <w:sz w:val="28"/>
          <w:sz w:val="28"/>
          <w:szCs w:val="28"/>
          <w:rtl w:val="true"/>
          <w:lang w:bidi="ar-SA"/>
        </w:rPr>
        <w:t>ﻫأجاز الشيخ محمّد بن أبي طالب الاسترآبادي في النجف الأشرف</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الخير سنة </w:t>
      </w:r>
      <w:r>
        <w:rPr>
          <w:rFonts w:eastAsia="Amiri" w:cs="Amiri" w:ascii="Amiri" w:hAnsi="Amiri"/>
          <w:color w:val="111111"/>
          <w:sz w:val="28"/>
          <w:szCs w:val="28"/>
          <w:lang w:bidi="ar-SA"/>
        </w:rPr>
        <w:t>928</w:t>
      </w:r>
      <w:r>
        <w:rPr>
          <w:rFonts w:ascii="Amiri" w:hAnsi="Amiri" w:eastAsia="Amiri" w:cs="Amiri"/>
          <w:color w:val="111111"/>
          <w:sz w:val="28"/>
          <w:sz w:val="28"/>
          <w:szCs w:val="28"/>
          <w:rtl w:val="true"/>
          <w:lang w:bidi="ar-SA"/>
        </w:rPr>
        <w:t>ﻫأجاز الشيخ زين الدين بابا شيخ عليّ ابن العالم الشيخ مير حبيب الله ابن السلطان محمد الجزردانيّ، وقد كتبها له في النجف الأشرف، وقد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وبعد، فإنَّ الشيخ الفاضل العالم العامل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الملّة والدين بابا شيخ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إلى المشهد المقدّس الغرويّ، على مشرّفه الصّلاة والسّلام لتحصيل العلوم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فاختلط بهذا الكاتب الضعيف مدّة من الزمان وبرهة 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عليّ كتاب إرشاد الأذهان إلى أحكام الإيمان من أوّله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سماعاً معتبراً مهذّباً، في جمع من العلماء، ومحفل غاصّ بالفضلاء، 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 فضله وجودة فهمه وثقوب ذهنه</w:t>
      </w:r>
      <w:r>
        <w:rPr>
          <w:rFonts w:eastAsia="Amiri" w:cs="Amiri" w:ascii="Amiri" w:hAnsi="Amiri"/>
          <w:color w:val="111111"/>
          <w:sz w:val="28"/>
          <w:szCs w:val="28"/>
          <w:rtl w:val="true"/>
          <w:lang w:bidi="ar-SA"/>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جمادى الآخرة سنة </w:t>
      </w:r>
      <w:r>
        <w:rPr>
          <w:rFonts w:eastAsia="Amiri" w:cs="Amiri" w:ascii="Amiri" w:hAnsi="Amiri"/>
          <w:color w:val="111111"/>
          <w:sz w:val="28"/>
          <w:szCs w:val="28"/>
          <w:lang w:bidi="ar-SA"/>
        </w:rPr>
        <w:t>928</w:t>
      </w:r>
      <w:r>
        <w:rPr>
          <w:rFonts w:ascii="Amiri" w:hAnsi="Amiri" w:eastAsia="Amiri" w:cs="Amiri"/>
          <w:color w:val="111111"/>
          <w:sz w:val="28"/>
          <w:sz w:val="28"/>
          <w:szCs w:val="28"/>
          <w:rtl w:val="true"/>
          <w:lang w:bidi="ar-SA"/>
        </w:rPr>
        <w:t>ﻫأجاز الشيخ شهاب الدين أحمد ابن الشيخ الصالح محمّد بن أبي جامع العامليّ، كتبها له في المشهد المطهّر الغرويّ، وقد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الولد الصالح الفاضل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إلينا إلى المشهد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وانتظم في سلك </w:t>
      </w:r>
    </w:p>
    <w:p>
      <w:pPr>
        <w:pStyle w:val="BookText"/>
        <w:rPr/>
      </w:pPr>
      <w:r>
        <w:rPr>
          <w:rFonts w:ascii="Amiri" w:hAnsi="Amiri" w:eastAsia="Amiri" w:cs="Amiri"/>
          <w:color w:val="111111"/>
          <w:sz w:val="28"/>
          <w:sz w:val="28"/>
          <w:szCs w:val="28"/>
          <w:rtl w:val="true"/>
          <w:lang w:bidi="ar-SA"/>
        </w:rPr>
        <w:t>المجاورين بتلك البقعة المقدّسة برهة من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خلال ذلك قرأ على هذا الضعيف الكاتب لهذه الأحرف الرسالة المشهورة بالألفيّة في فقه الصلاة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أوّلها إلى آخرها مع نبذة من الحواشي التي جرى بها قلم هذا الضعيف في خلال مذاكرة بعض الطلبة، قراءةً شهدت بفضله وآذنت بنبله، وجودة استعداده</w:t>
      </w:r>
      <w:r>
        <w:rPr>
          <w:rFonts w:eastAsia="Amiri" w:cs="Amiri" w:ascii="Amiri" w:hAnsi="Amiri"/>
          <w:color w:val="111111"/>
          <w:sz w:val="28"/>
          <w:szCs w:val="28"/>
          <w:rtl w:val="true"/>
          <w:lang w:bidi="ar-SA"/>
        </w:rPr>
        <w:t>)</w:t>
      </w:r>
      <w:r>
        <w:rPr>
          <w:rStyle w:val="FootnoteAnchor"/>
          <w:rtl w:val="true"/>
        </w:rPr>
        <w:footnoteReference w:id="10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جمادى الآخرة سنة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ﻫأجاز الشيخ ضياء الدين عبد العليّ ابن نور الدين عليّ الاستراباديّ، الذي قرأ عليه كتاب إرشاد الأذهان إلى أحكام الإيمان للعلّامة، وحواشي المحقّق الكركيّ عليه، والجزء الأوَّل من كتاب الشرائع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26</w:t>
      </w:r>
      <w:r>
        <w:rPr>
          <w:rStyle w:val="FootnoteAnchor"/>
          <w:rtl w:val="true"/>
        </w:rPr>
        <w:footnoteReference w:id="1077"/>
      </w:r>
      <w:r>
        <w:rPr>
          <w:rFonts w:ascii="Amiri" w:hAnsi="Amiri" w:eastAsia="Amiri" w:cs="Amiri"/>
          <w:color w:val="111111"/>
          <w:sz w:val="28"/>
          <w:sz w:val="28"/>
          <w:szCs w:val="28"/>
          <w:rtl w:val="true"/>
          <w:lang w:bidi="ar-SA"/>
        </w:rPr>
        <w:t xml:space="preserve">من شهر رمضان سنة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ﻫأجاز الشيخ عبد العليّ ابن نور الدين أحمد ابن سعد الدين محمّد الاسترآباديّ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كتبها له بالمشهد المقدّس الغرويّ،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في خلال ذلك كلّه مشتغلاً بالخوض في علم الشريعة المطهّرة، فقرأ من بعض الكتب الفقهيّة شيئاً يسيراً، وسمع بقراءة غيره جملةً كثيرةً، فممّا سمعه كتاب إرشاد الأذهان إلى أحكام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أوّله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الخوض في حلّ أوائل الكتاب على وجه الكشف والتنقيح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سمع ما كتبته على الكتاب المذكور من الحواشي المشتملة على النكت والفوائد سمعاً معتبراً منقّحاً مهذّباً، وسمع أيضاً بقراءة غيره الجزء الأوَّل من كتاب شرائع الأحكام في مسائل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أيضاً غير ذلك</w:t>
      </w:r>
      <w:r>
        <w:rPr>
          <w:rFonts w:eastAsia="Amiri" w:cs="Amiri" w:ascii="Amiri" w:hAnsi="Amiri"/>
          <w:color w:val="111111"/>
          <w:sz w:val="28"/>
          <w:szCs w:val="28"/>
          <w:rtl w:val="true"/>
          <w:lang w:bidi="ar-SA"/>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931</w:t>
      </w:r>
      <w:r>
        <w:rPr>
          <w:rFonts w:ascii="Amiri" w:hAnsi="Amiri" w:eastAsia="Amiri" w:cs="Amiri"/>
          <w:color w:val="111111"/>
          <w:sz w:val="28"/>
          <w:sz w:val="28"/>
          <w:szCs w:val="28"/>
          <w:rtl w:val="true"/>
          <w:lang w:bidi="ar-SA"/>
        </w:rPr>
        <w:t>ﻫ أجاز الشيخ محمّد بن عبد الرحيم بن داود الاسترآباديّ في النجف الأشرف بعد أن أمضى المجاز في مجاورته للمرقد المقدّس الغرويّ فترة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أكثر هذه الأوقات حاضراً مجالس المذاكرة عند المحقّق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 خلال ذلك أيضاً كتاب إرشاد الأذهان إلى أحكام الإيمان للعلّامة الحلّيّ من أوله إلى إنهاء كتاب الأيمان، وكذلك كتاب شرائع الإسلام في مسائل الحلال والحرام للمحقّق الحلّيّ من كتاب النكاح إلى آخر الكتاب إلّا كتاب النذر سماعاً معتبراً محقّقاً يعدل القراءة</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931</w:t>
      </w:r>
      <w:r>
        <w:rPr>
          <w:rFonts w:ascii="Amiri" w:hAnsi="Amiri" w:eastAsia="Amiri" w:cs="Amiri"/>
          <w:color w:val="111111"/>
          <w:sz w:val="28"/>
          <w:sz w:val="28"/>
          <w:szCs w:val="28"/>
          <w:rtl w:val="true"/>
          <w:lang w:bidi="ar-SA"/>
        </w:rPr>
        <w:t>ﻫأجاز الشيخ أبا العباس أحمد ابن شمس الدين محمّد بن عليّ بن خاتون العامليّ وولديه نعمة الله عليّ وزين الدين جعفر، وقد كتبها لهم في المشهد المقدّس الغرويّ</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lang w:bidi="ar-SA"/>
        </w:rPr>
        <w:t>932</w:t>
      </w:r>
      <w:r>
        <w:rPr>
          <w:rFonts w:ascii="Amiri" w:hAnsi="Amiri" w:eastAsia="Amiri" w:cs="Amiri"/>
          <w:color w:val="111111"/>
          <w:sz w:val="28"/>
          <w:sz w:val="28"/>
          <w:szCs w:val="28"/>
          <w:rtl w:val="true"/>
          <w:lang w:bidi="ar-SA"/>
        </w:rPr>
        <w:t>ﻫأجاز الشيخ شرف الدين قاسم بن عذافة، وقد كتبها له على ظهر الجزء الأوَّل من الشرائع، بعد أن قرأ الشيخ شرف الدين قاسم نسخة من هذا الكتاب على المحقّق الكركيّ، فكتب بخطه الإجازة له، ويبدو أنَّها كانت في المشهد المقدس الغرويّ أيضاً</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 xml:space="preserve">. </w:t>
      </w:r>
      <w:bookmarkStart w:id="768" w:name="pg10913_111269"/>
    </w:p>
    <w:p>
      <w:pPr>
        <w:pStyle w:val="BookText"/>
        <w:rPr/>
      </w:pPr>
      <w:bookmarkEnd w:id="76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الشيخ شرف الدين يحيى ابن عزّ الدين حسين بن عثيرة بن ناصر البحراني نزيل يزد</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جمادى الآخرة سنة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ﻫأجاز الشيخ عليّ بن عبد العالي الميسي وولده الشيخ إبراهيم، في بغداد دار السلام</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ﻫأجاز الشيخ عليّ بن أحمد بن محمّد بن هلال الكركيّ المعروف بابن المنشار، في المشهد الغرويّ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من لفظ هذه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المنقولة قطعة منها في إجازة المجاز للمولى ملك شمس الدين محمد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المحقّق الكركيّ منحه هذه الإجازة بعد ما شرح وبيّن المقروء من مؤلفات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ﻫأجاز الشيخ نور الدين أبا القاسم عليّ بن عبد الصمد ابن الشيخ شمس الدين محمّد الجبعيّ العامليّ عمّ الشيخ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له بالغريّ على ظهر الرسالة الجعفريّة في فقه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تأليفه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أن قرأ عليه جملة منها، وسمع معظمها</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9" w:name="__RefHeading___Toc3057010_2870459653"/>
      <w:bookmarkStart w:id="770" w:name="_Toc296"/>
      <w:bookmarkEnd w:id="769"/>
      <w:r>
        <w:rPr>
          <w:rtl w:val="true"/>
        </w:rPr>
        <w:t>وفاته ومدفنه</w:t>
      </w:r>
      <w:bookmarkEnd w:id="770"/>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عمر تجاوز السبعين عاماً قضاها في خدمة الدين التحق 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bookmarkStart w:id="771" w:name="pg10913_111271"/>
    </w:p>
    <w:p>
      <w:pPr>
        <w:pStyle w:val="BookText"/>
        <w:rPr/>
      </w:pPr>
      <w:bookmarkEnd w:id="771"/>
      <w:r>
        <w:rPr>
          <w:rFonts w:ascii="Amiri" w:hAnsi="Amiri" w:eastAsia="Amiri" w:cs="Amiri"/>
          <w:color w:val="111111"/>
          <w:sz w:val="28"/>
          <w:sz w:val="28"/>
          <w:szCs w:val="28"/>
          <w:rtl w:val="true"/>
          <w:lang w:bidi="ar-SA"/>
        </w:rPr>
        <w:t xml:space="preserve">بالرفيق الأعلى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الرأي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موته ومدفنه في النجف الأشرف</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والملاحظ أنَّ مدفنه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معلوم بالتحديد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المصادر المتاحة بين أيدينا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المتداول بين معمّري النجف الأشرف أنَّ مدفنه في المزار المعروف اليوم بمزار بنات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،ويعضد ذلك بعضُ الدراسات التي صدرت مؤخّراً</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2" w:name="__RefHeading___Toc3057012_2870459653"/>
      <w:bookmarkStart w:id="773" w:name="_Toc297"/>
      <w:bookmarkEnd w:id="772"/>
      <w:r>
        <w:rPr/>
        <w:t>3</w:t>
      </w:r>
      <w:r>
        <w:rPr>
          <w:rtl w:val="true"/>
        </w:rPr>
        <w:t xml:space="preserve">. </w:t>
      </w:r>
      <w:r>
        <w:rPr>
          <w:rtl w:val="true"/>
        </w:rPr>
        <w:t xml:space="preserve">الشيخ محيي الدين بن أحمد بن تاج الدين الميسي </w:t>
      </w:r>
      <w:r>
        <w:rPr>
          <w:rtl w:val="true"/>
        </w:rPr>
        <w:t>(</w:t>
      </w:r>
      <w:r>
        <w:rPr>
          <w:rtl w:val="true"/>
        </w:rPr>
        <w:t>رحمة الله</w:t>
      </w:r>
      <w:r>
        <w:rPr>
          <w:rtl w:val="true"/>
        </w:rPr>
        <w:t>)</w:t>
      </w:r>
      <w:bookmarkEnd w:id="773"/>
    </w:p>
    <w:p>
      <w:pPr>
        <w:pStyle w:val="Heading5"/>
        <w:numPr>
          <w:ilvl w:val="4"/>
          <w:numId w:val="1"/>
        </w:numPr>
        <w:rPr/>
      </w:pPr>
      <w:bookmarkStart w:id="774" w:name="__RefHeading___Toc3057014_2870459653"/>
      <w:bookmarkStart w:id="775" w:name="_Toc298"/>
      <w:bookmarkEnd w:id="774"/>
      <w:r>
        <w:rPr>
          <w:rtl w:val="true"/>
        </w:rPr>
        <w:t>اشارة</w:t>
      </w:r>
      <w:bookmarkEnd w:id="775"/>
    </w:p>
    <w:p>
      <w:pPr>
        <w:pStyle w:val="BookText"/>
        <w:rPr/>
      </w:pPr>
      <w:r>
        <w:rPr>
          <w:rFonts w:ascii="Amiri" w:hAnsi="Amiri" w:eastAsia="Amiri" w:cs="Amiri"/>
          <w:color w:val="111111"/>
          <w:sz w:val="28"/>
          <w:sz w:val="28"/>
          <w:szCs w:val="28"/>
          <w:rtl w:val="true"/>
          <w:lang w:bidi="ar-SA"/>
        </w:rPr>
        <w:t xml:space="preserve">صرّح مؤلّف هذه الرسالة في خاتمتها أنَّه محيي الدين بن أحمد بن تاج الدين، وذكر أيضاً أنّه انتهى من كتابتها في شهر ذي الحجّة 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سبر مَن كان من علماء القرن العاشر لم نجد من يتسمّى بهذا الاسم غير الشيخ محيي الدين بن أحمد بن تاج الدين الميسيّ العامليّ</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ترجم له في أمل الآمل ورياض العلماء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فاضلاً عابداً، من تلامذة الشهيد الثاني</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وقع بهذا العنوان في جملة من الإجازات، كما في إجازته للمولى محمود بن محمّد ابن عليّ بن حمزة اللاهجاني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الجيلاني</w:t>
      </w:r>
      <w:r>
        <w:rPr>
          <w:rFonts w:eastAsia="Amiri" w:cs="Amiri" w:ascii="Amiri" w:hAnsi="Amiri"/>
          <w:color w:val="111111"/>
          <w:sz w:val="28"/>
          <w:szCs w:val="28"/>
          <w:rtl w:val="true"/>
          <w:lang w:bidi="ar-SA"/>
        </w:rPr>
        <w:t>)</w:t>
      </w:r>
      <w:r>
        <w:rPr>
          <w:rStyle w:val="FootnoteAnchor"/>
          <w:rtl w:val="true"/>
        </w:rPr>
        <w:footnoteReference w:id="1089"/>
      </w:r>
      <w:r>
        <w:rPr>
          <w:rFonts w:ascii="Amiri" w:hAnsi="Amiri" w:eastAsia="Amiri" w:cs="Amiri"/>
          <w:color w:val="111111"/>
          <w:sz w:val="28"/>
          <w:sz w:val="28"/>
          <w:szCs w:val="28"/>
          <w:rtl w:val="true"/>
          <w:lang w:bidi="ar-SA"/>
        </w:rPr>
        <w:t>تلميذ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إجازة المولى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الأمير صدر جهان</w:t>
      </w:r>
      <w:r>
        <w:rPr>
          <w:rStyle w:val="FootnoteAnchor"/>
          <w:rtl w:val="true"/>
        </w:rPr>
        <w:footnoteReference w:id="1090"/>
      </w:r>
      <w:r>
        <w:rPr>
          <w:rFonts w:ascii="Amiri" w:hAnsi="Amiri" w:eastAsia="Amiri" w:cs="Amiri"/>
          <w:color w:val="111111"/>
          <w:sz w:val="28"/>
          <w:sz w:val="28"/>
          <w:szCs w:val="28"/>
          <w:rtl w:val="true"/>
          <w:lang w:bidi="ar-SA"/>
        </w:rPr>
        <w:t xml:space="preserve">، وفي إجازة المولى محمود للسيّد عماد الدين عليّ بن السيّد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وصفه في الأولى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الفاضل التقي النقي الشيخ محيي الدين بن أحمد ابن تاج الدين الميسيّ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ووصفه في الثانية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عمدة العلماء والصالحين وزبدة الفقهاء والمتّقين الشيخ العالم العامل محيي الدين بن أحمد بن تاج الدين العامليّ الميسيّ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إجازة الشيخ نجيب الدين عليّ بن محمّد بن مكيّ بن عيسى بن حسن بن عيسى العامليّ الجبيليّ للسيّد عزّ الدين حسين بن حيدر الحسيني الكركيّ الواردة في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وعنّي عن أبي عن جدّي لأمّي الشيخ الأوحد محيي الدين الميسيّ عن الشيخ عليّ بن عبد العالي الميسيّ بطرقه</w:t>
      </w:r>
      <w:r>
        <w:rPr>
          <w:rFonts w:eastAsia="Amiri" w:cs="Amiri" w:ascii="Amiri" w:hAnsi="Amiri"/>
          <w:color w:val="111111"/>
          <w:sz w:val="28"/>
          <w:szCs w:val="28"/>
          <w:rtl w:val="true"/>
          <w:lang w:bidi="ar-SA"/>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ومحيي الدين الميسيّ وإن أمكن 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ما ذكر في أمل الآمل</w:t>
      </w:r>
      <w:r>
        <w:rPr>
          <w:rStyle w:val="FootnoteAnchor"/>
          <w:rtl w:val="true"/>
        </w:rPr>
        <w:footnoteReference w:id="1093"/>
      </w:r>
      <w:r>
        <w:rPr>
          <w:rFonts w:ascii="Amiri" w:hAnsi="Amiri" w:eastAsia="Amiri" w:cs="Amiri"/>
          <w:color w:val="111111"/>
          <w:sz w:val="28"/>
          <w:sz w:val="28"/>
          <w:szCs w:val="28"/>
          <w:rtl w:val="true"/>
          <w:lang w:bidi="ar-SA"/>
        </w:rPr>
        <w:t>ورياض العلماء</w:t>
      </w:r>
      <w:r>
        <w:rPr>
          <w:rStyle w:val="FootnoteAnchor"/>
          <w:rtl w:val="true"/>
        </w:rPr>
        <w:footnoteReference w:id="1094"/>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عنوانين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لمحيي الدين أحمد بن تاج الدين الميسيّ </w:t>
      </w:r>
    </w:p>
    <w:p>
      <w:pPr>
        <w:pStyle w:val="BookText"/>
        <w:rPr/>
      </w:pPr>
      <w:r>
        <w:rPr>
          <w:rFonts w:ascii="Amiri" w:hAnsi="Amiri" w:eastAsia="Amiri" w:cs="Amiri"/>
          <w:color w:val="111111"/>
          <w:sz w:val="28"/>
          <w:sz w:val="28"/>
          <w:szCs w:val="28"/>
          <w:rtl w:val="true"/>
          <w:lang w:bidi="ar-SA"/>
        </w:rPr>
        <w:t>العامليّ، والآخر لمحيي الدين بن أحمد بن تاج الدين الميسيّ العامليّ إلّا أنَّ المراد منه هنا هو الأخير؛ فإنَّه لو كان المراد منه الأوَّل لم يكتف بذكر محيي الدين الميسيّ مع فرض التعدُّد، بل كان عليه إضافة أحمد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محيي الدين أحمد الميسيّ لأجل التمييز بينه وبين الآخر الذي يكون محيي الدين اسمه لا لقبه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يعدّ مثل هذا قرينة على وحدة المعنون بهذين العنوانين؛ لأنَّه قد تقدّم النقل عن كتاب أمل الآمل أنَّ محيي الدين بن أحمد بن تاج الدين من تلامذة الشهيد الثاني، وفيه أيضاً أنَّ محيي الدين أحمد بن تاج الدين العامليّ الميسيّ استجاز منه مولانا محمود بن محمّد الكيلاني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اللاهجاني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فأجازه سنة </w:t>
      </w:r>
      <w:r>
        <w:rPr>
          <w:rFonts w:eastAsia="Amiri" w:cs="Amiri" w:ascii="Amiri" w:hAnsi="Amiri"/>
          <w:color w:val="111111"/>
          <w:sz w:val="28"/>
          <w:szCs w:val="28"/>
          <w:lang w:bidi="ar-SA"/>
        </w:rPr>
        <w:t>954</w:t>
      </w:r>
      <w:r>
        <w:rPr>
          <w:rFonts w:ascii="Amiri" w:hAnsi="Amiri" w:eastAsia="Amiri" w:cs="Amiri"/>
          <w:color w:val="111111"/>
          <w:sz w:val="28"/>
          <w:sz w:val="28"/>
          <w:szCs w:val="28"/>
          <w:rtl w:val="true"/>
          <w:lang w:bidi="ar-SA"/>
        </w:rPr>
        <w:t>ﻫ</w:t>
      </w:r>
      <w:r>
        <w:rPr>
          <w:rStyle w:val="FootnoteAnchor"/>
          <w:rtl w:val="true"/>
        </w:rPr>
        <w:footnoteReference w:id="1095"/>
      </w:r>
      <w:r>
        <w:rPr>
          <w:rFonts w:ascii="Amiri" w:hAnsi="Amiri" w:eastAsia="Amiri" w:cs="Amiri"/>
          <w:color w:val="111111"/>
          <w:sz w:val="28"/>
          <w:sz w:val="28"/>
          <w:szCs w:val="28"/>
          <w:rtl w:val="true"/>
          <w:lang w:bidi="ar-SA"/>
        </w:rPr>
        <w:t>، وهذا يعني أنَّ كلا العنوانين من طبقة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ويستبعد أن يوجد شخصان من طبقة واحدة، وكلاهما من تلامذة الشهيد الثاني</w:t>
      </w:r>
      <w:r>
        <w:rPr>
          <w:rStyle w:val="FootnoteAnchor"/>
          <w:rtl w:val="true"/>
        </w:rPr>
        <w:footnoteReference w:id="1096"/>
      </w:r>
      <w:r>
        <w:rPr>
          <w:rFonts w:ascii="Amiri" w:hAnsi="Amiri" w:eastAsia="Amiri" w:cs="Amiri"/>
          <w:color w:val="111111"/>
          <w:sz w:val="28"/>
          <w:sz w:val="28"/>
          <w:szCs w:val="28"/>
          <w:rtl w:val="true"/>
          <w:lang w:bidi="ar-SA"/>
        </w:rPr>
        <w:t>يطلق عليهما محيي الدين الميسيّ من دون ذكر ما يميّز أحدهما عن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يؤيّد الوحدة أنَّ الإجازة الممنوحة للمولى محمود بن محمّد اللاهجاني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الحائر على مشرّفه آلاف التحية والسّلام نقلها في البحار وكان المجيز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محيي الدين بن أحمد بن تاج الدين الميسيّ العامليّ</w:t>
      </w:r>
      <w:r>
        <w:rPr>
          <w:rFonts w:eastAsia="Amiri" w:cs="Amiri" w:ascii="Amiri" w:hAnsi="Amiri"/>
          <w:color w:val="111111"/>
          <w:sz w:val="28"/>
          <w:szCs w:val="28"/>
          <w:rtl w:val="true"/>
          <w:lang w:bidi="ar-SA"/>
        </w:rPr>
        <w:t>)</w:t>
      </w:r>
      <w:r>
        <w:rPr>
          <w:rStyle w:val="FootnoteAnchor"/>
          <w:rtl w:val="true"/>
        </w:rPr>
        <w:footnoteReference w:id="10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نقلها في رياض العلماء وكان المجيز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محيي الدين أحمد بن تاج الدين الميسيّ العامليّ</w:t>
      </w:r>
      <w:r>
        <w:rPr>
          <w:rFonts w:eastAsia="Amiri" w:cs="Amiri" w:ascii="Amiri" w:hAnsi="Amiri"/>
          <w:color w:val="111111"/>
          <w:sz w:val="28"/>
          <w:szCs w:val="28"/>
          <w:rtl w:val="true"/>
          <w:lang w:bidi="ar-SA"/>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والسيّد حسن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تكملة أمل الآمل وإن ترجم للاثنين إلّا أنَّ الأوصاف التي وصف بها كلا العنوانين تكاد تكون متّحدة</w:t>
      </w:r>
      <w:r>
        <w:rPr>
          <w:rStyle w:val="FootnoteAnchor"/>
          <w:rtl w:val="true"/>
        </w:rPr>
        <w:footnoteReference w:id="10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لهذا السبب أو لغيره استظهر الشيخ أغا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بينهما وإن ترجم لكلٍّ من العنوانين في طبقات أعلام الشيعة</w:t>
      </w:r>
      <w:r>
        <w:rPr>
          <w:rStyle w:val="FootnoteAnchor"/>
          <w:rtl w:val="true"/>
        </w:rPr>
        <w:footnoteReference w:id="1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السيّد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أعيان الشيعة فقد ترجم لمحيي الدين ابن أحمد بن تاج الدين الميسيّ العامليّ فقط</w:t>
      </w:r>
      <w:r>
        <w:rPr>
          <w:rStyle w:val="FootnoteAnchor"/>
          <w:rtl w:val="true"/>
        </w:rPr>
        <w:footnoteReference w:id="1101"/>
      </w:r>
      <w:r>
        <w:rPr>
          <w:rFonts w:ascii="Amiri" w:hAnsi="Amiri" w:eastAsia="Amiri" w:cs="Amiri"/>
          <w:color w:val="111111"/>
          <w:sz w:val="28"/>
          <w:sz w:val="28"/>
          <w:szCs w:val="28"/>
          <w:rtl w:val="true"/>
          <w:lang w:bidi="ar-SA"/>
        </w:rPr>
        <w:t>، وهذا يعني أنَّه يرى الوحدة بينهما وأنَّ العنوان الصحيح هو الذي يكون فيه محيي الدين اسماً لا لقباً</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يظهر من لفظ إجازة صاحب الترجمة للمولى محمود بن محمّد اللاهجاني المذكور أنَّه يروي عن جمعٍ</w:t>
      </w:r>
      <w:r>
        <w:rPr>
          <w:rFonts w:eastAsia="Amiri" w:cs="Amiri" w:ascii="Amiri" w:hAnsi="Amiri"/>
          <w:color w:val="111111"/>
          <w:sz w:val="28"/>
          <w:szCs w:val="28"/>
          <w:rtl w:val="true"/>
          <w:lang w:bidi="ar-SA"/>
        </w:rPr>
        <w:t xml:space="preserve">: </w:t>
      </w:r>
      <w:bookmarkStart w:id="776" w:name="pg10913_111279"/>
    </w:p>
    <w:p>
      <w:pPr>
        <w:pStyle w:val="BookText"/>
        <w:rPr/>
      </w:pPr>
      <w:bookmarkEnd w:id="776"/>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الجليل زين الدين الفقعاني المجاز من المحقّق الكركيّ</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شهاب الدين أحمد بن خاتون العيناثي</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عدّه في رياض العلماء ممّن يروي عن الشيخ عليّ بن عبد العالي الميسيّ</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مرّ آنفاً يظهر أنَّ ممّن يروي عن صاحب الترجمة هو المولى محمود بن محمّد اللاهجاني، وأيضاً الشيخ محمّد بن مكيّ بن عيسى العامليّ زوج ابنته وأبو سبطه الشيخ نجيب الدين</w:t>
      </w:r>
      <w:r>
        <w:rPr>
          <w:rFonts w:eastAsia="Amiri" w:cs="Amiri" w:ascii="Amiri" w:hAnsi="Amiri"/>
          <w:color w:val="111111"/>
          <w:sz w:val="28"/>
          <w:szCs w:val="28"/>
          <w:rtl w:val="true"/>
          <w:lang w:bidi="ar-SA"/>
        </w:rPr>
        <w:t>.</w:t>
      </w:r>
    </w:p>
    <w:p>
      <w:pPr>
        <w:pStyle w:val="Heading5"/>
        <w:numPr>
          <w:ilvl w:val="4"/>
          <w:numId w:val="1"/>
        </w:numPr>
        <w:rPr/>
      </w:pPr>
      <w:bookmarkStart w:id="777" w:name="__RefHeading___Toc3057016_2870459653"/>
      <w:bookmarkStart w:id="778" w:name="_Toc299"/>
      <w:bookmarkEnd w:id="777"/>
      <w:r>
        <w:rPr>
          <w:rtl w:val="true"/>
        </w:rPr>
        <w:t>وفاته</w:t>
      </w:r>
      <w:bookmarkEnd w:id="778"/>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حياً حتى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ﻫ؛ إذ قد أجاز المولى محمود بن محمّد اللاهجانيّ الأمير السيّد صدر جهان بنفس هذا التاريخ، وقد دعا للمترجم له فيها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عامله الله بلطفه الجلي والخفي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التعبير ممّا يستعمل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 للأحياء</w:t>
      </w:r>
      <w:r>
        <w:rPr>
          <w:rStyle w:val="FootnoteAnchor"/>
          <w:rtl w:val="true"/>
        </w:rPr>
        <w:footnoteReference w:id="1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يؤيّده ما ورد في البحار</w:t>
      </w:r>
      <w:r>
        <w:rPr>
          <w:rStyle w:val="FootnoteAnchor"/>
          <w:rtl w:val="true"/>
        </w:rPr>
        <w:footnoteReference w:id="1107"/>
      </w:r>
      <w:r>
        <w:rPr>
          <w:rFonts w:ascii="Amiri" w:hAnsi="Amiri" w:eastAsia="Amiri" w:cs="Amiri"/>
          <w:color w:val="111111"/>
          <w:sz w:val="28"/>
          <w:sz w:val="28"/>
          <w:szCs w:val="28"/>
          <w:rtl w:val="true"/>
          <w:lang w:bidi="ar-SA"/>
        </w:rPr>
        <w:t xml:space="preserve">من إجازة الشيخ إبراهيم بن علي بن عبد </w:t>
      </w:r>
      <w:bookmarkStart w:id="779" w:name="pg10913_111282"/>
    </w:p>
    <w:p>
      <w:pPr>
        <w:pStyle w:val="BookText"/>
        <w:rPr/>
      </w:pPr>
      <w:bookmarkEnd w:id="779"/>
      <w:r>
        <w:rPr>
          <w:rFonts w:ascii="Amiri" w:hAnsi="Amiri" w:eastAsia="Amiri" w:cs="Amiri"/>
          <w:color w:val="111111"/>
          <w:sz w:val="28"/>
          <w:sz w:val="28"/>
          <w:szCs w:val="28"/>
          <w:rtl w:val="true"/>
          <w:lang w:bidi="ar-SA"/>
        </w:rPr>
        <w:t xml:space="preserve">العالي الميسي لولده الشيخ عبد الكريم المؤرّخة في أوائل رمضان سنة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ﻫ، وهما من طبقة واحدة؛ لأنَّ كلّاً منهما يروي عن الشيخ عليّ بن عبد العالي الميسيّ والشهيد الثاني</w:t>
      </w:r>
      <w:r>
        <w:rPr>
          <w:rFonts w:eastAsia="Amiri" w:cs="Amiri" w:ascii="Amiri" w:hAnsi="Amiri"/>
          <w:color w:val="111111"/>
          <w:sz w:val="28"/>
          <w:szCs w:val="28"/>
          <w:rtl w:val="true"/>
          <w:lang w:bidi="ar-SA"/>
        </w:rPr>
        <w:t>.</w:t>
      </w:r>
    </w:p>
    <w:p>
      <w:pPr>
        <w:pStyle w:val="Heading3"/>
        <w:numPr>
          <w:ilvl w:val="2"/>
          <w:numId w:val="1"/>
        </w:numPr>
        <w:rPr/>
      </w:pPr>
      <w:bookmarkStart w:id="780" w:name="__RefHeading___Toc3057018_2870459653"/>
      <w:bookmarkStart w:id="781" w:name="_Toc300"/>
      <w:bookmarkEnd w:id="780"/>
      <w:r>
        <w:rPr>
          <w:rtl w:val="true"/>
        </w:rPr>
        <w:t>مواصفات النسخ المعتمدة</w:t>
      </w:r>
      <w:bookmarkEnd w:id="781"/>
    </w:p>
    <w:p>
      <w:pPr>
        <w:pStyle w:val="Heading4"/>
        <w:numPr>
          <w:ilvl w:val="3"/>
          <w:numId w:val="1"/>
        </w:numPr>
        <w:rPr/>
      </w:pPr>
      <w:bookmarkStart w:id="782" w:name="__RefHeading___Toc3057020_2870459653"/>
      <w:bookmarkStart w:id="783" w:name="_Toc301"/>
      <w:bookmarkEnd w:id="782"/>
      <w:r>
        <w:rPr>
          <w:rtl w:val="true"/>
        </w:rPr>
        <w:t>الرسالة الأولى</w:t>
      </w:r>
      <w:bookmarkEnd w:id="783"/>
    </w:p>
    <w:p>
      <w:pPr>
        <w:pStyle w:val="BookText"/>
        <w:rPr/>
      </w:pPr>
      <w:r>
        <w:rPr>
          <w:rFonts w:ascii="Amiri" w:hAnsi="Amiri" w:eastAsia="Amiri" w:cs="Amiri"/>
          <w:color w:val="111111"/>
          <w:sz w:val="28"/>
          <w:sz w:val="28"/>
          <w:szCs w:val="28"/>
          <w:rtl w:val="true"/>
          <w:lang w:bidi="ar-SA"/>
        </w:rPr>
        <w:t xml:space="preserve">حاشيةٌ على عبارة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عند إنسان لميّت مال وديعة، ويعلم استقرار الحجّ في ذمّته</w:t>
      </w:r>
      <w:r>
        <w:rPr>
          <w:rFonts w:eastAsia="Amiri" w:cs="Amiri" w:ascii="Amiri" w:hAnsi="Amiri"/>
          <w:color w:val="111111"/>
          <w:sz w:val="28"/>
          <w:szCs w:val="28"/>
          <w:rtl w:val="true"/>
          <w:lang w:bidi="ar-SA"/>
        </w:rPr>
        <w:t>...</w:t>
      </w:r>
    </w:p>
    <w:p>
      <w:pPr>
        <w:pStyle w:val="Heading4"/>
        <w:numPr>
          <w:ilvl w:val="3"/>
          <w:numId w:val="1"/>
        </w:numPr>
        <w:rPr/>
      </w:pPr>
      <w:bookmarkStart w:id="784" w:name="__RefHeading___Toc3057022_2870459653"/>
      <w:bookmarkStart w:id="785" w:name="_Toc302"/>
      <w:bookmarkEnd w:id="784"/>
      <w:r>
        <w:rPr>
          <w:rtl w:val="true"/>
        </w:rPr>
        <w:t>الرسالة الثانية</w:t>
      </w:r>
      <w:bookmarkEnd w:id="785"/>
    </w:p>
    <w:p>
      <w:pPr>
        <w:pStyle w:val="BookText"/>
        <w:rPr/>
      </w:pPr>
      <w:r>
        <w:rPr>
          <w:rFonts w:ascii="Amiri" w:hAnsi="Amiri" w:eastAsia="Amiri" w:cs="Amiri"/>
          <w:color w:val="111111"/>
          <w:sz w:val="28"/>
          <w:sz w:val="28"/>
          <w:szCs w:val="28"/>
          <w:rtl w:val="true"/>
          <w:lang w:bidi="ar-SA"/>
        </w:rPr>
        <w:t>جواب مسألة عن حكم القرية الواقعة ببلاد استرآباد هل إنَّها مفتوحة عنوة أو لا؟</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الرسالتان كُتبتا ضمن فوائد نفيسة في أوائل نسخة الجزء الأوّل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الإسلام في مسائل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الحلّيّ، جعفر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الأوراق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ظ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والفوائد بعضها بخطِّ الناسخ وبعضها بخطّ المحقّق الكركيّ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موجودة في مكتبة الإمام الحكيم العامّة، الرقم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النسخة والفوائد تلميذ المحقّق الكركيّ والمجاز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عبد الرحيم بن داود بن محمّد الاسترآباديّ، بتاريخ عصر يوم الأحد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lang w:bidi="ar-SA"/>
        </w:rPr>
        <w:t>929</w:t>
      </w:r>
      <w:r>
        <w:rPr>
          <w:rFonts w:ascii="Amiri" w:hAnsi="Amiri" w:eastAsia="Amiri" w:cs="Amiri"/>
          <w:color w:val="111111"/>
          <w:sz w:val="28"/>
          <w:sz w:val="28"/>
          <w:szCs w:val="28"/>
          <w:rtl w:val="true"/>
          <w:lang w:bidi="ar-SA"/>
        </w:rPr>
        <w:t xml:space="preserve">ﻫفي مشهد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كتبها على نسخة مصحّحة عليها إجازات المجتهدين وأمارات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وتقع الرسالة الأولى في ظهر الورقة الثالثة من النسخة، نقلها الناسخ من خطّ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والسائل له هو السيّد تاج الدين حسن ابن المرحوم عماد الدين الحسينيّ الاسترآباديّ، كتبها بتاريخ ليلة الأربعاء أواخر جمادى الآخرة سنة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وقابلها مرّتين مع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والرسالة هذه لم تُذكر في الذريعة</w:t>
      </w:r>
      <w:r>
        <w:rPr>
          <w:rFonts w:eastAsia="Amiri" w:cs="Amiri" w:ascii="Amiri" w:hAnsi="Amiri"/>
          <w:color w:val="111111"/>
          <w:sz w:val="28"/>
          <w:szCs w:val="28"/>
          <w:rtl w:val="true"/>
          <w:lang w:bidi="ar-SA"/>
        </w:rPr>
        <w:t xml:space="preserve">. </w:t>
      </w:r>
      <w:bookmarkStart w:id="786" w:name="pg10913_111284"/>
    </w:p>
    <w:p>
      <w:pPr>
        <w:pStyle w:val="BookText"/>
        <w:rPr/>
      </w:pPr>
      <w:bookmarkEnd w:id="786"/>
      <w:r>
        <w:rPr>
          <w:rFonts w:ascii="Amiri" w:hAnsi="Amiri" w:eastAsia="Amiri" w:cs="Amiri"/>
          <w:color w:val="111111"/>
          <w:sz w:val="28"/>
          <w:sz w:val="28"/>
          <w:szCs w:val="28"/>
          <w:rtl w:val="true"/>
          <w:lang w:bidi="ar-SA"/>
        </w:rPr>
        <w:t>وتقع الرسالة الثانية في ظهر الورقة الثانية من النسخة المذكورة، وقياس النسخة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4"/>
        <w:numPr>
          <w:ilvl w:val="3"/>
          <w:numId w:val="1"/>
        </w:numPr>
        <w:rPr/>
      </w:pPr>
      <w:bookmarkStart w:id="787" w:name="__RefHeading___Toc3057024_2870459653"/>
      <w:bookmarkStart w:id="788" w:name="_Toc303"/>
      <w:bookmarkEnd w:id="787"/>
      <w:r>
        <w:rPr>
          <w:rtl w:val="true"/>
        </w:rPr>
        <w:t>الرسالة الثالثة</w:t>
      </w:r>
      <w:bookmarkEnd w:id="788"/>
    </w:p>
    <w:p>
      <w:pPr>
        <w:pStyle w:val="BookText"/>
        <w:rPr/>
      </w:pPr>
      <w:r>
        <w:rPr>
          <w:rFonts w:ascii="Amiri" w:hAnsi="Amiri" w:eastAsia="Amiri" w:cs="Amiri"/>
          <w:color w:val="111111"/>
          <w:sz w:val="28"/>
          <w:sz w:val="28"/>
          <w:szCs w:val="28"/>
          <w:rtl w:val="true"/>
          <w:lang w:bidi="ar-SA"/>
        </w:rPr>
        <w:t>جواب المحقّق الكركيّ حول قول 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العلماء كافّة على وجوب معرفة الله تعالى وصفاته الثبوتيّة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في حاشية الورقة الثالثة من نسخة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 يوم الحشر في شرح 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للفاضل المقداد، مقداد بن عبد الله السيوريّ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كتبها ناصر الدين محمّد بن محمّد الشاميّ بتاريخ يوم الثلاثاء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سنة </w:t>
      </w:r>
      <w:r>
        <w:rPr>
          <w:rFonts w:eastAsia="Amiri" w:cs="Amiri" w:ascii="Amiri" w:hAnsi="Amiri"/>
          <w:color w:val="111111"/>
          <w:sz w:val="28"/>
          <w:szCs w:val="28"/>
          <w:lang w:bidi="ar-SA"/>
        </w:rPr>
        <w:t>968</w:t>
      </w:r>
      <w:r>
        <w:rPr>
          <w:rFonts w:ascii="Amiri" w:hAnsi="Amiri" w:eastAsia="Amiri" w:cs="Amiri"/>
          <w:color w:val="111111"/>
          <w:sz w:val="28"/>
          <w:sz w:val="28"/>
          <w:szCs w:val="28"/>
          <w:rtl w:val="true"/>
          <w:lang w:bidi="ar-SA"/>
        </w:rPr>
        <w:t xml:space="preserve">ﻫفي مدينة السلام بغداد، والنسخة موجودة في مكتبة مخطوطات مدرسة الإمام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وقياس النسخة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4"/>
        <w:numPr>
          <w:ilvl w:val="3"/>
          <w:numId w:val="1"/>
        </w:numPr>
        <w:rPr/>
      </w:pPr>
      <w:bookmarkStart w:id="789" w:name="__RefHeading___Toc3057026_2870459653"/>
      <w:bookmarkStart w:id="790" w:name="_Toc304"/>
      <w:bookmarkEnd w:id="789"/>
      <w:r>
        <w:rPr>
          <w:rtl w:val="true"/>
        </w:rPr>
        <w:t>الرسالة الرابعة</w:t>
      </w:r>
      <w:bookmarkEnd w:id="790"/>
    </w:p>
    <w:p>
      <w:pPr>
        <w:pStyle w:val="BookText"/>
        <w:rPr/>
      </w:pPr>
      <w:r>
        <w:rPr>
          <w:rFonts w:ascii="Amiri" w:hAnsi="Amiri" w:eastAsia="Amiri" w:cs="Amiri"/>
          <w:color w:val="111111"/>
          <w:sz w:val="28"/>
          <w:sz w:val="28"/>
          <w:szCs w:val="28"/>
          <w:rtl w:val="true"/>
          <w:lang w:bidi="ar-SA"/>
        </w:rPr>
        <w:t xml:space="preserve">رسالة في أحكام الصداق، بقلم الشيخ محيي الدين بن أحمد بن تاج الدين العامليّ الميسيّ كتبها في المشهد المقدّس الرضوي سنة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مؤلّفها وإن لم يصرّح بذلك؛ لأنَّ احتمال أن يكون محيي الدين بن أحمد ابن تاج الدين ناسخاً لها لا مؤلّفاً ضعيف؛ فإنَّه توجد قرائن في باقي رسائل المجموعة الواردة فيها هذه الرسالة تدلّ على أنَّه ناسخ لا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رسالتنا فلا توجد مثل هذه القرائن فيها ما يعني أنَّه مؤلف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وتقع ضمن مجموعة محفوظة في مكتبة ملّي في طهران تحمل الرقم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والرقم السابق لها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2152</w:t>
      </w:r>
      <w:r>
        <w:rPr>
          <w:rFonts w:ascii="Amiri" w:hAnsi="Amiri" w:eastAsia="Amiri" w:cs="Amiri"/>
          <w:color w:val="111111"/>
          <w:sz w:val="28"/>
          <w:sz w:val="28"/>
          <w:szCs w:val="28"/>
          <w:rtl w:val="true"/>
          <w:lang w:bidi="ar-SA"/>
        </w:rPr>
        <w:t>، 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تفاصيل المجموعة في الجزء الثالث عشر من فهرس مخطوطات مكتبة ملّي</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وتحتوي على أربعة كتب، وهي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أحكام الصداق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المقاصد العليّة في شرح الرسالة الألفيّة للشهيد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نتائج الأفكار في حكم المقيمين في الأسفار للشهيد الثاني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تيقّن الطهارة والحدث والشك في السابق للشهيد الثاني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خط المجموعة كلّها هو النسخ والتعليق، وتاريخ كتابتها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كما أنّها جميعها بقلم الشيخ محيي الدين بن أحمد بن تاج الدين العامليّ الميسي إلّا صفحات قلیلة ضاعت واستکتبت من مخطوط آخر و ألحقت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وعدد أوراقها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فيها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وأبعاد الورقة </w:t>
      </w:r>
      <w:r>
        <w:rPr>
          <w:rFonts w:eastAsia="Amiri" w:cs="Amiri" w:ascii="Amiri" w:hAnsi="Amiri"/>
          <w:color w:val="111111"/>
          <w:sz w:val="28"/>
          <w:szCs w:val="28"/>
          <w:lang w:bidi="ar-SA"/>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الأوراق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بيضوي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بن محمّد تقي الموسوي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الروضات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ظهر الورقة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بيضوي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النسخة حواش عدّة بعضها بخط كاتب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الورقة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ظ ذكر مطلب في مسألة البداء لمحمد شفيع المشهدي</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الورقة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رواية عن خطّ الشهيد حول علّة التكبيرات الثلاث مع روايتين أخريين</w:t>
      </w:r>
      <w:r>
        <w:rPr>
          <w:rFonts w:eastAsia="Amiri" w:cs="Amiri" w:ascii="Amiri" w:hAnsi="Amiri"/>
          <w:color w:val="111111"/>
          <w:sz w:val="28"/>
          <w:szCs w:val="28"/>
          <w:rtl w:val="true"/>
          <w:lang w:bidi="ar-SA"/>
        </w:rPr>
        <w:t xml:space="preserve">. </w:t>
      </w:r>
      <w:bookmarkStart w:id="791" w:name="pg10913_111287"/>
    </w:p>
    <w:p>
      <w:pPr>
        <w:pStyle w:val="Heading3"/>
        <w:numPr>
          <w:ilvl w:val="2"/>
          <w:numId w:val="1"/>
        </w:numPr>
        <w:rPr/>
      </w:pPr>
      <w:bookmarkStart w:id="792" w:name="__RefHeading___Toc3057028_2870459653"/>
      <w:bookmarkStart w:id="793" w:name="_Toc305"/>
      <w:bookmarkEnd w:id="791"/>
      <w:bookmarkEnd w:id="792"/>
      <w:r>
        <w:rPr>
          <w:rtl w:val="true"/>
        </w:rPr>
        <w:t>عملنا في التحقيق</w:t>
      </w:r>
      <w:bookmarkEnd w:id="793"/>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حروف النّصّ، وضبطه، ومطابقته مع الأصل، وتقطيعه، ووضع علامات الترقيم، وإضافة عناوين للفروع والمسائل بين معقوفين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الآيات الكريمة، والأحاديث الشريفة بإرجاعها إلى مصادرها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الأقوال الفقهيّة والأصوليّة وغيرها من مصادرها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أتممناه من موارد الخرم إمّا استفدناه من مراجعة المصادر الأخرى مع الإشارة إليها في الهامش، أو إضافة منّا بحسب السياق، وجعلنا كلّ ذلك بين معقوفين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فهارس لمصادر التحقيق</w:t>
      </w:r>
      <w:r>
        <w:rPr>
          <w:rFonts w:eastAsia="Amiri" w:cs="Amiri" w:ascii="Amiri" w:hAnsi="Amiri"/>
          <w:color w:val="111111"/>
          <w:sz w:val="28"/>
          <w:szCs w:val="28"/>
          <w:rtl w:val="true"/>
          <w:lang w:bidi="ar-SA"/>
        </w:rPr>
        <w:t>.</w:t>
      </w:r>
    </w:p>
    <w:p>
      <w:pPr>
        <w:pStyle w:val="Heading3"/>
        <w:numPr>
          <w:ilvl w:val="2"/>
          <w:numId w:val="1"/>
        </w:numPr>
        <w:rPr/>
      </w:pPr>
      <w:bookmarkStart w:id="794" w:name="__RefHeading___Toc3057030_2870459653"/>
      <w:bookmarkStart w:id="795" w:name="_Toc306"/>
      <w:bookmarkEnd w:id="794"/>
      <w:r>
        <w:rPr>
          <w:rtl w:val="true"/>
        </w:rPr>
        <w:t>شكر وثناء</w:t>
      </w:r>
      <w:bookmarkEnd w:id="795"/>
    </w:p>
    <w:p>
      <w:pPr>
        <w:pStyle w:val="BookText"/>
        <w:rPr/>
      </w:pPr>
      <w:r>
        <w:rPr>
          <w:rFonts w:ascii="Amiri" w:hAnsi="Amiri" w:eastAsia="Amiri" w:cs="Amiri"/>
          <w:color w:val="111111"/>
          <w:sz w:val="28"/>
          <w:sz w:val="28"/>
          <w:szCs w:val="28"/>
          <w:rtl w:val="true"/>
          <w:lang w:bidi="ar-SA"/>
        </w:rPr>
        <w:t>وفي الختام بعد شكر الله تعالى على عظيم مننه ونعمائه أتقدّم بوافر الشكر وعظيم الامتنان إلى إدارة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الإمام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ومكتبة مخطوطات مدرسة الإمام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،ومكتبة ملّي في طهران لتفضّلهم بتوفير النسخ الخطّية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والشكر موصول لكلّ مَن بذل جهوداً طيّبة في هذا العمل لا سيّما الأخوين الكريمين أحمد علي مجيد الحلّيّ ومحمّد كاظم رحمتي اللذين هيّآ وسهّلا لنا مقدّمات العمل</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سائلاً الله عزّ وجلّ أن يجعله ذخراً لنا ولهم جميعاً يوم الوفود عليه بحقّ محمّد سيد المرسلين وآله سادات الخلق أجمعين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953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72" o:detectmouseclick="t"/>
                <v:stroke color="#3465a4" joinstyle="round" endcap="flat"/>
                <w10:wrap type="none"/>
              </v:shape>
            </w:pict>
          </mc:Fallback>
        </mc:AlternateConten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المخطوطة الأولى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953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7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75" o:detectmouseclick="t"/>
                <v:stroke color="#3465a4" joinstyle="round" endcap="flat"/>
                <w10:wrap type="none"/>
              </v:shape>
            </w:pict>
          </mc:Fallback>
        </mc:AlternateConten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المخطوطة الثانية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953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7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78" o:detectmouseclick="t"/>
                <v:stroke color="#3465a4" joinstyle="round" endcap="flat"/>
                <w10:wrap type="none"/>
              </v:shape>
            </w:pict>
          </mc:Fallback>
        </mc:AlternateConten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المخطوطة الثالثة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953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8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81" o:detectmouseclick="t"/>
                <v:stroke color="#3465a4" joinstyle="round" endcap="flat"/>
                <w10:wrap type="none"/>
              </v:shape>
            </w:pict>
          </mc:Fallback>
        </mc:AlternateConten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المخطوطة الرابعة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953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8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84" o:detectmouseclick="t"/>
                <v:stroke color="#3465a4" joinstyle="round" endcap="flat"/>
                <w10:wrap type="none"/>
              </v:shape>
            </w:pict>
          </mc:Fallback>
        </mc:AlternateConten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المخطوطة الرابعة </w:t>
      </w:r>
      <w:bookmarkStart w:id="796" w:name="pg10913_111299"/>
    </w:p>
    <w:p>
      <w:pPr>
        <w:pStyle w:val="Heading3"/>
        <w:numPr>
          <w:ilvl w:val="2"/>
          <w:numId w:val="1"/>
        </w:numPr>
        <w:rPr/>
      </w:pPr>
      <w:bookmarkStart w:id="797" w:name="__RefHeading___Toc3057032_2870459653"/>
      <w:bookmarkStart w:id="798" w:name="_Toc307"/>
      <w:bookmarkEnd w:id="796"/>
      <w:bookmarkEnd w:id="797"/>
      <w:r>
        <w:rPr>
          <w:rtl w:val="true"/>
        </w:rPr>
        <w:t xml:space="preserve">مسائل في حَجّ الوَدعيّ </w:t>
      </w:r>
      <w:r>
        <w:rPr>
          <w:rtl w:val="true"/>
        </w:rPr>
        <w:t xml:space="preserve">- </w:t>
      </w:r>
      <w:r>
        <w:rPr>
          <w:rtl w:val="true"/>
        </w:rPr>
        <w:t xml:space="preserve">للشیخ محمدبن مکی العاملی المعروف بالشهيد الأوَّل </w:t>
      </w:r>
      <w:r>
        <w:rPr>
          <w:rtl w:val="true"/>
        </w:rPr>
        <w:t>(</w:t>
      </w:r>
      <w:r>
        <w:rPr>
          <w:rtl w:val="true"/>
        </w:rPr>
        <w:t xml:space="preserve">ت </w:t>
      </w:r>
      <w:r>
        <w:rPr/>
        <w:t>786</w:t>
      </w:r>
      <w:r>
        <w:rPr>
          <w:rtl w:val="true"/>
        </w:rPr>
        <w:t>ﻫ</w:t>
      </w:r>
      <w:r>
        <w:rPr>
          <w:rtl w:val="true"/>
        </w:rPr>
        <w:t>)</w:t>
      </w:r>
      <w:bookmarkEnd w:id="798"/>
    </w:p>
    <w:p>
      <w:pPr>
        <w:pStyle w:val="BookText"/>
        <w:rPr/>
      </w:pPr>
      <w:r>
        <w:rPr>
          <w:rFonts w:ascii="IRNazanin" w:hAnsi="IRNazanin" w:eastAsia="IRNazanin"/>
          <w:color w:val="111111"/>
          <w:sz w:val="28"/>
          <w:sz w:val="28"/>
          <w:szCs w:val="28"/>
          <w:rtl w:val="true"/>
          <w:lang w:bidi="fa-IR"/>
        </w:rPr>
        <w:t xml:space="preserve">للشیخ محمدبن مکی العاملی المعروف بالشهيد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قاسم خضير 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في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حصل عند إنسان لميّت مالٌ وديعةً ويعلم استقرار الحجّ في ذمّته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أداء الوارث، جاز أن يقطع أُجرة الحجّ، ويدفع إلى الورثة ما بقي</w:t>
      </w:r>
      <w:r>
        <w:rPr>
          <w:rFonts w:eastAsia="Amiri" w:cs="Amiri" w:ascii="Amiri" w:hAnsi="Amiri"/>
          <w:color w:val="111111"/>
          <w:sz w:val="28"/>
          <w:szCs w:val="28"/>
          <w:rtl w:val="true"/>
          <w:lang w:bidi="ar-SA"/>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النَّصّ في الوديعة</w:t>
      </w:r>
      <w:r>
        <w:rPr>
          <w:rStyle w:val="FootnoteAnchor"/>
          <w:rtl w:val="true"/>
        </w:rPr>
        <w:footnoteReference w:id="1109"/>
      </w:r>
      <w:r>
        <w:rPr>
          <w:rFonts w:ascii="Amiri" w:hAnsi="Amiri" w:eastAsia="Amiri" w:cs="Amiri"/>
          <w:color w:val="111111"/>
          <w:sz w:val="28"/>
          <w:sz w:val="28"/>
          <w:szCs w:val="28"/>
          <w:rtl w:val="true"/>
          <w:lang w:bidi="ar-SA"/>
        </w:rPr>
        <w:t>، والأَولى تعدّي الحكم، وقد صرّح به المحقِّق في النافع</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ظاهرهم أنَّ المال عين</w:t>
      </w:r>
      <w:r>
        <w:rPr>
          <w:rStyle w:val="FootnoteAnchor"/>
          <w:rtl w:val="true"/>
        </w:rPr>
        <w:footnoteReference w:id="1111"/>
      </w:r>
      <w:r>
        <w:rPr>
          <w:rFonts w:ascii="Amiri" w:hAnsi="Amiri" w:eastAsia="Amiri" w:cs="Amiri"/>
          <w:color w:val="111111"/>
          <w:sz w:val="28"/>
          <w:sz w:val="28"/>
          <w:szCs w:val="28"/>
          <w:rtl w:val="true"/>
          <w:lang w:bidi="ar-SA"/>
        </w:rPr>
        <w:t>، فلو كان في الذِّمّة فالأولى تعدّي الحكم؛ لقيامه في التعيين مقام الوليّ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بالعلم بوجود حجّة الإسلام، والعلم بعدم أداء الوارث غلبة الظَّنّ</w:t>
      </w:r>
      <w:r>
        <w:rPr>
          <w:rStyle w:val="FootnoteAnchor"/>
          <w:rtl w:val="true"/>
        </w:rPr>
        <w:footnoteReference w:id="1112"/>
      </w:r>
      <w:r>
        <w:rPr>
          <w:rFonts w:ascii="Amiri" w:hAnsi="Amiri" w:eastAsia="Amiri" w:cs="Amiri"/>
          <w:color w:val="111111"/>
          <w:sz w:val="28"/>
          <w:sz w:val="28"/>
          <w:szCs w:val="28"/>
          <w:rtl w:val="true"/>
          <w:lang w:bidi="ar-SA"/>
        </w:rPr>
        <w:t>لتعذّر العلم بمعناه الخاصّ في مثل هذه المقامات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بالوارث هنا جميع الوارث، فلو علم بذل البعض ففيه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تعدّي الحكم؛ بناءً على أنَّ ولاية الإخراج للمجموع، وهو غير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الدَّفع إليهم؛ للخروج من صورة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اشتراكه مع الآذن في الإخراج؛ لعدم الأولويّة على الآذن، واختصاصه بالأولويّة على مَن لم يأذن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تسليمها إلى الباذل؛ لوجود خلافة الميّت فيه، وبامتناع غيره جرى مجرى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Style w:val="FootnoteAnchor"/>
          <w:rtl w:val="true"/>
        </w:rPr>
        <w:footnoteReference w:id="1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الاستئجار؟ يحتمله؛ لأنَّه من باب الحِسْبة، وعدمه؛ لأنَّه تكليف على الوَدعيّ لأجل غيره، فحينئذٍ يتخيّر بين الحجّ وبين تسليمه إلى الحاكم لا إلى الوارث</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يجب استئذان الحاكم؟ أومَأ إليه في التَّذكرة</w:t>
      </w:r>
      <w:r>
        <w:rPr>
          <w:rStyle w:val="FootnoteAnchor"/>
          <w:rtl w:val="true"/>
        </w:rPr>
        <w:footnoteReference w:id="1114"/>
      </w:r>
      <w:r>
        <w:rPr>
          <w:rFonts w:ascii="Amiri" w:hAnsi="Amiri" w:eastAsia="Amiri" w:cs="Amiri"/>
          <w:color w:val="111111"/>
          <w:sz w:val="28"/>
          <w:sz w:val="28"/>
          <w:szCs w:val="28"/>
          <w:rtl w:val="true"/>
          <w:lang w:bidi="ar-SA"/>
        </w:rPr>
        <w:t>لأنَّه الوليّ العامّ، فإنْ تعذّر استقلّ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عدم وجوب الاستئذان؛ لإطلاق الرواية أولاً</w:t>
      </w:r>
      <w:r>
        <w:rPr>
          <w:rStyle w:val="FootnoteAnchor"/>
          <w:rtl w:val="true"/>
        </w:rPr>
        <w:footnoteReference w:id="1115"/>
      </w:r>
      <w:r>
        <w:rPr>
          <w:rFonts w:ascii="Amiri" w:hAnsi="Amiri" w:eastAsia="Amiri" w:cs="Amiri"/>
          <w:color w:val="111111"/>
          <w:sz w:val="28"/>
          <w:sz w:val="28"/>
          <w:szCs w:val="28"/>
          <w:rtl w:val="true"/>
          <w:lang w:bidi="ar-SA"/>
        </w:rPr>
        <w:t xml:space="preserve">، ولكونه من باب </w:t>
      </w:r>
    </w:p>
    <w:p>
      <w:pPr>
        <w:pStyle w:val="BookText"/>
        <w:rPr/>
      </w:pPr>
      <w:r>
        <w:rPr>
          <w:rFonts w:ascii="Amiri" w:hAnsi="Amiri" w:eastAsia="Amiri" w:cs="Amiri"/>
          <w:color w:val="111111"/>
          <w:sz w:val="28"/>
          <w:sz w:val="28"/>
          <w:szCs w:val="28"/>
          <w:rtl w:val="true"/>
          <w:lang w:bidi="ar-SA"/>
        </w:rPr>
        <w:t xml:space="preserve">الأمر بالمعروف ثانياً، ولعموم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وَالْمُؤْمِنُونَ وَالْمُؤْمِنَاتُ بَعْضُهُمْ أَوْلِيَاءُ بَعْضٍ</w:t>
      </w:r>
      <w:r>
        <w:rPr>
          <w:rStyle w:val="FootnoteAnchor"/>
          <w:rtl w:val="true"/>
        </w:rPr>
        <w:footnoteReference w:id="1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 باستئذان الحاكم فالحاكم يطلب البيِّنة على أنَّ الميّت مستقرٌّ في ذمّته الحجّ، وعلى أنَّ الورّاث لا يؤدُّون؛ إذ الأصل عدم قبول إقرار الإنسان على غيره، إلَّا أنْ يقال يكفي إذنه المعلّق على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الأمر كذا فقد أذنت في الإخراج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ينصب الوَدعيّ رجلاً بين يدي الحاكم، ويدّعي أنَّه وليّ الميت، وأنَّ عليه حجّاً، وأنَّه لا يخرج، فيصدّقه على ذلك؛ لاستخراج إذن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حجّة الإسلام وغيرها، بل سائر الدُيون كذلك سواء كان له أو لغيره؛ للاشتراك في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تخيّره بين الحجّ بنفسه</w:t>
      </w:r>
      <w:r>
        <w:rPr>
          <w:rStyle w:val="FootnoteAnchor"/>
          <w:rtl w:val="true"/>
        </w:rPr>
        <w:footnoteReference w:id="1117"/>
      </w:r>
      <w:r>
        <w:rPr>
          <w:rFonts w:ascii="Amiri" w:hAnsi="Amiri" w:eastAsia="Amiri" w:cs="Amiri"/>
          <w:color w:val="111111"/>
          <w:sz w:val="28"/>
          <w:sz w:val="28"/>
          <w:szCs w:val="28"/>
          <w:rtl w:val="true"/>
          <w:lang w:bidi="ar-SA"/>
        </w:rPr>
        <w:t>وبالنيابة؛ لاستوائهما في الطريق إلى براءة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حجَّ بنفسه ففي احتياجه إلى إيقاع عقدٍ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إنَّه أجير، فيجب حصول عقد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حصول الغرض بالفعل المستند إلى الفرض</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المقتطع مبنيّ على المُخرَج من أصل المال بلديّاً أو ميقاتيّاً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ردّ المال إلى الوارث فحجّ به الوارث فلا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امتنع أمكن الضَّمان؛ لمخالفته، واستناد تفويت الحجّ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إمَّا لأنَّه لا يجب عليه الاستئجار، وإمَّا لوصول المال إلى خليفة الميّت واشتغال ذمّته به</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تعدّد الوَدعيّ وُزّع المخرج، فإنْ لم يعلم بعضهم ببعضٍ فأخرجوا فمع </w:t>
      </w:r>
    </w:p>
    <w:p>
      <w:pPr>
        <w:pStyle w:val="BookText"/>
        <w:rPr/>
      </w:pPr>
      <w:r>
        <w:rPr>
          <w:rFonts w:ascii="Amiri" w:hAnsi="Amiri" w:eastAsia="Amiri" w:cs="Amiri"/>
          <w:color w:val="111111"/>
          <w:sz w:val="28"/>
          <w:sz w:val="28"/>
          <w:szCs w:val="28"/>
          <w:rtl w:val="true"/>
          <w:lang w:bidi="ar-SA"/>
        </w:rPr>
        <w:t>الاجتهاد والاقتران لا ضمان، ومع الاقتران وعدم الاجتهاد يضمن الجميع بالحساب ما زاد على أُجرة أقلّ حجّة مجزئة، ومع السَّبق يضمن اللاحق مع عدم الاجتهاد، ومعه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والسَّبق بنيّة الإحرام، فلو اتَّفق إحرامهم دفعةً سقط من وديعة كلٍّ منهم ما يخصّه من الأجرة الموزّعة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علموا بعد الإحرام أُقرع بينهم، وتحلّلَ مَن لم تخرجه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علم سبق واحد في الجملة أُقرع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w:t>
      </w:r>
      <w:r>
        <w:rPr>
          <w:rStyle w:val="FootnoteAnchor"/>
          <w:rtl w:val="true"/>
        </w:rPr>
        <w:footnoteReference w:id="1119"/>
      </w:r>
      <w:r>
        <w:rPr>
          <w:rFonts w:ascii="Amiri" w:hAnsi="Amiri" w:eastAsia="Amiri" w:cs="Amiri"/>
          <w:color w:val="111111"/>
          <w:sz w:val="28"/>
          <w:sz w:val="28"/>
          <w:szCs w:val="28"/>
          <w:rtl w:val="true"/>
          <w:lang w:bidi="ar-SA"/>
        </w:rPr>
        <w:t>بعقد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معه مالٌ، وعلم أنَّ الوارث لا يؤدُّون فهل يجوز من حيث الحِسْبة؟</w:t>
      </w:r>
    </w:p>
    <w:p>
      <w:pPr>
        <w:pStyle w:val="BookText"/>
        <w:rPr/>
      </w:pPr>
      <w:r>
        <w:rPr>
          <w:rFonts w:ascii="Amiri" w:hAnsi="Amiri" w:eastAsia="Amiri" w:cs="Amiri"/>
          <w:color w:val="111111"/>
          <w:sz w:val="28"/>
          <w:sz w:val="28"/>
          <w:szCs w:val="28"/>
          <w:rtl w:val="true"/>
          <w:lang w:bidi="ar-SA"/>
        </w:rPr>
        <w:t>يحتمل ذلك؛ تحصيلاً للمعروف، فإنْ جوّزناه فالأقرب اشتراط إذن الحاكم؛ لإمكانه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ترافع مع الورثة إلى الحاكم فادّعى الوارث أنَّه سيخرج، وأنكر الوَدعيّ قُدِّم قول الوارث؛ لأنَّ له ولاية الإخراج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خيانته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ارتاب به الحاكم فالولاية له لا للوَدعيّ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ترافعا بعد الحجّ على هذه الدعاوى أمكن عدم الضَّمان؛ لحصول الحجّ عن الميّت، وأمكن صدق الوَدعيّ، ووجوب الضَّمان؛ لأصالة عدم ولاية الأجنبي</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أنكر وجوب الحجّ على مورّثه، أو أنكر الاستئجار، أو أنكر فعل النائب فعلى الوَدعيّ الإثبات في ذلك كلِّه بطريقه الشَّرعيّ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بالميت مَن يُقضى عنه الحجّ، فلو كان كافراً لم يكن داخلاً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الورثة صِغاراً و عَلِم أنَّ الوصيّ لا يؤدِّي فالأقرب جواز الاقتطاع؛ لوجود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الأداء المطلق، فلو علم أنَّهم لا يؤدُّونه في هذا العام، ويؤدُّون في غيره، أو لا يعلم حالهم في غيره احتمل جواز الاقتطاع؛ لوجوبه على الغير، وعدمه؛ لبراءة الذِّمّة بإخراج الوارث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 الأصحاب الاستئجار بالعين</w:t>
      </w:r>
      <w:r>
        <w:rPr>
          <w:rStyle w:val="FootnoteAnchor"/>
          <w:rtl w:val="true"/>
        </w:rPr>
        <w:footnoteReference w:id="1120"/>
      </w:r>
      <w:r>
        <w:rPr>
          <w:rFonts w:ascii="Amiri" w:hAnsi="Amiri" w:eastAsia="Amiri" w:cs="Amiri"/>
          <w:color w:val="111111"/>
          <w:sz w:val="28"/>
          <w:sz w:val="28"/>
          <w:szCs w:val="28"/>
          <w:rtl w:val="true"/>
          <w:lang w:bidi="ar-SA"/>
        </w:rPr>
        <w:t>، فلو لم يرغ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النَّائب فيها احتمل جواز البيع؛ لأنَّه من باب ما لا يتمّ الواجب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 لأنَّه تصرّف في مال الغير فيُناط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الاقتطاع مُؤذِناً بكون الوديعة زائدةً عن قدر الحجّ، بل لو ساوى المال أُجرة المثل اقتطع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نقصت عنها ففي الاقتطاع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لعدم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لقربه إلى تحصيل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دفعها إلى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الفروع كثيرةٌ</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نقلتُه من خطٍّ فيه أنَّه نقل عن الشَّهيد رحمه الله</w:t>
      </w:r>
      <w:r>
        <w:rPr>
          <w:rFonts w:eastAsia="Amiri" w:cs="Amiri" w:ascii="Amiri" w:hAnsi="Amiri"/>
          <w:color w:val="111111"/>
          <w:sz w:val="28"/>
          <w:szCs w:val="28"/>
          <w:rtl w:val="true"/>
          <w:lang w:bidi="ar-SA"/>
        </w:rPr>
        <w:t xml:space="preserve">.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9" w:name="pg10913_111315"/>
      <w:bookmarkStart w:id="800" w:name="pg10913_111315"/>
      <w:bookmarkEnd w:id="800"/>
    </w:p>
    <w:p>
      <w:pPr>
        <w:pStyle w:val="Heading3"/>
        <w:numPr>
          <w:ilvl w:val="2"/>
          <w:numId w:val="1"/>
        </w:numPr>
        <w:rPr/>
      </w:pPr>
      <w:bookmarkStart w:id="801" w:name="pg10913_111315"/>
      <w:bookmarkStart w:id="802" w:name="__RefHeading___Toc3057034_2870459653"/>
      <w:bookmarkStart w:id="803" w:name="_Toc308"/>
      <w:bookmarkEnd w:id="801"/>
      <w:bookmarkEnd w:id="802"/>
      <w:r>
        <w:rPr>
          <w:rtl w:val="true"/>
        </w:rPr>
        <w:t xml:space="preserve">ضابطة حلّيّة المأخوذ من الأرض المشكوك فتحها عنوة </w:t>
      </w:r>
      <w:r>
        <w:rPr>
          <w:rtl w:val="true"/>
        </w:rPr>
        <w:t xml:space="preserve">- </w:t>
      </w:r>
      <w:r>
        <w:rPr>
          <w:rtl w:val="true"/>
        </w:rPr>
        <w:t>للشیخ علی بن الحسین ابن عبدالعالی العاملی الکرکی المعروف بالمحقق الثانی</w:t>
      </w:r>
      <w:r>
        <w:rPr>
          <w:rtl w:val="true"/>
        </w:rPr>
        <w:t>(</w:t>
      </w:r>
      <w:r>
        <w:rPr>
          <w:rtl w:val="true"/>
        </w:rPr>
        <w:t xml:space="preserve">ت </w:t>
      </w:r>
      <w:r>
        <w:rPr/>
        <w:t>940</w:t>
      </w:r>
      <w:r>
        <w:rPr>
          <w:rtl w:val="true"/>
        </w:rPr>
        <w:t xml:space="preserve"> </w:t>
      </w:r>
      <w:r>
        <w:rPr>
          <w:rtl w:val="true"/>
        </w:rPr>
        <w:t>ﻫ</w:t>
      </w:r>
      <w:r>
        <w:rPr>
          <w:rtl w:val="true"/>
        </w:rPr>
        <w:t>)</w:t>
      </w:r>
      <w:bookmarkEnd w:id="803"/>
    </w:p>
    <w:p>
      <w:pPr>
        <w:pStyle w:val="BookText"/>
        <w:rPr/>
      </w:pPr>
      <w:r>
        <w:rPr>
          <w:rFonts w:ascii="IRNazanin" w:hAnsi="IRNazanin" w:eastAsia="IRNazanin"/>
          <w:color w:val="111111"/>
          <w:sz w:val="28"/>
          <w:sz w:val="28"/>
          <w:szCs w:val="28"/>
          <w:rtl w:val="true"/>
          <w:lang w:bidi="fa-IR"/>
        </w:rPr>
        <w:t>للشیخ علی بن الحسین ابن عبدالعالی العاملی الکرکی المعروف بالمحقق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قاسم خضير 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كما هو أهله والصّلاة على حبيبه محمّد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تحقيق أمر القرية الواقعة ببلاد استرآباد</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وطبرستان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أوله وثانيه وكسر الراء اسم لإقليم يضم بلدان كثيرة وواسعة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دهستان وجرجان واستراباذ وآمل وسارية وشالوس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وصفه ياقوت الحموي في معجم البلدان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كثيرة المياه متهدّلة الأشجار كثيرة الفواكه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باعتبار ما يؤخذ من الرّعايا ممّا جرى معهم عليه القرار 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 الاتفاق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وأضعُ لك دستوراً إذا اقتفيتَه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سالكاً جادّة الشّريعة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 وبالله التَّو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لي وضوح التَّحقيق أنَّ استرآباد وبلادها</w:t>
      </w:r>
    </w:p>
    <w:p>
      <w:pPr>
        <w:pStyle w:val="BookText"/>
        <w:rPr/>
      </w:pPr>
      <w:r>
        <w:rPr>
          <w:rFonts w:ascii="Amiri" w:hAnsi="Amiri" w:eastAsia="Amiri" w:cs="Amiri"/>
          <w:color w:val="111111"/>
          <w:sz w:val="28"/>
          <w:sz w:val="28"/>
          <w:szCs w:val="28"/>
          <w:rtl w:val="true"/>
          <w:lang w:bidi="ar-SA"/>
        </w:rPr>
        <w:t>فُتحت عَنوَةً</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ﻫ غزاها سعيد بن العاص عامل عثمان بن عفان على الكوفة فلم يقدر إلّا على فتح طميس التي هي آخر مدن طبرستان من جهة خراسان، وهي في السهول عند تخوم طبرستان الشرقية وبعيدة عن سلسلة الجبال الوعرة الممتدة إلى البحر، وتفصل سلسلة الجبال هذه بين طميس وجرجان بحيث يكون العبور منها إلى جرجان صعباً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الموسوعة الحرة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وكيبيديا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طبرستان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صالح سعيد بن العاص ملك جرجان على مائتي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زمن معاوية بن أبي سفيان بعث هبيرة بن مصقلة عل رأس عشرين ألف رجل لغزوها فكمنوا له في الجبال حتى إذا مرّ على المضايق دهدهوا عليه الحجر فهلك ومعه كثير من جيشه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الأمر على ما هو عليه حتى بعث سليمان بن عبد الملك يزيد بن المهلب والياً عل خراسان فجهّز جيشاً أناخ به على طبرستان فوقع القتال بينه وبين أهل تلك النواحي إلّا أنَّه لم يستطع إلّا على فتح الرويان ودنباوند، وأمّا باقي بلدان طبرستان فقد صالحته، ولم يزالوا على هذا الصلح إلى أن نقضوه في أواخر أيام مروان بن محمّد الأموي فمنعوا ما كانوا يعطونه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مجيء السفاح إلى الحكم صالحوه ثم نقضوا في أيّام المنصور فبعث إليهم جيشاً جرت بينه وبينهم مناوشات لم تفض إلى فتح هذه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الحال عليه إلى زمن حكم المأمون حيث استطاع موسى بن حفص بن عمرو ومازيار بن قارن من عبور جبال شروين من طبرستان التي هي أمنع الجبال وأصعبها، فولّى المأمون عليها المازيار وبقي كذلك لمدّة ست سنوات من حكم المعتصم إلّا أنَّه نقض بعد ذلك فوجّه إليه المعتصم جيشاً بقيادة الحسن بن الحسين فأخذوا المازيار من دون قتال إلى سرّ من رأى وقتلوه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وولّى عليها المعتصم عامله على خراسان عبد الله بن طاهر ثم وليها ابنه طاهر بن عبد الله وبعده أخوه سليمان بن عبد الله حتى خرج عليه الحسن بن زيد بن محمّد العلويّ الحسنيّ الملقّب بالداعي الكبير سنة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ويبدو أنَّ اسم مازندران بدأ يطغى على تلك البلدان بدلاً من طبرستان في حدود القرن السادس أو السابع الهجري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بلاد استرآباد فقد جرى تحويل اسمها إلى گرگان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عهد الشاه رضا بهلوي</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قيل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كونها فتحت</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عنوة</w:t>
      </w:r>
      <w:r>
        <w:rPr>
          <w:rStyle w:val="FootnoteAnchor"/>
          <w:rtl w:val="true"/>
        </w:rPr>
        <w:footnoteReference w:id="1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الأفواه، وقد أتوهّمه من عبارة للشيخ أبي جعفر الطّوسي</w:t>
      </w:r>
      <w:r>
        <w:rPr>
          <w:rStyle w:val="FootnoteAnchor"/>
          <w:rtl w:val="true"/>
        </w:rPr>
        <w:footnoteReference w:id="1124"/>
      </w:r>
      <w:r>
        <w:rPr>
          <w:rFonts w:ascii="Amiri" w:hAnsi="Amiri" w:eastAsia="Amiri" w:cs="Amiri"/>
          <w:color w:val="111111"/>
          <w:sz w:val="28"/>
          <w:sz w:val="28"/>
          <w:szCs w:val="28"/>
          <w:rtl w:val="true"/>
          <w:lang w:bidi="ar-SA"/>
        </w:rPr>
        <w:t>قدّس اللهُ روحَه، إلَّا أنّي لم أسكن إلى ذك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رهم لتلك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البلاد على كلٍّ من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وأضعُ طريقاً تكون صحّتهُ واقعةً على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تقدير أن تكون قد فُتحِت عَنو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معمورةً حين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لجميع المسلمين ممّن هو كائنٌ ومَن سيكون إلى يوم القيامة إذا استجمعت بقية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رائط المعتبرة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فأمرها إلى إمام المسلمين يقبّلها لمَن رأى المصلحة في تقبيله إيّاها بحصةٍ من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 أو الثُّلث أو 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بما يرى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المصلحة من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يرتفع منها بهذا الاعتبار يرصد لمصالح المسلمين في بيت المال</w:t>
      </w:r>
      <w:r>
        <w:rPr>
          <w:rStyle w:val="FootnoteAnchor"/>
          <w:rtl w:val="true"/>
        </w:rPr>
        <w:footnoteReference w:id="1125"/>
      </w:r>
      <w:r>
        <w:rPr>
          <w:rFonts w:ascii="Amiri" w:hAnsi="Amiri" w:eastAsia="Amiri" w:cs="Amiri"/>
          <w:color w:val="111111"/>
          <w:sz w:val="28"/>
          <w:sz w:val="28"/>
          <w:szCs w:val="28"/>
          <w:rtl w:val="true"/>
          <w:lang w:bidi="ar-SA"/>
        </w:rPr>
        <w:t>، هذا إذا كان الإما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الغيبة إذا استولى عليها سلطان الجور فلا بُدَّ من دفع تلك الحصّة إليه</w:t>
      </w:r>
      <w:r>
        <w:rPr>
          <w:rStyle w:val="FootnoteAnchor"/>
          <w:rtl w:val="true"/>
        </w:rPr>
        <w:footnoteReference w:id="1126"/>
      </w:r>
      <w:r>
        <w:rPr>
          <w:rFonts w:ascii="Amiri" w:hAnsi="Amiri" w:eastAsia="Amiri" w:cs="Amiri"/>
          <w:color w:val="111111"/>
          <w:sz w:val="28"/>
          <w:sz w:val="28"/>
          <w:szCs w:val="28"/>
          <w:rtl w:val="true"/>
          <w:lang w:bidi="ar-SA"/>
        </w:rPr>
        <w:t xml:space="preserve">، ولا يجوز لأحدٍ منعها، ولا سرقتها،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جحودها ولا شيءٌ</w:t>
      </w:r>
      <w:r>
        <w:rPr>
          <w:rFonts w:eastAsia="Amiri" w:cs="Amiri" w:ascii="Amiri" w:hAnsi="Amiri"/>
          <w:color w:val="111111"/>
          <w:sz w:val="28"/>
          <w:szCs w:val="28"/>
          <w:rtl w:val="true"/>
          <w:lang w:bidi="ar-SA"/>
        </w:rPr>
        <w:t>]</w:t>
      </w:r>
      <w:r>
        <w:rPr>
          <w:rStyle w:val="FootnoteAnchor"/>
          <w:rtl w:val="true"/>
        </w:rPr>
        <w:footnoteReference w:id="1127"/>
      </w:r>
      <w:r>
        <w:rPr>
          <w:rFonts w:ascii="Amiri" w:hAnsi="Amiri" w:eastAsia="Amiri" w:cs="Amiri"/>
          <w:color w:val="111111"/>
          <w:sz w:val="28"/>
          <w:sz w:val="28"/>
          <w:szCs w:val="28"/>
          <w:rtl w:val="true"/>
          <w:lang w:bidi="ar-SA"/>
        </w:rPr>
        <w:t>غير ذلك؛ فهو حقٌّ لمَن بيده الأرض إن كان هو العامر لها</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العامر لها قد قبّله إيّاها بحصّةٍ وجب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ما تقرّ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إذا استجمعت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الإجارة؛ لأنَّ ذلك إجارةٌ في الحقيقة، وإن لم تستجمع وجب أُجرة المثل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قرّرتم أنَّ المفتوحة عَنوةً لا تملك؛ فإ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Style w:val="FootnoteAnchor"/>
          <w:rtl w:val="true"/>
        </w:rPr>
        <w:footnoteReference w:id="1128"/>
      </w:r>
      <w:r>
        <w:rPr>
          <w:rFonts w:ascii="Amiri" w:hAnsi="Amiri" w:eastAsia="Amiri" w:cs="Amiri"/>
          <w:color w:val="111111"/>
          <w:sz w:val="28"/>
          <w:sz w:val="28"/>
          <w:szCs w:val="28"/>
          <w:rtl w:val="true"/>
          <w:lang w:bidi="ar-SA"/>
        </w:rPr>
        <w:t>إنَّما لا تملك رقبتها لكن تبعاً لآثار التَّصرّف يمكن بيعها وإجارتها ووقفها؛ ولذلك يثبت الاختصاص بها والأحقيّ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له فيها، وليس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ينتزعها من يد المتصرّف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أن تكون قد فُتحت على وجه لم تخرج عن ملك مالكها فهي على 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عليه قبل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الأملاك الحقيقيّة، ليس لأحدٍ فيها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حلّيّة المأخوذ من هذه الأرض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فالطّريق الذي إذا عُمِل به كان الحِلُّ حاصلاً على كلِّ تقدير</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الاتّفاق عليه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الرَّعايا وبين أهل الدِّيوان فيما يدّعونه، ويطالبون به فأخذوه خلُص من حقِّ الأرض على تقدير أن يكون من أرض العَنوة،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صاحب الدِّيوان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 بينه وبين الرَّعايا أن يعطوه عن كلِّ جريب</w:t>
      </w:r>
      <w:r>
        <w:rPr>
          <w:rStyle w:val="FootnoteAnchor"/>
          <w:rtl w:val="true"/>
        </w:rPr>
        <w:footnoteReference w:id="1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معيّناً فإنَّه إذا كان ذلك القرار على وجه شرعيّ صحّ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عُيّن 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معيّنةٌ لتزرع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شروط الإجارة فلا كلام في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عيّن حصّته من الحاصل كالرُّبع والنِّصف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 من توفّر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المزارعة، وسنذكرها بعدُ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عُيّن مقدارٌ من الغَلَّة فلا بُدَّ مع وصفه بالأوصاف الرافعة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لجهالة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من حاصل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يخرج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خالف في شيء من ذلك فسد العقد، ووجب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رَضِي الرَّعايا حال كو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العقد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بدفع القدر المشترط، وجعلوا المالك في حِلٍّ فإنَّه يحلُّ له إذا علموا فساد العقد، وأنَّ المدفوع ليس واجباً عليهم، وبد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 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بفساد المعاوضة الجارية بين المالك وبينهم فلا يصلح سبباً للملك، فيكون أكلَ 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يشترط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المعاوضة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المشتمل على الإيجاب والقبول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الأرض صالحةً للزراعة بحيث يُنتفع بها في ذلك حالاً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وتعيين المدّة بما لا 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والنقصان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وكونها وافيةً لإدراك الزرع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كون الحصّة المعيّنة للمالك من حاصل الأرض معلومةً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شائعةً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كالرُّبع والنِّصف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جُهلت أو لم تكن شائعة كأنْ يشرط الهَرْف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يتقدم إدراكه على </w:t>
      </w:r>
    </w:p>
    <w:p>
      <w:pPr>
        <w:pStyle w:val="BookText"/>
        <w:rPr/>
      </w:pPr>
      <w:r>
        <w:rPr>
          <w:rFonts w:ascii="Amiri" w:hAnsi="Amiri" w:eastAsia="Amiri" w:cs="Amiri"/>
          <w:color w:val="111111"/>
          <w:sz w:val="28"/>
          <w:sz w:val="28"/>
          <w:szCs w:val="28"/>
          <w:rtl w:val="true"/>
          <w:lang w:bidi="ar-SA"/>
        </w:rPr>
        <w:t>الباقي</w:t>
      </w:r>
      <w:r>
        <w:rPr>
          <w:rStyle w:val="FootnoteAnchor"/>
          <w:rtl w:val="true"/>
        </w:rPr>
        <w:footnoteReference w:id="1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أو لم تكن معلومة بالجزئية كعشرة أحمال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الحنطة</w:t>
      </w:r>
      <w:r>
        <w:rPr>
          <w:rFonts w:eastAsia="Amiri" w:cs="Amiri" w:ascii="Amiri" w:hAnsi="Amiri"/>
          <w:color w:val="111111"/>
          <w:sz w:val="28"/>
          <w:szCs w:val="28"/>
          <w:rtl w:val="true"/>
          <w:lang w:bidi="ar-SA"/>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وصورتها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زارعتُك على الأرض الفلانيّة لتزرعها مدّة سنة بثُلث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الإجارة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آجرتك الأرض الفلانيّة لتزرعها مدّة سنة بعشرين حِملاً أرُزاً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صَرِيباً جديداً من أرُزِ فِنْدِرِسْك</w:t>
      </w:r>
      <w:r>
        <w:rPr>
          <w:rStyle w:val="FootnoteAnchor"/>
          <w:rtl w:val="true"/>
        </w:rPr>
        <w:footnoteReference w:id="1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يقول في هذا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حاصل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ذلك منافٍ لمقصود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فعل ذلك صحّ على كلِّ واحد من التقديرين؛ فإنَّه لا منافاة بين شيء من هذين الطَّريقين وبين كون الأرض مفتوحةً عنوةً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حصلت المخالفة ورَضِي الرَّعايا بالم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 المشترط وجعلوا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فيه في حِلٍّ صحّ بعد الإعلام بكيفيّة الحال، وإلَّا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 بحقائق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هذه الأ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الفقير</w:t>
      </w:r>
      <w:r>
        <w:rPr>
          <w:rFonts w:eastAsia="Amiri" w:cs="Amiri" w:ascii="Amiri" w:hAnsi="Amiri"/>
          <w:color w:val="111111"/>
          <w:sz w:val="28"/>
          <w:szCs w:val="28"/>
          <w:rtl w:val="true"/>
          <w:lang w:bidi="ar-SA"/>
        </w:rPr>
        <w:t>]</w:t>
      </w:r>
      <w:r>
        <w:rPr>
          <w:rStyle w:val="FootnoteAnchor"/>
          <w:rtl w:val="true"/>
        </w:rPr>
        <w:footnoteReference w:id="1133"/>
      </w:r>
      <w:r>
        <w:rPr>
          <w:rFonts w:ascii="Amiri" w:hAnsi="Amiri" w:eastAsia="Amiri" w:cs="Amiri"/>
          <w:color w:val="111111"/>
          <w:sz w:val="28"/>
          <w:sz w:val="28"/>
          <w:szCs w:val="28"/>
          <w:rtl w:val="true"/>
          <w:lang w:bidi="ar-SA"/>
        </w:rPr>
        <w:t>إلى عفو الله وكرمه عليُّ بن عبد العالي حامداً مصلّياً مسلّماً</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من خطّه مُدّ ظلُّه العالي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نقلتُ هذا من الخطّ 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 لقدوة العلماء الرَّاسخين</w:t>
      </w:r>
      <w:r>
        <w:rPr>
          <w:rFonts w:eastAsia="Amiri" w:cs="Amiri" w:ascii="Amiri" w:hAnsi="Amiri"/>
          <w:color w:val="111111"/>
          <w:sz w:val="28"/>
          <w:szCs w:val="28"/>
          <w:rtl w:val="true"/>
          <w:lang w:bidi="ar-SA"/>
        </w:rPr>
        <w:t>]</w:t>
      </w:r>
      <w:r>
        <w:rPr>
          <w:rStyle w:val="FootnoteAnchor"/>
          <w:rtl w:val="true"/>
        </w:rPr>
        <w:footnoteReference w:id="1134"/>
      </w:r>
      <w:r>
        <w:rPr>
          <w:rFonts w:ascii="Amiri" w:hAnsi="Amiri" w:eastAsia="Amiri" w:cs="Amiri"/>
          <w:color w:val="111111"/>
          <w:sz w:val="28"/>
          <w:sz w:val="28"/>
          <w:szCs w:val="28"/>
          <w:rtl w:val="true"/>
          <w:lang w:bidi="ar-SA"/>
        </w:rPr>
        <w:t>وشرف المتقدّمين والمتأخّرين، ناصر الدِّين المُبين، وكاشف الحقِّ على الخلق أجمعين، وخاتم المجتهدين، لا زال كاسمه عليّاً 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 بحقِّ محمّد سيّد المرسلين</w:t>
      </w:r>
      <w:r>
        <w:rPr>
          <w:rFonts w:eastAsia="Amiri" w:cs="Amiri" w:ascii="Amiri" w:hAnsi="Amiri"/>
          <w:color w:val="111111"/>
          <w:sz w:val="28"/>
          <w:szCs w:val="28"/>
          <w:rtl w:val="true"/>
          <w:lang w:bidi="ar-SA"/>
        </w:rPr>
        <w:t>]</w:t>
      </w:r>
      <w:r>
        <w:rPr>
          <w:rStyle w:val="FootnoteAnchor"/>
          <w:rtl w:val="true"/>
        </w:rPr>
        <w:footnoteReference w:id="1135"/>
      </w:r>
      <w:r>
        <w:rPr>
          <w:rFonts w:ascii="Amiri" w:hAnsi="Amiri" w:eastAsia="Amiri" w:cs="Amiri"/>
          <w:color w:val="111111"/>
          <w:sz w:val="28"/>
          <w:sz w:val="28"/>
          <w:szCs w:val="28"/>
          <w:rtl w:val="true"/>
          <w:lang w:bidi="ar-SA"/>
        </w:rPr>
        <w:t>وآله سادات الخافقين، وقابلت به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وسائله السَّيّد الأيّد الأجلّ الأجمل الحسيب النَّسيب التَّقيّ النَّقيّ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الزَّكيّ لا 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تاجاً للدولة والدُّنيا والدِّين حسن ابن المرحوم المبرور المغفور عماد الدِّين الحسينيّ الاسترآباديّ</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ومن المحتمل أنَّ السؤال كان من السائل عندما زار المحقّق الكركيّ استرآباد في رحلته الأولى إلى إيران بحسب ما يستفاد من إجازته للشيخ عبد العليّ بن أحمد بن محمّد الاسترآبادي الواردة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أيّد اللهُ ظلالَ معاليه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وكتبه العبد المُذنب العاصي المُحتاج إلى عفو الله وغفرانه يوم يؤخذ بالنَّواصيّ محمّد بن عبد الرّحيم بن داود الاسترآباديّ</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الموجودة في نسخة من الجزء الأول لكتاب شرائع الإسلام في مسائل الحلال والحرام في مكتبة الإمام الحكيم العامة برقم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وطبعت في ضمن مجلة مخطوطاتنا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ذكره في روضات الجنات في أحوال العلماء والسادات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الفقيه محمّد بن داود الاستراباديّ الّذي هو من جملة تلاميذ الشّيخ عليّ المحقّق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،وترجم له في طبقات أعلام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الداثر من القرن العاشر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الاسترآبادي بن عبد الرحيم بن داود بن محمّد المعاصر للمحقّق الكركيّ وتلميذه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عفا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ليلة الأربعاء أواخر شهر</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جمادى الآخرة المنضمّة في عقد شهور سنة ثلاث وثلاثين وتسعمائة هجرية على صاحبها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آلاف التَّحية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محمّدٍ وآله الطَّيبين الطَّاهرين</w:t>
      </w:r>
      <w:r>
        <w:rPr>
          <w:rFonts w:eastAsia="Amiri" w:cs="Amiri" w:ascii="Amiri" w:hAnsi="Amiri"/>
          <w:color w:val="111111"/>
          <w:sz w:val="28"/>
          <w:szCs w:val="28"/>
          <w:rtl w:val="true"/>
          <w:lang w:bidi="ar-SA"/>
        </w:rPr>
        <w:t xml:space="preserve">. </w:t>
      </w:r>
      <w:bookmarkStart w:id="804" w:name="pg10913_111336"/>
    </w:p>
    <w:p>
      <w:pPr>
        <w:pStyle w:val="Heading3"/>
        <w:numPr>
          <w:ilvl w:val="2"/>
          <w:numId w:val="1"/>
        </w:numPr>
        <w:rPr/>
      </w:pPr>
      <w:bookmarkStart w:id="805" w:name="__RefHeading___Toc3057036_2870459653"/>
      <w:bookmarkStart w:id="806" w:name="_Toc309"/>
      <w:bookmarkEnd w:id="804"/>
      <w:bookmarkEnd w:id="805"/>
      <w:r>
        <w:rPr>
          <w:rtl w:val="true"/>
        </w:rPr>
        <w:t xml:space="preserve">المقدار اللّازم من المعرفة </w:t>
      </w:r>
      <w:r>
        <w:rPr>
          <w:rtl w:val="true"/>
        </w:rPr>
        <w:t xml:space="preserve">- </w:t>
      </w:r>
      <w:r>
        <w:rPr>
          <w:rtl w:val="true"/>
        </w:rPr>
        <w:t>للشیخ علی بن الحسین ابن عبدالعالی العاملی الکرکی المعروف بالمحقق الثانی</w:t>
      </w:r>
      <w:r>
        <w:rPr>
          <w:rtl w:val="true"/>
        </w:rPr>
        <w:t>(</w:t>
      </w:r>
      <w:r>
        <w:rPr>
          <w:rtl w:val="true"/>
        </w:rPr>
        <w:t xml:space="preserve">ت </w:t>
      </w:r>
      <w:r>
        <w:rPr/>
        <w:t>940</w:t>
      </w:r>
      <w:r>
        <w:rPr>
          <w:rtl w:val="true"/>
        </w:rPr>
        <w:t xml:space="preserve"> </w:t>
      </w:r>
      <w:r>
        <w:rPr>
          <w:rtl w:val="true"/>
        </w:rPr>
        <w:t>ﻫ</w:t>
      </w:r>
      <w:r>
        <w:rPr>
          <w:rtl w:val="true"/>
        </w:rPr>
        <w:t>)</w:t>
      </w:r>
      <w:bookmarkEnd w:id="806"/>
    </w:p>
    <w:p>
      <w:pPr>
        <w:pStyle w:val="BookText"/>
        <w:rPr/>
      </w:pPr>
      <w:r>
        <w:rPr>
          <w:rFonts w:ascii="IRNazanin" w:hAnsi="IRNazanin" w:eastAsia="IRNazanin"/>
          <w:color w:val="111111"/>
          <w:sz w:val="28"/>
          <w:sz w:val="28"/>
          <w:szCs w:val="28"/>
          <w:rtl w:val="true"/>
          <w:lang w:bidi="fa-IR"/>
        </w:rPr>
        <w:t>للشیخ علی بن الحسین ابن عبدالعالی العاملی الکرکی المعروف بالمحقق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قاسم خضير 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الإمام، الحَبْر الهُمام، والنِّحرير التَّمام، مخدوم الأنام، قدوة أعلم علماء الإسلام، مُبيِّن دقائق 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خلَّد الله ظلالَه العالي إلى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أجمع العلماء كافّةً على وجوب معرفة الله تعالى، وصفاته الثُّبوتيّة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يصحّ عليه ويمتنع، والنبوّة، والإمامة، والمعاد بالدَّليل لا بالتَّقليد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جهل شيئًا منها خرج عن ربقة المؤمنين، واستحقّ العقاب الدائم</w:t>
      </w:r>
      <w:r>
        <w:rPr>
          <w:rFonts w:eastAsia="Amiri" w:cs="Amiri" w:ascii="Amiri" w:hAnsi="Amiri"/>
          <w:color w:val="111111"/>
          <w:sz w:val="28"/>
          <w:szCs w:val="28"/>
          <w:rtl w:val="true"/>
          <w:lang w:bidi="ar-SA"/>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الجَّهل بها عَدَمُ العلم بها على الوجه المذكور، ويَشكُل هذا في أنَّ مَن اعتقد اعتقاد الإماميّة في الأصول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يتقوّم بها الإيمان، ولم يكن اعتقاده إيّاها على الوجه المذكور، أيْ عن دليلٍ معتبر عند أهل الصِّناعة، بل مستنده التَّقليد، ومن ذلك جمٌّ غفير من الإماميّة وغيرهم، في هذا الزَّمان وفي السَّابق، بل من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يُعدُّ هذا الجمُّ الغفير من المؤمنين أم لا؟</w:t>
      </w:r>
    </w:p>
    <w:p>
      <w:pPr>
        <w:pStyle w:val="BookText"/>
        <w:rPr/>
      </w:pPr>
      <w:r>
        <w:rPr>
          <w:rFonts w:ascii="Amiri" w:hAnsi="Amiri" w:eastAsia="Amiri" w:cs="Amiri"/>
          <w:color w:val="111111"/>
          <w:sz w:val="28"/>
          <w:sz w:val="28"/>
          <w:szCs w:val="28"/>
          <w:rtl w:val="true"/>
          <w:lang w:bidi="ar-SA"/>
        </w:rPr>
        <w:t>وهل يترتّب عليه أحكام المؤمنين؟ فيدفع إلى الهاشِميّ الخُمس لو كان فقيراً، أو إلى الفقير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يجوز تزويجهما لمؤمنة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الإعتاق لو كان عبداً أم لا؟</w:t>
      </w:r>
    </w:p>
    <w:p>
      <w:pPr>
        <w:pStyle w:val="BookText"/>
        <w:rPr/>
      </w:pPr>
      <w:r>
        <w:rPr>
          <w:rFonts w:ascii="Amiri" w:hAnsi="Amiri" w:eastAsia="Amiri" w:cs="Amiri"/>
          <w:color w:val="111111"/>
          <w:sz w:val="28"/>
          <w:sz w:val="28"/>
          <w:szCs w:val="28"/>
          <w:rtl w:val="true"/>
          <w:lang w:bidi="ar-SA"/>
        </w:rPr>
        <w:t>وعلى تقدير الحكم بالإيمان ففي أيِّ مرتبة من مراتب الإيمان يكون؟</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وبماذا يحمل قول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بيِّنوا لا زلتم للبيان أعلاماً</w:t>
      </w:r>
      <w:r>
        <w:rPr>
          <w:rStyle w:val="FootnoteAnchor"/>
          <w:rtl w:val="true"/>
        </w:rPr>
        <w:footnoteReference w:id="1139"/>
      </w:r>
      <w:r>
        <w:rPr>
          <w:rFonts w:ascii="Amiri" w:hAnsi="Amiri" w:eastAsia="Amiri" w:cs="Amiri"/>
          <w:color w:val="111111"/>
          <w:sz w:val="28"/>
          <w:sz w:val="28"/>
          <w:szCs w:val="28"/>
          <w:rtl w:val="true"/>
          <w:lang w:bidi="ar-SA"/>
        </w:rPr>
        <w:t>، وللتحقيق والتَّدقيق أعواماً</w:t>
      </w:r>
      <w:r>
        <w:rPr>
          <w:rStyle w:val="FootnoteAnchor"/>
          <w:rtl w:val="true"/>
        </w:rPr>
        <w:footnoteReference w:id="1140"/>
      </w:r>
      <w:r>
        <w:rPr>
          <w:rFonts w:ascii="Amiri" w:hAnsi="Amiri" w:eastAsia="Amiri" w:cs="Amiri"/>
          <w:color w:val="111111"/>
          <w:sz w:val="28"/>
          <w:sz w:val="28"/>
          <w:szCs w:val="28"/>
          <w:rtl w:val="true"/>
          <w:lang w:bidi="ar-SA"/>
        </w:rPr>
        <w:t>إلى يوم القيام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بالله وحده، لا ريب أنَّ معرفة الأصول الخمسة بالدَّليل على الوجه المعتبر واجب على كلِّ مكلَّف، لا يجوز لأحدٍ الإخلال به، ومن أخلَّ به أو بشيءٍ منه فلا شكّ أنَّه آثم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يكون مؤمناً ومسلماً؟ فيه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أخلَّ باعتقاد أصلٍ من الأصول الخمسة كالتوحيد وما يجرى مجراه في كون الجهل به كفراً كالنبوّة، وجَهِلَه إمَّا جهلاً بسيطاً بحيث لم يصدِّق به أصلاً، أو جهلاً مركّباً بحيث اعتقد ضدّه فهو غير مؤمنٍ ولا مسلمٍ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 جميع علمائنا المعتبرين</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المكلَّف قد اعتقد الأصول الخمسة على قانون الإماميّة لكن عن غير دليل وكان اعتقاده 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مسلم ومؤمن إلَّا أنَّ إيمانه 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لإخلاله بالواجب وهو المعرفة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 أصحابنا رضوان الله عليهم في الكتب الفقهيّة جارٍ على ذلك</w:t>
      </w:r>
      <w:r>
        <w:rPr>
          <w:rStyle w:val="FootnoteAnchor"/>
          <w:rtl w:val="true"/>
        </w:rPr>
        <w:footnoteReference w:id="1142"/>
      </w:r>
      <w:r>
        <w:rPr>
          <w:rFonts w:ascii="Amiri" w:hAnsi="Amiri" w:eastAsia="Amiri" w:cs="Amiri"/>
          <w:color w:val="111111"/>
          <w:sz w:val="28"/>
          <w:sz w:val="28"/>
          <w:szCs w:val="28"/>
          <w:rtl w:val="true"/>
          <w:lang w:bidi="ar-SA"/>
        </w:rPr>
        <w:t>، فإنّ الصلاة على الميّت المؤمن إنَّما يُراد به من ليس بمخالفٍ، ولا مستضعفٍ، ولا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إعطاء الزَّكاة والفطرة والخُمس للمؤمن لا يريدون به إلَّا مَن ذكرناه</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الإيمان المعتبر في الزَّوج إذا كانت الزَّوجة مؤمنة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إعتاق الرَّقبة المؤمنة في الكفارة، والوصيّة بعتق المؤمن لا يراد به إلَّا ذلك، وكلامهم كالصَّريح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كشف بعض علمائنا عن ذلك القناع، وصرّح بما قلناه</w:t>
      </w:r>
      <w:r>
        <w:rPr>
          <w:rStyle w:val="FootnoteAnchor"/>
          <w:rtl w:val="true"/>
        </w:rPr>
        <w:footnoteReference w:id="1143"/>
      </w:r>
      <w:r>
        <w:rPr>
          <w:rFonts w:ascii="Amiri" w:hAnsi="Amiri" w:eastAsia="Amiri" w:cs="Amiri"/>
          <w:color w:val="111111"/>
          <w:sz w:val="28"/>
          <w:sz w:val="28"/>
          <w:szCs w:val="28"/>
          <w:rtl w:val="true"/>
          <w:lang w:bidi="ar-SA"/>
        </w:rPr>
        <w:t xml:space="preserve">، ورأيت قديماً سؤالاً مضمونه هذه المسألة، وجوابه بخطِّ شيخنا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 بن سعيد</w:t>
      </w:r>
      <w:r>
        <w:rPr>
          <w:rStyle w:val="FootnoteAnchor"/>
          <w:rtl w:val="true"/>
        </w:rPr>
        <w:footnoteReference w:id="1144"/>
      </w:r>
      <w:r>
        <w:rPr>
          <w:rFonts w:ascii="Amiri" w:hAnsi="Amiri" w:eastAsia="Amiri" w:cs="Amiri"/>
          <w:color w:val="111111"/>
          <w:sz w:val="28"/>
          <w:sz w:val="28"/>
          <w:szCs w:val="28"/>
          <w:rtl w:val="true"/>
          <w:lang w:bidi="ar-SA"/>
        </w:rPr>
        <w:t>، وابنِ عمّه الشَّيخ يحيى</w:t>
      </w:r>
      <w:r>
        <w:rPr>
          <w:rStyle w:val="FootnoteAnchor"/>
          <w:rtl w:val="true"/>
        </w:rPr>
        <w:footnoteReference w:id="1145"/>
      </w:r>
      <w:r>
        <w:rPr>
          <w:rFonts w:ascii="Amiri" w:hAnsi="Amiri" w:eastAsia="Amiri" w:cs="Amiri"/>
          <w:color w:val="111111"/>
          <w:sz w:val="28"/>
          <w:sz w:val="28"/>
          <w:szCs w:val="28"/>
          <w:rtl w:val="true"/>
          <w:lang w:bidi="ar-SA"/>
        </w:rPr>
        <w:t>، والشَّيخ سديد الدِّين ابن المطهِّر</w:t>
      </w:r>
      <w:r>
        <w:rPr>
          <w:rStyle w:val="FootnoteAnchor"/>
          <w:rtl w:val="true"/>
        </w:rPr>
        <w:footnoteReference w:id="1146"/>
      </w:r>
      <w:r>
        <w:rPr>
          <w:rFonts w:ascii="Amiri" w:hAnsi="Amiri" w:eastAsia="Amiri" w:cs="Amiri"/>
          <w:color w:val="111111"/>
          <w:sz w:val="28"/>
          <w:sz w:val="28"/>
          <w:szCs w:val="28"/>
          <w:rtl w:val="true"/>
          <w:lang w:bidi="ar-SA"/>
        </w:rPr>
        <w:t>والد الشيخ جمال الدِّين</w:t>
      </w:r>
      <w:r>
        <w:rPr>
          <w:rStyle w:val="FootnoteAnchor"/>
          <w:rtl w:val="true"/>
        </w:rPr>
        <w:footnoteReference w:id="1147"/>
      </w:r>
      <w:r>
        <w:rPr>
          <w:rFonts w:ascii="Amiri" w:hAnsi="Amiri" w:eastAsia="Amiri" w:cs="Amiri"/>
          <w:color w:val="111111"/>
          <w:sz w:val="28"/>
          <w:sz w:val="28"/>
          <w:szCs w:val="28"/>
          <w:rtl w:val="true"/>
          <w:lang w:bidi="ar-SA"/>
        </w:rPr>
        <w:t>، وجماعة بمضمون ما ذكرناه</w:t>
      </w:r>
      <w:r>
        <w:rPr>
          <w:rStyle w:val="FootnoteAnchor"/>
          <w:rtl w:val="true"/>
        </w:rPr>
        <w:footnoteReference w:id="11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في الذريعة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فتاوى علماء الحلّة في الواجب من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وطبقات أعلام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رأيتها في ظهر نسخة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w:t>
      </w:r>
    </w:p>
    <w:p>
      <w:pPr>
        <w:pStyle w:val="BookText"/>
        <w:rPr/>
      </w:pPr>
      <w:r>
        <w:rPr>
          <w:rFonts w:ascii="Amiri" w:hAnsi="Amiri" w:eastAsia="Amiri" w:cs="Amiri"/>
          <w:color w:val="111111"/>
          <w:sz w:val="28"/>
          <w:sz w:val="28"/>
          <w:szCs w:val="28"/>
          <w:rtl w:val="true"/>
          <w:lang w:bidi="ar-SA"/>
        </w:rPr>
        <w:t xml:space="preserve">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مكتبة الإمام الحكيم في النجف الأشرف، الجزء الثاني، الرقم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كتبها الشيخ محمّد بن عبد الرحيم بن داود بن محمّد الاسترآباديّ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تلميذ المحقّق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نهار يوم الجمعة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929</w:t>
      </w:r>
      <w:r>
        <w:rPr>
          <w:rFonts w:ascii="Amiri" w:hAnsi="Amiri" w:eastAsia="Amiri" w:cs="Amiri"/>
          <w:color w:val="111111"/>
          <w:sz w:val="28"/>
          <w:sz w:val="28"/>
          <w:szCs w:val="28"/>
          <w:rtl w:val="true"/>
          <w:lang w:bidi="ar-SA"/>
        </w:rPr>
        <w:t xml:space="preserve">ﻫفي مشهد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جاء في ظهرها فتاوى علماء الحلّة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ومقدارها نصف 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النسخة عليها خطّ المحقّق الكركيّ، دوّن عليها جملة من فوائده وفتاواه، ومن ذلك إجازته للنّاسخ التي نُشرت في مجلّة مخطوطاتنا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وتوجد أيضاً نسخة من هذه الجوابات في مكتبة المشكاة بطهران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علماء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المجموعة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ورقم النسخة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ورد في فهرس المكتبة أنَّها كُتِبت في القرن الثالث عشر الهجريّ، غير أنّ المفهرس ذكر أنّ عليها خطّ المحقّق الكركيّ،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نسخه هاى خطى كتابخانه مركزى ومركز اسناد دانشكاه 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فنخا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 ما وجدتُهُ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 على ظهر كتاب ما هذه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علماء الحلّة السيفيّة عن اللّازم من معرفة الحقّ تعالى والرّسول والإمام؟ فكتبَ الشيخ نجيب الدين يحيى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المكلّف عالماً بالمعارف العقليّة بدليلٍ دليلٍ نَظَرَ فيه من الوجه الذي يدلّ فيه فأصابه فقد خرج من العهدة وكفاه وإن لم يحسن النطق به بالألفاظ؛ لأنَّ ذلك صناعة لا تلزم النّاس كافّة، بل تخصُّ رؤساءَ الإسلام ليدفعوا أعداءَ الدين و المُلقينَ للشّبهة، ولا ريبَ أنَّ الله تعالى قد نصب الأدلّة ومكّن المكلَّف من تحصيلها بقلبه، والعلم راجع إلى القلب لا إلى اللّسان الذي هو جارحة فكيف يلزم النطق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نطق بالأدلّة لفظاً ولم يعتقدها بالقلب لم يكن ذلك إيماناً ولا شيئاً يُنتفع به في الآخرة، ولو علم بقلبه ما وجب عليه علمه بدليل وكان أخرس لكان ذلك هو اللّازم له الواجب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الشيخ سديد الدّين يوسف بن المطهَّر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يلزم المكلَّف من المعارف العقليّة العلم بالتوحيد والعدل والنبوّة والإمامة اعتقاداً بقلبه دون إيراد الألفاظ الدالّة على ذلك، فأمّا إيراد الألفاظ فمِن فروض رؤساء الدّين دون غيرهم؛ لئلّا يدخل على أهل ذلك المذهب طعن يَعجز رئيسُهم عن حلِّ شبهته أو إقامة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يوسف بن علوان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الخطّان والحكم بهما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الفقيه العلّامة نجيب الدين محمّد بن نما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ذكره أعلاه كافٍ في المراد منه ولا يحتاج إلى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الشيخ نجم الدين جعفر بن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الإنسان لعقائده برؤوس الأدلّة كافٍ له في السلامة يوم القيامة عن الخوض في المباحث الكلاميّة والوقوف على تفصيل الأدلّة، وليست العبادة معتبرة في ذلك، بل يكفي العلم بذلك والمعرفة به بقلبه والتصوّر له بمخيّلة الذهن، وأمّا حسن الإيراد والقدرة على النطق بالبراهين العقليّة وإفهامها المعترضَ فمِن فضيلة الإنسان وكماله، لا يلزم ذلك إلّا متصدّيًا للرئاسة حراسةً للمذهب من تسلّط الخصم، وأمّا غير ذلك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الشيخ محمّد بن أبي العزّ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وُجِدَ بخطّ الشيخ شمس الدين محمّد بن مكّيّ ما هذه صورته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نُقِل من خطٍّ نُقِل من خطوط هؤلاء الأئمّة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وشاهده العبد محمّد بن مكّيّ بالمدينة النبويّة، والحمد لله وحدَه، وصلّى الله على محمّد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صورة ما وجدته، وأنا عبد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الرحيم بن داود، حامدًا لله على آلائه، ومصلّياً على خير أنبيائه محمّد وآله ومسلّما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عين على الذريعة، أحمد علي مجيد الحلّيّ، غير مطبوع</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وأمَّا عبارة العلَّامة في الباب الحادي عشر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المراد بالم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ؤمنين</w:t>
      </w:r>
      <w:r>
        <w:rPr>
          <w:rFonts w:eastAsia="Amiri" w:cs="Amiri" w:ascii="Amiri" w:hAnsi="Amiri"/>
          <w:color w:val="111111"/>
          <w:sz w:val="28"/>
          <w:szCs w:val="28"/>
          <w:rtl w:val="true"/>
          <w:lang w:bidi="ar-SA"/>
        </w:rPr>
        <w:t>]</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التقليد في التوحيد والعدل والنبوة والإمامة، بل يجب النظر والبحث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لا يقدر على البحث كالنساء وأكثر العامة فإنَّهم يندرجون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الْمُسْتَضْعَفِينَ مِنَ الرِّجالِ والنِّساءِ والْوِلْدانِ لا يَسْتَطِيعُونَ حِيلَةً ولا يَهْتَدُونَ سَبِيلًا فَأُولئِكَ عَسَى الله أَنْ يَعْفُوَ عَنْهُمْ ولا يكون مؤمناً حقيقةً، بل في حكم المؤمن، لأنَّهم في سعة من رحمة اللَّه</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العبارة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المراد بالجهل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 المركّب الذي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اعتقاد الضِّدّ، وكلٌّ من الأمرين كفرٌ، وإطلاق الأمرين جائز في هذا المقام؛ لأنَّه مقام التَّرهيب، ومثل ذلك في السُّنّة المطهَّرة كثيرٌ،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وجب عليه حجّ الإسلام ولم يحجّ فليمُت إنْ شاء يهوديّاً أو نصرانيّاً</w:t>
      </w:r>
      <w:r>
        <w:rPr>
          <w:rFonts w:eastAsia="Amiri" w:cs="Amiri" w:ascii="Amiri" w:hAnsi="Amiri"/>
          <w:color w:val="111111"/>
          <w:sz w:val="28"/>
          <w:szCs w:val="28"/>
          <w:rtl w:val="true"/>
          <w:lang w:bidi="ar-SA"/>
        </w:rPr>
        <w:t>»</w:t>
      </w:r>
      <w:r>
        <w:rPr>
          <w:rStyle w:val="FootnoteAnchor"/>
          <w:rtl w:val="true"/>
        </w:rPr>
        <w:footnoteReference w:id="1150"/>
      </w:r>
      <w:r>
        <w:rPr>
          <w:rFonts w:ascii="Amiri" w:hAnsi="Amiri" w:eastAsia="Amiri" w:cs="Amiri"/>
          <w:color w:val="111111"/>
          <w:sz w:val="28"/>
          <w:sz w:val="28"/>
          <w:szCs w:val="28"/>
          <w:rtl w:val="true"/>
          <w:lang w:bidi="ar-SA"/>
        </w:rPr>
        <w:t xml:space="preserve">، ولا يكون ذلك إلَّا إذا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مستحلّاً</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كتبه عليُّ ابن عبد العالي </w:t>
      </w:r>
      <w:bookmarkStart w:id="807" w:name="pg10913_111351"/>
    </w:p>
    <w:p>
      <w:pPr>
        <w:pStyle w:val="Heading3"/>
        <w:numPr>
          <w:ilvl w:val="2"/>
          <w:numId w:val="1"/>
        </w:numPr>
        <w:rPr/>
      </w:pPr>
      <w:bookmarkStart w:id="808" w:name="__RefHeading___Toc3057038_2870459653"/>
      <w:bookmarkStart w:id="809" w:name="_Toc310"/>
      <w:bookmarkEnd w:id="807"/>
      <w:bookmarkEnd w:id="808"/>
      <w:r>
        <w:rPr>
          <w:rtl w:val="true"/>
        </w:rPr>
        <w:t xml:space="preserve">رسالة في أحكام الصداق </w:t>
      </w:r>
      <w:r>
        <w:rPr>
          <w:rtl w:val="true"/>
        </w:rPr>
        <w:t xml:space="preserve">- </w:t>
      </w:r>
      <w:r>
        <w:rPr>
          <w:rtl w:val="true"/>
        </w:rPr>
        <w:t xml:space="preserve">للشيخ محيي الدين بن أحمد بن تاج الدین العاملی الميسيّ </w:t>
      </w:r>
      <w:r>
        <w:rPr>
          <w:rtl w:val="true"/>
        </w:rPr>
        <w:t>(</w:t>
      </w:r>
      <w:r>
        <w:rPr>
          <w:rtl w:val="true"/>
        </w:rPr>
        <w:t xml:space="preserve">كان حيّاً </w:t>
      </w:r>
      <w:r>
        <w:rPr/>
        <w:t>974</w:t>
      </w:r>
      <w:r>
        <w:rPr>
          <w:rtl w:val="true"/>
        </w:rPr>
        <w:t xml:space="preserve"> </w:t>
      </w:r>
      <w:r>
        <w:rPr>
          <w:rtl w:val="true"/>
        </w:rPr>
        <w:t>ﻫ</w:t>
      </w:r>
      <w:r>
        <w:rPr>
          <w:rtl w:val="true"/>
        </w:rPr>
        <w:t>)</w:t>
      </w:r>
      <w:bookmarkEnd w:id="809"/>
    </w:p>
    <w:p>
      <w:pPr>
        <w:pStyle w:val="Heading4"/>
        <w:numPr>
          <w:ilvl w:val="3"/>
          <w:numId w:val="1"/>
        </w:numPr>
        <w:rPr/>
      </w:pPr>
      <w:bookmarkStart w:id="810" w:name="__RefHeading___Toc3057040_2870459653"/>
      <w:bookmarkStart w:id="811" w:name="_Toc311"/>
      <w:bookmarkEnd w:id="810"/>
      <w:r>
        <w:rPr>
          <w:rtl w:val="true"/>
        </w:rPr>
        <w:t>اشارة</w:t>
      </w:r>
      <w:bookmarkEnd w:id="811"/>
    </w:p>
    <w:p>
      <w:pPr>
        <w:pStyle w:val="BookText"/>
        <w:rPr/>
      </w:pPr>
      <w:r>
        <w:rPr>
          <w:rFonts w:ascii="IRNazanin" w:hAnsi="IRNazanin" w:eastAsia="IRNazanin"/>
          <w:color w:val="111111"/>
          <w:sz w:val="28"/>
          <w:sz w:val="28"/>
          <w:szCs w:val="28"/>
          <w:rtl w:val="true"/>
          <w:lang w:bidi="fa-IR"/>
        </w:rPr>
        <w:t xml:space="preserve">للشيخ محيي الدين بن أحمد بن تاج الدین العاملی الميسيّ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حيّاً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قاسم خضير 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نحمدك يا مَن امتنع عن الازدواج في دوام تفرّده بذاته، ونصلّي على حبيبك محمّدٍ وآله مهراً لتسليم المعجَّل والمؤجَّل من نحلك وشكر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لأياديهم وهداياته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فهذه نبذة يسيرة من أحكام الصَّداق حداني على إفرادها من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التماسُ بعض الأصدقاء الصّداق، والله أسأل أنْ يعمَّ بنفعها ذوي القصور عن إدراك الأحكام من معادن الانتزاع، ويعصمُ عن الفتور في جمعها عن ملاحظة الإخلاص؛ ليتمَّم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للزوجة الامتناع من تسليم نفسها إلى الزَّوج قبل الدُّخول حتّى تقبض المهر الحال</w:t>
      </w:r>
      <w:r>
        <w:rPr>
          <w:rStyle w:val="FootnoteAnchor"/>
          <w:rtl w:val="true"/>
        </w:rPr>
        <w:footnoteReference w:id="1151"/>
      </w:r>
      <w:r>
        <w:rPr>
          <w:rFonts w:ascii="Amiri" w:hAnsi="Amiri" w:eastAsia="Amiri" w:cs="Amiri"/>
          <w:color w:val="111111"/>
          <w:sz w:val="28"/>
          <w:sz w:val="28"/>
          <w:szCs w:val="28"/>
          <w:rtl w:val="true"/>
          <w:lang w:bidi="ar-SA"/>
        </w:rPr>
        <w:t>، وممّن صرّح بنفي الخلاف في ذلك الشَّيخ في المبسوط فيما نقله عنه في المختلف</w:t>
      </w:r>
      <w:r>
        <w:rPr>
          <w:rStyle w:val="FootnoteAnchor"/>
          <w:rtl w:val="true"/>
        </w:rPr>
        <w:footnoteReference w:id="1152"/>
      </w:r>
      <w:r>
        <w:rPr>
          <w:rFonts w:ascii="Amiri" w:hAnsi="Amiri" w:eastAsia="Amiri" w:cs="Amiri"/>
          <w:color w:val="111111"/>
          <w:sz w:val="28"/>
          <w:sz w:val="28"/>
          <w:szCs w:val="28"/>
          <w:rtl w:val="true"/>
          <w:lang w:bidi="ar-SA"/>
        </w:rPr>
        <w:t>، وإنَّما اختلفوا في جواز امتناعها بعد الدُّخول، وبناه الشَّهيد في شرح الإرشاد على مقدّماتٍ سبعٍ</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النكاح معاوضة محضة أو شبهها، و قد تقدّم ما يصلح أن يكون دليلاً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المعاوضة المحضة لكلّ من المتعاوضين الامتناع من التسليم حتّى يسلّم إليه الآخر موسراً كان أو معسراً، لتحصل فائدة التعويض، فيجبرهما الحاكم على التقابض معاً؛ لعدم الأولويّة، ولا خفاء أنَّ النكاح كذلك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امتناع بعد قبض أحدهما بإذن صاحبه؛ لأنَّ حقّ الإمساك زال بالدفع واستقرّ الملك للقابض فلا يستعاد منه أو يمنع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الوطء في النكاح هو القبض؛ إذ البضع لا يدخل تحت اليد و لو كانت أمةً، و لهذا لا يجب عليه عوض البضع بالغصب إذا لم يطأ بشروطه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هنا أنَّ الوطء ليس قبضاً تامّاً كقبض المبيع؛ لما ذكر من عدم دخول منافع البضع تحت اليد، بخلاف المبيع فإنَّه داخل تحت اليد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المهر يجب جميعه بالعقد، وهو أشهر الروايتين، ويستقرّ بالدخول ولو مرّةً وهو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مقابلة باقي الوطآت مهر في الدائم؛ للإجماع على وجوب جميعه ولو تفرّقا بعد وطأه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ذلك؛ لأنَّ المعقود عليه البضع لينتفع به في أيّ وقت كان، ولا يلزم من استقرار العوض بانتفاعٍ ما خروج الباقي عن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القبض كرهاً كهو طوعاً؟ يحتمل ذلك؛ لانتقال الضمان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عدمه لتحريمه؛ إذ للمقبوض منه السلطنة عليه، فلا يترتّب عليه أثره الصحيح، والضمان عقوبة كالغصب</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والحاصل بها أقوال ثلاثة</w:t>
      </w:r>
      <w:r>
        <w:rPr>
          <w:rFonts w:eastAsia="Amiri" w:cs="Amiri" w:ascii="Amiri" w:hAnsi="Amiri"/>
          <w:color w:val="111111"/>
          <w:sz w:val="28"/>
          <w:szCs w:val="28"/>
          <w:rtl w:val="true"/>
          <w:lang w:bidi="ar-SA"/>
        </w:rPr>
        <w:t>:</w:t>
      </w:r>
      <w:bookmarkStart w:id="812" w:name="pg10913_111357"/>
    </w:p>
    <w:p>
      <w:pPr>
        <w:pStyle w:val="Heading4"/>
        <w:numPr>
          <w:ilvl w:val="3"/>
          <w:numId w:val="1"/>
        </w:numPr>
        <w:rPr/>
      </w:pPr>
      <w:bookmarkStart w:id="813" w:name="__RefHeading___Toc3057042_2870459653"/>
      <w:bookmarkStart w:id="814" w:name="_Toc312"/>
      <w:bookmarkEnd w:id="812"/>
      <w:bookmarkEnd w:id="813"/>
      <w:r>
        <w:rPr>
          <w:rtl w:val="true"/>
        </w:rPr>
        <w:t>الأقوال في جواز الامتناع</w:t>
      </w:r>
      <w:bookmarkEnd w:id="814"/>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امتناع، وهو قول المرتضى في الانتصار</w:t>
      </w:r>
      <w:r>
        <w:rPr>
          <w:rStyle w:val="FootnoteAnchor"/>
          <w:rtl w:val="true"/>
        </w:rPr>
        <w:footnoteReference w:id="1154"/>
      </w:r>
      <w:r>
        <w:rPr>
          <w:rFonts w:ascii="Amiri" w:hAnsi="Amiri" w:eastAsia="Amiri" w:cs="Amiri"/>
          <w:color w:val="111111"/>
          <w:sz w:val="28"/>
          <w:sz w:val="28"/>
          <w:szCs w:val="28"/>
          <w:rtl w:val="true"/>
          <w:lang w:bidi="ar-SA"/>
        </w:rPr>
        <w:t>، والشَّيخ في الخلاف</w:t>
      </w:r>
      <w:r>
        <w:rPr>
          <w:rStyle w:val="FootnoteAnchor"/>
          <w:rtl w:val="true"/>
        </w:rPr>
        <w:footnoteReference w:id="1155"/>
      </w:r>
      <w:r>
        <w:rPr>
          <w:rFonts w:ascii="Amiri" w:hAnsi="Amiri" w:eastAsia="Amiri" w:cs="Amiri"/>
          <w:color w:val="111111"/>
          <w:sz w:val="28"/>
          <w:sz w:val="28"/>
          <w:szCs w:val="28"/>
          <w:rtl w:val="true"/>
          <w:lang w:bidi="ar-SA"/>
        </w:rPr>
        <w:t>، والتَّقيّ</w:t>
      </w:r>
      <w:r>
        <w:rPr>
          <w:rStyle w:val="FootnoteAnchor"/>
          <w:rtl w:val="true"/>
        </w:rPr>
        <w:footnoteReference w:id="1156"/>
      </w:r>
      <w:r>
        <w:rPr>
          <w:rFonts w:ascii="IRNazanin" w:hAnsi="IRNazanin" w:eastAsia="IRNazanin"/>
          <w:color w:val="111111"/>
          <w:sz w:val="28"/>
          <w:sz w:val="28"/>
          <w:szCs w:val="28"/>
          <w:rtl w:val="true"/>
          <w:lang w:bidi="fa-IR"/>
        </w:rPr>
        <w:t>، والفاضل</w:t>
      </w:r>
      <w:r>
        <w:rPr>
          <w:rStyle w:val="FootnoteAnchor"/>
          <w:rtl w:val="true"/>
        </w:rPr>
        <w:footnoteReference w:id="1157"/>
      </w:r>
      <w:r>
        <w:rPr>
          <w:rFonts w:ascii="Amiri" w:hAnsi="Amiri" w:eastAsia="Amiri" w:cs="Amiri"/>
          <w:color w:val="111111"/>
          <w:sz w:val="28"/>
          <w:sz w:val="28"/>
          <w:szCs w:val="28"/>
          <w:rtl w:val="true"/>
          <w:lang w:bidi="ar-SA"/>
        </w:rPr>
        <w:t>، والمحقِّق</w:t>
      </w:r>
      <w:r>
        <w:rPr>
          <w:rStyle w:val="FootnoteAnchor"/>
          <w:rtl w:val="true"/>
        </w:rPr>
        <w:footnoteReference w:id="1158"/>
      </w:r>
      <w:r>
        <w:rPr>
          <w:rFonts w:ascii="Amiri" w:hAnsi="Amiri" w:eastAsia="Amiri" w:cs="Amiri"/>
          <w:color w:val="111111"/>
          <w:sz w:val="28"/>
          <w:sz w:val="28"/>
          <w:szCs w:val="28"/>
          <w:rtl w:val="true"/>
          <w:lang w:bidi="ar-SA"/>
        </w:rPr>
        <w:t xml:space="preserve">لأنَّ النِّكاح معاوضةٌ محضةٌ، ولكلٍّ من المتعاوضين </w:t>
      </w:r>
    </w:p>
    <w:p>
      <w:pPr>
        <w:pStyle w:val="BookText"/>
        <w:rPr/>
      </w:pPr>
      <w:r>
        <w:rPr>
          <w:rFonts w:ascii="Amiri" w:hAnsi="Amiri" w:eastAsia="Amiri" w:cs="Amiri"/>
          <w:color w:val="111111"/>
          <w:sz w:val="28"/>
          <w:sz w:val="28"/>
          <w:szCs w:val="28"/>
          <w:rtl w:val="true"/>
          <w:lang w:bidi="ar-SA"/>
        </w:rPr>
        <w:t>الامتناع حتّى يسلِّم إليه الآخر، ولا امتناع بعد قبض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والقبض في النكاح هو الوطء؛ لأنَّ البِّضع لا يدخل تحت اليد، وليس في مقابلة باقي الوطآت مهرٌ في الدائم؛ للإجماع على وجوب جميعه لو تفرقا بعد الوطء ولو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مقتضى إطلاق كلام الشَّيخ في النِّهاية</w:t>
      </w:r>
      <w:r>
        <w:rPr>
          <w:rStyle w:val="FootnoteAnchor"/>
          <w:rtl w:val="true"/>
        </w:rPr>
        <w:footnoteReference w:id="1159"/>
      </w:r>
      <w:r>
        <w:rPr>
          <w:rFonts w:ascii="IRNazanin" w:hAnsi="IRNazanin" w:eastAsia="IRNazanin"/>
          <w:color w:val="111111"/>
          <w:sz w:val="28"/>
          <w:sz w:val="28"/>
          <w:szCs w:val="28"/>
          <w:rtl w:val="true"/>
          <w:lang w:bidi="fa-IR"/>
        </w:rPr>
        <w:t>، وابن البرّاج</w:t>
      </w:r>
      <w:r>
        <w:rPr>
          <w:rStyle w:val="FootnoteAnchor"/>
          <w:rtl w:val="true"/>
        </w:rPr>
        <w:footnoteReference w:id="1160"/>
      </w:r>
      <w:r>
        <w:rPr>
          <w:rFonts w:ascii="Amiri" w:hAnsi="Amiri" w:eastAsia="Amiri" w:cs="Amiri"/>
          <w:color w:val="111111"/>
          <w:sz w:val="28"/>
          <w:sz w:val="28"/>
          <w:szCs w:val="28"/>
          <w:rtl w:val="true"/>
          <w:lang w:bidi="ar-SA"/>
        </w:rPr>
        <w:t>، وصريحه في المبسوط</w:t>
      </w:r>
      <w:r>
        <w:rPr>
          <w:rStyle w:val="FootnoteAnchor"/>
          <w:rtl w:val="true"/>
        </w:rPr>
        <w:footnoteReference w:id="1161"/>
      </w:r>
      <w:r>
        <w:rPr>
          <w:rFonts w:ascii="Amiri" w:hAnsi="Amiri" w:eastAsia="Amiri" w:cs="Amiri"/>
          <w:color w:val="111111"/>
          <w:sz w:val="28"/>
          <w:sz w:val="28"/>
          <w:szCs w:val="28"/>
          <w:rtl w:val="true"/>
          <w:lang w:bidi="ar-SA"/>
        </w:rPr>
        <w:t>وفاقاً للمفيد</w:t>
      </w:r>
      <w:r>
        <w:rPr>
          <w:rStyle w:val="FootnoteAnchor"/>
          <w:rtl w:val="true"/>
        </w:rPr>
        <w:footnoteReference w:id="1162"/>
      </w:r>
      <w:r>
        <w:rPr>
          <w:rFonts w:ascii="Amiri" w:hAnsi="Amiri" w:eastAsia="Amiri" w:cs="Amiri"/>
          <w:color w:val="111111"/>
          <w:sz w:val="28"/>
          <w:sz w:val="28"/>
          <w:szCs w:val="28"/>
          <w:rtl w:val="true"/>
          <w:lang w:bidi="ar-SA"/>
        </w:rPr>
        <w:t>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أنَّا نمنع المقدّمة الرَّابعة، ونعارضها بما ذُكر من عدم دخول منافع البِّضع تحت اليد، والخامسة</w:t>
      </w:r>
      <w:r>
        <w:rPr>
          <w:rStyle w:val="FootnoteAnchor"/>
          <w:rtl w:val="true"/>
        </w:rPr>
        <w:footnoteReference w:id="1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المعقود عليه البِّضع لينتفع به في أيِّ وقتٍ كان، ولا يلزم باستقرار العوض بانتفاعٍ ما خروجُ الباقي عن المعاوضة</w:t>
      </w:r>
      <w:r>
        <w:rPr>
          <w:rFonts w:eastAsia="Amiri" w:cs="Amiri" w:ascii="Amiri" w:hAnsi="Amiri"/>
          <w:color w:val="111111"/>
          <w:sz w:val="28"/>
          <w:szCs w:val="28"/>
          <w:rtl w:val="true"/>
          <w:lang w:bidi="ar-SA"/>
        </w:rPr>
        <w:t>)</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فارق أن الموجود في غاية المراد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يلزم من استقرار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والموجود هنا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يلزم باستقرار العوض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وللاستصحاب</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بأنَّه إنْ كان الدُّخول بإكراهها فلها الامتناع بعده، وإلَّا فلا، وهو قول الإمام عماد الدِّين بن حمزة قدَّس اللهُ روحَه</w:t>
      </w:r>
      <w:r>
        <w:rPr>
          <w:rStyle w:val="FootnoteAnchor"/>
          <w:rtl w:val="true"/>
        </w:rPr>
        <w:footnoteReference w:id="1165"/>
      </w:r>
      <w:r>
        <w:rPr>
          <w:rFonts w:ascii="Amiri" w:hAnsi="Amiri" w:eastAsia="Amiri" w:cs="Amiri"/>
          <w:color w:val="111111"/>
          <w:sz w:val="28"/>
          <w:sz w:val="28"/>
          <w:szCs w:val="28"/>
          <w:rtl w:val="true"/>
          <w:lang w:bidi="ar-SA"/>
        </w:rPr>
        <w:t xml:space="preserve">لحجّة الأوائل؛ ولأنَّ قبض أحد </w:t>
      </w:r>
    </w:p>
    <w:p>
      <w:pPr>
        <w:pStyle w:val="BookText"/>
        <w:rPr/>
      </w:pPr>
      <w:r>
        <w:rPr>
          <w:rFonts w:ascii="Amiri" w:hAnsi="Amiri" w:eastAsia="Amiri" w:cs="Amiri"/>
          <w:color w:val="111111"/>
          <w:sz w:val="28"/>
          <w:sz w:val="28"/>
          <w:szCs w:val="28"/>
          <w:rtl w:val="true"/>
          <w:lang w:bidi="ar-SA"/>
        </w:rPr>
        <w:t xml:space="preserve">المتعاقدين بدون إذن الآخر غيرُ مفيدٍ له؛ لتحريمه فلا يترتّب عليه أثر الصَّحيح، والضَّمان عقوبة كالغصبِ، 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يخلو قوله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نجم الدِّين</w:t>
      </w:r>
      <w:r>
        <w:rPr>
          <w:rStyle w:val="FootnoteAnchor"/>
          <w:rtl w:val="true"/>
        </w:rPr>
        <w:footnoteReference w:id="1166"/>
      </w:r>
      <w:r>
        <w:rPr>
          <w:rFonts w:ascii="Amiri" w:hAnsi="Amiri" w:eastAsia="Amiri" w:cs="Amiri"/>
          <w:color w:val="111111"/>
          <w:sz w:val="28"/>
          <w:sz w:val="28"/>
          <w:szCs w:val="28"/>
          <w:rtl w:val="true"/>
          <w:lang w:bidi="ar-SA"/>
        </w:rPr>
        <w:t>، والمصنِّف</w:t>
      </w:r>
      <w:r>
        <w:rPr>
          <w:rStyle w:val="FootnoteAnchor"/>
          <w:rtl w:val="true"/>
        </w:rPr>
        <w:footnoteReference w:id="1167"/>
      </w:r>
      <w:r>
        <w:rPr>
          <w:rFonts w:ascii="Amiri" w:hAnsi="Amiri" w:eastAsia="Amiri" w:cs="Amiri"/>
          <w:color w:val="111111"/>
          <w:sz w:val="28"/>
          <w:sz w:val="28"/>
          <w:szCs w:val="28"/>
          <w:rtl w:val="true"/>
          <w:lang w:bidi="ar-SA"/>
        </w:rPr>
        <w:t>لم يفرّقا بين الموسر والمعسر</w:t>
      </w:r>
      <w:r>
        <w:rPr>
          <w:rFonts w:eastAsia="Amiri" w:cs="Amiri" w:ascii="Amiri" w:hAnsi="Amiri"/>
          <w:color w:val="111111"/>
          <w:sz w:val="28"/>
          <w:szCs w:val="28"/>
          <w:rtl w:val="true"/>
          <w:lang w:bidi="ar-SA"/>
        </w:rPr>
        <w:t>)</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Style w:val="FootnoteAnchor"/>
          <w:rtl w:val="true"/>
        </w:rPr>
        <w:footnoteReference w:id="1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كلام النِّهاية</w:t>
      </w:r>
      <w:r>
        <w:rPr>
          <w:rStyle w:val="FootnoteAnchor"/>
          <w:rtl w:val="true"/>
        </w:rPr>
        <w:footnoteReference w:id="1170"/>
      </w:r>
      <w:r>
        <w:rPr>
          <w:rFonts w:ascii="IRNazanin" w:hAnsi="IRNazanin" w:eastAsia="IRNazanin"/>
          <w:color w:val="111111"/>
          <w:sz w:val="28"/>
          <w:sz w:val="28"/>
          <w:szCs w:val="28"/>
          <w:rtl w:val="true"/>
          <w:lang w:bidi="fa-IR"/>
        </w:rPr>
        <w:t>، وابن البرّاج</w:t>
      </w:r>
      <w:r>
        <w:rPr>
          <w:rStyle w:val="FootnoteAnchor"/>
          <w:rtl w:val="true"/>
        </w:rPr>
        <w:footnoteReference w:id="1171"/>
      </w:r>
      <w:r>
        <w:rPr>
          <w:rFonts w:ascii="Amiri" w:hAnsi="Amiri" w:eastAsia="Amiri" w:cs="Amiri"/>
          <w:color w:val="111111"/>
          <w:sz w:val="28"/>
          <w:sz w:val="28"/>
          <w:szCs w:val="28"/>
          <w:rtl w:val="true"/>
          <w:lang w:bidi="ar-SA"/>
        </w:rPr>
        <w:t>يقتضي عدم الفرق</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ويلوح من كلام ابن إدريس</w:t>
      </w:r>
      <w:r>
        <w:rPr>
          <w:rStyle w:val="FootnoteAnchor"/>
          <w:rtl w:val="true"/>
        </w:rPr>
        <w:footnoteReference w:id="1173"/>
      </w:r>
      <w:r>
        <w:rPr>
          <w:rFonts w:ascii="Amiri" w:hAnsi="Amiri" w:eastAsia="Amiri" w:cs="Amiri"/>
          <w:color w:val="111111"/>
          <w:sz w:val="28"/>
          <w:sz w:val="28"/>
          <w:szCs w:val="28"/>
          <w:rtl w:val="true"/>
          <w:lang w:bidi="ar-SA"/>
        </w:rPr>
        <w:t>التَّفرقة وأنَّه لا امتناع في المعسر؛ لأنَّه لا يحلُّ مطالبته ما دام معسراً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الأوّل إلحاقه بالمعاوضة، ويتفرّع على ذلك وجوب النفقة مع الامتناع، فمع اليَسار تجب النفقة إذا بذلت التمكين بشرط المهر، بخلافه مع الإعسار</w:t>
      </w:r>
      <w:r>
        <w:rPr>
          <w:rFonts w:eastAsia="Amiri" w:cs="Amiri" w:ascii="Amiri" w:hAnsi="Amiri"/>
          <w:color w:val="111111"/>
          <w:sz w:val="28"/>
          <w:szCs w:val="28"/>
          <w:rtl w:val="true"/>
          <w:lang w:bidi="ar-SA"/>
        </w:rPr>
        <w:t xml:space="preserve">. </w:t>
      </w:r>
      <w:bookmarkStart w:id="815" w:name="pg10913_111363"/>
    </w:p>
    <w:p>
      <w:pPr>
        <w:pStyle w:val="BookText"/>
        <w:rPr/>
      </w:pPr>
      <w:bookmarkEnd w:id="815"/>
      <w:r>
        <w:rPr>
          <w:rFonts w:ascii="IRNazanin" w:hAnsi="IRNazanin" w:eastAsia="IRNazanin"/>
          <w:color w:val="111111"/>
          <w:sz w:val="28"/>
          <w:sz w:val="28"/>
          <w:szCs w:val="28"/>
          <w:rtl w:val="true"/>
          <w:lang w:bidi="fa-IR"/>
        </w:rPr>
        <w:t>ولا إثم على الأوّل</w:t>
      </w:r>
      <w:r>
        <w:rPr>
          <w:rStyle w:val="FootnoteAnchor"/>
          <w:rtl w:val="true"/>
        </w:rPr>
        <w:footnoteReference w:id="1174"/>
      </w:r>
      <w:r>
        <w:rPr>
          <w:rFonts w:ascii="Amiri" w:hAnsi="Amiri" w:eastAsia="Amiri" w:cs="Amiri"/>
          <w:color w:val="111111"/>
          <w:sz w:val="28"/>
          <w:sz w:val="28"/>
          <w:szCs w:val="28"/>
          <w:rtl w:val="true"/>
          <w:lang w:bidi="ar-SA"/>
        </w:rPr>
        <w:t>، وعلى الثاني يأثم</w:t>
      </w:r>
      <w:r>
        <w:rPr>
          <w:rStyle w:val="FootnoteAnchor"/>
          <w:rtl w:val="true"/>
        </w:rPr>
        <w:footnoteReference w:id="1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اليسار يأثم الزَّوج بالمنع من المهر إجماعاً</w:t>
      </w:r>
      <w:r>
        <w:rPr>
          <w:rFonts w:eastAsia="Amiri" w:cs="Amiri" w:ascii="Amiri" w:hAnsi="Amiri"/>
          <w:color w:val="111111"/>
          <w:sz w:val="28"/>
          <w:szCs w:val="28"/>
          <w:rtl w:val="true"/>
          <w:lang w:bidi="ar-SA"/>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6" w:name="__RefHeading___Toc3057044_2870459653"/>
      <w:bookmarkStart w:id="817" w:name="_Toc313"/>
      <w:bookmarkEnd w:id="816"/>
      <w:r>
        <w:rPr>
          <w:rtl w:val="true"/>
        </w:rPr>
        <w:t>إمكان القول بالامتناع مع جهل الزوجة بإعسار الزوج</w:t>
      </w:r>
      <w:bookmarkEnd w:id="817"/>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قيل بتجويز امتناعها مع جهلها بإعساره، لا مع علمها؛ لإقدامها على ذلك أمكن؛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r>
        <w:rPr>
          <w:rStyle w:val="FootnoteAnchor"/>
          <w:rtl w:val="true"/>
        </w:rPr>
        <w:footnoteReference w:id="1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تجدّد إعساره بعد العقد وقبل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مكّنتْ جاهلةً بحقِّ الامتناع ثُمَّ علمت بعده، أو خدعها بوعده بالإقباض مقارناً للدخول، أو بعده بمدّة يسيرة فانقضت ولمّا يدفع مع دخوله، أو دخل بها نائمةً أو مجنونةً أو صغيرةً ولم يفضها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دخل بها في حيضٍ، أو نفاسٍ، أو في الدُّبر وحرّمناه فلا ريب في سقوط حقِّها من الامتناع مع الاختيار على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فهنا فروع</w:t>
      </w:r>
      <w:r>
        <w:rPr>
          <w:rFonts w:eastAsia="Amiri" w:cs="Amiri" w:ascii="Amiri" w:hAnsi="Amiri"/>
          <w:color w:val="111111"/>
          <w:sz w:val="28"/>
          <w:szCs w:val="28"/>
          <w:rtl w:val="true"/>
          <w:lang w:bidi="ar-SA"/>
        </w:rPr>
        <w:t>:</w:t>
      </w:r>
    </w:p>
    <w:p>
      <w:pPr>
        <w:pStyle w:val="Heading4"/>
        <w:numPr>
          <w:ilvl w:val="3"/>
          <w:numId w:val="1"/>
        </w:numPr>
        <w:rPr/>
      </w:pPr>
      <w:bookmarkStart w:id="818" w:name="__RefHeading___Toc3057046_2870459653"/>
      <w:bookmarkStart w:id="819" w:name="_Toc314"/>
      <w:bookmarkEnd w:id="818"/>
      <w:r>
        <w:rPr>
          <w:rtl w:val="true"/>
        </w:rPr>
        <w:t>جواز الامتناع وعدمه عند قبض بعض المهر</w:t>
      </w:r>
      <w:bookmarkEnd w:id="819"/>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قبضت بعض المهر كان لها الامتناع ما لم يدخل؛ لقبض الباقي على قول </w:t>
      </w:r>
      <w:bookmarkStart w:id="820" w:name="pg10913_111366"/>
    </w:p>
    <w:p>
      <w:pPr>
        <w:pStyle w:val="BookText"/>
        <w:rPr/>
      </w:pPr>
      <w:bookmarkEnd w:id="820"/>
      <w:r>
        <w:rPr>
          <w:rFonts w:ascii="IRNazanin" w:hAnsi="IRNazanin" w:eastAsia="IRNazanin"/>
          <w:color w:val="111111"/>
          <w:sz w:val="28"/>
          <w:sz w:val="28"/>
          <w:szCs w:val="28"/>
          <w:rtl w:val="true"/>
          <w:lang w:bidi="fa-IR"/>
        </w:rPr>
        <w:t>المرتضى</w:t>
      </w:r>
      <w:r>
        <w:rPr>
          <w:rStyle w:val="FootnoteAnchor"/>
          <w:rtl w:val="true"/>
        </w:rPr>
        <w:footnoteReference w:id="1178"/>
      </w:r>
      <w:r>
        <w:rPr>
          <w:rFonts w:ascii="Amiri" w:hAnsi="Amiri" w:eastAsia="Amiri" w:cs="Amiri"/>
          <w:color w:val="111111"/>
          <w:sz w:val="28"/>
          <w:sz w:val="28"/>
          <w:szCs w:val="28"/>
          <w:rtl w:val="true"/>
          <w:lang w:bidi="ar-SA"/>
        </w:rPr>
        <w:t>، ومطلقاً على قول المفيد</w:t>
      </w:r>
      <w:r>
        <w:rPr>
          <w:rStyle w:val="FootnoteAnchor"/>
          <w:rtl w:val="true"/>
        </w:rPr>
        <w:footnoteReference w:id="1179"/>
      </w:r>
      <w:r>
        <w:rPr>
          <w:rFonts w:ascii="Amiri" w:hAnsi="Amiri" w:eastAsia="Amiri" w:cs="Amiri"/>
          <w:color w:val="111111"/>
          <w:sz w:val="28"/>
          <w:sz w:val="28"/>
          <w:szCs w:val="28"/>
          <w:rtl w:val="true"/>
          <w:lang w:bidi="ar-SA"/>
        </w:rPr>
        <w:t>، وكذا لو أعسر عن البعض إن أثبتنا الامتناع مع الإعسار عن الأصل؛ لعدم ثبوت فارقٍ بين أجزاء المهر، وللاستصحاب</w:t>
      </w:r>
      <w:r>
        <w:rPr>
          <w:rFonts w:eastAsia="Amiri" w:cs="Amiri" w:ascii="Amiri" w:hAnsi="Amiri"/>
          <w:color w:val="111111"/>
          <w:sz w:val="28"/>
          <w:szCs w:val="28"/>
          <w:rtl w:val="true"/>
          <w:lang w:bidi="ar-SA"/>
        </w:rPr>
        <w:t>.</w:t>
      </w:r>
    </w:p>
    <w:p>
      <w:pPr>
        <w:pStyle w:val="Heading4"/>
        <w:numPr>
          <w:ilvl w:val="3"/>
          <w:numId w:val="1"/>
        </w:numPr>
        <w:rPr/>
      </w:pPr>
      <w:bookmarkStart w:id="821" w:name="__RefHeading___Toc3057048_2870459653"/>
      <w:bookmarkStart w:id="822" w:name="_Toc315"/>
      <w:bookmarkEnd w:id="821"/>
      <w:r>
        <w:rPr>
          <w:rtl w:val="true"/>
        </w:rPr>
        <w:t>جواز الامتناع وعدمه لو كان المهر مؤجَّلاً</w:t>
      </w:r>
      <w:bookmarkEnd w:id="822"/>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المهر مؤجَّلاً لم يكن لها الامتناع</w:t>
      </w:r>
      <w:r>
        <w:rPr>
          <w:rStyle w:val="FootnoteAnchor"/>
          <w:rtl w:val="true"/>
        </w:rPr>
        <w:footnoteReference w:id="1180"/>
      </w:r>
      <w:r>
        <w:rPr>
          <w:rFonts w:ascii="Amiri" w:hAnsi="Amiri" w:eastAsia="Amiri" w:cs="Amiri"/>
          <w:color w:val="111111"/>
          <w:sz w:val="28"/>
          <w:sz w:val="28"/>
          <w:szCs w:val="28"/>
          <w:rtl w:val="true"/>
          <w:lang w:bidi="ar-SA"/>
        </w:rPr>
        <w:t>، ولو لم يدخل حتّى حلَّ الأجل قال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لها الامتناع على رأي</w:t>
      </w:r>
      <w:r>
        <w:rPr>
          <w:rStyle w:val="FootnoteAnchor"/>
          <w:rtl w:val="true"/>
        </w:rPr>
        <w:footnoteReference w:id="1181"/>
      </w:r>
      <w:r>
        <w:rPr>
          <w:rFonts w:ascii="Amiri" w:hAnsi="Amiri" w:eastAsia="Amiri" w:cs="Amiri"/>
          <w:color w:val="111111"/>
          <w:sz w:val="28"/>
          <w:sz w:val="28"/>
          <w:szCs w:val="28"/>
          <w:rtl w:val="true"/>
          <w:lang w:bidi="ar-SA"/>
        </w:rPr>
        <w:t>لاستقرار وجوب التَّسليم قبل الحلول</w:t>
      </w:r>
      <w:r>
        <w:rPr>
          <w:rFonts w:eastAsia="Amiri" w:cs="Amiri" w:ascii="Amiri" w:hAnsi="Amiri"/>
          <w:color w:val="111111"/>
          <w:sz w:val="28"/>
          <w:szCs w:val="28"/>
          <w:rtl w:val="true"/>
          <w:lang w:bidi="ar-SA"/>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بعضه مؤجَّلاً وبعضه حالّاً كان لها الامتناع؛ لقبض الحالّ، فلو قبضته ولم يحصل الدُّخول أو لم تقبض ولم يدخل حتّى حلَّ الباقي فكما تقدّم بالنِّسبة إلى المؤجَّل والحالّ</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3" w:name="__RefHeading___Toc3057050_2870459653"/>
      <w:bookmarkStart w:id="824" w:name="_Toc316"/>
      <w:bookmarkEnd w:id="823"/>
      <w:r>
        <w:rPr>
          <w:rtl w:val="true"/>
        </w:rPr>
        <w:t>جواز الامتناع وعدمه لو كانت مفوّضة البضع</w:t>
      </w:r>
      <w:bookmarkEnd w:id="824"/>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مفوّضة</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بغير مهر، فيقال مفوَّضة ومفوِّضة، فمَن قال بفتح الواو قال لأنَّ وليها هو الذي يفوّض ذلك، ومَن قال بكسرها قال لأنَّ الفعل لها؛ لأنَّها تزوج نفسها</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البِّضع لم يكن لها الامتناع؛ إذ ليس هناك ما يتوجّه إليه</w:t>
      </w:r>
      <w:bookmarkStart w:id="825" w:name="pg10913_111368"/>
    </w:p>
    <w:p>
      <w:pPr>
        <w:pStyle w:val="BookText"/>
        <w:rPr/>
      </w:pPr>
      <w:bookmarkEnd w:id="825"/>
      <w:r>
        <w:rPr>
          <w:rFonts w:ascii="Amiri" w:hAnsi="Amiri" w:eastAsia="Amiri" w:cs="Amiri"/>
          <w:color w:val="111111"/>
          <w:sz w:val="28"/>
          <w:sz w:val="28"/>
          <w:szCs w:val="28"/>
          <w:rtl w:val="true"/>
          <w:lang w:bidi="ar-SA"/>
        </w:rPr>
        <w:t>المطالبة، ولو كانت مفوّضة المهر كان لها حبس نفسها للفرض والتَّسليم، كما نصّ عليه في القواعد</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6" w:name="__RefHeading___Toc3057052_2870459653"/>
      <w:bookmarkStart w:id="827" w:name="_Toc317"/>
      <w:bookmarkEnd w:id="826"/>
      <w:r>
        <w:rPr>
          <w:rtl w:val="true"/>
        </w:rPr>
        <w:t>جواز الامتناع وعدمه بين العقد الدائم والمنقطع</w:t>
      </w:r>
      <w:bookmarkEnd w:id="827"/>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الزَّوجة بين الدَّائم والمنقطع في إطلاق كلام الأصحاب بالنِّسبة إلى ما قبل الدُّخول</w:t>
      </w:r>
      <w:r>
        <w:rPr>
          <w:rStyle w:val="FootnoteAnchor"/>
          <w:rtl w:val="true"/>
        </w:rPr>
        <w:footnoteReference w:id="1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ما بعده فيمكن الفرق بجواز الامتناع في المنقطع وإن منعناه في الدَّائم؛ للحكم بتقسيط المهر على أجزاء المدّة، أو يسقط مع الإخلال بالتمكين بنسبة ما ضيّعت عليه منها</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الفرق بينهما أيضاً بالنِّسبة إلى ما قبل الدُّخول، بأن يكون لها الامتناع في المنقطع لقبضِ ما يقابل يوماً فيوماً، أو أقلّ ما يسمّى مهراً، لا لقبض الجميع لمثل ما قلناه</w:t>
      </w:r>
      <w:r>
        <w:rPr>
          <w:rFonts w:eastAsia="Amiri" w:cs="Amiri" w:ascii="Amiri" w:hAnsi="Amiri"/>
          <w:color w:val="111111"/>
          <w:sz w:val="28"/>
          <w:szCs w:val="28"/>
          <w:rtl w:val="true"/>
          <w:lang w:bidi="ar-SA"/>
        </w:rPr>
        <w:t xml:space="preserve">. </w:t>
      </w:r>
      <w:bookmarkStart w:id="828" w:name="pg10913_111370"/>
    </w:p>
    <w:p>
      <w:pPr>
        <w:pStyle w:val="Heading4"/>
        <w:numPr>
          <w:ilvl w:val="3"/>
          <w:numId w:val="1"/>
        </w:numPr>
        <w:rPr/>
      </w:pPr>
      <w:bookmarkStart w:id="829" w:name="__RefHeading___Toc3057054_2870459653"/>
      <w:bookmarkStart w:id="830" w:name="_Toc318"/>
      <w:bookmarkEnd w:id="828"/>
      <w:bookmarkEnd w:id="829"/>
      <w:r>
        <w:rPr>
          <w:rtl w:val="true"/>
        </w:rPr>
        <w:t>جواز الامتناع لا لأجل قبض المهر</w:t>
      </w:r>
      <w:bookmarkEnd w:id="830"/>
    </w:p>
    <w:p>
      <w:pPr>
        <w:pStyle w:val="BookText"/>
        <w:rPr/>
      </w:pP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جواز الامتناع لها إنَّما هو إذا كان لأجل قبض المهر؛ لتحقُّق انتقال البِّضع إلى الزوج بنفس العقد، فلا يمكن منعه منه، فلو منعت لا لأجله عصت، وحينئذٍ فلا نفقة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امتنعت غير مصرِّحة بالأجليّة فإنْ طلبت مع ذلك نفقة استفسرها</w:t>
      </w:r>
      <w:r>
        <w:rPr>
          <w:rFonts w:eastAsia="Amiri" w:cs="Amiri" w:ascii="Amiri" w:hAnsi="Amiri"/>
          <w:color w:val="111111"/>
          <w:sz w:val="28"/>
          <w:szCs w:val="28"/>
          <w:rtl w:val="true"/>
          <w:lang w:bidi="ar-SA"/>
        </w:rPr>
        <w:t>.</w:t>
      </w:r>
    </w:p>
    <w:p>
      <w:pPr>
        <w:pStyle w:val="Heading4"/>
        <w:numPr>
          <w:ilvl w:val="3"/>
          <w:numId w:val="1"/>
        </w:numPr>
        <w:rPr/>
      </w:pPr>
      <w:bookmarkStart w:id="831" w:name="__RefHeading___Toc3057056_2870459653"/>
      <w:bookmarkStart w:id="832" w:name="_Toc319"/>
      <w:bookmarkEnd w:id="831"/>
      <w:r>
        <w:rPr>
          <w:rtl w:val="true"/>
        </w:rPr>
        <w:t>المناط في وجوب النفقة للزوجة</w:t>
      </w:r>
      <w:bookmarkEnd w:id="832"/>
    </w:p>
    <w:p>
      <w:pPr>
        <w:pStyle w:val="BookText"/>
        <w:rPr/>
      </w:pPr>
      <w:r>
        <w:rPr>
          <w:rFonts w:ascii="Amiri" w:hAnsi="Amiri" w:eastAsia="Amiri" w:cs="Amiri"/>
          <w:color w:val="111111"/>
          <w:sz w:val="28"/>
          <w:sz w:val="28"/>
          <w:szCs w:val="28"/>
          <w:rtl w:val="true"/>
          <w:lang w:bidi="ar-SA"/>
        </w:rPr>
        <w:t>وهل يكفي في وجوب النَّفقة تفسيرها بالأجليّة أم لا بُدَّ من التَّصريح بأنَّها باذلةٌ للتمكين إلَّا أنَّها متوقِّفة لأجل القبض؟</w:t>
      </w:r>
    </w:p>
    <w:p>
      <w:pPr>
        <w:pStyle w:val="BookText"/>
        <w:rPr/>
      </w:pPr>
      <w:r>
        <w:rPr>
          <w:rFonts w:ascii="Amiri" w:hAnsi="Amiri" w:eastAsia="Amiri" w:cs="Amiri"/>
          <w:color w:val="111111"/>
          <w:sz w:val="28"/>
          <w:sz w:val="28"/>
          <w:szCs w:val="28"/>
          <w:rtl w:val="true"/>
          <w:lang w:bidi="ar-SA"/>
        </w:rPr>
        <w:t xml:space="preserve">وجهان مبنيان على أنَّ وجوب النفقة هل يتوقّف على حصول التمكين أم يكفي عدم النشوز؟ فالأول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Style w:val="FootnoteAnchor"/>
          <w:rtl w:val="true"/>
        </w:rPr>
        <w:footnoteReference w:id="1187"/>
      </w:r>
      <w:r>
        <w:rPr>
          <w:rFonts w:ascii="Amiri" w:hAnsi="Amiri" w:eastAsia="Amiri" w:cs="Amiri"/>
          <w:color w:val="111111"/>
          <w:sz w:val="28"/>
          <w:sz w:val="28"/>
          <w:szCs w:val="28"/>
          <w:rtl w:val="true"/>
          <w:lang w:bidi="ar-SA"/>
        </w:rPr>
        <w:t>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التوقّف على التمكين التَّامّ، وقد تقدّم في عبارة الشَّهيد إشارة إليه</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صبرت حتّى مضت مدّةٌ ممتنعةً ساكتةً ثُمَّ طالبت بنفقة تلك المدّة، فعلى التمكين لا يثبت شيء لها، وإلَّا استفسرها أيضاً، فإنْ فسّرت بغير الموجب فلا بحث وإلَّا ففي قبول قولها وجهان، أقواهما نعم؛ لأنَّها أخبر بقصدها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له تحليفها؛ لاحتمال كذبها</w:t>
      </w:r>
      <w:r>
        <w:rPr>
          <w:rFonts w:eastAsia="Amiri" w:cs="Amiri" w:ascii="Amiri" w:hAnsi="Amiri"/>
          <w:color w:val="111111"/>
          <w:sz w:val="28"/>
          <w:szCs w:val="28"/>
          <w:rtl w:val="true"/>
          <w:lang w:bidi="ar-SA"/>
        </w:rPr>
        <w:t xml:space="preserve">. </w:t>
      </w:r>
      <w:bookmarkStart w:id="833" w:name="pg10913_111372"/>
    </w:p>
    <w:p>
      <w:pPr>
        <w:pStyle w:val="BookText"/>
        <w:rPr/>
      </w:pPr>
      <w:bookmarkEnd w:id="833"/>
      <w:r>
        <w:rPr>
          <w:rFonts w:ascii="Amiri" w:hAnsi="Amiri" w:eastAsia="Amiri" w:cs="Amiri"/>
          <w:color w:val="111111"/>
          <w:sz w:val="28"/>
          <w:sz w:val="28"/>
          <w:szCs w:val="28"/>
          <w:rtl w:val="true"/>
          <w:lang w:bidi="ar-SA"/>
        </w:rPr>
        <w:t>ولو غابت بحيث لا يمكن استعلام حالها وجُنّت، أو ماتت بعد المدّة قبل المطالبة، أو بعدها قبل الحلف فالإشكال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قيام الوارث مقام الميتة</w:t>
      </w:r>
      <w:r>
        <w:rPr>
          <w:rFonts w:eastAsia="Amiri" w:cs="Amiri" w:ascii="Amiri" w:hAnsi="Amiri"/>
          <w:color w:val="111111"/>
          <w:sz w:val="28"/>
          <w:szCs w:val="28"/>
          <w:rtl w:val="true"/>
          <w:lang w:bidi="ar-SA"/>
        </w:rPr>
        <w:t>.</w:t>
      </w:r>
    </w:p>
    <w:p>
      <w:pPr>
        <w:pStyle w:val="Heading4"/>
        <w:numPr>
          <w:ilvl w:val="3"/>
          <w:numId w:val="1"/>
        </w:numPr>
        <w:rPr/>
      </w:pPr>
      <w:bookmarkStart w:id="834" w:name="__RefHeading___Toc3057058_2870459653"/>
      <w:bookmarkStart w:id="835" w:name="_Toc320"/>
      <w:bookmarkEnd w:id="834"/>
      <w:r>
        <w:rPr>
          <w:rtl w:val="true"/>
        </w:rPr>
        <w:t>الامتناع هو الامتناع من سائر الحقوق أو خصوص الوطء</w:t>
      </w:r>
      <w:bookmarkEnd w:id="835"/>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لها الامتناع من تسليم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لجواز امتناعها من سائر الحقوق حتّى النَّظر والسُّكنى فكذا لها أن تمتنع من الوطء خاصّة وإن مكّنت من باقي الاستمتاعات أو أطاعت في السُّكنى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ولها أن تعود إلى الامتناع الكلّي</w:t>
      </w:r>
      <w:r>
        <w:rPr>
          <w:rStyle w:val="FootnoteAnchor"/>
          <w:rtl w:val="true"/>
        </w:rPr>
        <w:footnoteReference w:id="1189"/>
      </w:r>
      <w:r>
        <w:rPr>
          <w:rFonts w:ascii="Amiri" w:hAnsi="Amiri" w:eastAsia="Amiri" w:cs="Amiri"/>
          <w:color w:val="111111"/>
          <w:sz w:val="28"/>
          <w:sz w:val="28"/>
          <w:szCs w:val="28"/>
          <w:rtl w:val="true"/>
          <w:lang w:bidi="ar-SA"/>
        </w:rPr>
        <w:t>لو لم يحصل الدُّخول، كما نصّ عليه في التَّحرير،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القبض في النكاح هو الوطء</w:t>
      </w:r>
      <w:r>
        <w:rPr>
          <w:rFonts w:eastAsia="Amiri" w:cs="Amiri" w:ascii="Amiri" w:hAnsi="Amiri"/>
          <w:color w:val="111111"/>
          <w:sz w:val="28"/>
          <w:szCs w:val="28"/>
          <w:rtl w:val="true"/>
          <w:lang w:bidi="ar-SA"/>
        </w:rPr>
        <w:t>)</w:t>
      </w:r>
      <w:r>
        <w:rPr>
          <w:rStyle w:val="FootnoteAnchor"/>
          <w:rtl w:val="true"/>
        </w:rPr>
        <w:footnoteReference w:id="1190"/>
      </w:r>
      <w:r>
        <w:rPr>
          <w:rFonts w:ascii="IRNazanin" w:hAnsi="IRNazanin" w:eastAsia="IRNazanin"/>
          <w:color w:val="111111"/>
          <w:sz w:val="28"/>
          <w:sz w:val="28"/>
          <w:szCs w:val="28"/>
          <w:rtl w:val="true"/>
          <w:lang w:bidi="fa-IR"/>
        </w:rPr>
        <w:t>وقد سبق</w:t>
      </w:r>
      <w:r>
        <w:rPr>
          <w:rFonts w:eastAsia="IRNazanin" w:cs="IRNazanin"/>
          <w:color w:val="111111"/>
          <w:sz w:val="28"/>
          <w:szCs w:val="28"/>
          <w:rtl w:val="true"/>
          <w:lang w:bidi="fa-IR"/>
        </w:rPr>
        <w:t>.</w:t>
      </w:r>
    </w:p>
    <w:p>
      <w:pPr>
        <w:pStyle w:val="Heading4"/>
        <w:numPr>
          <w:ilvl w:val="3"/>
          <w:numId w:val="1"/>
        </w:numPr>
        <w:rPr/>
      </w:pPr>
      <w:bookmarkStart w:id="836" w:name="__RefHeading___Toc3057060_2870459653"/>
      <w:bookmarkStart w:id="837" w:name="_Toc321"/>
      <w:bookmarkEnd w:id="836"/>
      <w:r>
        <w:rPr>
          <w:rtl w:val="true"/>
        </w:rPr>
        <w:t>التنازع في الدخول وعدمه</w:t>
      </w:r>
      <w:bookmarkEnd w:id="837"/>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الدخول فادّعاه الزَّوج ليزول امتناعها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فأنكرته كان القول قولها مع يمينها، ولو أقام بيِّنة بإرخاء الستر</w:t>
      </w:r>
      <w:r>
        <w:rPr>
          <w:rStyle w:val="FootnoteAnchor"/>
          <w:rtl w:val="true"/>
        </w:rPr>
        <w:footnoteReference w:id="1191"/>
      </w:r>
      <w:r>
        <w:rPr>
          <w:rFonts w:ascii="Amiri" w:hAnsi="Amiri" w:eastAsia="Amiri" w:cs="Amiri"/>
          <w:color w:val="111111"/>
          <w:sz w:val="28"/>
          <w:sz w:val="28"/>
          <w:szCs w:val="28"/>
          <w:rtl w:val="true"/>
          <w:lang w:bidi="ar-SA"/>
        </w:rPr>
        <w:t>فأنكرت الإصابة ففي تقديم قولها عملاً بالأصل</w:t>
      </w:r>
      <w:r>
        <w:rPr>
          <w:rStyle w:val="FootnoteAnchor"/>
          <w:rtl w:val="true"/>
        </w:rPr>
        <w:footnoteReference w:id="1192"/>
      </w:r>
      <w:r>
        <w:rPr>
          <w:rFonts w:ascii="IRNazanin" w:hAnsi="IRNazanin" w:eastAsia="IRNazanin"/>
          <w:color w:val="111111"/>
          <w:sz w:val="28"/>
          <w:sz w:val="28"/>
          <w:szCs w:val="28"/>
          <w:rtl w:val="true"/>
          <w:lang w:bidi="fa-IR"/>
        </w:rPr>
        <w:t>، أو قوله عملاً بالظاهر</w:t>
      </w:r>
      <w:r>
        <w:rPr>
          <w:rStyle w:val="FootnoteAnchor"/>
          <w:rtl w:val="true"/>
        </w:rPr>
        <w:footnoteReference w:id="1193"/>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bookmarkStart w:id="838" w:name="pg10913_111374"/>
    </w:p>
    <w:p>
      <w:pPr>
        <w:pStyle w:val="BookText"/>
        <w:rPr/>
      </w:pPr>
      <w:bookmarkEnd w:id="838"/>
      <w:r>
        <w:rPr>
          <w:rFonts w:ascii="Amiri" w:hAnsi="Amiri" w:eastAsia="Amiri" w:cs="Amiri"/>
          <w:color w:val="111111"/>
          <w:sz w:val="28"/>
          <w:sz w:val="28"/>
          <w:szCs w:val="28"/>
          <w:rtl w:val="true"/>
          <w:lang w:bidi="ar-SA"/>
        </w:rPr>
        <w:t>أمَّا لو ادّعاه قُبلاً وكانت بكراً اختبِرت بالقوابل، ولو أقام بيِّنة بنفس الدُّخول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الاحتياج إلى التَّصريح بالميل في المكحلة</w:t>
      </w:r>
      <w:r>
        <w:rPr>
          <w:rStyle w:val="FootnoteAnchor"/>
          <w:rtl w:val="true"/>
        </w:rPr>
        <w:footnoteReference w:id="1194"/>
      </w:r>
      <w:r>
        <w:rPr>
          <w:rFonts w:ascii="Amiri" w:hAnsi="Amiri" w:eastAsia="Amiri" w:cs="Amiri"/>
          <w:color w:val="111111"/>
          <w:sz w:val="28"/>
          <w:sz w:val="28"/>
          <w:szCs w:val="28"/>
          <w:rtl w:val="true"/>
          <w:lang w:bidi="ar-SA"/>
        </w:rPr>
        <w:t>، ولحقه ما يترتّب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من التَّصريح بالوطء أو إقرارها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تعارضت بيِّنتاهما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شهدت بيِّنته بالدُّخول في وقت معيّن، وشهدت بيِّنتها بكونها في ذلك الوقت كانت بحيث لا يمكن الوصول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التَّساقط فيرجع إلى يمينها، والقرعة فيحكم للخارج بها</w:t>
      </w:r>
      <w:r>
        <w:rPr>
          <w:rFonts w:eastAsia="Amiri" w:cs="Amiri" w:ascii="Amiri" w:hAnsi="Amiri"/>
          <w:color w:val="111111"/>
          <w:sz w:val="28"/>
          <w:szCs w:val="28"/>
          <w:rtl w:val="true"/>
          <w:lang w:bidi="ar-SA"/>
        </w:rPr>
        <w:t>.</w:t>
      </w:r>
    </w:p>
    <w:p>
      <w:pPr>
        <w:pStyle w:val="Heading4"/>
        <w:numPr>
          <w:ilvl w:val="3"/>
          <w:numId w:val="1"/>
        </w:numPr>
        <w:rPr/>
      </w:pPr>
      <w:bookmarkStart w:id="839" w:name="__RefHeading___Toc3057062_2870459653"/>
      <w:bookmarkStart w:id="840" w:name="_Toc322"/>
      <w:bookmarkEnd w:id="839"/>
      <w:r>
        <w:rPr>
          <w:rtl w:val="true"/>
        </w:rPr>
        <w:t>حرمة مكابرة الزوج لها على نفسها قبل تسليم المهر</w:t>
      </w:r>
      <w:bookmarkEnd w:id="840"/>
    </w:p>
    <w:p>
      <w:pPr>
        <w:pStyle w:val="BookText"/>
        <w:rPr/>
      </w:pPr>
      <w:r>
        <w:rPr>
          <w:rFonts w:ascii="IRNazanin" w:hAnsi="IRNazanin" w:eastAsia="IRNazanin"/>
          <w:color w:val="111111"/>
          <w:sz w:val="28"/>
          <w:sz w:val="28"/>
          <w:szCs w:val="28"/>
          <w:rtl w:val="true"/>
          <w:lang w:bidi="fa-IR"/>
        </w:rPr>
        <w:t>ح</w:t>
      </w:r>
      <w:r>
        <w:rPr>
          <w:rStyle w:val="FootnoteAnchor"/>
          <w:rtl w:val="true"/>
        </w:rPr>
        <w:footnoteReference w:id="1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يحرم على الزَّوج مكابرتها على نفسها قبل التَّسليم أو على شيء من الاستمتاع؟</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كلامهم يقتضي ذلك</w:t>
      </w:r>
      <w:r>
        <w:rPr>
          <w:rStyle w:val="FootnoteAnchor"/>
          <w:rtl w:val="true"/>
        </w:rPr>
        <w:footnoteReference w:id="1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تحريم نفس الفعل المكابَر عليه فلا، فلو نال منها نظراً أو لمساً أو تقبيلاً أو وطئاً كان عاصياً بالنِّسبة إلى قهرها على ما ملكت الامتناع فيه، لا بالنِّسبة إلى نفس الفعل؛ فإنَّه مباح لملكه قهراً له بمجرّد العقد</w:t>
      </w:r>
      <w:r>
        <w:rPr>
          <w:rFonts w:eastAsia="Amiri" w:cs="Amiri" w:ascii="Amiri" w:hAnsi="Amiri"/>
          <w:color w:val="111111"/>
          <w:sz w:val="28"/>
          <w:szCs w:val="28"/>
          <w:rtl w:val="true"/>
          <w:lang w:bidi="ar-SA"/>
        </w:rPr>
        <w:t xml:space="preserve">. </w:t>
      </w:r>
      <w:bookmarkStart w:id="841" w:name="pg10913_111376"/>
    </w:p>
    <w:p>
      <w:pPr>
        <w:pStyle w:val="BookText"/>
        <w:rPr/>
      </w:pPr>
      <w:bookmarkEnd w:id="841"/>
      <w:r>
        <w:rPr>
          <w:rFonts w:ascii="Amiri" w:hAnsi="Amiri" w:eastAsia="Amiri" w:cs="Amiri"/>
          <w:color w:val="111111"/>
          <w:sz w:val="28"/>
          <w:sz w:val="28"/>
          <w:szCs w:val="28"/>
          <w:rtl w:val="true"/>
          <w:lang w:bidi="ar-SA"/>
        </w:rPr>
        <w:t xml:space="preserve">ولو نال منها شيئاً بغير قهر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تشعر أو التَّقبيل أو اللَّمس فلا 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الوطء فلا يحلّ وإن لم تحسّ به كما في النائمة؛ لأنَّ به يحصل القبض فلا يُتصوّر انفكاكه عن القبض في الحقيقة، لكنَّ تحريمه عارضيّ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المرهونة بدون إذن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يترتّب عليه حدٌّ، نعم، للحاكم تأديبه لجرأته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بأنَّ مثل هذا الوطء لا يمنع من امتناعها، أو أنَّ مطلق الدُّخول لا يمنع أمكن القول بجوازه، ولا شيء، فحينئذٍ لها الهرب وله الطَّلب، أقصى ما في الباب عصيانه بتأخير دفع المهر</w:t>
      </w:r>
      <w:r>
        <w:rPr>
          <w:rFonts w:eastAsia="Amiri" w:cs="Amiri" w:ascii="Amiri" w:hAnsi="Amiri"/>
          <w:color w:val="111111"/>
          <w:sz w:val="28"/>
          <w:szCs w:val="28"/>
          <w:rtl w:val="true"/>
          <w:lang w:bidi="ar-SA"/>
        </w:rPr>
        <w:t>.</w:t>
      </w:r>
    </w:p>
    <w:p>
      <w:pPr>
        <w:pStyle w:val="Heading4"/>
        <w:numPr>
          <w:ilvl w:val="3"/>
          <w:numId w:val="1"/>
        </w:numPr>
        <w:rPr/>
      </w:pPr>
      <w:bookmarkStart w:id="842" w:name="__RefHeading___Toc3057064_2870459653"/>
      <w:bookmarkStart w:id="843" w:name="_Toc323"/>
      <w:bookmarkEnd w:id="842"/>
      <w:r>
        <w:rPr>
          <w:rtl w:val="true"/>
        </w:rPr>
        <w:t>انحصار دفعه لو كابرها بقتله أو جرحه</w:t>
      </w:r>
      <w:bookmarkEnd w:id="843"/>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لها دفاعه لو كابرها فلو لم يندفع إلَّا بجرحه أو قتله فهدر، مع احتمال المنع منه إنْ خيف الإفضاء إلى مثل ذلك؛ لأنَّ حقّها من المهر لا يسقط بدخوله، بل يستقرّ جميعه وخصوصاً إذا قلنا بعدم سقوط امتناعها بالدُّخول</w:t>
      </w:r>
      <w:r>
        <w:rPr>
          <w:rFonts w:eastAsia="Amiri" w:cs="Amiri" w:ascii="Amiri" w:hAnsi="Amiri"/>
          <w:color w:val="111111"/>
          <w:sz w:val="28"/>
          <w:szCs w:val="28"/>
          <w:rtl w:val="true"/>
          <w:lang w:bidi="ar-SA"/>
        </w:rPr>
        <w:t>.</w:t>
      </w:r>
    </w:p>
    <w:p>
      <w:pPr>
        <w:pStyle w:val="Heading4"/>
        <w:numPr>
          <w:ilvl w:val="3"/>
          <w:numId w:val="1"/>
        </w:numPr>
        <w:rPr/>
      </w:pPr>
      <w:bookmarkStart w:id="844" w:name="__RefHeading___Toc3057066_2870459653"/>
      <w:bookmarkStart w:id="845" w:name="_Toc324"/>
      <w:bookmarkEnd w:id="844"/>
      <w:r>
        <w:rPr>
          <w:rtl w:val="true"/>
        </w:rPr>
        <w:t>لا ثمرة في الامتناع لو كان أحد الزوجين أو كلاهما صغيراً</w:t>
      </w:r>
      <w:bookmarkEnd w:id="845"/>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كانا صغيرين أو أحدهما لم يكن للامتناع هنا ثمرة؛ إذ لا طلب يعتدّ به إلَّا فيما ندر</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طلب وليُّ الصغير تمكين الكبيرة للأنس وشبهه كان لها الامتناع لقبض المهر في الأظهر؛ لأنَّه تمكين بالنِّسبة إلى هذا الزَّوج</w:t>
      </w:r>
      <w:r>
        <w:rPr>
          <w:rFonts w:eastAsia="Amiri" w:cs="Amiri" w:ascii="Amiri" w:hAnsi="Amiri"/>
          <w:color w:val="111111"/>
          <w:sz w:val="28"/>
          <w:szCs w:val="28"/>
          <w:rtl w:val="true"/>
          <w:lang w:bidi="ar-SA"/>
        </w:rPr>
        <w:t xml:space="preserve">. </w:t>
      </w:r>
      <w:bookmarkStart w:id="846" w:name="pg10913_111378"/>
    </w:p>
    <w:p>
      <w:pPr>
        <w:pStyle w:val="BookText"/>
        <w:rPr/>
      </w:pPr>
      <w:bookmarkEnd w:id="846"/>
      <w:r>
        <w:rPr>
          <w:rFonts w:ascii="Amiri" w:hAnsi="Amiri" w:eastAsia="Amiri" w:cs="Amiri"/>
          <w:color w:val="111111"/>
          <w:sz w:val="28"/>
          <w:sz w:val="28"/>
          <w:szCs w:val="28"/>
          <w:rtl w:val="true"/>
          <w:lang w:bidi="ar-SA"/>
        </w:rPr>
        <w:t>ولو طلب الزَّوجُ الكبيرُ الصَّغيرةَ لم يجب تسليمها إليه، قال في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التزم بحضانتها وتربيتها</w:t>
      </w:r>
      <w:r>
        <w:rPr>
          <w:rFonts w:eastAsia="Amiri" w:cs="Amiri" w:ascii="Amiri" w:hAnsi="Amiri"/>
          <w:color w:val="111111"/>
          <w:sz w:val="28"/>
          <w:szCs w:val="28"/>
          <w:rtl w:val="true"/>
          <w:lang w:bidi="ar-SA"/>
        </w:rPr>
        <w:t>)</w:t>
      </w:r>
      <w:r>
        <w:rPr>
          <w:rStyle w:val="FootnoteAnchor"/>
          <w:rtl w:val="true"/>
        </w:rPr>
        <w:footnoteReference w:id="1197"/>
      </w:r>
      <w:r>
        <w:rPr>
          <w:rFonts w:ascii="Amiri" w:hAnsi="Amiri" w:eastAsia="Amiri" w:cs="Amiri"/>
          <w:color w:val="111111"/>
          <w:sz w:val="28"/>
          <w:sz w:val="28"/>
          <w:szCs w:val="28"/>
          <w:rtl w:val="true"/>
          <w:lang w:bidi="ar-SA"/>
        </w:rPr>
        <w:t>، وحينئذٍ لا يحتاج في الامتناع إلى الالتجاء إلى القبض، وطلب وليُّ الصغير للصغيرة أولى بالحكم</w:t>
      </w:r>
      <w:r>
        <w:rPr>
          <w:rFonts w:eastAsia="Amiri" w:cs="Amiri" w:ascii="Amiri" w:hAnsi="Amiri"/>
          <w:color w:val="111111"/>
          <w:sz w:val="28"/>
          <w:szCs w:val="28"/>
          <w:rtl w:val="true"/>
          <w:lang w:bidi="ar-SA"/>
        </w:rPr>
        <w:t>.</w:t>
      </w:r>
    </w:p>
    <w:p>
      <w:pPr>
        <w:pStyle w:val="Heading4"/>
        <w:numPr>
          <w:ilvl w:val="3"/>
          <w:numId w:val="1"/>
        </w:numPr>
        <w:rPr/>
      </w:pPr>
      <w:bookmarkStart w:id="847" w:name="__RefHeading___Toc3057068_2870459653"/>
      <w:bookmarkStart w:id="848" w:name="_Toc325"/>
      <w:bookmarkEnd w:id="847"/>
      <w:r>
        <w:rPr>
          <w:rtl w:val="true"/>
        </w:rPr>
        <w:t>تمانع كلّ من الزوجين في التسليم</w:t>
      </w:r>
      <w:bookmarkEnd w:id="848"/>
    </w:p>
    <w:p>
      <w:p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دفع المهر على الزَّوج بنفس العقد، كوجوب تسليمها نفسها به إلَّا أنَّ له الامتناع من تسليمها حتّى تسلّم، كما يجوز لها كذلك، فلو تمانعا من التسليم قال في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نصب عدل يأمر الزَّوج بتسليم الصَّداق إليه فإذا فعل أمرها بتسليم نفسها فإذا فعلت أعطاها العدلُ الصَّداقَ</w:t>
      </w:r>
      <w:r>
        <w:rPr>
          <w:rFonts w:eastAsia="Amiri" w:cs="Amiri" w:ascii="Amiri" w:hAnsi="Amiri"/>
          <w:color w:val="111111"/>
          <w:sz w:val="28"/>
          <w:szCs w:val="28"/>
          <w:rtl w:val="true"/>
          <w:lang w:bidi="ar-SA"/>
        </w:rPr>
        <w:t>)</w:t>
      </w:r>
      <w:r>
        <w:rPr>
          <w:rStyle w:val="FootnoteAnchor"/>
          <w:rtl w:val="true"/>
        </w:rPr>
        <w:footnoteReference w:id="1198"/>
      </w:r>
      <w:r>
        <w:rPr>
          <w:rFonts w:ascii="Amiri" w:hAnsi="Amiri" w:eastAsia="Amiri" w:cs="Amiri"/>
          <w:color w:val="111111"/>
          <w:sz w:val="28"/>
          <w:sz w:val="28"/>
          <w:szCs w:val="28"/>
          <w:rtl w:val="true"/>
          <w:lang w:bidi="ar-SA"/>
        </w:rPr>
        <w:t>وحينئذٍ النَّصب إمَّا من الحاكم أو من الزَّوجة</w:t>
      </w:r>
      <w:r>
        <w:rPr>
          <w:rFonts w:eastAsia="Amiri" w:cs="Amiri" w:ascii="Amiri" w:hAnsi="Amiri"/>
          <w:color w:val="111111"/>
          <w:sz w:val="28"/>
          <w:szCs w:val="28"/>
          <w:rtl w:val="true"/>
          <w:lang w:bidi="ar-SA"/>
        </w:rPr>
        <w:t>.</w:t>
      </w:r>
    </w:p>
    <w:p>
      <w:pPr>
        <w:pStyle w:val="Heading4"/>
        <w:numPr>
          <w:ilvl w:val="3"/>
          <w:numId w:val="1"/>
        </w:numPr>
        <w:rPr/>
      </w:pPr>
      <w:bookmarkStart w:id="849" w:name="__RefHeading___Toc3057070_2870459653"/>
      <w:bookmarkStart w:id="850" w:name="_Toc326"/>
      <w:bookmarkEnd w:id="849"/>
      <w:r>
        <w:rPr>
          <w:rtl w:val="true"/>
        </w:rPr>
        <w:t>موارد سقوط امتناع الزوجة</w:t>
      </w:r>
      <w:bookmarkEnd w:id="850"/>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رضيت بضمان شخص له تأدّي الدَّفع من الزَّوج سواء رَضِي أم لا فلا يبقى لها الامتناع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أحالت به ورَضِي المحال والزَّوج أو لم نشرط رضاه؛ لأنَّه المحال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بذل لها رهناً لم يجب قبوله لكن لو قبلت كان وسيلة إلى قطع التَّمانع</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صالحت عليه شخصاً فكالضَّمان سواء كان بمعجَّل أو بمؤجَّل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سبق منها الإبراء منه فقبْضٌ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 للزوج عليها دين فإنْ كان من جنس المهر تهاترا قهراً في الأظهر فلا تمتنع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مخالفاً توقّف على تراضيهما، فلها الامتناع حتّى يرضى بالمعاوضة، ولها المقاصة لو امتنع من الدَّفع ولم يرض بالمعاوضة، فإذا اقتصّت لم يبق امتناع إنْ لم يبقَ من المهر شيء، وإلَّا امتنعت لقبض الباقي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آجرها نفسه</w:t>
      </w:r>
      <w:r>
        <w:rPr>
          <w:rStyle w:val="FootnoteAnchor"/>
          <w:rtl w:val="true"/>
        </w:rPr>
        <w:footnoteReference w:id="1199"/>
      </w:r>
      <w:r>
        <w:rPr>
          <w:rFonts w:ascii="Amiri" w:hAnsi="Amiri" w:eastAsia="Amiri" w:cs="Amiri"/>
          <w:color w:val="111111"/>
          <w:sz w:val="28"/>
          <w:sz w:val="28"/>
          <w:szCs w:val="28"/>
          <w:rtl w:val="true"/>
          <w:lang w:bidi="ar-SA"/>
        </w:rPr>
        <w:t>به مدّة معيّنة فالظَّاهر سقوط الامتناع بنفس العقد، ويحتمل توقّف السُّقوط على استيفاء المنفعة، ولو كانت المدّة مطلقة فبتسليم العين، ويحتمل إلى الاستيفاء أيضاً، قال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يجب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المهر على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متهيئة للاستمتاع، فإن كانت محبوسة أو ممنوعة بعذر لم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صبية فالأقرب وجوب التسليم مع طلب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منعت من التمكين لا للتسليم ففي وجوب التسليم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مكّنت كان لها الطَّلب وإن لم يطأ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رجعت إلى الامتناع سقط طلبها، إلَّا إذا وطأها؛ فإنَّ المهر يستقرّ بالوطء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دفع الصَّداق فامتنعت من التمكين أجبرت، وليس له الاسترداد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سلم الصَّداق فعليه أن يمهلها مدّة استعدادها بالتنظيف والاستحداد، ولا يمهلها لأجل تهيئة الجهاز، ولا لأجل الحيض؛ لإمكان الاستمتاع بغير القُبل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صغيرة لا تطيق الجماع أو مريضة وجب الإمهال</w:t>
      </w:r>
      <w:r>
        <w:rPr>
          <w:rFonts w:eastAsia="Amiri" w:cs="Amiri" w:ascii="Amiri" w:hAnsi="Amiri"/>
          <w:color w:val="111111"/>
          <w:sz w:val="28"/>
          <w:szCs w:val="28"/>
          <w:rtl w:val="true"/>
          <w:lang w:bidi="ar-SA"/>
        </w:rPr>
        <w:t>)</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كانا صغيرين، لم يكن لها نفقةٌ</w:t>
      </w:r>
      <w:r>
        <w:rPr>
          <w:rFonts w:eastAsia="Amiri" w:cs="Amiri" w:ascii="Amiri" w:hAnsi="Amiri"/>
          <w:color w:val="111111"/>
          <w:sz w:val="28"/>
          <w:szCs w:val="28"/>
          <w:rtl w:val="true"/>
          <w:lang w:bidi="ar-SA"/>
        </w:rPr>
        <w:t xml:space="preserve">) </w:t>
      </w:r>
      <w:r>
        <w:rPr>
          <w:rStyle w:val="FootnoteAnchor"/>
          <w:rtl w:val="true"/>
        </w:rPr>
        <w:footnoteReference w:id="1201"/>
      </w:r>
      <w:r>
        <w:rPr>
          <w:rFonts w:ascii="Amiri" w:hAnsi="Amiri" w:eastAsia="Amiri" w:cs="Amiri"/>
          <w:color w:val="111111"/>
          <w:sz w:val="28"/>
          <w:sz w:val="28"/>
          <w:szCs w:val="28"/>
          <w:rtl w:val="true"/>
          <w:lang w:bidi="ar-SA"/>
        </w:rPr>
        <w:t xml:space="preserve">، وقوّى الشَّيخ عدم وجوب </w:t>
      </w:r>
    </w:p>
    <w:p>
      <w:pPr>
        <w:pStyle w:val="BookText"/>
        <w:rPr/>
      </w:pPr>
      <w:r>
        <w:rPr>
          <w:rFonts w:ascii="Amiri" w:hAnsi="Amiri" w:eastAsia="Amiri" w:cs="Amiri"/>
          <w:color w:val="111111"/>
          <w:sz w:val="28"/>
          <w:sz w:val="28"/>
          <w:szCs w:val="28"/>
          <w:rtl w:val="true"/>
          <w:lang w:bidi="ar-SA"/>
        </w:rPr>
        <w:t>تسليم الصَّداق</w:t>
      </w:r>
      <w:r>
        <w:rPr>
          <w:rStyle w:val="FootnoteAnchor"/>
          <w:rtl w:val="true"/>
        </w:rPr>
        <w:footnoteReference w:id="120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وكذا لو كان كبيراً وهي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صغيراً وهي كبيرة، فبذلت نفسها، فالّذي قوّاه الشَّيخ عدمُ النَّفقة، وعدمُ وجوب تسليم المهر</w:t>
      </w:r>
      <w:r>
        <w:rPr>
          <w:rStyle w:val="FootnoteAnchor"/>
          <w:rtl w:val="true"/>
        </w:rPr>
        <w:footnoteReference w:id="1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وأفتى في القواعد</w:t>
      </w:r>
      <w:r>
        <w:rPr>
          <w:rStyle w:val="FootnoteAnchor"/>
          <w:rtl w:val="true"/>
        </w:rPr>
        <w:footnoteReference w:id="1204"/>
      </w:r>
      <w:r>
        <w:rPr>
          <w:rFonts w:ascii="IRNazanin" w:hAnsi="IRNazanin" w:eastAsia="IRNazanin"/>
          <w:color w:val="111111"/>
          <w:sz w:val="28"/>
          <w:sz w:val="28"/>
          <w:szCs w:val="28"/>
          <w:rtl w:val="true"/>
          <w:lang w:bidi="fa-IR"/>
        </w:rPr>
        <w:t>والإرشاد</w:t>
      </w:r>
      <w:r>
        <w:rPr>
          <w:rStyle w:val="FootnoteAnchor"/>
          <w:rtl w:val="true"/>
        </w:rPr>
        <w:footnoteReference w:id="1205"/>
      </w:r>
      <w:r>
        <w:rPr>
          <w:rFonts w:ascii="Amiri" w:hAnsi="Amiri" w:eastAsia="Amiri" w:cs="Amiri"/>
          <w:color w:val="111111"/>
          <w:sz w:val="28"/>
          <w:sz w:val="28"/>
          <w:szCs w:val="28"/>
          <w:rtl w:val="true"/>
          <w:lang w:bidi="ar-SA"/>
        </w:rPr>
        <w:t>بوجوب النفقة للكبيرة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تيسَّر جمعه في هذه المسألة مع ما سنح فيها من النُّكت واللواحق مع قلّة البضاعة في هذه الصِّناعة، والله سبحانه ولي العفو والقبول وحسبنا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تحريراً في عشية الثُّلاثاء التَّاسع عشر من ذي الحجّة الحرام من سنة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بالمشهد المقدّس الرَّضوي على مشرِّفه الصَّلاة والسَّلام</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بقلم أصغر العباد محيي الدِّين بن أحمد بن تاج الدِّين لطف الله بهم بمحمّدٍ وآله الطاهرين</w:t>
      </w:r>
      <w:r>
        <w:rPr>
          <w:rFonts w:eastAsia="Amiri" w:cs="Amiri" w:ascii="Amiri" w:hAnsi="Amiri"/>
          <w:color w:val="111111"/>
          <w:sz w:val="28"/>
          <w:szCs w:val="28"/>
          <w:rtl w:val="true"/>
          <w:lang w:bidi="ar-SA"/>
        </w:rPr>
        <w:t xml:space="preserve">. </w:t>
      </w:r>
      <w:bookmarkStart w:id="851" w:name="pg10913_111383"/>
    </w:p>
    <w:p>
      <w:pPr>
        <w:pStyle w:val="Heading3"/>
        <w:numPr>
          <w:ilvl w:val="2"/>
          <w:numId w:val="1"/>
        </w:numPr>
        <w:rPr/>
      </w:pPr>
      <w:bookmarkStart w:id="852" w:name="__RefHeading___Toc3057072_2870459653"/>
      <w:bookmarkStart w:id="853" w:name="_Toc327"/>
      <w:bookmarkEnd w:id="851"/>
      <w:bookmarkEnd w:id="852"/>
      <w:r>
        <w:rPr>
          <w:rtl w:val="true"/>
        </w:rPr>
        <w:t>مصادر مقدّمة التحقيق</w:t>
      </w:r>
      <w:bookmarkEnd w:id="8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الأعلام قاموس تراجم لأشهر الرجال والنساء من العرب والمستعربين والمستشرقين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بن محمود بن محمّد بن علي بن فارس الزِرِكْلِيّ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 ط</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الأمين،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أمل الآمل في علماء جبل 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الحسن بن عليّ بن محمّد بن الحسين الحرّ العامليّ المشغريّ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الأندلس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العلّامة الشيخ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المؤرّخ الشهير السيد حسين بن السيد أحمد البراقيّ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ماجد بن أحمد العطية،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الحيدرية،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شريعت،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تكملة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السيد حسن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علي محفوظ وعبد الكريم الدباغ وعدنان الدباغ،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المؤرّخ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المؤرّخ العربي،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المقاصد في شرح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الشيخ عليّ بن الحسين ابن عبد العالي الكركيّ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المحقّق الكركيّ وآثاره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الحسون،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أغا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رسائل المحقّق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الشيخ عليّ بن الحسين ابن عبد العالي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الحسون،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العلماء وحياض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الميرزا عبد الله المشتهر بالأفندي ابن الميرزا عيسى 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روضات الجنات في أحوال العلماء والسادات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محمّد باقر ابن العلّامة زين العابدين بن أبي القاسم الموسويّ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أعلام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أغا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ماضي النجف وحاضرها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جعفر باقر محبوبة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شهاب الدين أبو عبد الله ياقوت بن عبد الله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الموسوعة الحرة وكيبيديا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شبكة الإنترنت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طبقات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اللجنة العلميّة في 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الهجرة العامليّة إلى إيران في العصر الصفوي أسبابها التاريخيّة ونتائجها الثقافيّة والسياسيّة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المهاجر،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854" w:name="pg10913_111389"/>
    </w:p>
    <w:p>
      <w:pPr>
        <w:pStyle w:val="Heading3"/>
        <w:numPr>
          <w:ilvl w:val="2"/>
          <w:numId w:val="1"/>
        </w:numPr>
        <w:rPr/>
      </w:pPr>
      <w:bookmarkStart w:id="855" w:name="__RefHeading___Toc3057074_2870459653"/>
      <w:bookmarkStart w:id="856" w:name="_Toc328"/>
      <w:bookmarkEnd w:id="854"/>
      <w:bookmarkEnd w:id="855"/>
      <w:r>
        <w:rPr>
          <w:rtl w:val="true"/>
        </w:rPr>
        <w:t>مصادر تحقيق الرسائل</w:t>
      </w:r>
      <w:bookmarkEnd w:id="856"/>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أجوبة المسائل المهنائية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جمال الدين أبو منصور الحسن بن يوسف ابن المطهّر الأسديّ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الشيخ المفيد أبو عبد الله محمّد بن محمّد بن النعمان بن المعلّم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مهدي نجف، طباعة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الأذهان إلى أحكام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جمال الدين أبو منصور الحسن ابن يوسف بن المطهّر الأسديّ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الحسون،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الله أبو القاسم محمود بن عمرو بن أحمد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ملاحظات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الاتحاد القومي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ومطابع الشعب القاهرة،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إصباح الشيعة بمصباح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الفقيه البارع الأقدم قطب الدين البيهقيّ الكيدريّ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إبراهيم البهادريّ،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علم الهدى عليّ بن الحسين الموسويّ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الأمين،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إيضاح الفوائد في شرح إشكالات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الأعظم والهمام المعظم فخر المحقّقين الشيخ أبو طالب محمد بن الحسن بن يوسف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الموسوي الكرماني والشيخ علي بناه الاشتهاردي والشيخ عبد الرحيم البروجردي،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تحرير الأحكام الشرعية على مذهب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الشيخ جمال الدين أبو منصور الحسن بن يوسف بن المطهّر الأسديّ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إبراهيم البهادريّ،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الشيخ جمال الدين أبو منصور الحسن بن يوسف بن المطهّر الأسديّ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التنقيح الرائع لمختصر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المتبحّر والأصوليّ المتكلّم جمال الدين مقداد بن عبد الله السيوريّ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اللطيف الحسيني الكوه كمري،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المرعشيّ النجفيّ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 في شرح المقنعة للشيخ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الموسوي الخرسان،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خورشيد،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المقاصد في شرح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الشيخ عليّ بن الحسين ابن عبد العالي الكركيّ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الأقدم القاضي عبد العزيز بن البرّاج الطرابلسيّ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بهادريّ،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التباعة لجماعة المدرسين بقم المشرفة،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الدروس الشرعية في 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الشيخ شمس الدين أبو عبد الله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أغا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رسائل المحقّق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الشيخ عليّ بن الحسين ابن عبد العالي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الحسون،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روضات الجنات في أحوال العلماء والسادات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محمّد باقر بن العلّامة زين العابدين بن أبي القاسم الموسويّ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الروضة البهيّة في شرح 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ابن نور الدين عليّ بن أحمد بن جمال الدين بن تقيّ الدين بن مشرف الجبعيّ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كلانتر،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النجف الدينية،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العلماء وحياض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الميرزا عبد الله المشتهر بالأفندي ابن الميرزا عيسى 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السرائر الحاوي لتحرير الفتاوي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الفقيه أبو جعفر محمّد بن منصور بن أحمد بن 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التحقيق في مؤسسة النشر الإسلامي،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شرائع الإسلام في مسائل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الأجلّ المحقّق أبو القاسم نجم الدين جعفر بن الحسن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صادق الشيرازي،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أعلام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أغا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عوالي اللئالي العزيزية في الأحاديث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عليّ بن إبراهيم الأحسائي المعروف بابن أبي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إلى سنة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البحاثة المتتبع الحاج آغا مجتبى العراقي،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غنية النزوع إلى علميّ الأصول والفروع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الفقيه البارع الأقدم السيد حمزة بن عليّ ابن زهرة الحلبيّ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البهادريّ،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الرضوية في أحوال علماء المذهب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بن محمد رضا ابن أبي القاسم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باقري،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بوستان كتاب،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أبو جعفر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ط</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الحيدري،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 في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الفقيه الأقدم أبو الصلاح تقي بن نجم بن عبيد الله بن محمد الحلبيّ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رضا أستادي،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الإمام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أصفهان،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الرموز في شرح 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زين الدين أبو عليّ الحسن بن أبي </w:t>
      </w:r>
    </w:p>
    <w:p>
      <w:pPr>
        <w:pStyle w:val="BookText"/>
        <w:rPr/>
      </w:pPr>
      <w:r>
        <w:rPr>
          <w:rFonts w:ascii="Amiri" w:hAnsi="Amiri" w:eastAsia="Amiri" w:cs="Amiri"/>
          <w:color w:val="111111"/>
          <w:sz w:val="28"/>
          <w:sz w:val="28"/>
          <w:szCs w:val="28"/>
          <w:rtl w:val="true"/>
          <w:lang w:bidi="ar-SA"/>
        </w:rPr>
        <w:t xml:space="preserve">طالب بن أبي المجد اليوسفيّ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بالفاضل والمحقّق الآبيّ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الشيخ عليّ بناه الاشتهاردي والحاج آغا حسين اليزدي،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المراد في شرح 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منصور جمال الدين الحسن بن يوسف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وتقديم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الشيح حسن زاده آملي،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لجامعة المدرسين بقم المشرفة، ط</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الشيخ شمس الدين أبو عبد الله محمّد ابن جمال الدين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جمال الدين أبو الفضل محمد بن مكرم بن منظور الأفريقي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الحوزة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المبسوط في 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تقي الكشفي،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المرتضوية لإحياء الآثار الجعفرية،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المختصر النافع في 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الأجلّ المحقق نجم الدين أبو القاسم جعفر بن الحسن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الدراسات الإسلامية،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مختلف الشيعة في أحكام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جمال الدين أبو منصور الحسن ابن يوسف بن المطهّر الأسديّ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w:t>
      </w:r>
    </w:p>
    <w:p>
      <w:pPr>
        <w:pStyle w:val="BookText"/>
        <w:rPr/>
      </w:pPr>
      <w:r>
        <w:rPr>
          <w:rFonts w:ascii="Amiri" w:hAnsi="Amiri" w:eastAsia="Amiri" w:cs="Amiri"/>
          <w:color w:val="111111"/>
          <w:sz w:val="28"/>
          <w:sz w:val="28"/>
          <w:szCs w:val="28"/>
          <w:rtl w:val="true"/>
          <w:lang w:bidi="ar-SA"/>
        </w:rPr>
        <w:t>الإسلامي،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المحدّث الفقيه الشّيخ فخر الدين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طراوت،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شهريور ماه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مسائل الناصريات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الهدى السيد عليّ بن الحسين بن موسى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البحوث والدراسات العلميّة،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رابطة الثقافة والعلاقات الإسلاميّة مديرية الترجمة والنشر،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الهدى، 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مسالك الأفهام إلى تنقيح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ابن نور الدين عليّ بن أحمد بن جمال الدين بن تقي الدين بن مشرف الجبعيّ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الشيعة الشيخ المفيد أبو عبد الله محمّد بن محمّد بن النعمان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الأقدم القاضي أبو القاسم عبد العزيز ابن البرّاج الطرابلسيّ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سيّد الشهداء العلمية،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المهذّب البارع في شرح 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جمال الدين أبو العباس أحمد بن </w:t>
      </w:r>
    </w:p>
    <w:p>
      <w:pPr>
        <w:pStyle w:val="BookText"/>
        <w:rPr/>
      </w:pPr>
      <w:r>
        <w:rPr>
          <w:rFonts w:ascii="Amiri" w:hAnsi="Amiri" w:eastAsia="Amiri" w:cs="Amiri"/>
          <w:color w:val="111111"/>
          <w:sz w:val="28"/>
          <w:sz w:val="28"/>
          <w:szCs w:val="28"/>
          <w:rtl w:val="true"/>
          <w:lang w:bidi="ar-SA"/>
        </w:rPr>
        <w:t xml:space="preserve">محمّد 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مجتبى العراقي،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الأقدم الصدوق أبو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غفاري،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الصلاح في اختصار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جمال الدين أبو منصور الحسن بن يوسف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الحميد الميردامادي،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العلامة المجلسيّ،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في مجرّد الفقه والفتاوى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محمدي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الهجرة العامليّة إلى إيران في العصر الصفوي أسبابها التاريخيّة ونتائجها الثقافيّة والسياسيّة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المهاجر،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الوسيلة إلى نيل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عماد الدين أبو جعفر محمّد بن عليّ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 حمزة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ق</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الحسون،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إلى آيات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الجواهر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إفساد الامرأة على زوجها الذي ربّما أدّى إلى سعيها بالتخلّص منه ولو بقتله بسم ونحوه كما وقع لجعيدة بنت الأشعث زوجة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خطبها معاوية بن أبي سفيان لجروه يزيد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أعرف خلافاً بين العلماء في أنّه لا يجوز التعريض بالخطبة لذات العدّة الرجعيّة من غير الزوج</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مقام بيان أنّ الأحكام التكليفيّة الخمسة تجري في النكاح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والمحرّم نكاح المحرّمات عيناً أو جمعاً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نظره إلى صاحب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ذكر احتمال البطلان أيضاً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وعبارته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يحرم استعمال الماء النجس في الطهارة الصغرى والكبرى، بمعنى عدم الاعتداد بهما في رفع الحدث، لا تعلّق الإثم بذلك</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شكّك بها أيضاً السيّد الخوانساري في جامع المدارك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المباني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النَّبِيُّ إِذَا طَلَّقْتُمُ النِّسَاءَ فَطَلِّقُوهُنَّ لِعِدَّتِهِنَّ وَأَحْصُوا الْعِدَّةَ وَاتَّقُوا اللَّهَ رَبَّكُمْ لَا تُخْرِجُوهُنَّ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وَالَّذِينَ يُتَوَفَّوْنَ مِنْكُمْ وَيَذَرُونَ أَزْوَاجًا يَتَرَبَّصْنَ بِأَنْفُسِهِنَّ أَرْبَعَةَ أَشْهُرٍ وَعَشْرًا فَإِذَا بَلَغْنَ أَجَلَهُنَّ فَلَا جُنَاحَ عَلَيْكُمْ فِيمَا فَعَلْنَ فِي أَنْفُسِهِنَّ بِالْمَعْرُوفِ وَاللَّهُ بِمَا تَعْمَلُونَ خَبِيرٌ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طَلَّقْتُمُ النِّسَاءَ فَبَلَغْنَ أَجَلَهُنَّ فَلَا تَعْضُلُوهُنَّ أَنْ يَنْكِحْنَ أَزْوَاجَهُنَّ إِذَا تَرَاضَوْا بَيْنَهُمْ بِالْمَعْرُوفِ ذَلِكَ يُوعَظُ بِهِ مَنْ كَانَ مِنْكُمْ يُؤْمِنُ بِاللَّهِ وَالْيَوْمِ الْآَخِرِ ذَلِكُمْ أَزْكَى لَكُمْ وَأَطْهَرُ وَاللَّهُ يَعْلَمُ وَأَنْتُمْ لَا تَعْلَمُونَ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وَالْمُطَلَّقَاتُ يَتَرَبَّصْنَ بِأَنْفُسِهِنَّ ثَلَاثَةَ قُرُوءٍ وَلَا يَحِلُّ لَهُنَّ أَنْ يَكْتُمْنَ مَا خَلَقَ اللَّهُ فِي أَرْحَامِهِنَّ إِنْ كُنَّ يُؤْمِنَّ بِاللَّهِ وَالْيَوْمِ الْآَخِرِ وَبُعُولَتُهُنَّ أَحَقُّ بِرَدِّهِنَّ فِي ذَلِكَ إِنْ أَرَادُوا إِصْلَاحًا وَلَهُنَّ مِثْلُ الَّذِي عَلَيْهِنَّ بِالْمَعْرُوفِ وَلِلرِّجَالِ عَلَيْهِنَّ دَرَجَةٌ وَاللَّهُ عَزِيزٌ حَكِيمٌ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وهل يمكن الاستدلال على الحرمة بما دلّ على ثبوت الرجم أو الحدّ على مَن تزوّجت وهي ذات زوج، فإنّ ثبوتهما لا يتناسب إلّا مع الحرمة التكليفيّة، ومن تلك الروايات معتبرة أبي عبيدة،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امرأة تزوّجت رجلاً ولها زوج؟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زوجها الأوّل مقيماً معها في المصر الذي هي فيه تصل إليه ويصل إليها، فإنّ عليها ما على الزاني المحصن الرجم،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زوجها الأوّل غائباً عنها أو كان مقيما معها في المصر لا يصل إليها ولا تصل إليه، فإنّ عليها ما على الزانية غير المحصنة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ونحوها معتبرة أبي بصير الواردة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ذلك في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أيتزوجها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أيراجعها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أظهر، وعلى تقدير النسخة التي في الخبر فالمراجعة بمعنى تزويجها مرّة أخرى، كما يدل عليه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تنقضي عدتها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قرينته محلّ نظر فالعدّة عدّتها من الأوّل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تهذيب الأحكام في موضعين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قضى في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آخر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عاصم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،ومثله في موضع من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وفي آخر مثل الأوّل إلّا أنّ أوّله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قضى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في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في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الشيخ الأنصاري في 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الرضوي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تزوج امرأة لها زوج دخل بها أو لم يدخل بها أو زنى بها لم تحلّ له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الأقرب في مؤلّفه أنّه ابن أبي العزاقر كما ذهب إليه السيّد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افاداته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 عن الحرمة في الصورتين الثانية والثالثة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 أقوى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الشرح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مع تعليقات عدّة من الفقهاء العظام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وممّن وصلتُ إلى فتاواهم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سعيد الحكيم، وقد استشكل في عدم الحرمة لو جهل خصوص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المعاملات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المسألة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الوحيد،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على منهاج الصالحين، المعاملات، المسألة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الفياض،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المعاملات، المسألة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كتاب النكاح</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ذكر أنّه استفيد من رواية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امرأة فقدت زوجها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إلحاق ذات البعل بالمعتدّة ولم يعقّب، ونسب إليه الصيمري المساواة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السيستاني، منهاج الصالحين، المعاملات، المسألة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العلم بالتحريم مع العلم بالحال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للسيّد الحكيم مع تعليقته عليه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ما يحرم بالمصاهرة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المناط على العلم بالحكم والموضوع والجهل بأحدهما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المناط على العلم بالحكم والموضوع والجهل بأحدهما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المعاملات، المسألة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المناط على العلم بالحكم والموضوع والجهل بأحدهما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ما يحرم بالمصاهرة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المناط على العلم بالحكم والموضوع والجهل بأحدهما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المعاملات، المسألة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المناط على العلم بالحكم والموضوع والجهل بأحدهما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والاختلاف عن تعليقته على العروة ناشئ من عدم الجهل بالحكم خارجاً كما أُشير إليه في الروايات، وستأتي الإشارة إليه إن شاء الله تعالى</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يحلّ العقد على ذات البعل ولا تحرم به، نعم لو زنى بها حرمت، وكذا في الرجعيّة خاصّة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تبصرة المتعلمين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ويحرم العقد على ذات البعل، والمعتدّة ما دامت كذلك، ولو تزوجها في عدّتها جاهلاً بطل العقد، فإن دخل حرمت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فيلاحظ أنّه ذكر بطلان العقد على ذات البعل والمعتدّة، ثمّ اختصّ المعتدّة بالحرمة المؤبّدة مع الدخول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حيث قوّى الاقتصار على النصّ بزعم أنّه لا نصّ إلّا في ذات العدّة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تابع فخر المحقّقين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حيث منع من الأولويّة وناقش رواية أديم بأنّها غير 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رواية عبد الرحمن ولم يناقش فيها، وكلامه في إطلاق الحرمة مبني على الفرض</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موسى الشبيري الزنجاني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المسألة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واستثناء الصورة الأولى لإلحاقها بحكم الزنا بذات بعل كما تقدّم في القول الثالث</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تزوّج بذات البعل ففي الحاقه بالمعتدّة إشكال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المسألة لا تخلو من إشكال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مع تعليقات عدّة من الفقهاء العظام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علّق على قول الماتن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إشكال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والمسألة محلّ تردّد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تزوج ذات البعل عالماً حرمت عليه قطعاً، وإنّما الإشكال إذا كان جاهلاً أو لشبهةٍ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مع تعليقات عدّة من الفقهاء العظام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 إشكال لكن لا يترك مراعاة الاحتياط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وظاهر استدراكه أنّه يريد الإلزام بالاحتياط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واللواتي يحرمن بالسبب، فعلى ضربين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منهنّ يحرم العقد عليهن على جميع الأحوال، والضرب الآخر يحرم العقد عليهن في حال دون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واللواتي يحرم العقد عليهن على جميع الأحوال، فجميع المذكورات من جهة النسب</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في الوسيلة إلى نيل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والسبب ضربان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يحرم نكاحه أبداً، أو في حال دون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 أربعون صنفاً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الرضيع، والمعقود عليها في العدّة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مجرّد الفقه والفتاوى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إلى نيل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الحاوي لتحرير 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والسبب ضربان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يحرم نكاحه أبداً، أو في حال دون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 أربعون صنفاً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الرضيع، والمعقود عليها في العدّة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فهد الحلّي في المهذّب البارع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واعلم أنّ المؤبّدات في التحريم بالعارض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عقوبة للمكلّف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دخل بمعتدّة رجعية مطلقاً، أو عقد عليها عالماً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الباب أعلاه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المقصودة هي رواية زرارة وداود بن سرحان وأديم بيّاع الهروي</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يوجد في الفقه الرضوي يكون محط اهتمام الفقهاء إذا كان في واقعه رسالة ابن بابويه؛ لجلالة المؤلّف، وقربه من زمن النصّ، وكون طريقته التعبير بمتون الروايات، وقد تعامل الفقهاء مع ما فيه معاملة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ولذلك شواهد يلاحظ للاطلاع عليها مقدمة ما نشرته مجلّة دراسات علميّة من قطعة</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ذكرها أوّلاً كطرف في الترديد ثمّ قوّاها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السيّد الخوئي في مباني العروة 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كلامه بلحاظ التعدّي لحالة علم الزوجة، لكنّه لا فرق</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ويظهر من الشيخ الأراكي قبول هذا المعنى، حيث قال في إلحاق ذات البعل بالمعتدّة الرجعيّة في مسألة التصريح بالخطبة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ذات البعل فإن أمكن إدراجها في المدلول اللفظي كما في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نظرت إلى ظلّ فلان بسوء أفعل بك كذا وكذا، فإنّه من المعلوم أنّ الشارع راعى حفظ حرمة الزوج في العدّة حيث منع من التعرّض لمعتدّته بالتصريح والتعريض القبيح، فيعلم منه الحال في زوجته الفعليّة الكائنة فعلاً في حبالته بطريق أولى، وإلَّا فاستفادته من تنقيح المناط محلُّ إشكال، وكونه في ذات البعل هتكاً للحرمة وإيذاء للزوج أيضاً محلّ إشكال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 الشيخ المظفر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امرأة تزوّجت في عدّتها بجهالة منها بذلك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أرى عليها شيئاً ويفرّق بينها وبين الذي تزوّج بها ولا تحلّ له أبداً،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كانت قد عرفت أنّ ذلك محرّم عليها ثمّ تقدّمت على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كانت تزوّجته في عدّة لزوجها الذي طلّقها عليها فيها الرجعة فإنّي أرى أنّ عليها الرجم، وإن كانت تزوّجت في عدّة ليس لزوجها الذي طلّقها عليها فيها الرجعة فإنّي أرى عليها حدّ الزاني، ويفرّق بينها وبين الذي تزوّجها، ولا تحلّ له أبداً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للشيخ الأراكي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محمّد بن عيسى، عن الحسن بن علي، عن عبد الله بن بكير، عن أديم بن الحرّ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موسى بن القاسم، عن عباس، عن عبد الله بن بكير، عن أديم بن الحرّ الخزاعي</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مصحّح طبعة مكتبة الصدوق حيث علّق على الذيل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 في النسخ والجملة غير مفهومة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وكأنّها زائدة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ط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ونقلها في موضع آخر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رواية إبراهيم بن الحسن المتضمّنة لمثل المقطع الأوّل فقط وقال مثله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العروة الوثقى، 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العروة الوثقى، 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وهي تنتج من كلامه في المعجم في حقّ الخزاعي وبياع الهروي من اتّحادهما مع السابق، لكنّا نريد تقريبها بنفسها لتكون دليلاً على اتّحاد الخزاعي مع الجعفي أي أنّنا نتناول المسألة بالعكس</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أصل عاصم بن حميد الحناط</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ورواها في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ورواها في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أصل عاصم بن حميد الحناط</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 في تهذيب الأنساب،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لب اللباب في تحرير الأنساب، جلال الدين 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السمعاني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 في تهذيب الأنساب،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أصحاب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أصحاب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الأثير في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وابن حجر في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ووردت في 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بصير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عن امرأة كان لها زوج غائباً عنها فتزوّجت زوجاً آخر،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رفعت إلى الإمام ثمّ شهد عليها شهود أنّ لها زوجاً غائباً عنها وأنّ مادّته وخبره يأتيها منه وأنّها تزوّجت زوجاً آخر كان على الإمام أن يحدّها ويفرّق بينها وبين الذي تزوجها،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فالمهر الذي أخذته منه كيف يصنع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أصاب منه شيئاً فليأخذه، وإن لم يصب منه شيئاً فإنّ كل ما أخذت منه حرام عليها مثل أجر الفاجرة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شعيب العقرقوفي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أبا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تزوّج امرأة لها زوج ولم يعلم،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يرجم المرأة وليس على الرجل شيء إذا لم يعلم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وسندها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إبراهيم، عن أبيه، عن ابن أبي عمير، عن حمّاد، عن الحلبي</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والطريق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 عمير عن ابن بكير عن زرارة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العروة الوثقى، 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والسيّد الخوئي في كتاب النكاح، 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يدلّ على ذلك صحيح محمّد بن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وصحيح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مناسك الحجّ للسيّد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ولاحظ أدلّتها في مستند النّاسك في شرح المناسك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بطريقين رئيسيين،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عن علي بن الحكم، عن موسى بن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العباس الرزاز محمّد بن جعفر، عن أيوب بن نوح، وأبو علي الأشعري، عن محمّد بن عبد الجبار، ومحمّد بن إسماعيل، عن الفضل بن شاذان جميعاً، عن صفوان، عن موسى بن بكر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وفيه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نُعي الرجل إلى أهله أو خبّروها أنّه قد طلّقها فاعتدّت ثمّ تزوّجت فجاء زوجها الأوّل؟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أحقّ بها من الآخر، دخل بها أو لم يدخل بها، ولها من الآخر المهر بما استحلّ من فرجها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الكريم بن عمرو الخثعمي، وقد صرّح بذلك في الفقيه، والطريق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من أصحابنا، عن سهل بن زياد، وعلي بن إبراهيم، عن أبيه جميعاً، عن ابن أبي نصر، عن عبد الكريم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في شرح 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محمّد بن خالد الأصم، ولم يوثّق</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في شرح 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صفوان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وموارد أخرى كثيرة في الكافي وغيره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ثقة ثقة عيناً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البزنطي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عبارته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وروى أحمد بن محمّد بن أبي نصر البزنطي، عن عبد الكريم بن عمرو الخثعمي، عن زرارة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،وموسى بن بكر، عن زرارة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ما ذكره السيّد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افاداته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السيّد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النكاح من مباني العروة الوثقى،الموسوعة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مضمرة سليمان بن خالد،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سألته عن رجل تزوّج امرأة في عدّتها،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يفرّق بينهما، وإن كان دخل بها فلها المهر بما استحلّ من فرجها ويفرّق بينهما فلا تحلّ له أبداً، وإن لم يكن دخل بها فلا شيء لها من مهرها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فاعتدّت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تزوّجت، فبلغها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تزوجت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زوجها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الإنجاب الصناعية، الملحق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فتلخّص من جميع ما تقدّم أنّه لا يوجد وجه وجيه للاعتماد على ما ورد في كتاب قرب الإسناد أو في النسخة الأخرى من مسائل علي بن جعفر، فهما لا يصلحان إلّا للتأييد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ربّما يحصل الوثوق بما يتّفقان عليه، ولا سيّما مع ضم بعض القرائن الأخرى، فإن حصل كان هو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 في شرح قواعد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 في الأحاديث الصحاح والحسان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 في الأحاديث الصحاح والحسان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 في شرح قواعد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وسائل الشيعة إلى تحصيل مسائل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وسائل الشيعة إلى تحصيل مسائل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وسائل الشيعة إلى تحصيل مسائل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وسائل الشيعة إلى تحصيل مسائل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وسائل الشيعة إلى تحصيل مسائل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وسائل الشيعة إلى تحصيل مسائل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وسائل الشيعة إلى تحصيل مسائل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وسائل الشيعة إلى تحصيل مسائل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مجمع الفائدة والبرهان في شرح 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الإتمام عند قبر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 في أحكام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في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الجامعة لدرر أخبار الأئمة الأطهار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الإتمام عند قبر الحسين وجميع المشاهد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في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وأيضاً لاحظ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 إلى أحكام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تمام الصلاة في مسجد الكوفة والحائر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كتاب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حجّيّة المراسيل</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المرتقى إلى الفقه الأرقى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وعنه 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 في أحكام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آل زرارة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 في شرح مفاتيح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رياض المسائل في بيان أحكام الشرع بالدلائل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جواهر الكلام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الفرحة الأنسية في شرح النفحة القدسية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الحير بمعنى الحائر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إلى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إتمام المسافر في مشاهد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الشيعة بمصباح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اثنا عشر 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سداد العباد ورشاد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الفرحة الأنسية في شرح النفحة القدسية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الصلاة في مشهد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إتمام المسافر في مشاهد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 لمختصر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السرائر الحاوي لتحرير الفتاوي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إتمام المسافر في مشاهد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إتمام المسافر في مشاهد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بالزوراء وبراثا بعد وقعة الخوارج</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إتمام المسافر في مشاهد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إتمام المسافر في مشاهد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إتمام المسافر في مشاهد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إتمام المسافر في مشاهد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إتمام المسافر في مشاهد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الصلاة الفريضة عنده تعدل حجّة والنافلة عمرة،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الصلاة الفريضة عنده تعدل حجّة والنافلة عمرة،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الدعاء للكرب والهمّ والحزن والخوف</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ورد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في طلب الرزق،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الحوائج،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1547</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زيارة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ينفس بها الكرب وتقضى بها الحوائج</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الباب يتناول فيه المشرّع العراقي أحكام عقد النّكاح تعريفاً وحكماً وحكمةً وأركاناً وشروطاً وأهليةً وإثباتاً في أربعة فصول</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الزاهر في معاني كلمات الناس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كمعلِّمة أمِّها البِضَاع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لمن يُعَلِّم من هو أعلم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اللغة وسر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كشف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وعنه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وانظر في ورود النِّكاح بمعنى الضم والدخول في 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كشاف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الزرقاني على 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مجمع 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المسير في علم 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الشرح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مغني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الآثار والسنن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إلى تنقيح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الانضمام والاختلاط والمخامرة الشهوية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ذكره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هذه العبارة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في بيان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من مصادر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النووي على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مغني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تفسير الفخر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الحنابلة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الشرح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كشاف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شرح منتهى الإرادات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المالكية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الزرقاني على 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الفواكه للدواني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الخرشي والعدوي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مواهب الجليل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توجيه هذا الاستدلال لهذا القول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الشرح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شرح النووي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مغني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شرح الزرقاني على 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الفتح والعناية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البحر الرائق</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كشاف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أنَّ الأزهري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لا يعرف شيء من ذكر النِّكاح في كتاب الله إلّا على معنى التزويج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ونقله ابن منظور في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بهذا اللفظ مسلم عن أنس كما في شرح النووي على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كتاب الحيض، باب تحريم جماع الحائض، عون المعبود شرح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كتاب النّكاح، باب إتيان الحائض ومباشرتها، تحفة الأحوذي بشرح جامع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كتاب الطهارة، باب مباشرة الحائض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النسائي وابن ماجة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السندي على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كتاب الطهارة، باب تأويل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وَيَسْأَلُونَكَ عَنِ الْمَحِيضِ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كتاب الطهارة، باب ما جاء في مؤاكلة الحائض سؤرها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مغني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كشاف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الشرح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مغني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تحفة المحتاج وحواشيها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الشرح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الشرح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الأحوال الشخصيّة الأردني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 xml:space="preserve">م المنشور في العدد رقم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الجريدة الرسميّة الأردنية بتاريخ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وتعديلاته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قانون الأحوال الشخصيّة السوري الصادر بالمرسوم التشريعي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لعام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م وتعديلاته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قانون الأحوال الشخصيّة الأردني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 عندما كانت الضفة الغربية جزءا من المملكة الأردنية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قانون الأحوال الشخصيّة الأردني 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 في شرح نكت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إلى تنقيح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المختار شرح تنوير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مدونة الفقه المالكي وأدلّته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 في فقه الإمام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على مختصر الخرقي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الأحوال الشخصيّة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الزّواج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الزاهر في معاني كلمات الناس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أدب الكاتب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الأحوال الشخصيّة في القانون الدولي الخاصّ العراقي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المؤمنين للسيّد شهاب الدين المرعشي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منهاج الصالحين للسيّد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منهاج الصالحين للشيخ الفياض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استفتاءات السيّد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للسيّد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الفقه المعاصر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النجاة تعليقة الميرزا التبريزي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عن تأويل آي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ما أحلّه الله عزّ وجلّ من النساء</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في شرح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للشيخ محمّد علي الأراكي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تفسير 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تفسير مقتنيات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التفسير 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للسيّد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الاستفتاءات 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كالضحّاك والجصّاص وأبي الليث السمرقندي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السمرقندي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المفردات في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اتّضح في المطلب الثاني من المبحث الأوّل بإجماع الأمة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الجليل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 لمختصر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 xml:space="preserve">م المنشور في العدد رقم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الجريدة الرسمية الأردنيّة بتاريخ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طبع ضمن موسوعة الشيخ المظفر الجزء العاشر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المستشار المصري الدمرداش</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ودروس في علم الأصول، الحلقة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يفرّق السيد الشهيد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الشهرتين العمليّة والفتوائيّة، بل جعلهما واحدة في مقابل الشهرة الروائية، تلاحظ الحلقة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إنَّ الواحد قد لا يكون ثقةً، فلا يُبحث عن حجيّة خبره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تخصيص البحث بالشهرة الفتوائيّة هو ما صنعه المحقّق النائيني والسيّد الخوئي والسيّد الشهيد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عمَّمهُ الأخير في الحلقة الثالثة ليشمل الشهرة الروائيّة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اقتصر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التحديد الكيفي للتواتر، بخلاف الإجماع الذي سيحدّده تحديداً كيفيّاً وكمّيّاً، لأنّ الأكثر لم يشترطوا عدداً معيّناَ في تحقّق التواتر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الحجّج تقريراً لأبحاث سماحة السيّد علي الحسيني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دامة ظله 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بقلم السيّد محمّد علي الرباني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طبعة أوّليّة محدودة التداول</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تُصِيبُوا قَوْمًا بِجَهَالَةٍ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لذلك استدلَّ بنفس الدليل على حجّية خبر الثقة، كونه ممّا يؤمَن معه من إصابة القوم بجهالة، وكذلك استدلَّ به على جابريّة الشهرة الفتوائيّة للضعف السندي، كما سيأتي بيانه في محلّه في البحث الثّالث من هذه الرسالة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 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بتصرُّف</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إنّ الدليلين إنّما يكونان متعارضين إذا تكاذبا في مقام الجعل والتشريع، ويكونان متزاحمين إذا امتنع الجمع بينهما في مقام الامتثال مع عدم التكاذب في مقام التشريع</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المصابيح</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 التخصّص عبارة عن الخروج الموضوعي وجداناً وسببه أمرٌ وجداني، مثل ما لو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أكرم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فالجاهل بلا ريب خارج عن الموضوع خروجاً وجدانيّاً غير مشوب بالتعبّد، فليس بين الأمرين تنافٍ حتى يقع البحث عنه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للحكومة معنيان رئيسان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النائيني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والشيخ المظفّر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قيّدنا الجمع بكونه عرفيّاً؛ لأنّه القدر المتيقّن الداخل في هذه القاعدة، أمّا الجمع التبرعي فقد وقع البحث في دخوله في القاعدة، والصحيح عدم دخوله على ما نقّح في محلّه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قيّدنا بذلك احترازاً عمّا يقوّم أصل الحجّة ويميّزها عن اللاحجّة، فالجهة التي تكون من مقوّمات الحجّة مع قطع النظر عن المعارضة لا تدخل في مرجّحات باب التعارض، بل تكون من باب تمييز الحجّة عن اللاحجّة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لذلك يجب التنبّه إلى أنّ الروايات المذكورة في باب الترجيحات هل هي واردة في صدد ترجيح الحجّة على الحجّة، أو تمييز الحجّة عن اللاحجّة؟</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البحث مستقلّا ً في المرجّحات غير المنصوصة، وهل يجوز التعدّي إليها عند إرادة ترجيح أحد المتعارضين أم لا؟</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للخلاف الواقع في إفادة النصوص مرجّحيّة بعضها مثل الترجيح بالصفات والأحدثيّة، والتي ذهب كثير من الأصوليين إلى عدمه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وقت الظهر والعصر من كتاب الصلاة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أعطوا الاسم الأعظم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كتاب فضل العلم،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ولنا رسالة مستقلّة نشرت في العددين التاسع والعاشر من مجلّة دراسات علمية، في بيان دعوى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صفوان وابن أبي عمير والبزنطي لا يروون ولا يرسلون إلّا عن ثقة، وقد تعرّضنا فيها بالتفصيل لأدلّة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اعتمد عليها في الجزم بعدم دلالة رواية هؤلاء الأجلّاء على وثاقة مَن رووا عنه، فراجع</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الباب التاسع من أبواب صفات القاضي،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التباين، بمعنى أنّ التعارض بين إطلاق الترجيح وكلٍّ من المرجحين المتعاكسين فيهما مع إطلاق الآخر، فالمقبولة تُثبت الترجيح بالصفات سواء كان الآخر مشهوراً أم لا، والمرفوعة تُثبت الترجيح بالشهرة سواء كان الآخر مشهوراً أم لا، فيتعارضان في خصوص ما إذا كان أحدهما واجداً للصفات والآخر مشهوراً</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ويبقى الكلام عن إعمال المرجّح الثالث عند تكافؤ المتعارضين في المرجحين المتقدّمين عليه، بأن يكون أحدهما موافقاً للكتاب والآخر واجداً لصفات الراوي فسيأتي الحديث عنه عند ملاحظة النسبة بين رواية الراوندي والمرفوعة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من الواضح أنّ مورد كلٍّ من المقبولة والمرفوعة المتقدّمتين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اللّتين لا مستند للقول بكون صفات الراوي مرجِّحاً غيرهما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التعارض بين الحاكمين لا بين الراويين، كما تقدّم بيان ذلك مراراً</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من أبواب المقدّمات</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نهاية الدراية في شرح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قول آخر،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التفصيل بين صفات الراوي فيجوز التعدّي فيها، وبين غيرها فلا يجوز، وقد ذكر هذا القول العلّامة المظفر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أن يُسمّي القائل به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مقابلِه قول بالتعدّي إلى ما يوجب الظنَّ الشخصي بالصدق والموافقة للواقع</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بتصرف</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بتصرف</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بتصرف</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بحر الفوائد في شرح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الخاتمة في التعادل والتراجيح، السيّد محمّد الطباطبائي، طبعة محمّد حسين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وما بعدها، 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بحث المحقّق النائيني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ما نقله في أجود التقريرات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جابرية الشهرة للضعف الدلالي، فحيث إنَّ موضوع الحجّيّة هو كون اللفظ بنفسهِ ظاهراً في المعنى ومُلقياً له في الخارج، حكمَ باستحالة تحقّق ذلك بالشهرة الخارجيّة؛ إذ غاية ما يحصل من الشهرة هو الظنّ بكون الحكم الذي أفتى به المشهور مراداً من الرواية، وهو أجنبي عن ظهور اللفظ في المعنى، الذي هو موضوع الحجّيّة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تعني اشتهار الرواية بين الرواة وتدوينها في كتب الحديث</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شرح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شرح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في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نقله في الطريقة الأولى</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في تحقيق أحوال الرجال، مخطوط برقم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ر، المحفوظ في مكتبة الإمام الحكيم العامّة، ظهر 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استقصاء الاعتبار في شرح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في شرح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وإزاحة الاشتباهات عن الطرق والأسناد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الأربعين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وستأتي بعض الموارد التي استخدم فيها المحدِّث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التعويض في الطريقتين الثانية والثالثة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سماء المقال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الناسك في شرح المناسك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في الفقه الإسلامي</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الذي جرى عليه في دروس تمهيديّة في القواعد الرجاليّة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سماء المقال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وإزاحة الاشتباهات عن الطرق والأسناد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في شرح المقنعة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المشيخة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الاستبصار فيما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وسيأتي</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في شرح المقنعة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تمهيدية في القواعد الرجالية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في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الرجاليّة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مجلس البحث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مناسك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ليوم السبت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الحرام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في شرح المقنعة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شرح المشيخة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فيما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فيما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فيما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الرعاف، ح</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أيوب بن الحر، عن عبيد بن زرارة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استقصاء الاعتبار في شرح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سماء المقال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غضّ النظر عن خصوصية اشتراك الصفار وسعد في النقل عن ابن عيسى وغير ذلك ممّا يكون نقاشاً في الصغرى</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ونفس الكلام يأتي في البرقي</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في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سماء المقال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إرجاعه إلى المصادرة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في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 بحث المحقّق الداماد للآملي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وإزاحة الاشتباهات عن الطرق والأسناد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في شرح المقنعة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شرح المشيخة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وإزاحة الاشتباهات عن الطرق والأسناد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في شرح المقنعة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وإزاحة الاشتباهات عن الطرق والأسناد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دعوى الصدوق في الفقيه أنّه لا يبتدئ إلَّا باسم من أخذ الحديث من كتابه أو أصله فإنّما هو محمول على الغالب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سماء المقال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وإزاحة الاشتباهات عن الطرق والأسناد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 بحث المحقّق الداماد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سماء المقال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وُصفت هذه الطريقة بأنّها أوسع من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القضاء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في شرح المقنعة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شرح المشيخة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فيما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في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تمهيديّة في القواعد الرجاليّة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سماء المقال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في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فيما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فيما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في شرح المقنعة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تمهيدية في القواعد الرجالية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في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في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في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في تحقيق أحوال الرجال، مخطوط برقم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ر، المحفوظ في مكتبة السيّد الحكيم العامة، الورقة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تمهيدية في القواعد الرجالية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الناسك في شرح المناسك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وراجع بيان لذلك أيضاً 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الناسك في شرح المناسك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تمهيدية في القواعد الرجالية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الناسك في شرح المناسك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في شرح المقنعة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السفر الثاني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 من مقدّمة التحقيق بقلم إحسان عباس، طبقات خليفة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التحقيق بقلم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سهيل زكار</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خليفة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 مقدّمة التحقيق بقلم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سهيل زكار</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ألّف في الطبقات بعده عدّة من العلماء ولكن لم تصلنا كتبهم،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الحسين بن الحسن بن دؤل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ومحمّد بن عمر بن محمّد بن سالم بن البراء التميمي، المعروف بالقاضي الجُعابي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ذكر النجاشي في فهرسته الطبقة الأولى وهم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مخالفاً لمنهجه في الكتاب وهو الترتيب الألفبائي لنكتة،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المخالفين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 في المقدّمة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طعنوا على الشيعة بأنّ لا سلف لهم ولا مصنَّف، فذكر هؤلاء الذين هم من الرعيل الأوَّل ليبيّن علو كعب شيعة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التأليف والتصنيف منذ الصدر الأوَّل وأنّهم قد سبقوا الجمهور في كل الفنون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في شرح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ترتيب أسانيد كتاب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رتبنا أسماء جميع الرواة على ما عثرنا عليه في كتبهم حسب الترتيب ألفبائي</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ولكن جعله من الخامسة مع تصريحه في مقدّمة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بأنّ من مات قبل المائة فهو من الطبقة الأولى أو الثانية، فيه نظر</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واختلفت الأسانيد فيمَن روت عنه أم عثمان، فقد أورد أحمد الرواية في موضعين في الأوَّل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جويرية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لبس ثوب حرير ألبسه الله ثوباً من النار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مسند أبي الجعد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مسند ابن راهويه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الطفيل ابن أخي جويرية عن جويرية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في الإسناد الأوّل سقط اسم الطفيل</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تمييز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2/529</w:t>
      </w:r>
      <w:r>
        <w:rPr>
          <w:rFonts w:ascii="IRNazanin" w:hAnsi="IRNazanin" w:eastAsia="IRNazanin"/>
          <w:b w:val="false"/>
          <w:b w:val="false"/>
          <w:bCs w:val="false"/>
          <w:i w:val="false"/>
          <w:i w:val="false"/>
          <w:iCs w:val="false"/>
          <w:color w:val="333333"/>
          <w:sz w:val="20"/>
          <w:sz w:val="20"/>
          <w:szCs w:val="20"/>
          <w:rtl w:val="true"/>
        </w:rPr>
        <w:t>، 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ولايته من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ولم يُشر الشيخ والنجاشي إلى أنّه قُتل بسجستان، وإنّما ذكر الأوّل أنّه سكنها، وذكر الآخر أنّ تجارته كانت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حشم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الحاء المهملة وبالشين المعجمة الساكنة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أسد بن خليبة الكوفي الحضرمي</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ولمعرفة حال الرجل تفصيلاً راجع 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به عند ابن حجر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روى عنه أكثر من واحد ولم يوثّق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المرتبة السابعة من مراتب الرواة</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تعجيل المنفعة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وأكثر الطعن فيه هو في حفظه وخطئه، 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سيّئ الحفظ جداً، سيّئ الحفظ مضطرب الحديث مائل، كان كثير الخطأ صاحب حديث وهو يغلط أحياناً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مقصوده شيعة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كان لا يقبل شهادتهم، كما ورد ذلك في رواية في 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هي المرتبة الخامسة من مراتب الرواة التي رتبها ابن حجر على اثنتي عشرة مرتبة</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ابن أبي حاتم الرازي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في ضعفاء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وضعّفه الذهبي على أساس أنّه شيعي 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تضعيفهم له</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والسند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عن أحمد بن محمَّد بن هارون بن الصلت الأهوازي، عن ابن عقدة، عن عبّاد ابن أحمد القزويني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 ابن عبّاد وابن عقدة واسطة ساقطة بدلالة باقي الأسانيد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الموجود في إسناد آخر نقله في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الطوسي عبّاد بن أحمد العرزمي، والظاهر هو الصحيح، عن عمّه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عبد الرحمن بن محمَّد بن عبيد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الموجود في نسختنا من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أهل يأجوج ومأجوج</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العلل ومعرفة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معرفة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وسائل الشيعة إلى تفصيل مسائل الشريعة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البرهان في تفسير القرآن نقلاً عن تفسير ابن ماهيار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الرجل لم يذكر في كتب الرجال، فهو مهمل</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 ذكر تلامذة جابر من العامّة</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عمدة عيون صحاح الأخبار في مناقب إمام الأبرار لابن البطريق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تاريخ ابن معين برواية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وكذا برواية الدوري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كتب على باب الجنة</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الغارات لإبراهيم بن محمَّد الثقفي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مناقب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علل الدارقطني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1/730</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قراءة سورة التغابن</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مقدّمة ابن الصلاح في علوم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روينا عن أبي عصمة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نوح بن أبي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أين لك عن عكرمة عن ابن عباس في فضائل القرآن سورة سورة؟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رأيت الناس قد أعرضوا عن القرآن واشتغلوا بفقه أبي حنيفة ومغازي محمَّد بن إسحاق فوضعت هذه الأحاديث حسبة</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بالمعروف والنهي عن المنكر</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البرقي في رجاله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خواص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تميم بن حذيم الناجي، وقد شهد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الشيخ في رجاله في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فضائل الأشهر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وأوردها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الرباطي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رباط البجلي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يوثّق صريحاً</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بصائر الدرجات الكبرى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الأئمة أنّ عندهم أصول العلم ما ورثوه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يقولون برأيهم،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أعطى الأئمة من القدرة أن</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الأبواب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إيضاح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الملك ت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عبيد الله العرزمي ت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 عبد الرحمن، كما في 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ونقلها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الحبّ والبغض في الله، وعلل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والطريق إلى جابر غير معتبر بابن العرزمي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ليس له توثيق في 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ومضافاً إلى ذلك فإنّ هذا الإسناد فيه شائبة سقط وهو أنّ أحمد بن محمَّد البرقي لا يروي مباشرة عن محمَّد بن عبد الرحمن العرزمي، بل وردت نفس هذه الرواية في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أبيه، عن ابن العرزمي، عن أبيه، عن جابر الجعفي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وأيضاً وردت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خالد، عن أبيه، عمّن حدّثه، عن عبد الرحمن العرزمي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نقلاً عن تفسير ابن الماهيار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الأبواب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والطريق إلى جابر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محبوب، عن علي بن محمَّد بن يحيى الخزاز، عن الحسن بن علي بن فضال، عن أبي إسحاق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ثعلبة بن ميمون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غير معتبر لوجود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محمَّد بن يحيى الخزاز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لا يوجد له توثيق في 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يمكن توثيقه بناءً على كونه شيخ إجازة</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والراوي عنه في هذا المورد معاوية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عن أبي عبد</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اسْتَسْقَى مُوسَى لِقَوْمِهِ</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ذكره الصدوق في أماليه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وثواب الأعمال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ومعاني الأخبار</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يوم التروية سنة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 والتحصين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الفرش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الخضاب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لِمَ سمي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باب المؤمن وعلاماته وصفاته</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الأبواب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في فضائل العترة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أيوب البزاز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محمَّد بن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القاسم، عن أحمد بن محمَّد السياري، عن محمَّد بن خالد البرقي،عن أبي أسلم،عن أيوب البزّاز، عن جابر</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الأبواب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عدّه في أصحاب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ووصفه بالفارسي العجلي الحداد، و</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ووصفه بالعجلي الكوفي الحداد، و</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عدّه 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ووصفه بالعجلي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ولاية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،والمورد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وصية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لولده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ونقله أيضاً 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عيون صحاح الأخبار في مناقب إمام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الأبواب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العالم والمتعلم، ونقلها في ثواب الأعمال</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طالب العلم</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أربعة كتموا الشهادة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عن الأصبغ بن نباتة كما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غير ذلك من الموارد</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ورد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وأورده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من وصفه الله تعالى في كتابه بالعلم هم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أحاديث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الأذان 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وردت بقية</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الراوي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القهار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مشترك بين الحارثي والحضرمي وكلاهما ضعيف، غال، وأمّا الراوي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الغفار الجازي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جلّ الأسانيد وراوي كتابه فهو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النضر بن شعيب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والرجل مهمل</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فيمن يظهر الغشية عند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الموضع الأوَّل زيادة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ابن أبي الحارث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في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والموضع الثاني من الكافي لا توجد هذه الزيادة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الموجود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الله بن شكر الله الشريف الكاشاني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المولى حيدر علي بن محمَّد بن حسن الشيرواني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سبط العلّامة المجلسي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الحارث الهمداني</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فرق الشيعة للنوبختي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وتفصيل طبقات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التفسير المنسوب لعلي بن إبراهيم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قسيم الجنة والنار، وذكر نفس الحديث مرة أخرى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نقل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إخبارهم بموت هشام، وأيضاً ما ورد في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الجعفي، وقد ذكرناها في المقام الأوَّل في الجهة العشرين</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والطريق معتبر إلى عمرو بن ثابت،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في مدّة ملك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 الشريف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والطريق معتبر إلى عمرو</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وأورده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وأورد الأخير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وجميع الطرق في هذه الشواهد إلى عمرو بن أبي المقدام معتبرة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غير ذلك من الموارد</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السابع باب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الأبواب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في فضائل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اجعلني على خزائن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إلى غير ذلك من الموارد</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تسمّى الآن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عاصمة جورجيا</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الظبيان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دانشكاه مشهد</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 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تقليم الظفر</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تلقين الميّت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الهندباء</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خلق أبدان الأئمة وقلوبهم وأبدان الشيعة وقلوبهم</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كتاب المجروحين من المحدّثين والضعفاء المتروكين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قد روى عن الأصبغ بن نباتة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ورواها الشيخ في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سقط ابن أبي عمير من السند، وأيضاً روى في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الأصبغ بن نباتة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أتي عمر بخمسة نفر أخذوا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ولكن في السند سقط رجلان هما ابن أبي عمير ومحمَّد بن الوليد بقرينة إسناد الكافي والتهذيب في المورد المتقدّم آنفاً</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 ذلك ابن أبي حاتم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قد ورد أنّه رأى عباية بن ربعي يحدّث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قسيم النار، وكان غلاماً يلعب بالكرة مع الصبيان، كما في رجال الكشي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إبراهيم بن المهدي بن المنصور العباسي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 الرشيد وعمّ المأمون</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قد ورد بغداد وحدّث بها كما ذكر ذلك الخطيب البغدادي في تاريخه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إلى تنقيح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 لمختصر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وأوردها أيضاً في 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وثّقه ابن معين والبخاري والعجلي ومن جاء بعدهم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معين برواية الدوري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التاريخ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معرفة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والموجود في الأسانيد أنّ أبا غسان هو حميد بن مسعود كما في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وقوع التحريف في الكلّ وأبو غسان كنية لحميد ابن راشد</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معمر عن جابر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ولكن في المورد الآخر وهو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معمر عن أبيه عن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الصحيح</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 للحديث عدّة طرق في كتبنا، وبعضها 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ونفس الخطيب رواها بطريقين، وتضعيف الخطيب لأكثر رواته من جهة مضمون الحديث</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اليقين باختصاص مولانا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بإمرة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حيث نقلا نفس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اليقين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 بن سالم</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عن الحسين بن الحسن بن بندار القمي،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سعد بن عبد الله بن أبي خلف القمي،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الحسين بن أبي الخطاب والحسن بن موسى، عن صفوان بن يحيى، عن عبد الله بن مسكان،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حجر بن زائدة، وعامر بن جذاعة الأزدي على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جعلنا فداك، إنّ المفضّل بن عمر يقول إنّكم تقدرون أرزاق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ما يقدّر أرزاقنا إلّا الله، ولقد احتجت إلى طعام لعيالي فضاق صدري وأبلغت إلى الفكرة في ذلك حتّى أحرزت قوتهم فعندها طابت نفسي، لعنه الله وبرئ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لتلعنه وتتبرأ منه؟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فالعناه وابرءا منه، برئ الله ورسوله منه</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فضائل الأشهر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في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نضير بن زياد الضبي،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بالصاد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والعامّة منهم مَن ضبطه بالمهملة كالبخاري في التاريخ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ومنهم مَن قال بالمعجمة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الأكثر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المغني في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توضيح المشتبه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دار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أبي يعقوب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المطابق مع جميع المصادر الناقلة عن الكافي، وأكثر كتب الرجال</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والفهرست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أعدت النّظر فيه وكان الفراغ منه غرة شهر ذي الحجّة الحرام </w:t>
      </w:r>
      <w:r>
        <w:rPr>
          <w:rFonts w:eastAsia="IRNazanin" w:cs="IRNazanin"/>
          <w:b w:val="false"/>
          <w:bCs w:val="false"/>
          <w:i w:val="false"/>
          <w:iCs w:val="false"/>
          <w:color w:val="333333"/>
          <w:sz w:val="20"/>
          <w:szCs w:val="20"/>
        </w:rPr>
        <w:t>1438</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 في علماء جبل عامل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 في علماء جبل عامل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في أحوال العلماء والسادات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4/202</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الذريعة إلى تصانيف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طبقات أعلام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الضياء اللامع في القرن التاسع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طبقات أعلام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الداثر من القرن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 في علماء جبل عامل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رياض العلماء وحياض الفضلاء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3/447</w:t>
      </w:r>
      <w:r>
        <w:rPr>
          <w:rFonts w:ascii="IRNazanin" w:hAnsi="IRNazanin" w:eastAsia="IRNazanin"/>
          <w:b w:val="false"/>
          <w:b w:val="false"/>
          <w:bCs w:val="false"/>
          <w:i w:val="false"/>
          <w:i w:val="false"/>
          <w:iCs w:val="false"/>
          <w:color w:val="333333"/>
          <w:sz w:val="20"/>
          <w:sz w:val="20"/>
          <w:szCs w:val="20"/>
          <w:rtl w:val="true"/>
        </w:rPr>
        <w:t>، الأعلام للزركلي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وحياض الفضلاء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وحياض الفضلاء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5/178</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الداثر من القرن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أستاذ ولده</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وحياض الفضلاء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استناداً إلى إجازة الشيخ نعمة الله بن خاتون للسيد ابن شدقم المدني</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وحياض الفضلاء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في أحوال العلماء والسادات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تكملة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 في علماء جبل عامل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105/80</w:t>
      </w:r>
      <w:r>
        <w:rPr>
          <w:rFonts w:ascii="IRNazanin" w:hAnsi="IRNazanin" w:eastAsia="IRNazanin"/>
          <w:b w:val="false"/>
          <w:b w:val="false"/>
          <w:bCs w:val="false"/>
          <w:i w:val="false"/>
          <w:i w:val="false"/>
          <w:iCs w:val="false"/>
          <w:color w:val="333333"/>
          <w:sz w:val="20"/>
          <w:sz w:val="20"/>
          <w:szCs w:val="20"/>
          <w:rtl w:val="true"/>
        </w:rPr>
        <w:t>، رياض العلماء وحياض الفضلاء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3/449</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الداثر من القرن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وصفه المحقّق الكركيّ في إجازته للقاضي صفيّ الدين عيسى الواردة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وممّن قرأت عليه، وأخذت عنه، واتّصلت روايتي به، ولازمته دهراً طويلاً وأزمنةً كثيرةً، وهو أجلّ أشياخي، وأشهرهم، وهو شيخ الشيعة الإماميّة في زماننا غير منازع، شيخنا الشيخ الإمام السعيد، علّامة العلماء في المعقول والمنقول، المعمّر الأوحد الفاضل، ملحق الأحفاد بالأجداد،قدوة أهل العصر قاطبة، زين الملّة والحق والدين، أبو الحسن، عليّ بن هلال قدّس الله نفسه الزكيّة، وأفاض على مرقده المراحم الربّانيّة</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105/34</w:t>
      </w:r>
      <w:r>
        <w:rPr>
          <w:rFonts w:ascii="IRNazanin" w:hAnsi="IRNazanin" w:eastAsia="IRNazanin"/>
          <w:b w:val="false"/>
          <w:b w:val="false"/>
          <w:bCs w:val="false"/>
          <w:i w:val="false"/>
          <w:i w:val="false"/>
          <w:iCs w:val="false"/>
          <w:color w:val="333333"/>
          <w:sz w:val="20"/>
          <w:sz w:val="20"/>
          <w:szCs w:val="20"/>
          <w:rtl w:val="true"/>
        </w:rPr>
        <w:t>، وأمل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محمّد بن محمّد بن محمّد بن داود المؤذّن العاملي الجزّينيّ، كان عالماً فاضلاً جليلاً نبيلاً شاعراً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 الشيخ ضياء الدين علي ابن الشهيد محمّد بن مكّي العامليّ عن أبيه، وكان ابن عم الشهيد كما ذكره الشهيد الثاني في بعض إجازاته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ويظهر أخذ المحقّق الكركيّ عنه وعن الشيخ شمس الدين محمّد الصهيوني من إجازته للمولى حسين ابن شمس الدين محمّد الاسترآبادي الواردة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105/49</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محمّد بن أحمد الصهيونيّ العامليّ كان فاضلاً عالماً محقّقاً،</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وصفه حفيده الشيخ نعمة الله بن خاتون العامليّ في إجازته للمولى عبد الله التستري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الجدّ الأسعد الأكمل الأفضل المحقّق المدقّق شمس الدين محمّد بن خاتون روّض الله مرقده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ووصفه الشيخ أحمد بن نعمة الله بن خاتون في إجازته لنفس الشخص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الواردة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بأنَّه الإمام البحر القمقام علّامة أبناء عصره في البيان والمعاني، فهّامة رؤساء دهره في الألفاظ والمعاني، شمس الدين محمّد</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في أحوال العلماء والسادات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عند ترجمة الشيخ إبراهيم بن الحسن الورّاق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الذى تنتهي إليه سلسلة جلّة من أصحابنا الأجلّاء،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الشيخ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رأيت صورة إجازته له في شهر رمضان المبارك من شهور تسع وتسعمائة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يروى عن الشيخ الجليل المفضال الشيخ نور الدين عليّ بن هلال الجزائريّ مولداً والعراقيّ أصلاً ومحتداً صاحب كتاب الدّر الفريد في التوحيد عن شيخه عزّ الدين الحسن بن يوسف المعروف بابن العشرة عن شيخهما جميعاً أبي العبّاس أحمد بن فهد الحليّ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ذكر هذه الإجازة في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معلّقاً عليها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والشيخ إبراهيم الدرّاق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عن أجلّ مشايخ المحقّق الكركيّ وهو الشيخ عليّ بن هلال الجزائريّ فالمحقّق الكركيّ يروي عن عليّ بن هلال بلا واسطة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يروي بهذه الإجازة عن الشيخ إبراهيم الدرّاق عنه</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التحقيق في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الشّيخ محمّد ابن المؤذن عن الشّيخ أحمد ابن الحاج علي في إجازة ابن المؤذن للشّيخ علي بن عبد العالي الميسيّ الواردة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105/37</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إجازة المحقّق الكركيّ للقاضي صفيّ الدين عيسى</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وحياض الفضلاء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خاتمة مستدرك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8/209</w:t>
      </w:r>
      <w:r>
        <w:rPr>
          <w:rFonts w:ascii="IRNazanin" w:hAnsi="IRNazanin" w:eastAsia="IRNazanin"/>
          <w:b w:val="false"/>
          <w:b w:val="false"/>
          <w:bCs w:val="false"/>
          <w:i w:val="false"/>
          <w:i w:val="false"/>
          <w:iCs w:val="false"/>
          <w:color w:val="333333"/>
          <w:sz w:val="20"/>
          <w:sz w:val="20"/>
          <w:szCs w:val="20"/>
          <w:rtl w:val="true"/>
        </w:rPr>
        <w:t>، الموسوعة الحرة ويكيبيديا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الشاه إسماعيل الصفوي</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المحقّق الكركيّ وآثاره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عالم آراى صفوي</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الهجرة العامليّة إلى إيران في العصر الصفوي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11/192</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ماضي النجف وحاضرها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المآثر والآثار، وتاريخ عالم آراى</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 في نفس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ماضي النجف وحاضرها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رياض العلماء وحياض الفضلاء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الشاه طهماسب الأوّل ابن الشاه إسماعيل المذكور أوقف أيضاً أراض ذات أسماء خاصة على المحققّ الكركيّ وعلى أولاده من بعده في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قاطعة اللجاج في حِلّ الخراج المطبوعة في ضمن رسائل المحقق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في القرن الرابع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13/176</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المحقّق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في 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وقد أشار إلى وجود نسختين للكتاب</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 في علماء جبل عامل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الداثر من القرن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الذريعة إلى تصانيف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16/295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وحياض الفضلاء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الداثر من القرن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الذريعة إلى تصانيف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الداثر من القرن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105/58</w:t>
      </w:r>
      <w:r>
        <w:rPr>
          <w:rFonts w:ascii="IRNazanin" w:hAnsi="IRNazanin" w:eastAsia="IRNazanin"/>
          <w:b w:val="false"/>
          <w:b w:val="false"/>
          <w:bCs w:val="false"/>
          <w:i w:val="false"/>
          <w:i w:val="false"/>
          <w:iCs w:val="false"/>
          <w:color w:val="333333"/>
          <w:sz w:val="20"/>
          <w:sz w:val="20"/>
          <w:szCs w:val="20"/>
          <w:rtl w:val="true"/>
        </w:rPr>
        <w:t>، الذريعة إلى تصانيف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105/60</w:t>
      </w:r>
      <w:r>
        <w:rPr>
          <w:rFonts w:ascii="IRNazanin" w:hAnsi="IRNazanin" w:eastAsia="IRNazanin"/>
          <w:b w:val="false"/>
          <w:b w:val="false"/>
          <w:bCs w:val="false"/>
          <w:i w:val="false"/>
          <w:i w:val="false"/>
          <w:iCs w:val="false"/>
          <w:color w:val="333333"/>
          <w:sz w:val="20"/>
          <w:sz w:val="20"/>
          <w:szCs w:val="20"/>
          <w:rtl w:val="true"/>
        </w:rPr>
        <w:t>، الذريعة إلى تصانيف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الداثر من القرن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الداثر من القرن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105/64</w:t>
      </w:r>
      <w:r>
        <w:rPr>
          <w:rFonts w:ascii="IRNazanin" w:hAnsi="IRNazanin" w:eastAsia="IRNazanin"/>
          <w:b w:val="false"/>
          <w:b w:val="false"/>
          <w:bCs w:val="false"/>
          <w:i w:val="false"/>
          <w:i w:val="false"/>
          <w:iCs w:val="false"/>
          <w:color w:val="333333"/>
          <w:sz w:val="20"/>
          <w:sz w:val="20"/>
          <w:szCs w:val="20"/>
          <w:rtl w:val="true"/>
        </w:rPr>
        <w:t>، الذريعة إلى تصانيف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الداثر من القرن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7/124</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الإجازة موجودة بخط المحقّق الكركيّ في نسخة من الجزء الأول لكتاب شرائع الإسلام في مسائل الحلال والحرام للمحقّق الحلّيّ في مكتبة الإمام الحكيم العامة، الرقم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رأيت هذه الإجازة بتاريخ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سنة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w:t>
      </w:r>
      <w:r>
        <w:rPr>
          <w:rFonts w:ascii="IRNazanin" w:hAnsi="IRNazanin" w:eastAsia="IRNazanin"/>
          <w:b w:val="false"/>
          <w:b w:val="false"/>
          <w:bCs w:val="false"/>
          <w:i w:val="false"/>
          <w:i w:val="false"/>
          <w:iCs w:val="false"/>
          <w:color w:val="333333"/>
          <w:sz w:val="20"/>
          <w:sz w:val="20"/>
          <w:szCs w:val="20"/>
          <w:rtl w:val="true"/>
        </w:rPr>
        <w:t>، الذريعة إلى تصانيف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الداثر من القرن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10/289</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105/40</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106/80</w:t>
      </w:r>
      <w:r>
        <w:rPr>
          <w:rFonts w:ascii="IRNazanin" w:hAnsi="IRNazanin" w:eastAsia="IRNazanin"/>
          <w:b w:val="false"/>
          <w:b w:val="false"/>
          <w:bCs w:val="false"/>
          <w:i w:val="false"/>
          <w:i w:val="false"/>
          <w:iCs w:val="false"/>
          <w:color w:val="333333"/>
          <w:sz w:val="20"/>
          <w:sz w:val="20"/>
          <w:szCs w:val="20"/>
          <w:rtl w:val="true"/>
        </w:rPr>
        <w:t>، الذريعة إلى تصانيف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وحياض الفضلاء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4/115</w:t>
      </w:r>
      <w:r>
        <w:rPr>
          <w:rFonts w:ascii="IRNazanin" w:hAnsi="IRNazanin" w:eastAsia="IRNazanin"/>
          <w:b w:val="false"/>
          <w:b w:val="false"/>
          <w:bCs w:val="false"/>
          <w:i w:val="false"/>
          <w:i w:val="false"/>
          <w:iCs w:val="false"/>
          <w:color w:val="333333"/>
          <w:sz w:val="20"/>
          <w:sz w:val="20"/>
          <w:szCs w:val="20"/>
          <w:rtl w:val="true"/>
        </w:rPr>
        <w:t>، الذريعة إلى تصانيف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الداثر في القرن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7/160</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تحقيق لمديريّة الوقف الشيعي في النجف الأشرف قسم البحوث والدراسات حول مرقد السيّد الداماد سبط المحقّق الكركيّ المكتوب بتاريخ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w:t>
      </w:r>
      <w:r>
        <w:rPr>
          <w:rFonts w:eastAsia="IRNazanin" w:cs="IRNazanin"/>
          <w:b w:val="false"/>
          <w:bCs w:val="false"/>
          <w:i w:val="false"/>
          <w:iCs w:val="false"/>
          <w:color w:val="333333"/>
          <w:sz w:val="20"/>
          <w:szCs w:val="20"/>
        </w:rPr>
        <w:t>1438</w:t>
      </w:r>
      <w:r>
        <w:rPr>
          <w:rFonts w:ascii="IRNazanin" w:hAnsi="IRNazanin" w:eastAsia="IRNazanin"/>
          <w:b w:val="false"/>
          <w:b w:val="false"/>
          <w:bCs w:val="false"/>
          <w:i w:val="false"/>
          <w:i w:val="false"/>
          <w:iCs w:val="false"/>
          <w:color w:val="333333"/>
          <w:sz w:val="20"/>
          <w:sz w:val="20"/>
          <w:szCs w:val="20"/>
          <w:rtl w:val="true"/>
        </w:rPr>
        <w:t xml:space="preserve">ﻫالمصادف </w:t>
      </w:r>
      <w:r>
        <w:rPr>
          <w:rFonts w:eastAsia="IRNazanin" w:cs="IRNazanin"/>
          <w:b w:val="false"/>
          <w:bCs w:val="false"/>
          <w:i w:val="false"/>
          <w:iCs w:val="false"/>
          <w:color w:val="333333"/>
          <w:sz w:val="20"/>
          <w:szCs w:val="20"/>
        </w:rPr>
        <w:t>8/8/2017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السيّد الداماد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دفن في سرداب قبر جده لأمه المحقّق الكركيّ، وقبر المحقّق الكركيّ هو المزار المعروف اليوم بمزار بنات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استئناساً بمجموعة من الشواهد</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 في علماء جبل عامل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رياض العلماء وحياض الفضلاء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5/206</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105/173</w:t>
      </w:r>
      <w:r>
        <w:rPr>
          <w:rFonts w:ascii="IRNazanin" w:hAnsi="IRNazanin" w:eastAsia="IRNazanin"/>
          <w:b w:val="false"/>
          <w:b w:val="false"/>
          <w:bCs w:val="false"/>
          <w:i w:val="false"/>
          <w:i w:val="false"/>
          <w:iCs w:val="false"/>
          <w:color w:val="333333"/>
          <w:sz w:val="20"/>
          <w:sz w:val="20"/>
          <w:szCs w:val="20"/>
          <w:rtl w:val="true"/>
        </w:rPr>
        <w:t>، الذريعة إلى تصانيف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وقد ذكر فيها أنَّ المجيز هو جدّ الشيخ نجيب الدين عليّ بن محمّد بن مكيّ لأمه</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105/175</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105/182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106/164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 في علماء جبل عامل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وحياض الفضلاء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5/206</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 في علماء جبل عامل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محيي الدين أحمد بن تاج الدين، الميسي العاملي كان من أجلّة علماء عصره، ومشايخ الإجازة في وقته، من تلامذة الشهيد الثاني، وقد كتب له إجازة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يروي عنه، وعن الشيخ الجليل الشيخ زين الدين الفقعاني، وعن الشيخ الفاضل شهاب الدين أحمد بن خاتون العاملي العيناثي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ويروي عنه غير واحد من العلماء،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المولى محمود بن محمد ابن علي اللاهجاني، تلميذ الشهيد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صاحب الترجمة للشيخ محمود المذكور إجازة، أخرجها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كتاب الإجازات من البحار، تاريخها أواخر ربيع الثاني من سنة أربع و خمسين وتسعمائة، بالحائر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مرّ عليك ما نقلناه عن البحار من إجازة محي الدين بن أحمد بن تاج الدين للمولى محمود بن محمد اللاهجاني</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105/173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وحياض الفضلاء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الشيخ محيي الدين أحمد بن تاج الدين العاملي الميسي كان عالماً فاضلاً زاهداً عابداً استجاز منه فضلاء عصره ومنهم مولانا محمود بن محمد الكيلاني فأجازه سنة </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الداثر من القرن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الذريعة إلى تصانيف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 إجازة الشهيد الثاني للشيخ محيي الدين بن أحمد بن تاج الدين</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وحياض الفضلاء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الشيخ زين الدين الفقعاني العاملي</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وحياض الفضلاء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4/117</w:t>
      </w:r>
      <w:r>
        <w:rPr>
          <w:rFonts w:ascii="IRNazanin" w:hAnsi="IRNazanin" w:eastAsia="IRNazanin"/>
          <w:b w:val="false"/>
          <w:b w:val="false"/>
          <w:bCs w:val="false"/>
          <w:i w:val="false"/>
          <w:i w:val="false"/>
          <w:iCs w:val="false"/>
          <w:color w:val="333333"/>
          <w:sz w:val="20"/>
          <w:sz w:val="20"/>
          <w:szCs w:val="20"/>
          <w:rtl w:val="true"/>
        </w:rPr>
        <w:t xml:space="preserve">، وكذا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الداثر من القرن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7/245</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105/176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105/181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 الشرعيّة على مذهب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لم يذكر المؤلّف عبارة التحرير كاملة، ووضعنا تتميمها بين معقوفين للفائدة، فلاحظ</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رواية بريد العجلي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رجل استودعني مالاً فهلك وليس لولده شيء ولم يحجّ حجّة الإسلام،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عنه وما فضل فأعطهم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الواردة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2930</w:t>
      </w:r>
      <w:r>
        <w:rPr>
          <w:rFonts w:ascii="IRNazanin" w:hAnsi="IRNazanin" w:eastAsia="IRNazanin"/>
          <w:b w:val="false"/>
          <w:b w:val="false"/>
          <w:bCs w:val="false"/>
          <w:i w:val="false"/>
          <w:i w:val="false"/>
          <w:iCs w:val="false"/>
          <w:color w:val="333333"/>
          <w:sz w:val="20"/>
          <w:sz w:val="20"/>
          <w:szCs w:val="20"/>
          <w:rtl w:val="true"/>
        </w:rPr>
        <w:t>، تهذيب الأحكام في شرح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حصل بيد إنسان مال لميّت وعليه حجّةٌ مستقرّةٌ وعلم أنَّ الورثة لا يؤدّون جاز أن يقتطع قدر أجرة الحجّ</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المختصر النافع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الواردة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كشف الرموز في شرح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7/105</w:t>
      </w:r>
      <w:r>
        <w:rPr>
          <w:rFonts w:ascii="IRNazanin" w:hAnsi="IRNazanin" w:eastAsia="IRNazanin"/>
          <w:b w:val="false"/>
          <w:b w:val="false"/>
          <w:bCs w:val="false"/>
          <w:i w:val="false"/>
          <w:i w:val="false"/>
          <w:iCs w:val="false"/>
          <w:color w:val="333333"/>
          <w:sz w:val="20"/>
          <w:sz w:val="20"/>
          <w:szCs w:val="20"/>
          <w:rtl w:val="true"/>
        </w:rPr>
        <w:t>، الدروس الشرعيّة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النهاية في مجرد الفقه والفتاوى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السرائر الحاوي لتحرير الفتاوي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1/630</w:t>
      </w:r>
      <w:r>
        <w:rPr>
          <w:rFonts w:ascii="IRNazanin" w:hAnsi="IRNazanin" w:eastAsia="IRNazanin"/>
          <w:b w:val="false"/>
          <w:b w:val="false"/>
          <w:bCs w:val="false"/>
          <w:i w:val="false"/>
          <w:i w:val="false"/>
          <w:iCs w:val="false"/>
          <w:color w:val="333333"/>
          <w:sz w:val="20"/>
          <w:sz w:val="20"/>
          <w:szCs w:val="20"/>
          <w:rtl w:val="true"/>
        </w:rPr>
        <w:t>، إصباح الشيعة بمصباح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والمفروض أن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7/106</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بريد العجلي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نقلناها في الهامش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السابقة</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إشارة إلى كلمة في الهامش الأيمن من الأصل يرجح قراءتها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بغيره</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إلّا أنَّ رسم الخط يقرّب قرأتها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احتمال بعيد بحسب السياق</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يكون السبق لا بنيّة الإحرام، بل بعقد الإجارة</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في مسائل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7/106</w:t>
      </w:r>
      <w:r>
        <w:rPr>
          <w:rFonts w:ascii="IRNazanin" w:hAnsi="IRNazanin" w:eastAsia="IRNazanin"/>
          <w:b w:val="false"/>
          <w:b w:val="false"/>
          <w:bCs w:val="false"/>
          <w:i w:val="false"/>
          <w:i w:val="false"/>
          <w:iCs w:val="false"/>
          <w:color w:val="333333"/>
          <w:sz w:val="20"/>
          <w:sz w:val="20"/>
          <w:szCs w:val="20"/>
          <w:rtl w:val="true"/>
        </w:rPr>
        <w:t>، الدروس الشرعيّة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بفتح الألف أو بكسرها من بعدها سين ساكنة بعدها تاء مفتوحة بناءً على فتح الألف ومكسورة بناءً على كسر الألف، بعدها راء وألف وباء وذال معجمة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يلاحظ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واللباب في تهذيب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وهناك مَن يجعل بدل الذال دال كما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بلدة كبيرة ومشهورة من أعمال طبرستان تقع بين سارية وجرجان</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تتميّز بلدان إقليم طبرستان بطبيعتها الجغرافيّة الوعرة نتيجة لكثرة الجبال والأودية التي يغطّي سطحها الشجر الكثيف، وقد جعلتها هذه الطبيعة في حصن منيع من وصول الجيوش الغازية إليها، ولذا كان ملكها يصالح المسلمين على قليل من المال بعد فتح المسلمون الأراضي القريبة منه</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الشارحتين جاء في الحاشية اليمنى من الأصل وكتب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خطه مدّ ظلُّه</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جامع المقاصد في 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3/403</w:t>
      </w:r>
      <w:r>
        <w:rPr>
          <w:rFonts w:ascii="IRNazanin" w:hAnsi="IRNazanin" w:eastAsia="IRNazanin"/>
          <w:b w:val="false"/>
          <w:b w:val="false"/>
          <w:bCs w:val="false"/>
          <w:i w:val="false"/>
          <w:i w:val="false"/>
          <w:iCs w:val="false"/>
          <w:color w:val="333333"/>
          <w:sz w:val="20"/>
          <w:sz w:val="20"/>
          <w:szCs w:val="20"/>
          <w:rtl w:val="true"/>
        </w:rPr>
        <w:t>، رسالة قاطعة اللجاج في حلّ الخراج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التي ذكرها فيما سبق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بحصةٍ من حاصلها الربع أو الثلث أو</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قاطعة اللجاج في حلّ الخراج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الحاوي لتحرير الفتاوي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9/187</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زرع فيها أحد أو بنى أو غرس صحّ له بيع ما له فيه من الآثار وحقّ الاختصاصّ بالتصرّف، لا بيع الرقبة، لأنَّها ملك المسلمين قاطبة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وقريب منه ما في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ورسالة قاطعة اللجاج في حلّ الخراج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الأزهري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الجريب من الأرض مقدار معلوم الذراع والمساحة، وهو عشرة أقفزة كل قفيز منها عشرة أعشراء فالعشر جزء من مائة جزء من الجريب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الجريب من الأرض ستون ذراعاً في ستين، والذراع بسبع قبضات، والقبضة بأربع أصابع، وعشر هذا الجريب يسمى قفيزاً وعشر هذا القفيز يسمى عشيراً</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الشارحتين جاء في الهامش الأيمن من الأصل وكتب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مُدّ ظلُّه من 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الشرط محذوف لوضوحه؛ إذ قد أشير إليه سابقاً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خالف في شيء من ذلك فسد العقد، ووجب أُجرة المثل</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وحياض الفضلاء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فندرسك وهي قصبة ناحية من أعمال استرآباد وبينهما اثنا عشر فرسخاً</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إجازة المحقّق الكركيّ لابن أبي جامع في سنة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الهجرة العامليّة إلى إيران في العصر الصفوي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المرسوم الثاني</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وحياض الفضلاء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3/455</w:t>
      </w:r>
      <w:r>
        <w:rPr>
          <w:rFonts w:ascii="IRNazanin" w:hAnsi="IRNazanin" w:eastAsia="IRNazanin"/>
          <w:b w:val="false"/>
          <w:b w:val="false"/>
          <w:bCs w:val="false"/>
          <w:i w:val="false"/>
          <w:i w:val="false"/>
          <w:iCs w:val="false"/>
          <w:color w:val="333333"/>
          <w:sz w:val="20"/>
          <w:sz w:val="20"/>
          <w:szCs w:val="20"/>
          <w:rtl w:val="true"/>
        </w:rPr>
        <w:t>، الهجرة العاملية إلى إيران في العصر الصفوي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المرسوم الأول نقلاً عن 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بحسب المصادر المتاحة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والمظنون كونه تاج الدين حسن وكيل السلطنة بمازندران، الذي ألّف له الشيخ عزّ الدين الآمليّ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شريك الدرس مع المحقّق الكركيّ عند الشيخ عليّ ابن هلال الجزائريّ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الحسنيّة كما في رياض العلماء وحياض الفضلاء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w:t>
      </w:r>
      <w:r>
        <w:rPr>
          <w:rFonts w:ascii="IRNazanin" w:hAnsi="IRNazanin" w:eastAsia="IRNazanin"/>
          <w:b w:val="false"/>
          <w:b w:val="false"/>
          <w:bCs w:val="false"/>
          <w:i w:val="false"/>
          <w:i w:val="false"/>
          <w:iCs w:val="false"/>
          <w:color w:val="333333"/>
          <w:sz w:val="20"/>
          <w:sz w:val="20"/>
          <w:szCs w:val="20"/>
          <w:rtl w:val="true"/>
        </w:rPr>
        <w:t>، والذريعة إلى تصانيف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وطبقات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الداثر في القرن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يرجِّح هذا الاحتمال هو دعاء الكاتب له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زال تاجاً للدولة والدُّنيا والدِّين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يوحي بأنَّه من رجالات الدولة، بل يناسب تلقّبه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الدين</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بن عبد الرحيم بن داود بن محمّد الاستراباديّ المجاز من المحقّق الكركيّ بالإجازة</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الصلاح في اختصار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أعوام</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في شرح تجريد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المبسوط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غنية النزوع إلى علمي الأصول والفروع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السرائر الحاوي لتحرير الفتاوي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المعتبر في الشرح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المقصود به هو المحقّق نصير الدين الطوسيّ،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والإيمان التصديق بالقلب واللسان ولا يكفي الأوّل؛ لقوله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وَجَحَدُوا بِهَا وَاسْتَيْقَنَتْهَا أَنفُسُهُمْ ظُلْمًا وَعُلُوًّا ونحوه، ولا الثاني؛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الْأَعْرَابُ آمَنَّا قُل لَّمْ تُؤْمِنُوا وَلَٰكِن قُولُوا أَسْلَمْنَا وَلَمَّا يَدْخُلِ الْإِيمَانُ فِي قُلُوبِكُمْ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في شرح تجريد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نجم الدين جعفر بن الحسن بن يحيى بن الحسن بن سعيد الهُذَلي، المحقّق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ويكنّى بأبي القاسم</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نجيب الدين أبو زكريا يحيى بن أحمد بن يحيى بن الحسن بن سعيد الهُذَلي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الشهير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ابن سعيد منسوباً إلى جدّه الأعلى</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سديد الدين أبو المظفر يوسف بن عليّ بن المطهّر الأسديّ الحلَّيّ،والد العلّامة الحلّيّ</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جمال الدين الحسن بن يوسف بن عليّ بن المطهّر الحلّيّ، العلّامة الحلّيّ</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وجوابها ذكرها أحمد عليّ الحلّيّ في تعليقة له على ما ذكره الشيخ آغا بزرك الطهرانيّ عند ذكره هذه المسألة في الذريعة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بحسب ما أفادنا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 ما ذكر</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أجوبة المسائل المهنّائيّة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يقول سيّدنا في من يعتقد التوحيد والعدل والنبوة والإمامة اعتقاداً جازماً لا يرجع عنه، ولكنه لا يقدر على إقامة الدليل على ذلك ولا يعرف الدليل أيّ شيء هو؟ مع كونه قادراً على النظر، هل يكون مؤمناً بهذا الاعتقاد ومثاباً عليه وعلى أعماله أم لا؟ وما قولكم في من لا يقدر على النظر ولا على البحث كالنساء وأكثر العوام وهو يعتقد ما يجب اعتقاده فاعل ما يجب فعله وذلك على جهة التقليد، فهل يكون مؤمناً مثاباً معذوراً بخلاف الأول، أم كلّ واحد منهما لا يصحّ تقليده في هذا الباب؟ أوضح لنا ذلك فإنَّ هذا أمر يحتاج كلّ الناس إليه</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عوالي اللئالي العزيزية في الأحاديث الدينية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 الجميع</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الإجماع على ذلك في المهذب البارع في شرح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مسالك الأفهام إلى تنقيح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8/194</w:t>
      </w:r>
      <w:r>
        <w:rPr>
          <w:rFonts w:ascii="IRNazanin" w:hAnsi="IRNazanin" w:eastAsia="IRNazanin"/>
          <w:b w:val="false"/>
          <w:b w:val="false"/>
          <w:bCs w:val="false"/>
          <w:i w:val="false"/>
          <w:i w:val="false"/>
          <w:iCs w:val="false"/>
          <w:color w:val="333333"/>
          <w:sz w:val="20"/>
          <w:sz w:val="20"/>
          <w:szCs w:val="20"/>
          <w:rtl w:val="true"/>
        </w:rPr>
        <w:t>، الروضة البهيّة في شرح 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 في أحكام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7/156</w:t>
      </w:r>
      <w:r>
        <w:rPr>
          <w:rFonts w:ascii="IRNazanin" w:hAnsi="IRNazanin" w:eastAsia="IRNazanin"/>
          <w:b w:val="false"/>
          <w:b w:val="false"/>
          <w:bCs w:val="false"/>
          <w:i w:val="false"/>
          <w:i w:val="false"/>
          <w:iCs w:val="false"/>
          <w:color w:val="333333"/>
          <w:sz w:val="20"/>
          <w:sz w:val="20"/>
          <w:szCs w:val="20"/>
          <w:rtl w:val="true"/>
        </w:rPr>
        <w:t>، المبسوط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 في شرح نكت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المسألة تنكشف بمقدّمات سبع</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4/393</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 لأبي الصلاح الحلبي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الحاوي لتحرير الفتاوي لابن إدريس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في مسائل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2/269</w:t>
      </w:r>
      <w:r>
        <w:rPr>
          <w:rFonts w:ascii="IRNazanin" w:hAnsi="IRNazanin" w:eastAsia="IRNazanin"/>
          <w:b w:val="false"/>
          <w:b w:val="false"/>
          <w:bCs w:val="false"/>
          <w:i w:val="false"/>
          <w:i w:val="false"/>
          <w:iCs w:val="false"/>
          <w:color w:val="333333"/>
          <w:sz w:val="20"/>
          <w:sz w:val="20"/>
          <w:szCs w:val="20"/>
          <w:rtl w:val="true"/>
        </w:rPr>
        <w:t>، المختصر النافع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مجرد الفقه والفتاوى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w:t>
      </w:r>
      <w:r>
        <w:rPr>
          <w:rFonts w:ascii="IRNazanin" w:hAnsi="IRNazanin" w:eastAsia="IRNazanin"/>
          <w:b w:val="false"/>
          <w:b w:val="false"/>
          <w:bCs w:val="false"/>
          <w:i w:val="false"/>
          <w:i w:val="false"/>
          <w:iCs w:val="false"/>
          <w:color w:val="333333"/>
          <w:sz w:val="20"/>
          <w:sz w:val="20"/>
          <w:szCs w:val="20"/>
          <w:rtl w:val="true"/>
        </w:rPr>
        <w:t>، جواهر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وأحكام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والصحيح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والسادسة؛ لأنَّ التعليل المذكور للمنع ذكره الشهيد كتعليل لاحتمال أن يكون في مقابلة باقي الوطآت مهر في عقد النكاح الدائم في المقدمة السادسة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الخامسة</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بين الهلالين هو نفس عبارة الشهيد الأوَّل في غاية المراد في شرح نكت الإرشاد كما تقدّم نقلها في هامش</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إلى نيل الفضيلة، للفقيه عماد الدين أبو جعفر محمد بن عليّ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بابن حمزة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ق</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الحلّيّ في شرائع الإسلام في مسائل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الحلّيّ في تحرير الأحكام الشرعيّة على مذهب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3/556</w:t>
      </w:r>
      <w:r>
        <w:rPr>
          <w:rFonts w:ascii="IRNazanin" w:hAnsi="IRNazanin" w:eastAsia="IRNazanin"/>
          <w:b w:val="false"/>
          <w:b w:val="false"/>
          <w:bCs w:val="false"/>
          <w:i w:val="false"/>
          <w:i w:val="false"/>
          <w:iCs w:val="false"/>
          <w:color w:val="333333"/>
          <w:sz w:val="20"/>
          <w:sz w:val="20"/>
          <w:szCs w:val="20"/>
          <w:rtl w:val="true"/>
        </w:rPr>
        <w:t>، قواعد الأحكام في معرفة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مختلف الشيعة في أحكام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 في شرح نكت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تصحيح أو تعليقة في الهامش الأيسر من النسخة ذهبت إمّا لعدم تصويرها بشكل كامل أو حين تصحيفها</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مجرد الفقه والفتاوى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w:t>
      </w:r>
      <w:r>
        <w:rPr>
          <w:rFonts w:ascii="IRNazanin" w:hAnsi="IRNazanin" w:eastAsia="IRNazanin"/>
          <w:b w:val="false"/>
          <w:b w:val="false"/>
          <w:bCs w:val="false"/>
          <w:i w:val="false"/>
          <w:i w:val="false"/>
          <w:iCs w:val="false"/>
          <w:color w:val="333333"/>
          <w:sz w:val="20"/>
          <w:sz w:val="20"/>
          <w:szCs w:val="20"/>
          <w:rtl w:val="true"/>
        </w:rPr>
        <w:t>، جواهر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الشهيد الثاني في مسالك الأفهام إلى تنقيح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الأكثرين على عدم التفرقة بين الموسر والمعسر، وهو الذي تقتضيه القاعدة؛ لأنَّ عجز أحد المتعاوضين لا يسقط حقّ الآخر ممّا يثبت له</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الحاوي لتحرير الفتاوي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هذا الموضع من غاية المراد في شرح نكت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إثم عليها على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إثم على الأول</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غاية المراد في شرح نكت الإرشاد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يأثم</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 في شرح نكت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5/292</w:t>
      </w:r>
      <w:r>
        <w:rPr>
          <w:rFonts w:ascii="IRNazanin" w:hAnsi="IRNazanin" w:eastAsia="IRNazanin"/>
          <w:b w:val="false"/>
          <w:b w:val="false"/>
          <w:bCs w:val="false"/>
          <w:i w:val="false"/>
          <w:i w:val="false"/>
          <w:iCs w:val="false"/>
          <w:color w:val="333333"/>
          <w:sz w:val="20"/>
          <w:sz w:val="20"/>
          <w:szCs w:val="20"/>
          <w:rtl w:val="true"/>
        </w:rPr>
        <w:t>، باب الضرار،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وأحكام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علّله الشيخ في المبسوط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لأنَّها رضيت بتأجيل المهر،فقد دخلت على الرضا بتسليم نفسها قبل قبضه، كما قلنا في البيع، إذا كان بثمن آجل فعلى البائع تسليم السلعة؛ لأنَّه على هذا دخل</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مختار الشيخ في المبسوط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 في معرفة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تصحيح أو تعليقة في الهامش الأيمن من النسخة ذهبت إمّا لعدم التصوير الكامل للصفحة أو حين تصحيفها</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التفويض الشرعي فأنْ ينكح المرأة</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 في معرفة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أحكام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المبسوط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غُنية النزوع إلى علميّ الأصول والفروع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السرائر الحاوي لتحرير الفتاوي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2/519</w:t>
      </w:r>
      <w:r>
        <w:rPr>
          <w:rFonts w:ascii="IRNazanin" w:hAnsi="IRNazanin" w:eastAsia="IRNazanin"/>
          <w:b w:val="false"/>
          <w:b w:val="false"/>
          <w:bCs w:val="false"/>
          <w:i w:val="false"/>
          <w:i w:val="false"/>
          <w:iCs w:val="false"/>
          <w:color w:val="333333"/>
          <w:sz w:val="20"/>
          <w:sz w:val="20"/>
          <w:szCs w:val="20"/>
          <w:rtl w:val="true"/>
        </w:rPr>
        <w:t>، شرائع الإسلام في مسائل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2/547</w:t>
      </w:r>
      <w:r>
        <w:rPr>
          <w:rFonts w:ascii="IRNazanin" w:hAnsi="IRNazanin" w:eastAsia="IRNazanin"/>
          <w:b w:val="false"/>
          <w:b w:val="false"/>
          <w:bCs w:val="false"/>
          <w:i w:val="false"/>
          <w:i w:val="false"/>
          <w:iCs w:val="false"/>
          <w:color w:val="333333"/>
          <w:sz w:val="20"/>
          <w:sz w:val="20"/>
          <w:szCs w:val="20"/>
          <w:rtl w:val="true"/>
        </w:rPr>
        <w:t>، تحرير الأحكام الشرعية على مذهب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3/556</w:t>
      </w:r>
      <w:r>
        <w:rPr>
          <w:rFonts w:ascii="IRNazanin" w:hAnsi="IRNazanin" w:eastAsia="IRNazanin"/>
          <w:b w:val="false"/>
          <w:b w:val="false"/>
          <w:bCs w:val="false"/>
          <w:i w:val="false"/>
          <w:i w:val="false"/>
          <w:iCs w:val="false"/>
          <w:color w:val="333333"/>
          <w:sz w:val="20"/>
          <w:sz w:val="20"/>
          <w:szCs w:val="20"/>
          <w:rtl w:val="true"/>
        </w:rPr>
        <w:t>، قواعد الأحكام في معرفة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مختلف الشيعة في أحكام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7/156</w:t>
      </w:r>
      <w:r>
        <w:rPr>
          <w:rFonts w:ascii="IRNazanin" w:hAnsi="IRNazanin" w:eastAsia="IRNazanin"/>
          <w:b w:val="false"/>
          <w:b w:val="false"/>
          <w:bCs w:val="false"/>
          <w:i w:val="false"/>
          <w:i w:val="false"/>
          <w:iCs w:val="false"/>
          <w:color w:val="333333"/>
          <w:sz w:val="20"/>
          <w:sz w:val="20"/>
          <w:szCs w:val="20"/>
          <w:rtl w:val="true"/>
        </w:rPr>
        <w:t>وما بعدها، إيضاح الفوائد في شرح إشكالات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3/197</w:t>
      </w:r>
      <w:r>
        <w:rPr>
          <w:rFonts w:ascii="IRNazanin" w:hAnsi="IRNazanin" w:eastAsia="IRNazanin"/>
          <w:b w:val="false"/>
          <w:b w:val="false"/>
          <w:bCs w:val="false"/>
          <w:i w:val="false"/>
          <w:i w:val="false"/>
          <w:iCs w:val="false"/>
          <w:color w:val="333333"/>
          <w:sz w:val="20"/>
          <w:sz w:val="20"/>
          <w:szCs w:val="20"/>
          <w:rtl w:val="true"/>
        </w:rPr>
        <w:t>، 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التنقيح الرائع لمختصر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3/249</w:t>
      </w:r>
      <w:r>
        <w:rPr>
          <w:rFonts w:ascii="IRNazanin" w:hAnsi="IRNazanin" w:eastAsia="IRNazanin"/>
          <w:b w:val="false"/>
          <w:b w:val="false"/>
          <w:bCs w:val="false"/>
          <w:i w:val="false"/>
          <w:i w:val="false"/>
          <w:iCs w:val="false"/>
          <w:color w:val="333333"/>
          <w:sz w:val="20"/>
          <w:sz w:val="20"/>
          <w:szCs w:val="20"/>
          <w:rtl w:val="true"/>
        </w:rPr>
        <w:t>، جامع المقاصد في 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13/353</w:t>
      </w:r>
      <w:r>
        <w:rPr>
          <w:rFonts w:ascii="IRNazanin" w:hAnsi="IRNazanin" w:eastAsia="IRNazanin"/>
          <w:b w:val="false"/>
          <w:b w:val="false"/>
          <w:bCs w:val="false"/>
          <w:i w:val="false"/>
          <w:i w:val="false"/>
          <w:iCs w:val="false"/>
          <w:color w:val="333333"/>
          <w:sz w:val="20"/>
          <w:sz w:val="20"/>
          <w:szCs w:val="20"/>
          <w:rtl w:val="true"/>
        </w:rPr>
        <w:t>، الروضة البهيّة في شرح 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5/369</w:t>
      </w:r>
      <w:r>
        <w:rPr>
          <w:rFonts w:ascii="IRNazanin" w:hAnsi="IRNazanin" w:eastAsia="IRNazanin"/>
          <w:b w:val="false"/>
          <w:b w:val="false"/>
          <w:bCs w:val="false"/>
          <w:i w:val="false"/>
          <w:i w:val="false"/>
          <w:iCs w:val="false"/>
          <w:color w:val="333333"/>
          <w:sz w:val="20"/>
          <w:sz w:val="20"/>
          <w:szCs w:val="20"/>
          <w:rtl w:val="true"/>
        </w:rPr>
        <w:t>، مسالك الأفهام إلى تنقيح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وجوب النفقة يتوقّف على حصول التمكين ولكن بملاحظة ما ذكره في 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ويلوح من كلام ابن إدريس</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الامتناع من سائر الحقوق</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تحرير الأحكام الشرعيّة على مذهب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ما ذكره العلّامة في مختلف الشيعة في أحكام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 في شرح 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 الشهيد الثاني أنَّ المراد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أصالة عدم حصول المواقعة</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 في شرح 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 أنَّ المراد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حال الصحيح إذا خلا بالحليلة</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إلى تنقيح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الفرع مقدّم في الأصل على الفرع السابق عليه، ولكن يوجد هامش في الجانب الأيمن من النسخة يفيد بتأخيره عن الفرع اللاحق له</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أحكام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المبسوط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غنيّة النزوع إلى علميّ الأصول والفروع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السرائر الحاوي لتحرير الفتاوي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2/519</w:t>
      </w:r>
      <w:r>
        <w:rPr>
          <w:rFonts w:ascii="IRNazanin" w:hAnsi="IRNazanin" w:eastAsia="IRNazanin"/>
          <w:b w:val="false"/>
          <w:b w:val="false"/>
          <w:bCs w:val="false"/>
          <w:i w:val="false"/>
          <w:i w:val="false"/>
          <w:iCs w:val="false"/>
          <w:color w:val="333333"/>
          <w:sz w:val="20"/>
          <w:sz w:val="20"/>
          <w:szCs w:val="20"/>
          <w:rtl w:val="true"/>
        </w:rPr>
        <w:t>، شرائع الإسلام في مسائل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2/547</w:t>
      </w:r>
      <w:r>
        <w:rPr>
          <w:rFonts w:ascii="IRNazanin" w:hAnsi="IRNazanin" w:eastAsia="IRNazanin"/>
          <w:b w:val="false"/>
          <w:b w:val="false"/>
          <w:bCs w:val="false"/>
          <w:i w:val="false"/>
          <w:i w:val="false"/>
          <w:iCs w:val="false"/>
          <w:color w:val="333333"/>
          <w:sz w:val="20"/>
          <w:sz w:val="20"/>
          <w:szCs w:val="20"/>
          <w:rtl w:val="true"/>
        </w:rPr>
        <w:t>، تحرير الأحكام الشرعيّة على مذهب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3/556</w:t>
      </w:r>
      <w:r>
        <w:rPr>
          <w:rFonts w:ascii="IRNazanin" w:hAnsi="IRNazanin" w:eastAsia="IRNazanin"/>
          <w:b w:val="false"/>
          <w:b w:val="false"/>
          <w:bCs w:val="false"/>
          <w:i w:val="false"/>
          <w:i w:val="false"/>
          <w:iCs w:val="false"/>
          <w:color w:val="333333"/>
          <w:sz w:val="20"/>
          <w:sz w:val="20"/>
          <w:szCs w:val="20"/>
          <w:rtl w:val="true"/>
        </w:rPr>
        <w:t>، قواعد الأحكام في معرفة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مختلف الشيعة في أحكام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7/156</w:t>
      </w:r>
      <w:r>
        <w:rPr>
          <w:rFonts w:ascii="IRNazanin" w:hAnsi="IRNazanin" w:eastAsia="IRNazanin"/>
          <w:b w:val="false"/>
          <w:b w:val="false"/>
          <w:bCs w:val="false"/>
          <w:i w:val="false"/>
          <w:i w:val="false"/>
          <w:iCs w:val="false"/>
          <w:color w:val="333333"/>
          <w:sz w:val="20"/>
          <w:sz w:val="20"/>
          <w:szCs w:val="20"/>
          <w:rtl w:val="true"/>
        </w:rPr>
        <w:t>وما بعدها، إيضاح الفوائد في شرح إشكالات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3/197</w:t>
      </w:r>
      <w:r>
        <w:rPr>
          <w:rFonts w:ascii="IRNazanin" w:hAnsi="IRNazanin" w:eastAsia="IRNazanin"/>
          <w:b w:val="false"/>
          <w:b w:val="false"/>
          <w:bCs w:val="false"/>
          <w:i w:val="false"/>
          <w:i w:val="false"/>
          <w:iCs w:val="false"/>
          <w:color w:val="333333"/>
          <w:sz w:val="20"/>
          <w:sz w:val="20"/>
          <w:szCs w:val="20"/>
          <w:rtl w:val="true"/>
        </w:rPr>
        <w:t>، 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التنقيح الرائع لمختصر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3/249</w:t>
      </w:r>
      <w:r>
        <w:rPr>
          <w:rFonts w:ascii="IRNazanin" w:hAnsi="IRNazanin" w:eastAsia="IRNazanin"/>
          <w:b w:val="false"/>
          <w:b w:val="false"/>
          <w:bCs w:val="false"/>
          <w:i w:val="false"/>
          <w:i w:val="false"/>
          <w:iCs w:val="false"/>
          <w:color w:val="333333"/>
          <w:sz w:val="20"/>
          <w:sz w:val="20"/>
          <w:szCs w:val="20"/>
          <w:rtl w:val="true"/>
        </w:rPr>
        <w:t>، جامع المقاصد في 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13/353</w:t>
      </w:r>
      <w:r>
        <w:rPr>
          <w:rFonts w:ascii="IRNazanin" w:hAnsi="IRNazanin" w:eastAsia="IRNazanin"/>
          <w:b w:val="false"/>
          <w:b w:val="false"/>
          <w:bCs w:val="false"/>
          <w:i w:val="false"/>
          <w:i w:val="false"/>
          <w:iCs w:val="false"/>
          <w:color w:val="333333"/>
          <w:sz w:val="20"/>
          <w:sz w:val="20"/>
          <w:szCs w:val="20"/>
          <w:rtl w:val="true"/>
        </w:rPr>
        <w:t>، الروضة البهيّة في شرح 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5/369</w:t>
      </w:r>
      <w:r>
        <w:rPr>
          <w:rFonts w:ascii="IRNazanin" w:hAnsi="IRNazanin" w:eastAsia="IRNazanin"/>
          <w:b w:val="false"/>
          <w:b w:val="false"/>
          <w:bCs w:val="false"/>
          <w:i w:val="false"/>
          <w:i w:val="false"/>
          <w:iCs w:val="false"/>
          <w:color w:val="333333"/>
          <w:sz w:val="20"/>
          <w:sz w:val="20"/>
          <w:szCs w:val="20"/>
          <w:rtl w:val="true"/>
        </w:rPr>
        <w:t>، مسالك الأفهام إلى تنقيح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 الشرعيّة على مذهب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3/557</w:t>
      </w:r>
      <w:r>
        <w:rPr>
          <w:rFonts w:ascii="IRNazanin" w:hAnsi="IRNazanin" w:eastAsia="IRNazanin"/>
          <w:b w:val="false"/>
          <w:b w:val="false"/>
          <w:bCs w:val="false"/>
          <w:i w:val="false"/>
          <w:i w:val="false"/>
          <w:iCs w:val="false"/>
          <w:color w:val="333333"/>
          <w:sz w:val="20"/>
          <w:sz w:val="20"/>
          <w:szCs w:val="20"/>
          <w:rtl w:val="true"/>
        </w:rPr>
        <w:t>، المبسوط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 الشرعيّة على مذهب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3/557</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يوجد تصحيح في الهامش الأيمن من النسخة وقد ذهب إمّا لعدم التصوير بشكل كامل أو حين التصحيف</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 في معرفة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على مذهب الإماميّة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كانا صغيرين فلا نفقة</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 في معرفة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 إلى أحكام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image" Target="media/image3.jpeg"/><Relationship Id="rId472" Type="http://schemas.openxmlformats.org/officeDocument/2006/relationships/image" Target="media/image3.jpeg"/><Relationship Id="rId473" Type="http://schemas.openxmlformats.org/officeDocument/2006/relationships/footer" Target="footer466.xml"/><Relationship Id="rId474" Type="http://schemas.openxmlformats.org/officeDocument/2006/relationships/image" Target="media/image4.jpeg"/><Relationship Id="rId475" Type="http://schemas.openxmlformats.org/officeDocument/2006/relationships/image" Target="media/image4.jpeg"/><Relationship Id="rId476" Type="http://schemas.openxmlformats.org/officeDocument/2006/relationships/footer" Target="footer467.xml"/><Relationship Id="rId477" Type="http://schemas.openxmlformats.org/officeDocument/2006/relationships/image" Target="media/image5.jpeg"/><Relationship Id="rId478" Type="http://schemas.openxmlformats.org/officeDocument/2006/relationships/image" Target="media/image5.jpeg"/><Relationship Id="rId479" Type="http://schemas.openxmlformats.org/officeDocument/2006/relationships/footer" Target="footer468.xml"/><Relationship Id="rId480" Type="http://schemas.openxmlformats.org/officeDocument/2006/relationships/image" Target="media/image6.jpeg"/><Relationship Id="rId481" Type="http://schemas.openxmlformats.org/officeDocument/2006/relationships/image" Target="media/image6.jpeg"/><Relationship Id="rId482" Type="http://schemas.openxmlformats.org/officeDocument/2006/relationships/footer" Target="footer469.xml"/><Relationship Id="rId483" Type="http://schemas.openxmlformats.org/officeDocument/2006/relationships/image" Target="media/image7.jpeg"/><Relationship Id="rId484" Type="http://schemas.openxmlformats.org/officeDocument/2006/relationships/image" Target="media/image7.jpeg"/><Relationship Id="rId485" Type="http://schemas.openxmlformats.org/officeDocument/2006/relationships/footer" Target="footer470.xml"/><Relationship Id="rId486" Type="http://schemas.openxmlformats.org/officeDocument/2006/relationships/footer" Target="footer471.xml"/><Relationship Id="rId487" Type="http://schemas.openxmlformats.org/officeDocument/2006/relationships/footer" Target="footer472.xml"/><Relationship Id="rId488" Type="http://schemas.openxmlformats.org/officeDocument/2006/relationships/footer" Target="footer473.xml"/><Relationship Id="rId489" Type="http://schemas.openxmlformats.org/officeDocument/2006/relationships/footer" Target="footer474.xml"/><Relationship Id="rId490" Type="http://schemas.openxmlformats.org/officeDocument/2006/relationships/footer" Target="footer475.xml"/><Relationship Id="rId491" Type="http://schemas.openxmlformats.org/officeDocument/2006/relationships/footer" Target="footer476.xml"/><Relationship Id="rId492" Type="http://schemas.openxmlformats.org/officeDocument/2006/relationships/footer" Target="footer477.xml"/><Relationship Id="rId493" Type="http://schemas.openxmlformats.org/officeDocument/2006/relationships/footer" Target="footer478.xml"/><Relationship Id="rId494" Type="http://schemas.openxmlformats.org/officeDocument/2006/relationships/footer" Target="footer479.xml"/><Relationship Id="rId495" Type="http://schemas.openxmlformats.org/officeDocument/2006/relationships/footer" Target="footer480.xml"/><Relationship Id="rId496" Type="http://schemas.openxmlformats.org/officeDocument/2006/relationships/footer" Target="footer481.xml"/><Relationship Id="rId497" Type="http://schemas.openxmlformats.org/officeDocument/2006/relationships/footer" Target="footer482.xml"/><Relationship Id="rId498" Type="http://schemas.openxmlformats.org/officeDocument/2006/relationships/footer" Target="footer483.xml"/><Relationship Id="rId499" Type="http://schemas.openxmlformats.org/officeDocument/2006/relationships/footer" Target="footer484.xml"/><Relationship Id="rId500" Type="http://schemas.openxmlformats.org/officeDocument/2006/relationships/footer" Target="footer485.xml"/><Relationship Id="rId501" Type="http://schemas.openxmlformats.org/officeDocument/2006/relationships/footer" Target="footer486.xml"/><Relationship Id="rId502" Type="http://schemas.openxmlformats.org/officeDocument/2006/relationships/footer" Target="footer487.xml"/><Relationship Id="rId503" Type="http://schemas.openxmlformats.org/officeDocument/2006/relationships/footer" Target="footer488.xml"/><Relationship Id="rId504" Type="http://schemas.openxmlformats.org/officeDocument/2006/relationships/footer" Target="footer489.xml"/><Relationship Id="rId505" Type="http://schemas.openxmlformats.org/officeDocument/2006/relationships/footer" Target="footer490.xml"/><Relationship Id="rId506" Type="http://schemas.openxmlformats.org/officeDocument/2006/relationships/footer" Target="footer491.xml"/><Relationship Id="rId507" Type="http://schemas.openxmlformats.org/officeDocument/2006/relationships/footer" Target="footer492.xml"/><Relationship Id="rId508" Type="http://schemas.openxmlformats.org/officeDocument/2006/relationships/footer" Target="footer493.xml"/><Relationship Id="rId509" Type="http://schemas.openxmlformats.org/officeDocument/2006/relationships/footer" Target="footer494.xml"/><Relationship Id="rId510" Type="http://schemas.openxmlformats.org/officeDocument/2006/relationships/footer" Target="footer495.xml"/><Relationship Id="rId511" Type="http://schemas.openxmlformats.org/officeDocument/2006/relationships/footer" Target="footer496.xml"/><Relationship Id="rId512" Type="http://schemas.openxmlformats.org/officeDocument/2006/relationships/footer" Target="footer497.xml"/><Relationship Id="rId513" Type="http://schemas.openxmlformats.org/officeDocument/2006/relationships/footer" Target="footer498.xml"/><Relationship Id="rId514" Type="http://schemas.openxmlformats.org/officeDocument/2006/relationships/footer" Target="footer499.xml"/><Relationship Id="rId515" Type="http://schemas.openxmlformats.org/officeDocument/2006/relationships/footer" Target="footer500.xml"/><Relationship Id="rId516" Type="http://schemas.openxmlformats.org/officeDocument/2006/relationships/footer" Target="footer501.xml"/><Relationship Id="rId517" Type="http://schemas.openxmlformats.org/officeDocument/2006/relationships/footer" Target="footer502.xml"/><Relationship Id="rId518" Type="http://schemas.openxmlformats.org/officeDocument/2006/relationships/footer" Target="footer503.xml"/><Relationship Id="rId519" Type="http://schemas.openxmlformats.org/officeDocument/2006/relationships/footer" Target="footer504.xml"/><Relationship Id="rId520" Type="http://schemas.openxmlformats.org/officeDocument/2006/relationships/footer" Target="footer505.xml"/><Relationship Id="rId521" Type="http://schemas.openxmlformats.org/officeDocument/2006/relationships/footer" Target="footer506.xml"/><Relationship Id="rId522" Type="http://schemas.openxmlformats.org/officeDocument/2006/relationships/footer" Target="footer507.xml"/><Relationship Id="rId523" Type="http://schemas.openxmlformats.org/officeDocument/2006/relationships/footer" Target="footer508.xml"/><Relationship Id="rId524" Type="http://schemas.openxmlformats.org/officeDocument/2006/relationships/footer" Target="footer509.xml"/><Relationship Id="rId525" Type="http://schemas.openxmlformats.org/officeDocument/2006/relationships/footer" Target="footer510.xml"/><Relationship Id="rId526" Type="http://schemas.openxmlformats.org/officeDocument/2006/relationships/footer" Target="footer511.xml"/><Relationship Id="rId527" Type="http://schemas.openxmlformats.org/officeDocument/2006/relationships/footer" Target="footer512.xml"/><Relationship Id="rId528" Type="http://schemas.openxmlformats.org/officeDocument/2006/relationships/footer" Target="footer513.xml"/><Relationship Id="rId529" Type="http://schemas.openxmlformats.org/officeDocument/2006/relationships/footer" Target="footer514.xml"/><Relationship Id="rId530" Type="http://schemas.openxmlformats.org/officeDocument/2006/relationships/footer" Target="footer515.xml"/><Relationship Id="rId531" Type="http://schemas.openxmlformats.org/officeDocument/2006/relationships/footer" Target="footer516.xml"/><Relationship Id="rId532" Type="http://schemas.openxmlformats.org/officeDocument/2006/relationships/footer" Target="footer517.xml"/><Relationship Id="rId533" Type="http://schemas.openxmlformats.org/officeDocument/2006/relationships/footer" Target="footer518.xml"/><Relationship Id="rId534" Type="http://schemas.openxmlformats.org/officeDocument/2006/relationships/footer" Target="footer519.xml"/><Relationship Id="rId535" Type="http://schemas.openxmlformats.org/officeDocument/2006/relationships/footer" Target="footer520.xml"/><Relationship Id="rId536" Type="http://schemas.openxmlformats.org/officeDocument/2006/relationships/footer" Target="footer521.xml"/><Relationship Id="rId537" Type="http://schemas.openxmlformats.org/officeDocument/2006/relationships/footer" Target="footer522.xml"/><Relationship Id="rId538" Type="http://schemas.openxmlformats.org/officeDocument/2006/relationships/footer" Target="footer523.xml"/><Relationship Id="rId539" Type="http://schemas.openxmlformats.org/officeDocument/2006/relationships/footer" Target="footer524.xml"/><Relationship Id="rId540" Type="http://schemas.openxmlformats.org/officeDocument/2006/relationships/image" Target="media/image2.jpeg"/><Relationship Id="rId541" Type="http://schemas.openxmlformats.org/officeDocument/2006/relationships/image" Target="media/image2.jpeg"/><Relationship Id="rId542" Type="http://schemas.openxmlformats.org/officeDocument/2006/relationships/footer" Target="footer525.xml"/><Relationship Id="rId543" Type="http://schemas.openxmlformats.org/officeDocument/2006/relationships/footnotes" Target="footnotes.xml"/><Relationship Id="rId544" Type="http://schemas.openxmlformats.org/officeDocument/2006/relationships/numbering" Target="numbering.xml"/><Relationship Id="rId545" Type="http://schemas.openxmlformats.org/officeDocument/2006/relationships/fontTable" Target="fontTable.xml"/><Relationship Id="rId546" Type="http://schemas.openxmlformats.org/officeDocument/2006/relationships/settings" Target="settings.xml"/><Relationship Id="rId5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537</Pages>
  <Words>51824</Words>
  <Characters>233000</Characters>
  <CharactersWithSpaces>282737</CharactersWithSpaces>
  <Paragraphs>2357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2026-08-20T09:39:23Z</dcterms:created>
  <dc:creator>ghaemiyeh.com</dc:creator>
  <dc:description/>
  <dc:language>en-US</dc:language>
  <cp:lastModifiedBy/>
  <dcterms:modified xsi:type="dcterms:W3CDTF">2026-08-20T13:09:41Z</dcterms:modified>
  <cp:revision>1</cp:revision>
  <dc:subject/>
  <dc:title>دراسات علمیة - 12 مجلة نصف سنویة تعنى بالأبحاث التخصصیة فی الحوزة العلمیة</dc:title>
</cp:coreProperties>
</file>

<file path=docProps/custom.xml><?xml version="1.0" encoding="utf-8"?>
<Properties xmlns="http://schemas.openxmlformats.org/officeDocument/2006/custom-properties" xmlns:vt="http://schemas.openxmlformats.org/officeDocument/2006/docPropsVTypes"/>
</file>